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6.xml" ContentType="application/vnd.openxmlformats-officedocument.drawingml.chart+xml"/>
  <Override PartName="/word/theme/themeOverride1.xml" ContentType="application/vnd.openxmlformats-officedocument.themeOverride+xml"/>
  <Override PartName="/word/charts/chart7.xml" ContentType="application/vnd.openxmlformats-officedocument.drawingml.chart+xml"/>
  <Override PartName="/word/theme/themeOverride2.xml" ContentType="application/vnd.openxmlformats-officedocument.themeOverride+xml"/>
  <Override PartName="/word/charts/chart8.xml" ContentType="application/vnd.openxmlformats-officedocument.drawingml.chart+xml"/>
  <Override PartName="/word/theme/themeOverride3.xml" ContentType="application/vnd.openxmlformats-officedocument.themeOverride+xml"/>
  <Override PartName="/word/charts/chart9.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D10CBA" w:rsidP="005A3DF4">
      <w:pPr>
        <w:widowControl w:val="0"/>
        <w:spacing w:after="0" w:line="240" w:lineRule="auto"/>
        <w:ind w:firstLine="709"/>
        <w:contextualSpacing/>
        <w:jc w:val="center"/>
        <w:rPr>
          <w:rFonts w:ascii="Times New Roman" w:hAnsi="Times New Roman"/>
          <w:b/>
          <w:sz w:val="28"/>
          <w:szCs w:val="28"/>
        </w:rPr>
      </w:pPr>
      <w:r>
        <w:rPr>
          <w:rFonts w:ascii="Times New Roman" w:hAnsi="Times New Roman"/>
          <w:b/>
          <w:sz w:val="28"/>
          <w:szCs w:val="28"/>
        </w:rPr>
        <w:t>АКТУАЛЬНЫЕ ПРОБЛЕМЫ ЮРИДИЧЕСКОЙ НАУКИ И ПРАКТИКИ</w:t>
      </w: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Pr="00D10CBA" w:rsidRDefault="00D10CBA"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СБОРНИК НАУЧНЫХ СТАТЕЙ</w:t>
      </w: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5542CD" w:rsidRDefault="005542CD"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lastRenderedPageBreak/>
        <w:t>Министерство науки и высшего образования Российской Федерации</w:t>
      </w:r>
    </w:p>
    <w:p w:rsidR="005542CD" w:rsidRDefault="005542CD" w:rsidP="005A3DF4">
      <w:pPr>
        <w:widowControl w:val="0"/>
        <w:spacing w:after="0" w:line="240" w:lineRule="auto"/>
        <w:ind w:firstLine="709"/>
        <w:contextualSpacing/>
        <w:jc w:val="center"/>
        <w:rPr>
          <w:rFonts w:ascii="Times New Roman" w:hAnsi="Times New Roman"/>
          <w:sz w:val="28"/>
          <w:szCs w:val="28"/>
        </w:rPr>
      </w:pPr>
    </w:p>
    <w:p w:rsidR="005542CD" w:rsidRDefault="005542CD"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Владивостокский государственный университет</w:t>
      </w:r>
    </w:p>
    <w:p w:rsidR="005542CD" w:rsidRDefault="005542CD"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экономики и сервиса (ВГУЭС)</w:t>
      </w:r>
    </w:p>
    <w:p w:rsidR="005542CD" w:rsidRDefault="005542CD" w:rsidP="005A3DF4">
      <w:pPr>
        <w:widowControl w:val="0"/>
        <w:spacing w:after="0" w:line="240" w:lineRule="auto"/>
        <w:ind w:firstLine="709"/>
        <w:contextualSpacing/>
        <w:jc w:val="center"/>
        <w:rPr>
          <w:rFonts w:ascii="Times New Roman" w:hAnsi="Times New Roman"/>
          <w:sz w:val="28"/>
          <w:szCs w:val="28"/>
        </w:rPr>
      </w:pPr>
    </w:p>
    <w:p w:rsidR="005542CD" w:rsidRDefault="005542CD"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 xml:space="preserve">Институт права </w:t>
      </w:r>
    </w:p>
    <w:p w:rsidR="005542CD" w:rsidRDefault="005542CD" w:rsidP="005A3DF4">
      <w:pPr>
        <w:widowControl w:val="0"/>
        <w:spacing w:after="0" w:line="240" w:lineRule="auto"/>
        <w:ind w:firstLine="709"/>
        <w:contextualSpacing/>
        <w:rPr>
          <w:rFonts w:ascii="Times New Roman" w:hAnsi="Times New Roman"/>
          <w:sz w:val="28"/>
          <w:szCs w:val="28"/>
        </w:rPr>
      </w:pPr>
    </w:p>
    <w:p w:rsidR="005542CD" w:rsidRDefault="005542CD" w:rsidP="005A3DF4">
      <w:pPr>
        <w:widowControl w:val="0"/>
        <w:spacing w:after="0" w:line="240" w:lineRule="auto"/>
        <w:ind w:firstLine="709"/>
        <w:contextualSpacing/>
        <w:rPr>
          <w:rFonts w:ascii="Times New Roman" w:hAnsi="Times New Roman"/>
          <w:sz w:val="28"/>
          <w:szCs w:val="28"/>
        </w:rPr>
      </w:pPr>
    </w:p>
    <w:p w:rsidR="005542CD" w:rsidRDefault="005542CD" w:rsidP="005A3DF4">
      <w:pPr>
        <w:widowControl w:val="0"/>
        <w:spacing w:after="0" w:line="240" w:lineRule="auto"/>
        <w:ind w:firstLine="709"/>
        <w:contextualSpacing/>
        <w:rPr>
          <w:rFonts w:ascii="Times New Roman" w:hAnsi="Times New Roman"/>
          <w:sz w:val="28"/>
          <w:szCs w:val="28"/>
        </w:rPr>
      </w:pPr>
    </w:p>
    <w:p w:rsidR="005542CD" w:rsidRDefault="005542CD" w:rsidP="005A3DF4">
      <w:pPr>
        <w:widowControl w:val="0"/>
        <w:spacing w:after="0" w:line="240" w:lineRule="auto"/>
        <w:ind w:firstLine="709"/>
        <w:contextualSpacing/>
        <w:rPr>
          <w:rFonts w:ascii="Times New Roman" w:hAnsi="Times New Roman"/>
          <w:sz w:val="28"/>
          <w:szCs w:val="28"/>
        </w:rPr>
      </w:pPr>
    </w:p>
    <w:p w:rsidR="005542CD" w:rsidRDefault="005542CD" w:rsidP="005A3DF4">
      <w:pPr>
        <w:widowControl w:val="0"/>
        <w:spacing w:after="0" w:line="240" w:lineRule="auto"/>
        <w:ind w:firstLine="709"/>
        <w:contextualSpacing/>
        <w:rPr>
          <w:rFonts w:ascii="Times New Roman" w:hAnsi="Times New Roman"/>
          <w:sz w:val="28"/>
          <w:szCs w:val="28"/>
        </w:rPr>
      </w:pPr>
    </w:p>
    <w:p w:rsidR="005542CD" w:rsidRDefault="005542CD"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b/>
          <w:sz w:val="28"/>
          <w:szCs w:val="28"/>
        </w:rPr>
      </w:pPr>
      <w:r>
        <w:rPr>
          <w:rFonts w:ascii="Times New Roman" w:hAnsi="Times New Roman"/>
          <w:b/>
          <w:sz w:val="28"/>
          <w:szCs w:val="28"/>
        </w:rPr>
        <w:t>АКТУАЛЬНЫЕ ПРОБЛЕМЫ ЮРИДИЧЕСКОЙ НАУКИ И ПРАКТИКИ</w:t>
      </w:r>
    </w:p>
    <w:p w:rsidR="00CE3E72" w:rsidRDefault="00CE3E72" w:rsidP="005A3DF4">
      <w:pPr>
        <w:widowControl w:val="0"/>
        <w:spacing w:after="0" w:line="240" w:lineRule="auto"/>
        <w:ind w:firstLine="709"/>
        <w:contextualSpacing/>
        <w:rPr>
          <w:rFonts w:ascii="Times New Roman" w:hAnsi="Times New Roman"/>
          <w:b/>
          <w:sz w:val="28"/>
          <w:szCs w:val="28"/>
        </w:rPr>
      </w:pPr>
    </w:p>
    <w:p w:rsidR="00CE3E72" w:rsidRPr="00D10CBA" w:rsidRDefault="00CE3E72"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СБОРНИК НАУЧНЫХ СТАТЕЙ</w:t>
      </w: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p>
    <w:p w:rsidR="00CE3E72" w:rsidRDefault="00CE3E72"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 xml:space="preserve">Владивосток </w:t>
      </w:r>
    </w:p>
    <w:p w:rsidR="00CE3E72" w:rsidRDefault="00CE3E72"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Издательство ВГУЭС</w:t>
      </w:r>
    </w:p>
    <w:p w:rsidR="00CE3E72" w:rsidRDefault="00CE3E72" w:rsidP="005A3DF4">
      <w:pPr>
        <w:widowControl w:val="0"/>
        <w:spacing w:after="0" w:line="240" w:lineRule="auto"/>
        <w:ind w:firstLine="709"/>
        <w:contextualSpacing/>
        <w:jc w:val="center"/>
        <w:rPr>
          <w:rFonts w:ascii="Times New Roman" w:hAnsi="Times New Roman"/>
          <w:sz w:val="28"/>
          <w:szCs w:val="28"/>
        </w:rPr>
      </w:pPr>
      <w:r>
        <w:rPr>
          <w:rFonts w:ascii="Times New Roman" w:hAnsi="Times New Roman"/>
          <w:sz w:val="28"/>
          <w:szCs w:val="28"/>
        </w:rPr>
        <w:t>2019</w:t>
      </w:r>
    </w:p>
    <w:p w:rsidR="007C364C" w:rsidRDefault="00A43A0A" w:rsidP="005A3DF4">
      <w:pPr>
        <w:widowControl w:val="0"/>
        <w:spacing w:after="0" w:line="240" w:lineRule="auto"/>
        <w:ind w:firstLine="709"/>
        <w:contextualSpacing/>
        <w:rPr>
          <w:rFonts w:ascii="Times New Roman" w:hAnsi="Times New Roman"/>
          <w:sz w:val="28"/>
          <w:szCs w:val="28"/>
        </w:rPr>
      </w:pPr>
      <w:r>
        <w:rPr>
          <w:rFonts w:ascii="Times New Roman" w:hAnsi="Times New Roman"/>
          <w:sz w:val="28"/>
          <w:szCs w:val="28"/>
        </w:rPr>
        <w:lastRenderedPageBreak/>
        <w:t>УДК 34. Право. Юридические науки.</w:t>
      </w:r>
    </w:p>
    <w:p w:rsidR="00A43A0A" w:rsidRDefault="00A43A0A" w:rsidP="005A3DF4">
      <w:pPr>
        <w:widowControl w:val="0"/>
        <w:spacing w:after="0" w:line="240" w:lineRule="auto"/>
        <w:ind w:firstLine="709"/>
        <w:contextualSpacing/>
        <w:rPr>
          <w:rFonts w:ascii="Times New Roman" w:hAnsi="Times New Roman"/>
          <w:sz w:val="28"/>
          <w:szCs w:val="28"/>
        </w:rPr>
      </w:pPr>
    </w:p>
    <w:p w:rsidR="00A43A0A" w:rsidRDefault="00A43A0A" w:rsidP="005A3DF4">
      <w:pPr>
        <w:widowControl w:val="0"/>
        <w:spacing w:after="0" w:line="240" w:lineRule="auto"/>
        <w:ind w:firstLine="709"/>
        <w:contextualSpacing/>
        <w:rPr>
          <w:rFonts w:ascii="Times New Roman" w:hAnsi="Times New Roman"/>
          <w:sz w:val="28"/>
          <w:szCs w:val="28"/>
        </w:rPr>
      </w:pPr>
    </w:p>
    <w:p w:rsidR="00A43A0A" w:rsidRDefault="00A43A0A" w:rsidP="005A3DF4">
      <w:pPr>
        <w:widowControl w:val="0"/>
        <w:spacing w:after="0" w:line="240" w:lineRule="auto"/>
        <w:ind w:firstLine="709"/>
        <w:contextualSpacing/>
        <w:rPr>
          <w:rFonts w:ascii="Times New Roman" w:hAnsi="Times New Roman"/>
          <w:sz w:val="28"/>
          <w:szCs w:val="28"/>
        </w:rPr>
      </w:pPr>
    </w:p>
    <w:p w:rsidR="00A43A0A" w:rsidRDefault="00A43A0A" w:rsidP="005A3DF4">
      <w:pPr>
        <w:widowControl w:val="0"/>
        <w:spacing w:after="0" w:line="240" w:lineRule="auto"/>
        <w:ind w:firstLine="709"/>
        <w:contextualSpacing/>
        <w:jc w:val="both"/>
        <w:rPr>
          <w:rFonts w:ascii="Times New Roman" w:hAnsi="Times New Roman"/>
          <w:sz w:val="28"/>
          <w:szCs w:val="28"/>
        </w:rPr>
      </w:pPr>
      <w:r w:rsidRPr="00A43A0A">
        <w:rPr>
          <w:rFonts w:ascii="Times New Roman" w:hAnsi="Times New Roman"/>
          <w:sz w:val="28"/>
          <w:szCs w:val="28"/>
        </w:rPr>
        <w:t>АКТУАЛЬНЫЕ ПРОБЛЕМЫ ЮРИДИЧЕСКОЙ НАУКИ И ПРАКТИКИ</w:t>
      </w:r>
      <w:r>
        <w:rPr>
          <w:rFonts w:ascii="Times New Roman" w:hAnsi="Times New Roman"/>
          <w:sz w:val="28"/>
          <w:szCs w:val="28"/>
        </w:rPr>
        <w:t xml:space="preserve">: сборник научных статей / под ред. С.Ф. Литвиновой, А.Р. Пурге; Владивостокский государственный университет экономики и сервиса. – Владивосток: изд-во ВГУЭС, 2019. – </w:t>
      </w:r>
      <w:r w:rsidR="00CF6091">
        <w:rPr>
          <w:rFonts w:ascii="Times New Roman" w:hAnsi="Times New Roman"/>
          <w:sz w:val="28"/>
          <w:szCs w:val="28"/>
        </w:rPr>
        <w:t>598</w:t>
      </w:r>
      <w:bookmarkStart w:id="0" w:name="_GoBack"/>
      <w:bookmarkEnd w:id="0"/>
      <w:r w:rsidR="00B56FC7">
        <w:rPr>
          <w:rFonts w:ascii="Times New Roman" w:hAnsi="Times New Roman"/>
          <w:sz w:val="28"/>
          <w:szCs w:val="28"/>
        </w:rPr>
        <w:t xml:space="preserve"> с.</w:t>
      </w:r>
    </w:p>
    <w:p w:rsidR="00A43A0A" w:rsidRDefault="00A43A0A" w:rsidP="005A3DF4">
      <w:pPr>
        <w:widowControl w:val="0"/>
        <w:spacing w:after="0" w:line="240" w:lineRule="auto"/>
        <w:ind w:firstLine="709"/>
        <w:contextualSpacing/>
        <w:jc w:val="both"/>
        <w:rPr>
          <w:rFonts w:ascii="Times New Roman" w:hAnsi="Times New Roman"/>
          <w:sz w:val="28"/>
          <w:szCs w:val="28"/>
        </w:rPr>
      </w:pPr>
    </w:p>
    <w:p w:rsidR="00A43A0A" w:rsidRDefault="00A43A0A" w:rsidP="005A3DF4">
      <w:pPr>
        <w:widowControl w:val="0"/>
        <w:spacing w:after="0" w:line="240" w:lineRule="auto"/>
        <w:ind w:firstLine="709"/>
        <w:contextualSpacing/>
        <w:jc w:val="both"/>
        <w:rPr>
          <w:rFonts w:ascii="Times New Roman" w:hAnsi="Times New Roman"/>
          <w:sz w:val="28"/>
          <w:szCs w:val="28"/>
        </w:rPr>
      </w:pPr>
    </w:p>
    <w:p w:rsidR="00C06311" w:rsidRPr="00A43A0A" w:rsidRDefault="00A43A0A" w:rsidP="00C06311">
      <w:pPr>
        <w:widowControl w:val="0"/>
        <w:spacing w:after="0" w:line="240" w:lineRule="auto"/>
        <w:ind w:firstLine="709"/>
        <w:contextualSpacing/>
        <w:jc w:val="both"/>
        <w:rPr>
          <w:rFonts w:ascii="Times New Roman" w:hAnsi="Times New Roman"/>
          <w:sz w:val="28"/>
          <w:szCs w:val="28"/>
        </w:rPr>
      </w:pPr>
      <w:r>
        <w:rPr>
          <w:rFonts w:ascii="Times New Roman" w:hAnsi="Times New Roman"/>
          <w:sz w:val="28"/>
          <w:szCs w:val="28"/>
        </w:rPr>
        <w:t>В сборник вошли статьи, подготовленные по результатам заочного участия авторов</w:t>
      </w:r>
      <w:r w:rsidR="00184722">
        <w:rPr>
          <w:rFonts w:ascii="Times New Roman" w:hAnsi="Times New Roman"/>
          <w:sz w:val="28"/>
          <w:szCs w:val="28"/>
        </w:rPr>
        <w:t xml:space="preserve"> – студентов Института права ВГУЭС</w:t>
      </w:r>
      <w:r>
        <w:rPr>
          <w:rFonts w:ascii="Times New Roman" w:hAnsi="Times New Roman"/>
          <w:sz w:val="28"/>
          <w:szCs w:val="28"/>
        </w:rPr>
        <w:t xml:space="preserve"> в </w:t>
      </w:r>
      <w:r>
        <w:rPr>
          <w:rFonts w:ascii="Times New Roman" w:hAnsi="Times New Roman"/>
          <w:sz w:val="28"/>
          <w:szCs w:val="28"/>
          <w:lang w:val="en-US"/>
        </w:rPr>
        <w:t>XXI</w:t>
      </w:r>
      <w:r w:rsidRPr="00A43A0A">
        <w:rPr>
          <w:rFonts w:ascii="Times New Roman" w:hAnsi="Times New Roman"/>
          <w:sz w:val="28"/>
          <w:szCs w:val="28"/>
        </w:rPr>
        <w:t xml:space="preserve"> </w:t>
      </w:r>
      <w:r>
        <w:rPr>
          <w:rFonts w:ascii="Times New Roman" w:hAnsi="Times New Roman"/>
          <w:sz w:val="28"/>
          <w:szCs w:val="28"/>
        </w:rPr>
        <w:t xml:space="preserve">Международной научно-практической конференции студентов, аспирантов, молодых исследователей «Интеллектуальный потенциал вузов – на развитие Дальневосточного региона России и стран АТР» (17-19 апреля 2019 года). </w:t>
      </w:r>
      <w:r w:rsidR="00C06311">
        <w:rPr>
          <w:rFonts w:ascii="Times New Roman" w:hAnsi="Times New Roman"/>
          <w:sz w:val="28"/>
          <w:szCs w:val="28"/>
        </w:rPr>
        <w:t xml:space="preserve">В сборник также включены лучшие работы победителей конкурса «Соблюдение прав человека в Приморском крае», проводимом Уполномоченным по правам человека в Приморском крае.  </w:t>
      </w:r>
    </w:p>
    <w:p w:rsidR="00A43A0A" w:rsidRPr="00A43A0A" w:rsidRDefault="00A43A0A" w:rsidP="005A3DF4">
      <w:pPr>
        <w:widowControl w:val="0"/>
        <w:spacing w:after="0" w:line="240" w:lineRule="auto"/>
        <w:ind w:firstLine="709"/>
        <w:contextualSpacing/>
        <w:jc w:val="both"/>
        <w:rPr>
          <w:rFonts w:ascii="Times New Roman" w:hAnsi="Times New Roman"/>
          <w:sz w:val="28"/>
          <w:szCs w:val="28"/>
        </w:rPr>
      </w:pPr>
    </w:p>
    <w:p w:rsidR="00A43A0A" w:rsidRDefault="00A43A0A" w:rsidP="005A3DF4">
      <w:pPr>
        <w:widowControl w:val="0"/>
        <w:spacing w:after="0" w:line="240" w:lineRule="auto"/>
        <w:ind w:firstLine="709"/>
        <w:contextualSpacing/>
        <w:rPr>
          <w:rFonts w:ascii="Times New Roman" w:hAnsi="Times New Roman"/>
          <w:b/>
          <w:sz w:val="28"/>
          <w:szCs w:val="28"/>
        </w:rPr>
      </w:pPr>
    </w:p>
    <w:p w:rsidR="00A43A0A" w:rsidRDefault="00A43A0A" w:rsidP="005A3DF4">
      <w:pPr>
        <w:widowControl w:val="0"/>
        <w:spacing w:after="0" w:line="240" w:lineRule="auto"/>
        <w:ind w:firstLine="709"/>
        <w:contextualSpacing/>
        <w:rPr>
          <w:rFonts w:ascii="Times New Roman" w:hAnsi="Times New Roman"/>
          <w:sz w:val="28"/>
          <w:szCs w:val="28"/>
        </w:rPr>
      </w:pPr>
    </w:p>
    <w:p w:rsidR="00A43A0A" w:rsidRPr="00A43A0A" w:rsidRDefault="00A43A0A" w:rsidP="005A3DF4">
      <w:pPr>
        <w:widowControl w:val="0"/>
        <w:spacing w:after="0" w:line="240" w:lineRule="auto"/>
        <w:ind w:firstLine="709"/>
        <w:contextualSpacing/>
        <w:rPr>
          <w:rFonts w:ascii="Times New Roman" w:hAnsi="Times New Roman"/>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0051E5" w:rsidRPr="00414636" w:rsidRDefault="000051E5" w:rsidP="005A3DF4">
      <w:pPr>
        <w:pStyle w:val="a7"/>
        <w:widowControl w:val="0"/>
        <w:shd w:val="clear" w:color="auto" w:fill="FFFFFF"/>
        <w:spacing w:after="0" w:line="240" w:lineRule="auto"/>
        <w:ind w:left="709"/>
        <w:jc w:val="center"/>
        <w:rPr>
          <w:rFonts w:ascii="Times New Roman" w:eastAsia="Times New Roman" w:hAnsi="Times New Roman" w:cs="Times New Roman"/>
          <w:b/>
          <w:kern w:val="36"/>
          <w:sz w:val="28"/>
          <w:szCs w:val="28"/>
          <w:lang w:eastAsia="ru-RU"/>
        </w:rPr>
      </w:pPr>
      <w:r w:rsidRPr="00414636">
        <w:rPr>
          <w:rFonts w:ascii="Times New Roman" w:eastAsia="Times New Roman" w:hAnsi="Times New Roman" w:cs="Times New Roman"/>
          <w:b/>
          <w:kern w:val="36"/>
          <w:sz w:val="28"/>
          <w:szCs w:val="28"/>
          <w:lang w:eastAsia="ru-RU"/>
        </w:rPr>
        <w:lastRenderedPageBreak/>
        <w:t xml:space="preserve">СОДЕРЖАНИЕ </w:t>
      </w:r>
    </w:p>
    <w:p w:rsidR="000051E5" w:rsidRPr="00414636" w:rsidRDefault="000051E5" w:rsidP="005A3DF4">
      <w:pPr>
        <w:pStyle w:val="a7"/>
        <w:widowControl w:val="0"/>
        <w:shd w:val="clear" w:color="auto" w:fill="FFFFFF"/>
        <w:spacing w:after="0" w:line="240" w:lineRule="auto"/>
        <w:ind w:left="709"/>
        <w:rPr>
          <w:rFonts w:ascii="Times New Roman" w:eastAsia="Times New Roman" w:hAnsi="Times New Roman" w:cs="Times New Roman"/>
          <w:b/>
          <w:kern w:val="36"/>
          <w:sz w:val="28"/>
          <w:szCs w:val="28"/>
          <w:lang w:eastAsia="ru-RU"/>
        </w:rPr>
      </w:pPr>
    </w:p>
    <w:p w:rsidR="000051E5" w:rsidRPr="00B56FC7" w:rsidRDefault="000051E5" w:rsidP="005A3DF4">
      <w:pPr>
        <w:widowControl w:val="0"/>
        <w:shd w:val="clear" w:color="auto" w:fill="FFFFFF"/>
        <w:spacing w:after="0" w:line="240" w:lineRule="auto"/>
        <w:rPr>
          <w:rFonts w:ascii="Times New Roman" w:eastAsia="Times New Roman" w:hAnsi="Times New Roman"/>
          <w:kern w:val="36"/>
          <w:sz w:val="28"/>
          <w:szCs w:val="28"/>
          <w:lang w:eastAsia="ru-RU"/>
        </w:rPr>
      </w:pPr>
      <w:r w:rsidRPr="00414636">
        <w:rPr>
          <w:rFonts w:ascii="Times New Roman" w:eastAsia="Times New Roman" w:hAnsi="Times New Roman"/>
          <w:b/>
          <w:kern w:val="36"/>
          <w:sz w:val="28"/>
          <w:szCs w:val="28"/>
          <w:lang w:eastAsia="ru-RU"/>
        </w:rPr>
        <w:t>СРАВНИТЕЛЬНОЕ ПРАВОВЕДЕНИЕ</w:t>
      </w:r>
      <w:r w:rsidR="0079505D" w:rsidRPr="00B56FC7">
        <w:rPr>
          <w:rFonts w:ascii="Times New Roman" w:eastAsia="Times New Roman" w:hAnsi="Times New Roman"/>
          <w:kern w:val="36"/>
          <w:sz w:val="28"/>
          <w:szCs w:val="28"/>
          <w:lang w:eastAsia="ru-RU"/>
        </w:rPr>
        <w:t>.......................................................</w:t>
      </w:r>
      <w:r w:rsidRPr="00B56FC7">
        <w:rPr>
          <w:rFonts w:ascii="Times New Roman" w:eastAsia="Times New Roman" w:hAnsi="Times New Roman"/>
          <w:kern w:val="36"/>
          <w:sz w:val="28"/>
          <w:szCs w:val="28"/>
          <w:lang w:eastAsia="ru-RU"/>
        </w:rPr>
        <w:t xml:space="preserve"> </w:t>
      </w:r>
      <w:r w:rsidR="00B56FC7" w:rsidRPr="00B56FC7">
        <w:rPr>
          <w:rFonts w:ascii="Times New Roman" w:eastAsia="Times New Roman" w:hAnsi="Times New Roman"/>
          <w:kern w:val="36"/>
          <w:sz w:val="28"/>
          <w:szCs w:val="28"/>
          <w:lang w:eastAsia="ru-RU"/>
        </w:rPr>
        <w:t>....8</w:t>
      </w:r>
    </w:p>
    <w:p w:rsidR="000051E5" w:rsidRPr="00414636" w:rsidRDefault="000051E5"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sidRPr="00414636">
        <w:rPr>
          <w:rFonts w:ascii="Times New Roman" w:eastAsia="Times New Roman" w:hAnsi="Times New Roman"/>
          <w:kern w:val="36"/>
          <w:sz w:val="28"/>
          <w:szCs w:val="28"/>
          <w:lang w:eastAsia="ru-RU"/>
        </w:rPr>
        <w:t>Андрюшок Д.П. Условия усыновления детей-граждан Российской Федерации гражданами стран Северо-Восточной Азии..........................................</w:t>
      </w:r>
      <w:r w:rsidR="00B56FC7">
        <w:rPr>
          <w:rFonts w:ascii="Times New Roman" w:eastAsia="Times New Roman" w:hAnsi="Times New Roman"/>
          <w:kern w:val="36"/>
          <w:sz w:val="28"/>
          <w:szCs w:val="28"/>
          <w:lang w:eastAsia="ru-RU"/>
        </w:rPr>
        <w:t>..........8</w:t>
      </w:r>
    </w:p>
    <w:p w:rsidR="000051E5" w:rsidRPr="00414636" w:rsidRDefault="0079505D" w:rsidP="005A3DF4">
      <w:pPr>
        <w:widowControl w:val="0"/>
        <w:shd w:val="clear" w:color="auto" w:fill="FFFFFF"/>
        <w:spacing w:after="0" w:line="240" w:lineRule="auto"/>
        <w:jc w:val="both"/>
        <w:rPr>
          <w:rFonts w:ascii="Times New Roman" w:hAnsi="Times New Roman"/>
          <w:sz w:val="28"/>
          <w:szCs w:val="28"/>
        </w:rPr>
      </w:pPr>
      <w:r w:rsidRPr="00414636">
        <w:rPr>
          <w:rFonts w:ascii="Times New Roman" w:hAnsi="Times New Roman"/>
          <w:sz w:val="28"/>
          <w:szCs w:val="28"/>
        </w:rPr>
        <w:t xml:space="preserve">Былкова В.Е. </w:t>
      </w:r>
      <w:r w:rsidR="000051E5" w:rsidRPr="00414636">
        <w:rPr>
          <w:rFonts w:ascii="Times New Roman" w:hAnsi="Times New Roman"/>
          <w:sz w:val="28"/>
          <w:szCs w:val="28"/>
        </w:rPr>
        <w:t>Сравнительный анализ законодательства РФ и Гонконга по привлечению к субсидиарной ответственности в банкротстве: правовой аспект</w:t>
      </w:r>
      <w:r w:rsidRPr="00414636">
        <w:rPr>
          <w:rFonts w:ascii="Times New Roman" w:hAnsi="Times New Roman"/>
          <w:sz w:val="28"/>
          <w:szCs w:val="28"/>
        </w:rPr>
        <w:t>...................................................................................................</w:t>
      </w:r>
      <w:r w:rsidR="00B56FC7">
        <w:rPr>
          <w:rFonts w:ascii="Times New Roman" w:hAnsi="Times New Roman"/>
          <w:sz w:val="28"/>
          <w:szCs w:val="28"/>
        </w:rPr>
        <w:t>............13</w:t>
      </w:r>
    </w:p>
    <w:p w:rsidR="000051E5" w:rsidRPr="00414636" w:rsidRDefault="005E66F8" w:rsidP="005A3DF4">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414636">
        <w:rPr>
          <w:rFonts w:ascii="Times New Roman" w:hAnsi="Times New Roman"/>
          <w:sz w:val="28"/>
          <w:szCs w:val="28"/>
        </w:rPr>
        <w:t xml:space="preserve">Дегтярева А.А. </w:t>
      </w:r>
      <w:r w:rsidR="000051E5" w:rsidRPr="00414636">
        <w:rPr>
          <w:rFonts w:ascii="Times New Roman" w:hAnsi="Times New Roman"/>
          <w:sz w:val="28"/>
          <w:szCs w:val="28"/>
        </w:rPr>
        <w:t>Права и обязанности родителей и детей: сравнительный анализ законодательства Российской Федерации и Японии</w:t>
      </w:r>
      <w:r w:rsidRPr="00414636">
        <w:rPr>
          <w:rFonts w:ascii="Times New Roman" w:hAnsi="Times New Roman"/>
          <w:sz w:val="28"/>
          <w:szCs w:val="28"/>
        </w:rPr>
        <w:t>................</w:t>
      </w:r>
      <w:r w:rsidR="00B56FC7">
        <w:rPr>
          <w:rFonts w:ascii="Times New Roman" w:hAnsi="Times New Roman"/>
          <w:sz w:val="28"/>
          <w:szCs w:val="28"/>
        </w:rPr>
        <w:t>.........19</w:t>
      </w:r>
    </w:p>
    <w:p w:rsidR="000051E5" w:rsidRPr="00414636" w:rsidRDefault="005E66F8"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 xml:space="preserve">Корниенко Т.С. </w:t>
      </w:r>
      <w:r w:rsidR="000051E5" w:rsidRPr="00414636">
        <w:rPr>
          <w:rFonts w:ascii="Times New Roman" w:hAnsi="Times New Roman"/>
          <w:sz w:val="28"/>
          <w:szCs w:val="28"/>
        </w:rPr>
        <w:t>Эволюция международного трудового права РФ (СССР)</w:t>
      </w:r>
      <w:r w:rsidRPr="00414636">
        <w:rPr>
          <w:rFonts w:ascii="Times New Roman" w:hAnsi="Times New Roman"/>
          <w:sz w:val="28"/>
          <w:szCs w:val="28"/>
        </w:rPr>
        <w:t>..</w:t>
      </w:r>
      <w:r w:rsidR="00B56FC7">
        <w:rPr>
          <w:rFonts w:ascii="Times New Roman" w:hAnsi="Times New Roman"/>
          <w:sz w:val="28"/>
          <w:szCs w:val="28"/>
        </w:rPr>
        <w:t>26</w:t>
      </w:r>
    </w:p>
    <w:p w:rsidR="000051E5" w:rsidRPr="00414636" w:rsidRDefault="001B147F"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 xml:space="preserve">Куманькова Д.А. </w:t>
      </w:r>
      <w:r w:rsidR="000051E5" w:rsidRPr="00414636">
        <w:rPr>
          <w:rFonts w:ascii="Times New Roman" w:hAnsi="Times New Roman"/>
          <w:sz w:val="28"/>
          <w:szCs w:val="28"/>
        </w:rPr>
        <w:t>Эволюция международного наследственного права РФ (СССР)</w:t>
      </w:r>
      <w:r w:rsidRPr="00414636">
        <w:rPr>
          <w:rFonts w:ascii="Times New Roman" w:hAnsi="Times New Roman"/>
          <w:sz w:val="28"/>
          <w:szCs w:val="28"/>
        </w:rPr>
        <w:t>........................................................................................................</w:t>
      </w:r>
      <w:r w:rsidR="00B56FC7">
        <w:rPr>
          <w:rFonts w:ascii="Times New Roman" w:hAnsi="Times New Roman"/>
          <w:sz w:val="28"/>
          <w:szCs w:val="28"/>
        </w:rPr>
        <w:t>.....30</w:t>
      </w:r>
    </w:p>
    <w:p w:rsidR="000051E5" w:rsidRPr="00414636" w:rsidRDefault="001B147F"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sidRPr="00414636">
        <w:rPr>
          <w:rFonts w:ascii="Times New Roman" w:eastAsia="SimSun" w:hAnsi="Times New Roman"/>
          <w:color w:val="000000"/>
          <w:sz w:val="28"/>
          <w:szCs w:val="28"/>
          <w:lang w:eastAsia="zh-CN"/>
        </w:rPr>
        <w:t xml:space="preserve">Калугина А.Ю. </w:t>
      </w:r>
      <w:r w:rsidR="000051E5" w:rsidRPr="00414636">
        <w:rPr>
          <w:rFonts w:ascii="Times New Roman" w:eastAsia="SimSun" w:hAnsi="Times New Roman"/>
          <w:color w:val="000000"/>
          <w:sz w:val="28"/>
          <w:szCs w:val="28"/>
          <w:lang w:eastAsia="zh-CN"/>
        </w:rPr>
        <w:t>Ответственность операторов информационных систем в Российской Федерации и государствах Северо-Восточной Азии: сравнительно-правовой аспект</w:t>
      </w:r>
      <w:r w:rsidRPr="00414636">
        <w:rPr>
          <w:rFonts w:ascii="Times New Roman" w:eastAsia="SimSun" w:hAnsi="Times New Roman"/>
          <w:color w:val="000000"/>
          <w:sz w:val="28"/>
          <w:szCs w:val="28"/>
          <w:lang w:eastAsia="zh-CN"/>
        </w:rPr>
        <w:t>...................................................................</w:t>
      </w:r>
      <w:r w:rsidR="00B56FC7">
        <w:rPr>
          <w:rFonts w:ascii="Times New Roman" w:eastAsia="SimSun" w:hAnsi="Times New Roman"/>
          <w:color w:val="000000"/>
          <w:sz w:val="28"/>
          <w:szCs w:val="28"/>
          <w:lang w:eastAsia="zh-CN"/>
        </w:rPr>
        <w:t>....34</w:t>
      </w:r>
    </w:p>
    <w:p w:rsidR="000051E5" w:rsidRPr="00414636" w:rsidRDefault="001B147F" w:rsidP="005A3DF4">
      <w:pPr>
        <w:widowControl w:val="0"/>
        <w:shd w:val="clear" w:color="auto" w:fill="FFFFFF"/>
        <w:spacing w:after="0" w:line="240" w:lineRule="auto"/>
        <w:jc w:val="both"/>
        <w:rPr>
          <w:rFonts w:ascii="Times New Roman" w:hAnsi="Times New Roman"/>
          <w:sz w:val="28"/>
          <w:szCs w:val="28"/>
        </w:rPr>
      </w:pPr>
      <w:r w:rsidRPr="00414636">
        <w:rPr>
          <w:rFonts w:ascii="Times New Roman" w:hAnsi="Times New Roman"/>
          <w:sz w:val="28"/>
          <w:szCs w:val="28"/>
        </w:rPr>
        <w:t xml:space="preserve">Лишута А.О. </w:t>
      </w:r>
      <w:r w:rsidR="000051E5" w:rsidRPr="00414636">
        <w:rPr>
          <w:rFonts w:ascii="Times New Roman" w:hAnsi="Times New Roman"/>
          <w:sz w:val="28"/>
          <w:szCs w:val="28"/>
        </w:rPr>
        <w:t>Законодательство о концессионных соглашениях и соглашениях о государственно-частном партнерстве в России и зарубежных стр</w:t>
      </w:r>
      <w:r w:rsidRPr="00414636">
        <w:rPr>
          <w:rFonts w:ascii="Times New Roman" w:hAnsi="Times New Roman"/>
          <w:sz w:val="28"/>
          <w:szCs w:val="28"/>
        </w:rPr>
        <w:t>анах....</w:t>
      </w:r>
      <w:r w:rsidR="00B56FC7">
        <w:rPr>
          <w:rFonts w:ascii="Times New Roman" w:hAnsi="Times New Roman"/>
          <w:sz w:val="28"/>
          <w:szCs w:val="28"/>
        </w:rPr>
        <w:t>46</w:t>
      </w:r>
    </w:p>
    <w:p w:rsidR="000051E5" w:rsidRPr="00414636" w:rsidRDefault="001B147F" w:rsidP="005A3DF4">
      <w:pPr>
        <w:widowControl w:val="0"/>
        <w:spacing w:after="0" w:line="240" w:lineRule="auto"/>
        <w:jc w:val="both"/>
        <w:rPr>
          <w:rFonts w:ascii="Times New Roman" w:hAnsi="Times New Roman"/>
          <w:sz w:val="28"/>
          <w:szCs w:val="28"/>
          <w:lang w:eastAsia="ru-RU"/>
        </w:rPr>
      </w:pPr>
      <w:r w:rsidRPr="00414636">
        <w:rPr>
          <w:rFonts w:ascii="Times New Roman" w:hAnsi="Times New Roman"/>
          <w:sz w:val="28"/>
          <w:szCs w:val="28"/>
        </w:rPr>
        <w:t xml:space="preserve">Лазарев В.А. </w:t>
      </w:r>
      <w:r w:rsidR="000051E5" w:rsidRPr="00414636">
        <w:rPr>
          <w:rFonts w:ascii="Times New Roman" w:hAnsi="Times New Roman"/>
          <w:sz w:val="28"/>
          <w:szCs w:val="28"/>
        </w:rPr>
        <w:t>Реторсии и репрессалии</w:t>
      </w:r>
      <w:r w:rsidRPr="00414636">
        <w:rPr>
          <w:rFonts w:ascii="Times New Roman" w:hAnsi="Times New Roman"/>
          <w:sz w:val="28"/>
          <w:szCs w:val="28"/>
        </w:rPr>
        <w:t xml:space="preserve"> в международном частном праве...</w:t>
      </w:r>
      <w:r w:rsidR="00B56FC7">
        <w:rPr>
          <w:rFonts w:ascii="Times New Roman" w:hAnsi="Times New Roman"/>
          <w:sz w:val="28"/>
          <w:szCs w:val="28"/>
        </w:rPr>
        <w:t>.54</w:t>
      </w:r>
    </w:p>
    <w:p w:rsidR="000051E5" w:rsidRPr="00414636" w:rsidRDefault="001B147F" w:rsidP="005A3DF4">
      <w:pPr>
        <w:widowControl w:val="0"/>
        <w:spacing w:after="0" w:line="240" w:lineRule="auto"/>
        <w:jc w:val="both"/>
        <w:rPr>
          <w:rFonts w:ascii="Times New Roman" w:hAnsi="Times New Roman"/>
          <w:sz w:val="28"/>
          <w:szCs w:val="28"/>
        </w:rPr>
      </w:pPr>
      <w:r w:rsidRPr="00414636">
        <w:rPr>
          <w:rFonts w:ascii="Times New Roman" w:hAnsi="Times New Roman"/>
          <w:color w:val="000000"/>
          <w:sz w:val="28"/>
          <w:szCs w:val="28"/>
        </w:rPr>
        <w:t xml:space="preserve">Никитенок Д.Ю. </w:t>
      </w:r>
      <w:r w:rsidR="000051E5" w:rsidRPr="00414636">
        <w:rPr>
          <w:rFonts w:ascii="Times New Roman" w:hAnsi="Times New Roman"/>
          <w:color w:val="000000"/>
          <w:sz w:val="28"/>
          <w:szCs w:val="28"/>
        </w:rPr>
        <w:t>Юридическая сущность и значение самовольной постройки как правовой категории: анализ российского и зарубежного законодательства</w:t>
      </w:r>
      <w:r w:rsidRPr="00414636">
        <w:rPr>
          <w:rFonts w:ascii="Times New Roman" w:hAnsi="Times New Roman"/>
          <w:sz w:val="28"/>
          <w:szCs w:val="28"/>
        </w:rPr>
        <w:t>........</w:t>
      </w:r>
      <w:r w:rsidR="00BE7B00" w:rsidRPr="00414636">
        <w:rPr>
          <w:rFonts w:ascii="Times New Roman" w:hAnsi="Times New Roman"/>
          <w:sz w:val="28"/>
          <w:szCs w:val="28"/>
        </w:rPr>
        <w:t>.................................................................................</w:t>
      </w:r>
      <w:r w:rsidR="00B56FC7">
        <w:rPr>
          <w:rFonts w:ascii="Times New Roman" w:hAnsi="Times New Roman"/>
          <w:sz w:val="28"/>
          <w:szCs w:val="28"/>
        </w:rPr>
        <w:t>....62</w:t>
      </w:r>
    </w:p>
    <w:p w:rsidR="000051E5" w:rsidRDefault="00BE7B00"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 xml:space="preserve">Оленева Е.С. </w:t>
      </w:r>
      <w:r w:rsidR="000051E5" w:rsidRPr="00414636">
        <w:rPr>
          <w:rFonts w:ascii="Times New Roman" w:hAnsi="Times New Roman"/>
          <w:sz w:val="28"/>
          <w:szCs w:val="28"/>
        </w:rPr>
        <w:t>Коллизии коллизий международного семейного права стран Северо-Восточной Азии</w:t>
      </w:r>
      <w:r w:rsidRPr="00414636">
        <w:rPr>
          <w:rFonts w:ascii="Times New Roman" w:hAnsi="Times New Roman"/>
          <w:sz w:val="28"/>
          <w:szCs w:val="28"/>
        </w:rPr>
        <w:t>..............................................................................</w:t>
      </w:r>
      <w:r w:rsidR="00B56FC7">
        <w:rPr>
          <w:rFonts w:ascii="Times New Roman" w:hAnsi="Times New Roman"/>
          <w:sz w:val="28"/>
          <w:szCs w:val="28"/>
        </w:rPr>
        <w:t>...70</w:t>
      </w:r>
    </w:p>
    <w:p w:rsidR="00945E5D" w:rsidRDefault="00945E5D" w:rsidP="005A3DF4">
      <w:pPr>
        <w:widowControl w:val="0"/>
        <w:spacing w:after="0" w:line="240" w:lineRule="auto"/>
        <w:jc w:val="both"/>
        <w:rPr>
          <w:rFonts w:ascii="Times New Roman" w:hAnsi="Times New Roman"/>
          <w:sz w:val="28"/>
          <w:szCs w:val="28"/>
        </w:rPr>
      </w:pPr>
      <w:r>
        <w:rPr>
          <w:rFonts w:ascii="Times New Roman" w:hAnsi="Times New Roman"/>
          <w:sz w:val="28"/>
          <w:szCs w:val="28"/>
        </w:rPr>
        <w:t>Овчинникова А.Л. Прекращение брака: сравнительный анализ законодательства Российской Федерации и Японии....................................</w:t>
      </w:r>
      <w:r w:rsidR="0093581F">
        <w:rPr>
          <w:rFonts w:ascii="Times New Roman" w:hAnsi="Times New Roman"/>
          <w:sz w:val="28"/>
          <w:szCs w:val="28"/>
        </w:rPr>
        <w:t>.77</w:t>
      </w:r>
    </w:p>
    <w:p w:rsidR="00945E5D" w:rsidRPr="00414636" w:rsidRDefault="00945E5D" w:rsidP="005A3DF4">
      <w:pPr>
        <w:widowControl w:val="0"/>
        <w:spacing w:after="0" w:line="240" w:lineRule="auto"/>
        <w:jc w:val="both"/>
        <w:rPr>
          <w:rFonts w:ascii="Times New Roman" w:hAnsi="Times New Roman"/>
          <w:sz w:val="28"/>
          <w:szCs w:val="28"/>
        </w:rPr>
      </w:pPr>
      <w:r>
        <w:rPr>
          <w:rFonts w:ascii="Times New Roman" w:hAnsi="Times New Roman"/>
          <w:sz w:val="28"/>
          <w:szCs w:val="28"/>
        </w:rPr>
        <w:t>Петрова А.И. Формы устройства детей, осатвшихся без попечения родителей: сравнительный анализ законодательства РФ и Японии..............................</w:t>
      </w:r>
      <w:r w:rsidR="0093581F">
        <w:rPr>
          <w:rFonts w:ascii="Times New Roman" w:hAnsi="Times New Roman"/>
          <w:sz w:val="28"/>
          <w:szCs w:val="28"/>
        </w:rPr>
        <w:t>..83</w:t>
      </w:r>
    </w:p>
    <w:p w:rsidR="000051E5" w:rsidRDefault="00986D1A"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 xml:space="preserve">Попов А.В. </w:t>
      </w:r>
      <w:r w:rsidR="000051E5" w:rsidRPr="00414636">
        <w:rPr>
          <w:rFonts w:ascii="Times New Roman" w:hAnsi="Times New Roman"/>
          <w:sz w:val="28"/>
          <w:szCs w:val="28"/>
        </w:rPr>
        <w:t>Соотношение российских наследственных фондов со смежными зарубежными правовыми категориями</w:t>
      </w:r>
      <w:r w:rsidRPr="00414636">
        <w:rPr>
          <w:rFonts w:ascii="Times New Roman" w:hAnsi="Times New Roman"/>
          <w:sz w:val="28"/>
          <w:szCs w:val="28"/>
        </w:rPr>
        <w:t>....................................................</w:t>
      </w:r>
      <w:r w:rsidR="00B56FC7">
        <w:rPr>
          <w:rFonts w:ascii="Times New Roman" w:hAnsi="Times New Roman"/>
          <w:sz w:val="28"/>
          <w:szCs w:val="28"/>
        </w:rPr>
        <w:t>.....</w:t>
      </w:r>
      <w:r w:rsidR="0093581F">
        <w:rPr>
          <w:rFonts w:ascii="Times New Roman" w:hAnsi="Times New Roman"/>
          <w:sz w:val="28"/>
          <w:szCs w:val="28"/>
        </w:rPr>
        <w:t>89</w:t>
      </w:r>
    </w:p>
    <w:p w:rsidR="00945E5D" w:rsidRPr="00414636" w:rsidRDefault="00945E5D" w:rsidP="005A3DF4">
      <w:pPr>
        <w:widowControl w:val="0"/>
        <w:spacing w:after="0" w:line="240" w:lineRule="auto"/>
        <w:jc w:val="both"/>
        <w:rPr>
          <w:rFonts w:ascii="Times New Roman" w:eastAsia="Times New Roman" w:hAnsi="Times New Roman"/>
          <w:kern w:val="36"/>
          <w:sz w:val="28"/>
          <w:szCs w:val="28"/>
          <w:lang w:eastAsia="ru-RU"/>
        </w:rPr>
      </w:pPr>
      <w:r>
        <w:rPr>
          <w:rFonts w:ascii="Times New Roman" w:eastAsia="Times New Roman" w:hAnsi="Times New Roman"/>
          <w:kern w:val="36"/>
          <w:sz w:val="28"/>
          <w:szCs w:val="28"/>
          <w:lang w:eastAsia="ru-RU"/>
        </w:rPr>
        <w:t>Рымар Д.С. Ограничение в родительских правах и лишение родительских прав: сравнительный анализ законодательства Российской Федерации и Японии.............................................................................................................</w:t>
      </w:r>
      <w:r w:rsidR="0093581F">
        <w:rPr>
          <w:rFonts w:ascii="Times New Roman" w:eastAsia="Times New Roman" w:hAnsi="Times New Roman"/>
          <w:kern w:val="36"/>
          <w:sz w:val="28"/>
          <w:szCs w:val="28"/>
          <w:lang w:eastAsia="ru-RU"/>
        </w:rPr>
        <w:t>99</w:t>
      </w:r>
      <w:r>
        <w:rPr>
          <w:rFonts w:ascii="Times New Roman" w:eastAsia="Times New Roman" w:hAnsi="Times New Roman"/>
          <w:kern w:val="36"/>
          <w:sz w:val="28"/>
          <w:szCs w:val="28"/>
          <w:lang w:eastAsia="ru-RU"/>
        </w:rPr>
        <w:t xml:space="preserve"> </w:t>
      </w:r>
    </w:p>
    <w:p w:rsidR="000051E5" w:rsidRPr="00414636" w:rsidRDefault="00986D1A"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sidRPr="00414636">
        <w:rPr>
          <w:rFonts w:ascii="Times New Roman" w:eastAsia="Times New Roman" w:hAnsi="Times New Roman"/>
          <w:kern w:val="36"/>
          <w:sz w:val="28"/>
          <w:szCs w:val="28"/>
          <w:lang w:eastAsia="ru-RU"/>
        </w:rPr>
        <w:t xml:space="preserve">Селицкий М.В. </w:t>
      </w:r>
      <w:r w:rsidR="000051E5" w:rsidRPr="00414636">
        <w:rPr>
          <w:rFonts w:ascii="Times New Roman" w:eastAsia="Times New Roman" w:hAnsi="Times New Roman"/>
          <w:kern w:val="36"/>
          <w:sz w:val="28"/>
          <w:szCs w:val="28"/>
          <w:lang w:eastAsia="ru-RU"/>
        </w:rPr>
        <w:t>Применение договора возмездного оказания услуг в правоотношениях со спортсменами и тренерами в Российской Федерации и Республике Беларусь</w:t>
      </w:r>
      <w:r w:rsidRPr="00414636">
        <w:rPr>
          <w:rFonts w:ascii="Times New Roman" w:eastAsia="Times New Roman" w:hAnsi="Times New Roman"/>
          <w:kern w:val="36"/>
          <w:sz w:val="28"/>
          <w:szCs w:val="28"/>
          <w:lang w:eastAsia="ru-RU"/>
        </w:rPr>
        <w:t>................................................................................</w:t>
      </w:r>
      <w:r w:rsidR="00B56FC7">
        <w:rPr>
          <w:rFonts w:ascii="Times New Roman" w:eastAsia="Times New Roman" w:hAnsi="Times New Roman"/>
          <w:kern w:val="36"/>
          <w:sz w:val="28"/>
          <w:szCs w:val="28"/>
          <w:lang w:eastAsia="ru-RU"/>
        </w:rPr>
        <w:t>......</w:t>
      </w:r>
      <w:r w:rsidR="0093581F">
        <w:rPr>
          <w:rFonts w:ascii="Times New Roman" w:eastAsia="Times New Roman" w:hAnsi="Times New Roman"/>
          <w:kern w:val="36"/>
          <w:sz w:val="28"/>
          <w:szCs w:val="28"/>
          <w:lang w:eastAsia="ru-RU"/>
        </w:rPr>
        <w:t>106</w:t>
      </w:r>
    </w:p>
    <w:p w:rsidR="000051E5" w:rsidRDefault="00986D1A" w:rsidP="005A3DF4">
      <w:pPr>
        <w:widowControl w:val="0"/>
        <w:shd w:val="clear" w:color="auto" w:fill="FFFFFF"/>
        <w:autoSpaceDE w:val="0"/>
        <w:autoSpaceDN w:val="0"/>
        <w:adjustRightInd w:val="0"/>
        <w:spacing w:after="0" w:line="240" w:lineRule="auto"/>
        <w:jc w:val="both"/>
        <w:rPr>
          <w:rFonts w:ascii="Times New Roman" w:hAnsi="Times New Roman"/>
          <w:sz w:val="28"/>
          <w:szCs w:val="28"/>
        </w:rPr>
      </w:pPr>
      <w:r w:rsidRPr="00414636">
        <w:rPr>
          <w:rFonts w:ascii="Times New Roman" w:hAnsi="Times New Roman"/>
          <w:sz w:val="28"/>
          <w:szCs w:val="28"/>
        </w:rPr>
        <w:t xml:space="preserve">Ткаченко И.В. </w:t>
      </w:r>
      <w:r w:rsidR="000051E5" w:rsidRPr="00414636">
        <w:rPr>
          <w:rFonts w:ascii="Times New Roman" w:hAnsi="Times New Roman"/>
          <w:sz w:val="28"/>
          <w:szCs w:val="28"/>
        </w:rPr>
        <w:t>Правовое регулирование деятельности операторов облачных систем в Российской Федерации и государствах Северо-Восточной Азии: сравнительно-правовой аспект</w:t>
      </w:r>
      <w:r w:rsidRPr="00414636">
        <w:rPr>
          <w:rFonts w:ascii="Times New Roman" w:hAnsi="Times New Roman"/>
          <w:sz w:val="28"/>
          <w:szCs w:val="28"/>
        </w:rPr>
        <w:t>...............................................................</w:t>
      </w:r>
      <w:r w:rsidR="00B56FC7">
        <w:rPr>
          <w:rFonts w:ascii="Times New Roman" w:hAnsi="Times New Roman"/>
          <w:sz w:val="28"/>
          <w:szCs w:val="28"/>
        </w:rPr>
        <w:t>.......</w:t>
      </w:r>
      <w:r w:rsidR="0093581F">
        <w:rPr>
          <w:rFonts w:ascii="Times New Roman" w:hAnsi="Times New Roman"/>
          <w:sz w:val="28"/>
          <w:szCs w:val="28"/>
        </w:rPr>
        <w:t>112</w:t>
      </w:r>
    </w:p>
    <w:p w:rsidR="001B44CC" w:rsidRPr="00414636" w:rsidRDefault="001B44CC" w:rsidP="005A3DF4">
      <w:pPr>
        <w:widowControl w:val="0"/>
        <w:shd w:val="clear" w:color="auto" w:fill="FFFFFF"/>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Черноколпакова И.Д. Правовой режим имущества супругов: сравнительный анализ законодательства Российской Федерации и Японии........................</w:t>
      </w:r>
      <w:r w:rsidR="0093581F">
        <w:rPr>
          <w:rFonts w:ascii="Times New Roman" w:hAnsi="Times New Roman"/>
          <w:sz w:val="28"/>
          <w:szCs w:val="28"/>
        </w:rPr>
        <w:t>122</w:t>
      </w:r>
    </w:p>
    <w:p w:rsidR="000051E5" w:rsidRPr="00414636" w:rsidRDefault="00986D1A"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 xml:space="preserve">Шипунов А.С. </w:t>
      </w:r>
      <w:r w:rsidR="000051E5" w:rsidRPr="00414636">
        <w:rPr>
          <w:rFonts w:ascii="Times New Roman" w:hAnsi="Times New Roman"/>
          <w:sz w:val="28"/>
          <w:szCs w:val="28"/>
        </w:rPr>
        <w:t>Защита персональных данных операторами информационных систем в Российской Федерации и государствах Северо-Восточной Азии: сравнительно-правовой аспект</w:t>
      </w:r>
      <w:r w:rsidRPr="00414636">
        <w:rPr>
          <w:rFonts w:ascii="Times New Roman" w:hAnsi="Times New Roman"/>
          <w:sz w:val="28"/>
          <w:szCs w:val="28"/>
        </w:rPr>
        <w:t>..............................................................</w:t>
      </w:r>
      <w:r w:rsidR="00B56FC7">
        <w:rPr>
          <w:rFonts w:ascii="Times New Roman" w:hAnsi="Times New Roman"/>
          <w:sz w:val="28"/>
          <w:szCs w:val="28"/>
        </w:rPr>
        <w:t>......1</w:t>
      </w:r>
      <w:r w:rsidR="0093581F">
        <w:rPr>
          <w:rFonts w:ascii="Times New Roman" w:hAnsi="Times New Roman"/>
          <w:sz w:val="28"/>
          <w:szCs w:val="28"/>
        </w:rPr>
        <w:t>29</w:t>
      </w:r>
    </w:p>
    <w:p w:rsidR="000051E5" w:rsidRPr="00B256AA" w:rsidRDefault="000051E5" w:rsidP="005A3DF4">
      <w:pPr>
        <w:widowControl w:val="0"/>
        <w:shd w:val="clear" w:color="auto" w:fill="FFFFFF"/>
        <w:spacing w:after="0" w:line="240" w:lineRule="auto"/>
        <w:jc w:val="both"/>
        <w:rPr>
          <w:rFonts w:ascii="Times New Roman" w:hAnsi="Times New Roman"/>
          <w:kern w:val="36"/>
          <w:sz w:val="28"/>
          <w:szCs w:val="28"/>
        </w:rPr>
      </w:pPr>
      <w:r w:rsidRPr="00414636">
        <w:rPr>
          <w:rFonts w:ascii="Times New Roman" w:hAnsi="Times New Roman"/>
          <w:b/>
          <w:kern w:val="36"/>
          <w:sz w:val="28"/>
          <w:szCs w:val="28"/>
        </w:rPr>
        <w:lastRenderedPageBreak/>
        <w:t>АКТУАЛЬНЫЕ ПРОБЛЕМЫ ЧАСТНОГО ПРАВА</w:t>
      </w:r>
      <w:r w:rsidR="00B256AA" w:rsidRPr="00B256AA">
        <w:rPr>
          <w:rFonts w:ascii="Times New Roman" w:hAnsi="Times New Roman"/>
          <w:kern w:val="36"/>
          <w:sz w:val="28"/>
          <w:szCs w:val="28"/>
        </w:rPr>
        <w:t>.............................</w:t>
      </w:r>
      <w:r w:rsidR="00E36685">
        <w:rPr>
          <w:rFonts w:ascii="Times New Roman" w:hAnsi="Times New Roman"/>
          <w:kern w:val="36"/>
          <w:sz w:val="28"/>
          <w:szCs w:val="28"/>
        </w:rPr>
        <w:t>138</w:t>
      </w:r>
    </w:p>
    <w:p w:rsidR="000051E5" w:rsidRPr="00414636" w:rsidRDefault="007249F4" w:rsidP="005A3DF4">
      <w:pPr>
        <w:widowControl w:val="0"/>
        <w:shd w:val="clear" w:color="auto" w:fill="FFFFFF"/>
        <w:spacing w:after="0" w:line="240" w:lineRule="auto"/>
        <w:jc w:val="both"/>
        <w:rPr>
          <w:rFonts w:ascii="Times New Roman" w:hAnsi="Times New Roman"/>
          <w:sz w:val="28"/>
          <w:szCs w:val="28"/>
        </w:rPr>
      </w:pPr>
      <w:r w:rsidRPr="00414636">
        <w:rPr>
          <w:rFonts w:ascii="Times New Roman" w:eastAsia="Times New Roman" w:hAnsi="Times New Roman"/>
          <w:bCs/>
          <w:kern w:val="32"/>
          <w:sz w:val="28"/>
          <w:szCs w:val="28"/>
          <w:lang w:eastAsia="ru-RU"/>
        </w:rPr>
        <w:t xml:space="preserve">Абрамов В.Ю. </w:t>
      </w:r>
      <w:r w:rsidR="000051E5" w:rsidRPr="00414636">
        <w:rPr>
          <w:rFonts w:ascii="Times New Roman" w:eastAsia="Times New Roman" w:hAnsi="Times New Roman"/>
          <w:bCs/>
          <w:kern w:val="32"/>
          <w:sz w:val="28"/>
          <w:szCs w:val="28"/>
          <w:lang w:eastAsia="ru-RU"/>
        </w:rPr>
        <w:t>П</w:t>
      </w:r>
      <w:r w:rsidRPr="00414636">
        <w:rPr>
          <w:rFonts w:ascii="Times New Roman" w:eastAsia="Times New Roman" w:hAnsi="Times New Roman"/>
          <w:bCs/>
          <w:kern w:val="32"/>
          <w:sz w:val="28"/>
          <w:szCs w:val="28"/>
          <w:lang w:eastAsia="ru-RU"/>
        </w:rPr>
        <w:t>равовое</w:t>
      </w:r>
      <w:r w:rsidR="000051E5" w:rsidRPr="00414636">
        <w:rPr>
          <w:rFonts w:ascii="Times New Roman" w:eastAsia="Times New Roman" w:hAnsi="Times New Roman"/>
          <w:bCs/>
          <w:kern w:val="32"/>
          <w:sz w:val="28"/>
          <w:szCs w:val="28"/>
          <w:lang w:eastAsia="ru-RU"/>
        </w:rPr>
        <w:t xml:space="preserve"> </w:t>
      </w:r>
      <w:r w:rsidRPr="00414636">
        <w:rPr>
          <w:rFonts w:ascii="Times New Roman" w:eastAsia="Times New Roman" w:hAnsi="Times New Roman"/>
          <w:bCs/>
          <w:kern w:val="32"/>
          <w:sz w:val="28"/>
          <w:szCs w:val="28"/>
          <w:lang w:eastAsia="ru-RU"/>
        </w:rPr>
        <w:t>регулирование перевода жилого помещения в нежилое....................................................................................................</w:t>
      </w:r>
      <w:r w:rsidR="00AB1BB2">
        <w:rPr>
          <w:rFonts w:ascii="Times New Roman" w:eastAsia="Times New Roman" w:hAnsi="Times New Roman"/>
          <w:bCs/>
          <w:kern w:val="32"/>
          <w:sz w:val="28"/>
          <w:szCs w:val="28"/>
          <w:lang w:eastAsia="ru-RU"/>
        </w:rPr>
        <w:t>......</w:t>
      </w:r>
      <w:r w:rsidR="00E36685">
        <w:rPr>
          <w:rFonts w:ascii="Times New Roman" w:eastAsia="Times New Roman" w:hAnsi="Times New Roman"/>
          <w:bCs/>
          <w:kern w:val="32"/>
          <w:sz w:val="28"/>
          <w:szCs w:val="28"/>
          <w:lang w:eastAsia="ru-RU"/>
        </w:rPr>
        <w:t>138</w:t>
      </w:r>
    </w:p>
    <w:p w:rsidR="000051E5" w:rsidRPr="00414636" w:rsidRDefault="007249F4" w:rsidP="005A3DF4">
      <w:pPr>
        <w:widowControl w:val="0"/>
        <w:shd w:val="clear" w:color="auto" w:fill="FFFFFF"/>
        <w:spacing w:after="0" w:line="240" w:lineRule="auto"/>
        <w:jc w:val="both"/>
        <w:rPr>
          <w:rFonts w:ascii="Times New Roman" w:hAnsi="Times New Roman"/>
          <w:sz w:val="28"/>
          <w:szCs w:val="28"/>
        </w:rPr>
      </w:pPr>
      <w:r w:rsidRPr="00414636">
        <w:rPr>
          <w:rFonts w:ascii="Times New Roman" w:hAnsi="Times New Roman"/>
          <w:sz w:val="28"/>
          <w:szCs w:val="28"/>
        </w:rPr>
        <w:t xml:space="preserve">Дибаева С.Е. </w:t>
      </w:r>
      <w:r w:rsidR="000051E5" w:rsidRPr="00414636">
        <w:rPr>
          <w:rFonts w:ascii="Times New Roman" w:hAnsi="Times New Roman"/>
          <w:sz w:val="28"/>
          <w:szCs w:val="28"/>
        </w:rPr>
        <w:t>Последствия злоупотребления правом: правовая природа и особенности применения.</w:t>
      </w:r>
      <w:r w:rsidRPr="00414636">
        <w:rPr>
          <w:rFonts w:ascii="Times New Roman" w:hAnsi="Times New Roman"/>
          <w:sz w:val="28"/>
          <w:szCs w:val="28"/>
        </w:rPr>
        <w:t>.......................................................................</w:t>
      </w:r>
      <w:r w:rsidR="00AB1BB2">
        <w:rPr>
          <w:rFonts w:ascii="Times New Roman" w:hAnsi="Times New Roman"/>
          <w:sz w:val="28"/>
          <w:szCs w:val="28"/>
        </w:rPr>
        <w:t>.......</w:t>
      </w:r>
      <w:r w:rsidR="00E36685">
        <w:rPr>
          <w:rFonts w:ascii="Times New Roman" w:hAnsi="Times New Roman"/>
          <w:sz w:val="28"/>
          <w:szCs w:val="28"/>
        </w:rPr>
        <w:t>142</w:t>
      </w:r>
    </w:p>
    <w:p w:rsidR="000051E5" w:rsidRPr="00414636" w:rsidRDefault="007249F4"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sidRPr="00414636">
        <w:rPr>
          <w:rFonts w:ascii="Times New Roman" w:hAnsi="Times New Roman"/>
          <w:sz w:val="28"/>
          <w:szCs w:val="28"/>
        </w:rPr>
        <w:t xml:space="preserve">Ибрагимов М.Л. </w:t>
      </w:r>
      <w:r w:rsidR="000051E5" w:rsidRPr="00414636">
        <w:rPr>
          <w:rFonts w:ascii="Times New Roman" w:hAnsi="Times New Roman"/>
          <w:sz w:val="28"/>
          <w:szCs w:val="28"/>
        </w:rPr>
        <w:t>Актуальные проблемы возникновения юридического лица</w:t>
      </w:r>
      <w:r w:rsidRPr="00414636">
        <w:rPr>
          <w:rFonts w:ascii="Times New Roman" w:hAnsi="Times New Roman"/>
          <w:sz w:val="28"/>
          <w:szCs w:val="28"/>
        </w:rPr>
        <w:t>................................................................................................................</w:t>
      </w:r>
      <w:r w:rsidR="00E36685">
        <w:rPr>
          <w:rFonts w:ascii="Times New Roman" w:hAnsi="Times New Roman"/>
          <w:sz w:val="28"/>
          <w:szCs w:val="28"/>
        </w:rPr>
        <w:t>147</w:t>
      </w:r>
    </w:p>
    <w:p w:rsidR="000051E5" w:rsidRPr="00414636" w:rsidRDefault="00C302E8" w:rsidP="005A3DF4">
      <w:pPr>
        <w:widowControl w:val="0"/>
        <w:spacing w:after="0" w:line="240" w:lineRule="auto"/>
        <w:jc w:val="both"/>
        <w:rPr>
          <w:rFonts w:ascii="Times New Roman" w:eastAsia="Times New Roman" w:hAnsi="Times New Roman"/>
          <w:kern w:val="36"/>
          <w:sz w:val="28"/>
          <w:szCs w:val="28"/>
          <w:lang w:eastAsia="ru-RU"/>
        </w:rPr>
      </w:pPr>
      <w:r w:rsidRPr="00414636">
        <w:rPr>
          <w:rFonts w:ascii="Times New Roman" w:hAnsi="Times New Roman"/>
          <w:sz w:val="28"/>
          <w:szCs w:val="28"/>
          <w:shd w:val="clear" w:color="auto" w:fill="FFFFFF"/>
        </w:rPr>
        <w:t xml:space="preserve">Исаева В.В. </w:t>
      </w:r>
      <w:r w:rsidR="000051E5" w:rsidRPr="00414636">
        <w:rPr>
          <w:rFonts w:ascii="Times New Roman" w:hAnsi="Times New Roman"/>
          <w:sz w:val="28"/>
          <w:szCs w:val="28"/>
          <w:shd w:val="clear" w:color="auto" w:fill="FFFFFF"/>
        </w:rPr>
        <w:t>Анализ судебной практики по спорам, связанным с неисполнением лизингодателем обязанностей по договорам финансовой аренды (лизинга)</w:t>
      </w:r>
      <w:r w:rsidRPr="00414636">
        <w:rPr>
          <w:rFonts w:ascii="Times New Roman" w:hAnsi="Times New Roman"/>
          <w:sz w:val="28"/>
          <w:szCs w:val="28"/>
          <w:shd w:val="clear" w:color="auto" w:fill="FFFFFF"/>
        </w:rPr>
        <w:t>.....................................................................................</w:t>
      </w:r>
      <w:r w:rsidR="00AB1BB2">
        <w:rPr>
          <w:rFonts w:ascii="Times New Roman" w:hAnsi="Times New Roman"/>
          <w:sz w:val="28"/>
          <w:szCs w:val="28"/>
          <w:shd w:val="clear" w:color="auto" w:fill="FFFFFF"/>
        </w:rPr>
        <w:t>......</w:t>
      </w:r>
      <w:r w:rsidR="00E36685">
        <w:rPr>
          <w:rFonts w:ascii="Times New Roman" w:hAnsi="Times New Roman"/>
          <w:sz w:val="28"/>
          <w:szCs w:val="28"/>
          <w:shd w:val="clear" w:color="auto" w:fill="FFFFFF"/>
        </w:rPr>
        <w:t>156</w:t>
      </w:r>
    </w:p>
    <w:p w:rsidR="000051E5" w:rsidRPr="00414636" w:rsidRDefault="0055349D" w:rsidP="005A3DF4">
      <w:pPr>
        <w:widowControl w:val="0"/>
        <w:spacing w:after="0" w:line="240" w:lineRule="auto"/>
        <w:jc w:val="both"/>
        <w:rPr>
          <w:rFonts w:ascii="Times New Roman" w:eastAsia="Times New Roman" w:hAnsi="Times New Roman"/>
          <w:sz w:val="28"/>
          <w:szCs w:val="28"/>
        </w:rPr>
      </w:pPr>
      <w:r w:rsidRPr="00414636">
        <w:rPr>
          <w:rFonts w:ascii="Times New Roman" w:hAnsi="Times New Roman"/>
          <w:sz w:val="28"/>
          <w:szCs w:val="28"/>
        </w:rPr>
        <w:t xml:space="preserve">Капитулина А.В. </w:t>
      </w:r>
      <w:r w:rsidR="000051E5" w:rsidRPr="00414636">
        <w:rPr>
          <w:rFonts w:ascii="Times New Roman" w:hAnsi="Times New Roman"/>
          <w:sz w:val="28"/>
          <w:szCs w:val="28"/>
        </w:rPr>
        <w:t>Права и обязанности родителей в отношении детей: лишение родительских прав</w:t>
      </w:r>
      <w:r w:rsidRPr="00414636">
        <w:rPr>
          <w:rFonts w:ascii="Times New Roman" w:hAnsi="Times New Roman"/>
          <w:sz w:val="28"/>
          <w:szCs w:val="28"/>
        </w:rPr>
        <w:t>....................................................................</w:t>
      </w:r>
      <w:r w:rsidR="00AB1BB2">
        <w:rPr>
          <w:rFonts w:ascii="Times New Roman" w:hAnsi="Times New Roman"/>
          <w:sz w:val="28"/>
          <w:szCs w:val="28"/>
        </w:rPr>
        <w:t>.....</w:t>
      </w:r>
      <w:r w:rsidR="00E36685">
        <w:rPr>
          <w:rFonts w:ascii="Times New Roman" w:hAnsi="Times New Roman"/>
          <w:sz w:val="28"/>
          <w:szCs w:val="28"/>
        </w:rPr>
        <w:t>163</w:t>
      </w:r>
    </w:p>
    <w:p w:rsidR="000051E5" w:rsidRPr="00414636" w:rsidRDefault="0055349D"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 xml:space="preserve">Куприянова В.А. </w:t>
      </w:r>
      <w:r w:rsidR="000051E5" w:rsidRPr="00414636">
        <w:rPr>
          <w:rFonts w:ascii="Times New Roman" w:hAnsi="Times New Roman"/>
          <w:sz w:val="28"/>
          <w:szCs w:val="28"/>
        </w:rPr>
        <w:t>Анализ судебной практики по спорам, связанным с неисполнением дольщиками обязанностей по договорам участия долевого строительства</w:t>
      </w:r>
      <w:r w:rsidRPr="00414636">
        <w:rPr>
          <w:rFonts w:ascii="Times New Roman" w:hAnsi="Times New Roman"/>
          <w:sz w:val="28"/>
          <w:szCs w:val="28"/>
        </w:rPr>
        <w:t>.............................................................................................</w:t>
      </w:r>
      <w:r w:rsidR="00AB1BB2">
        <w:rPr>
          <w:rFonts w:ascii="Times New Roman" w:hAnsi="Times New Roman"/>
          <w:sz w:val="28"/>
          <w:szCs w:val="28"/>
        </w:rPr>
        <w:t>...</w:t>
      </w:r>
      <w:r w:rsidR="00E36685">
        <w:rPr>
          <w:rFonts w:ascii="Times New Roman" w:hAnsi="Times New Roman"/>
          <w:sz w:val="28"/>
          <w:szCs w:val="28"/>
        </w:rPr>
        <w:t>176</w:t>
      </w:r>
    </w:p>
    <w:p w:rsidR="000051E5" w:rsidRPr="00414636" w:rsidRDefault="0055349D" w:rsidP="005A3DF4">
      <w:pPr>
        <w:widowControl w:val="0"/>
        <w:shd w:val="clear" w:color="auto" w:fill="FFFFFF"/>
        <w:spacing w:after="0" w:line="240" w:lineRule="auto"/>
        <w:jc w:val="both"/>
        <w:rPr>
          <w:rFonts w:ascii="Times New Roman" w:hAnsi="Times New Roman"/>
          <w:sz w:val="28"/>
          <w:szCs w:val="28"/>
        </w:rPr>
      </w:pPr>
      <w:r w:rsidRPr="00414636">
        <w:rPr>
          <w:rFonts w:ascii="Times New Roman" w:hAnsi="Times New Roman"/>
          <w:kern w:val="36"/>
          <w:sz w:val="28"/>
          <w:szCs w:val="28"/>
        </w:rPr>
        <w:t xml:space="preserve">Лимачко П.С. </w:t>
      </w:r>
      <w:r w:rsidR="000051E5" w:rsidRPr="00414636">
        <w:rPr>
          <w:rFonts w:ascii="Times New Roman" w:hAnsi="Times New Roman"/>
          <w:kern w:val="36"/>
          <w:sz w:val="28"/>
          <w:szCs w:val="28"/>
        </w:rPr>
        <w:t>Правовое регулирование оказания услуг потенциально опасных для жизни и здоровья граждан</w:t>
      </w:r>
      <w:r w:rsidRPr="00414636">
        <w:rPr>
          <w:rFonts w:ascii="Times New Roman" w:hAnsi="Times New Roman"/>
          <w:kern w:val="36"/>
          <w:sz w:val="28"/>
          <w:szCs w:val="28"/>
        </w:rPr>
        <w:t>.............................................................</w:t>
      </w:r>
      <w:r w:rsidR="00AB1BB2">
        <w:rPr>
          <w:rFonts w:ascii="Times New Roman" w:hAnsi="Times New Roman"/>
          <w:kern w:val="36"/>
          <w:sz w:val="28"/>
          <w:szCs w:val="28"/>
        </w:rPr>
        <w:t>.......</w:t>
      </w:r>
      <w:r w:rsidR="00E36685">
        <w:rPr>
          <w:rFonts w:ascii="Times New Roman" w:hAnsi="Times New Roman"/>
          <w:kern w:val="36"/>
          <w:sz w:val="28"/>
          <w:szCs w:val="28"/>
        </w:rPr>
        <w:t>184</w:t>
      </w:r>
    </w:p>
    <w:p w:rsidR="000051E5" w:rsidRPr="00414636" w:rsidRDefault="0055349D" w:rsidP="005A3DF4">
      <w:pPr>
        <w:widowControl w:val="0"/>
        <w:spacing w:after="0" w:line="240" w:lineRule="auto"/>
        <w:jc w:val="both"/>
        <w:rPr>
          <w:rFonts w:ascii="Times New Roman" w:eastAsia="Times New Roman" w:hAnsi="Times New Roman"/>
          <w:sz w:val="28"/>
          <w:szCs w:val="28"/>
        </w:rPr>
      </w:pPr>
      <w:r w:rsidRPr="00414636">
        <w:rPr>
          <w:rFonts w:ascii="Times New Roman" w:hAnsi="Times New Roman"/>
          <w:sz w:val="28"/>
          <w:szCs w:val="28"/>
        </w:rPr>
        <w:t xml:space="preserve">Ольховская Е.А. </w:t>
      </w:r>
      <w:r w:rsidR="000051E5" w:rsidRPr="00414636">
        <w:rPr>
          <w:rFonts w:ascii="Times New Roman" w:hAnsi="Times New Roman"/>
          <w:sz w:val="28"/>
          <w:szCs w:val="28"/>
        </w:rPr>
        <w:t>Определение арбитрабильности корпоративных споров в свете арбитражной реформы в России: некоторые проблемные вопросы и пути их решения</w:t>
      </w:r>
      <w:r w:rsidRPr="00414636">
        <w:rPr>
          <w:rFonts w:ascii="Times New Roman" w:hAnsi="Times New Roman"/>
          <w:sz w:val="28"/>
          <w:szCs w:val="28"/>
        </w:rPr>
        <w:t>........................................................................................</w:t>
      </w:r>
      <w:r w:rsidR="00AB1BB2">
        <w:rPr>
          <w:rFonts w:ascii="Times New Roman" w:hAnsi="Times New Roman"/>
          <w:sz w:val="28"/>
          <w:szCs w:val="28"/>
        </w:rPr>
        <w:t>....</w:t>
      </w:r>
      <w:r w:rsidR="00E36685">
        <w:rPr>
          <w:rFonts w:ascii="Times New Roman" w:hAnsi="Times New Roman"/>
          <w:sz w:val="28"/>
          <w:szCs w:val="28"/>
        </w:rPr>
        <w:t>190</w:t>
      </w:r>
    </w:p>
    <w:p w:rsidR="000051E5" w:rsidRPr="00414636" w:rsidRDefault="00D21C96" w:rsidP="005A3DF4">
      <w:pPr>
        <w:widowControl w:val="0"/>
        <w:shd w:val="clear" w:color="auto" w:fill="FFFFFF"/>
        <w:spacing w:after="0" w:line="240" w:lineRule="auto"/>
        <w:jc w:val="both"/>
        <w:rPr>
          <w:rFonts w:ascii="Times New Roman" w:hAnsi="Times New Roman"/>
          <w:sz w:val="28"/>
          <w:szCs w:val="28"/>
        </w:rPr>
      </w:pPr>
      <w:r w:rsidRPr="00414636">
        <w:rPr>
          <w:rFonts w:ascii="Times New Roman" w:hAnsi="Times New Roman"/>
          <w:sz w:val="28"/>
          <w:szCs w:val="28"/>
        </w:rPr>
        <w:t xml:space="preserve">Осадчий Р.Э. </w:t>
      </w:r>
      <w:r w:rsidR="000051E5" w:rsidRPr="00414636">
        <w:rPr>
          <w:rFonts w:ascii="Times New Roman" w:hAnsi="Times New Roman"/>
          <w:sz w:val="28"/>
          <w:szCs w:val="28"/>
        </w:rPr>
        <w:t>Возведение самовольной постройки как основание возникновения права на земельный участок</w:t>
      </w:r>
      <w:r w:rsidRPr="00414636">
        <w:rPr>
          <w:rFonts w:ascii="Times New Roman" w:hAnsi="Times New Roman"/>
          <w:sz w:val="28"/>
          <w:szCs w:val="28"/>
        </w:rPr>
        <w:t>.........................................</w:t>
      </w:r>
      <w:r w:rsidR="00AB1BB2">
        <w:rPr>
          <w:rFonts w:ascii="Times New Roman" w:hAnsi="Times New Roman"/>
          <w:sz w:val="28"/>
          <w:szCs w:val="28"/>
        </w:rPr>
        <w:t>.......</w:t>
      </w:r>
      <w:r w:rsidR="00E36685">
        <w:rPr>
          <w:rFonts w:ascii="Times New Roman" w:hAnsi="Times New Roman"/>
          <w:sz w:val="28"/>
          <w:szCs w:val="28"/>
        </w:rPr>
        <w:t>198</w:t>
      </w:r>
    </w:p>
    <w:p w:rsidR="000051E5" w:rsidRPr="00414636" w:rsidRDefault="00414636" w:rsidP="005A3DF4">
      <w:pPr>
        <w:widowControl w:val="0"/>
        <w:shd w:val="clear" w:color="auto" w:fill="FFFFFF"/>
        <w:spacing w:after="0" w:line="240" w:lineRule="auto"/>
        <w:jc w:val="both"/>
        <w:rPr>
          <w:rFonts w:ascii="Times New Roman" w:eastAsia="Times New Roman" w:hAnsi="Times New Roman"/>
          <w:kern w:val="36"/>
          <w:sz w:val="28"/>
          <w:szCs w:val="28"/>
        </w:rPr>
      </w:pPr>
      <w:r w:rsidRPr="00414636">
        <w:rPr>
          <w:rFonts w:ascii="Times New Roman" w:eastAsia="Times New Roman" w:hAnsi="Times New Roman"/>
          <w:kern w:val="36"/>
          <w:sz w:val="28"/>
          <w:szCs w:val="28"/>
        </w:rPr>
        <w:t xml:space="preserve">Панков Д.В. </w:t>
      </w:r>
      <w:r w:rsidR="000051E5" w:rsidRPr="00414636">
        <w:rPr>
          <w:rFonts w:ascii="Times New Roman" w:eastAsia="Times New Roman" w:hAnsi="Times New Roman"/>
          <w:kern w:val="36"/>
          <w:sz w:val="28"/>
          <w:szCs w:val="28"/>
        </w:rPr>
        <w:t>Правовое регулирование деятельности управляющих компаний</w:t>
      </w:r>
      <w:r w:rsidRPr="00414636">
        <w:rPr>
          <w:rFonts w:ascii="Times New Roman" w:eastAsia="Times New Roman" w:hAnsi="Times New Roman"/>
          <w:kern w:val="36"/>
          <w:sz w:val="28"/>
          <w:szCs w:val="28"/>
        </w:rPr>
        <w:t>...............................................................................................</w:t>
      </w:r>
      <w:r w:rsidR="0081283A">
        <w:rPr>
          <w:rFonts w:ascii="Times New Roman" w:eastAsia="Times New Roman" w:hAnsi="Times New Roman"/>
          <w:kern w:val="36"/>
          <w:sz w:val="28"/>
          <w:szCs w:val="28"/>
        </w:rPr>
        <w:t>........</w:t>
      </w:r>
      <w:r w:rsidRPr="00414636">
        <w:rPr>
          <w:rFonts w:ascii="Times New Roman" w:eastAsia="Times New Roman" w:hAnsi="Times New Roman"/>
          <w:kern w:val="36"/>
          <w:sz w:val="28"/>
          <w:szCs w:val="28"/>
        </w:rPr>
        <w:t>.</w:t>
      </w:r>
      <w:r w:rsidR="00E36685">
        <w:rPr>
          <w:rFonts w:ascii="Times New Roman" w:eastAsia="Times New Roman" w:hAnsi="Times New Roman"/>
          <w:kern w:val="36"/>
          <w:sz w:val="28"/>
          <w:szCs w:val="28"/>
        </w:rPr>
        <w:t>201</w:t>
      </w:r>
    </w:p>
    <w:p w:rsidR="000051E5" w:rsidRPr="00414636" w:rsidRDefault="00414636"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 xml:space="preserve">Праскова А.А. </w:t>
      </w:r>
      <w:r w:rsidR="000051E5" w:rsidRPr="00414636">
        <w:rPr>
          <w:rFonts w:ascii="Times New Roman" w:hAnsi="Times New Roman"/>
          <w:sz w:val="28"/>
          <w:szCs w:val="28"/>
        </w:rPr>
        <w:t>Виды сделок с жилыми помещениями и нововведения в совершении сделок с жильем с участием несовершеннолетних.</w:t>
      </w:r>
      <w:r w:rsidRPr="00414636">
        <w:rPr>
          <w:rFonts w:ascii="Times New Roman" w:hAnsi="Times New Roman"/>
          <w:sz w:val="28"/>
          <w:szCs w:val="28"/>
        </w:rPr>
        <w:t>................</w:t>
      </w:r>
      <w:r w:rsidR="00E36685">
        <w:rPr>
          <w:rFonts w:ascii="Times New Roman" w:hAnsi="Times New Roman"/>
          <w:sz w:val="28"/>
          <w:szCs w:val="28"/>
        </w:rPr>
        <w:t>214</w:t>
      </w:r>
    </w:p>
    <w:p w:rsidR="000051E5" w:rsidRPr="00414636" w:rsidRDefault="00414636" w:rsidP="005A3DF4">
      <w:pPr>
        <w:widowControl w:val="0"/>
        <w:spacing w:after="0" w:line="240" w:lineRule="auto"/>
        <w:jc w:val="both"/>
        <w:rPr>
          <w:rFonts w:ascii="Times New Roman" w:eastAsia="Times New Roman" w:hAnsi="Times New Roman"/>
          <w:kern w:val="36"/>
          <w:sz w:val="28"/>
          <w:szCs w:val="28"/>
          <w:lang w:eastAsia="ru-RU"/>
        </w:rPr>
      </w:pPr>
      <w:r w:rsidRPr="00414636">
        <w:rPr>
          <w:rFonts w:ascii="Times New Roman" w:eastAsia="Times New Roman" w:hAnsi="Times New Roman"/>
          <w:kern w:val="36"/>
          <w:sz w:val="28"/>
          <w:szCs w:val="28"/>
          <w:lang w:eastAsia="ru-RU"/>
        </w:rPr>
        <w:t xml:space="preserve">Романова Д.С. </w:t>
      </w:r>
      <w:r w:rsidR="000051E5" w:rsidRPr="00414636">
        <w:rPr>
          <w:rFonts w:ascii="Times New Roman" w:eastAsia="Times New Roman" w:hAnsi="Times New Roman"/>
          <w:kern w:val="36"/>
          <w:sz w:val="28"/>
          <w:szCs w:val="28"/>
          <w:lang w:eastAsia="ru-RU"/>
        </w:rPr>
        <w:t>К вопросу об имущественных права детей-сирот и детей, оставшихся без попечения родителей</w:t>
      </w:r>
      <w:r w:rsidRPr="00414636">
        <w:rPr>
          <w:rFonts w:ascii="Times New Roman" w:eastAsia="Times New Roman" w:hAnsi="Times New Roman"/>
          <w:kern w:val="36"/>
          <w:sz w:val="28"/>
          <w:szCs w:val="28"/>
          <w:lang w:eastAsia="ru-RU"/>
        </w:rPr>
        <w:t>.......................................................</w:t>
      </w:r>
      <w:r w:rsidR="0081283A">
        <w:rPr>
          <w:rFonts w:ascii="Times New Roman" w:eastAsia="Times New Roman" w:hAnsi="Times New Roman"/>
          <w:kern w:val="36"/>
          <w:sz w:val="28"/>
          <w:szCs w:val="28"/>
          <w:lang w:eastAsia="ru-RU"/>
        </w:rPr>
        <w:t>...</w:t>
      </w:r>
      <w:r w:rsidR="00E36685">
        <w:rPr>
          <w:rFonts w:ascii="Times New Roman" w:eastAsia="Times New Roman" w:hAnsi="Times New Roman"/>
          <w:kern w:val="36"/>
          <w:sz w:val="28"/>
          <w:szCs w:val="28"/>
          <w:lang w:eastAsia="ru-RU"/>
        </w:rPr>
        <w:t>221</w:t>
      </w:r>
    </w:p>
    <w:p w:rsidR="000051E5" w:rsidRPr="00414636" w:rsidRDefault="000051E5" w:rsidP="005A3DF4">
      <w:pPr>
        <w:widowControl w:val="0"/>
        <w:spacing w:after="0" w:line="240" w:lineRule="auto"/>
        <w:jc w:val="both"/>
        <w:rPr>
          <w:rFonts w:ascii="Times New Roman" w:hAnsi="Times New Roman"/>
          <w:sz w:val="28"/>
          <w:szCs w:val="28"/>
        </w:rPr>
      </w:pPr>
      <w:r w:rsidRPr="00414636">
        <w:rPr>
          <w:rFonts w:ascii="Times New Roman" w:hAnsi="Times New Roman"/>
          <w:sz w:val="28"/>
          <w:szCs w:val="28"/>
        </w:rPr>
        <w:t>Сенокосова С</w:t>
      </w:r>
      <w:r w:rsidR="00414636">
        <w:rPr>
          <w:rFonts w:ascii="Times New Roman" w:hAnsi="Times New Roman"/>
          <w:sz w:val="28"/>
          <w:szCs w:val="28"/>
        </w:rPr>
        <w:t>.</w:t>
      </w:r>
      <w:r w:rsidRPr="00414636">
        <w:rPr>
          <w:rFonts w:ascii="Times New Roman" w:hAnsi="Times New Roman"/>
          <w:sz w:val="28"/>
          <w:szCs w:val="28"/>
        </w:rPr>
        <w:t>С</w:t>
      </w:r>
      <w:r w:rsidR="00414636">
        <w:rPr>
          <w:rFonts w:ascii="Times New Roman" w:hAnsi="Times New Roman"/>
          <w:sz w:val="28"/>
          <w:szCs w:val="28"/>
        </w:rPr>
        <w:t xml:space="preserve">. </w:t>
      </w:r>
      <w:r w:rsidRPr="00414636">
        <w:rPr>
          <w:rFonts w:ascii="Times New Roman" w:hAnsi="Times New Roman"/>
          <w:sz w:val="28"/>
          <w:szCs w:val="28"/>
        </w:rPr>
        <w:t>Реализация принципа единство судьбы земельного участка и объектов недвижимости прочно связанных с ним</w:t>
      </w:r>
      <w:r w:rsidR="00414636">
        <w:rPr>
          <w:rFonts w:ascii="Times New Roman" w:hAnsi="Times New Roman"/>
          <w:sz w:val="28"/>
          <w:szCs w:val="28"/>
        </w:rPr>
        <w:t>...................................</w:t>
      </w:r>
      <w:r w:rsidR="002A0995">
        <w:rPr>
          <w:rFonts w:ascii="Times New Roman" w:hAnsi="Times New Roman"/>
          <w:sz w:val="28"/>
          <w:szCs w:val="28"/>
        </w:rPr>
        <w:t>....</w:t>
      </w:r>
      <w:r w:rsidR="00E36685">
        <w:rPr>
          <w:rFonts w:ascii="Times New Roman" w:hAnsi="Times New Roman"/>
          <w:sz w:val="28"/>
          <w:szCs w:val="28"/>
        </w:rPr>
        <w:t>228</w:t>
      </w:r>
    </w:p>
    <w:p w:rsidR="000051E5" w:rsidRPr="00414636" w:rsidRDefault="00414636"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Толкачева А.В. </w:t>
      </w:r>
      <w:r w:rsidR="000051E5" w:rsidRPr="00414636">
        <w:rPr>
          <w:rFonts w:ascii="Times New Roman" w:hAnsi="Times New Roman"/>
          <w:sz w:val="28"/>
          <w:szCs w:val="28"/>
        </w:rPr>
        <w:t>Анализ правоприменительной практики по спорам из договоров международной купли – продажи производственных товаров</w:t>
      </w:r>
      <w:r w:rsidR="002A0995">
        <w:rPr>
          <w:rFonts w:ascii="Times New Roman" w:hAnsi="Times New Roman"/>
          <w:sz w:val="28"/>
          <w:szCs w:val="28"/>
        </w:rPr>
        <w:t>....2</w:t>
      </w:r>
      <w:r w:rsidR="00E36685">
        <w:rPr>
          <w:rFonts w:ascii="Times New Roman" w:hAnsi="Times New Roman"/>
          <w:sz w:val="28"/>
          <w:szCs w:val="28"/>
        </w:rPr>
        <w:t>34</w:t>
      </w:r>
    </w:p>
    <w:p w:rsidR="000051E5" w:rsidRPr="00414636" w:rsidRDefault="00414636" w:rsidP="005A3DF4">
      <w:pPr>
        <w:widowControl w:val="0"/>
        <w:shd w:val="clear" w:color="auto" w:fill="FFFFFF"/>
        <w:spacing w:after="0" w:line="240" w:lineRule="auto"/>
        <w:jc w:val="both"/>
        <w:rPr>
          <w:rFonts w:ascii="Times New Roman" w:eastAsia="Times New Roman" w:hAnsi="Times New Roman"/>
          <w:color w:val="000000"/>
          <w:kern w:val="36"/>
          <w:sz w:val="28"/>
          <w:szCs w:val="28"/>
          <w:lang w:eastAsia="ru-RU"/>
        </w:rPr>
      </w:pPr>
      <w:r>
        <w:rPr>
          <w:rFonts w:ascii="Times New Roman" w:hAnsi="Times New Roman"/>
          <w:sz w:val="28"/>
          <w:szCs w:val="28"/>
        </w:rPr>
        <w:t xml:space="preserve">Тычино П.С. </w:t>
      </w:r>
      <w:r w:rsidR="000051E5" w:rsidRPr="00414636">
        <w:rPr>
          <w:rFonts w:ascii="Times New Roman" w:hAnsi="Times New Roman"/>
          <w:sz w:val="28"/>
          <w:szCs w:val="28"/>
        </w:rPr>
        <w:t>Проблемы правового регулирования исполнения алиментных обязательств</w:t>
      </w:r>
      <w:r>
        <w:rPr>
          <w:rFonts w:ascii="Times New Roman" w:hAnsi="Times New Roman"/>
          <w:sz w:val="28"/>
          <w:szCs w:val="28"/>
        </w:rPr>
        <w:t>.........................................................................................</w:t>
      </w:r>
      <w:r w:rsidR="002A0995">
        <w:rPr>
          <w:rFonts w:ascii="Times New Roman" w:hAnsi="Times New Roman"/>
          <w:sz w:val="28"/>
          <w:szCs w:val="28"/>
        </w:rPr>
        <w:t>.........</w:t>
      </w:r>
      <w:r>
        <w:rPr>
          <w:rFonts w:ascii="Times New Roman" w:hAnsi="Times New Roman"/>
          <w:sz w:val="28"/>
          <w:szCs w:val="28"/>
        </w:rPr>
        <w:t>.</w:t>
      </w:r>
      <w:r w:rsidR="002A0995">
        <w:rPr>
          <w:rFonts w:ascii="Times New Roman" w:hAnsi="Times New Roman"/>
          <w:sz w:val="28"/>
          <w:szCs w:val="28"/>
        </w:rPr>
        <w:t>2</w:t>
      </w:r>
      <w:r w:rsidR="00E36685">
        <w:rPr>
          <w:rFonts w:ascii="Times New Roman" w:hAnsi="Times New Roman"/>
          <w:sz w:val="28"/>
          <w:szCs w:val="28"/>
        </w:rPr>
        <w:t>43</w:t>
      </w:r>
    </w:p>
    <w:p w:rsidR="000051E5" w:rsidRPr="00414636" w:rsidRDefault="00414636"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Pr>
          <w:rFonts w:ascii="Times New Roman" w:eastAsia="Times New Roman" w:hAnsi="Times New Roman"/>
          <w:kern w:val="36"/>
          <w:sz w:val="28"/>
          <w:szCs w:val="28"/>
          <w:lang w:eastAsia="ru-RU"/>
        </w:rPr>
        <w:t xml:space="preserve">Тюпа М.А. </w:t>
      </w:r>
      <w:r w:rsidR="000051E5" w:rsidRPr="00414636">
        <w:rPr>
          <w:rFonts w:ascii="Times New Roman" w:eastAsia="Times New Roman" w:hAnsi="Times New Roman"/>
          <w:kern w:val="36"/>
          <w:sz w:val="28"/>
          <w:szCs w:val="28"/>
          <w:lang w:eastAsia="ru-RU"/>
        </w:rPr>
        <w:t>Злоупотребление правом участниками земельных и имущественных правоотношений</w:t>
      </w:r>
      <w:r>
        <w:rPr>
          <w:rFonts w:ascii="Times New Roman" w:eastAsia="Times New Roman" w:hAnsi="Times New Roman"/>
          <w:kern w:val="36"/>
          <w:sz w:val="28"/>
          <w:szCs w:val="28"/>
          <w:lang w:eastAsia="ru-RU"/>
        </w:rPr>
        <w:t>.................................................................</w:t>
      </w:r>
      <w:r w:rsidR="002A0995">
        <w:rPr>
          <w:rFonts w:ascii="Times New Roman" w:eastAsia="Times New Roman" w:hAnsi="Times New Roman"/>
          <w:kern w:val="36"/>
          <w:sz w:val="28"/>
          <w:szCs w:val="28"/>
          <w:lang w:eastAsia="ru-RU"/>
        </w:rPr>
        <w:t>2</w:t>
      </w:r>
      <w:r w:rsidR="00E36685">
        <w:rPr>
          <w:rFonts w:ascii="Times New Roman" w:eastAsia="Times New Roman" w:hAnsi="Times New Roman"/>
          <w:kern w:val="36"/>
          <w:sz w:val="28"/>
          <w:szCs w:val="28"/>
          <w:lang w:eastAsia="ru-RU"/>
        </w:rPr>
        <w:t>50</w:t>
      </w:r>
    </w:p>
    <w:p w:rsidR="000051E5" w:rsidRPr="00414636" w:rsidRDefault="00414636"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Pr>
          <w:rFonts w:ascii="Times New Roman" w:hAnsi="Times New Roman"/>
          <w:sz w:val="28"/>
          <w:szCs w:val="28"/>
        </w:rPr>
        <w:t xml:space="preserve">Чумаш Д.С. </w:t>
      </w:r>
      <w:r w:rsidR="000051E5" w:rsidRPr="00414636">
        <w:rPr>
          <w:rFonts w:ascii="Times New Roman" w:hAnsi="Times New Roman"/>
          <w:sz w:val="28"/>
          <w:szCs w:val="28"/>
        </w:rPr>
        <w:t>Анализ судебной практики по спорам, связанным с неисполнением правообладателя обязанностей по договорам коммерческой концессии</w:t>
      </w:r>
      <w:r>
        <w:rPr>
          <w:rFonts w:ascii="Times New Roman" w:hAnsi="Times New Roman"/>
          <w:sz w:val="28"/>
          <w:szCs w:val="28"/>
        </w:rPr>
        <w:t>...................................................................................................</w:t>
      </w:r>
      <w:r w:rsidR="002A0995">
        <w:rPr>
          <w:rFonts w:ascii="Times New Roman" w:hAnsi="Times New Roman"/>
          <w:sz w:val="28"/>
          <w:szCs w:val="28"/>
        </w:rPr>
        <w:t>....</w:t>
      </w:r>
      <w:r>
        <w:rPr>
          <w:rFonts w:ascii="Times New Roman" w:hAnsi="Times New Roman"/>
          <w:sz w:val="28"/>
          <w:szCs w:val="28"/>
        </w:rPr>
        <w:t>.</w:t>
      </w:r>
      <w:r w:rsidR="002A0995">
        <w:rPr>
          <w:rFonts w:ascii="Times New Roman" w:hAnsi="Times New Roman"/>
          <w:sz w:val="28"/>
          <w:szCs w:val="28"/>
        </w:rPr>
        <w:t>2</w:t>
      </w:r>
      <w:r w:rsidR="00E36685">
        <w:rPr>
          <w:rFonts w:ascii="Times New Roman" w:hAnsi="Times New Roman"/>
          <w:sz w:val="28"/>
          <w:szCs w:val="28"/>
        </w:rPr>
        <w:t>62</w:t>
      </w:r>
      <w:r w:rsidR="000051E5" w:rsidRPr="00414636">
        <w:rPr>
          <w:rFonts w:ascii="Times New Roman" w:eastAsia="Times New Roman" w:hAnsi="Times New Roman"/>
          <w:kern w:val="36"/>
          <w:sz w:val="28"/>
          <w:szCs w:val="28"/>
          <w:lang w:eastAsia="ru-RU"/>
        </w:rPr>
        <w:t xml:space="preserve"> </w:t>
      </w:r>
    </w:p>
    <w:p w:rsidR="000051E5" w:rsidRPr="00414636" w:rsidRDefault="000051E5"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p>
    <w:p w:rsidR="000051E5" w:rsidRPr="00414636" w:rsidRDefault="000051E5" w:rsidP="005A3DF4">
      <w:pPr>
        <w:widowControl w:val="0"/>
        <w:shd w:val="clear" w:color="auto" w:fill="FFFFFF"/>
        <w:spacing w:after="0" w:line="240" w:lineRule="auto"/>
        <w:jc w:val="both"/>
        <w:rPr>
          <w:rFonts w:ascii="Times New Roman" w:eastAsia="Times New Roman" w:hAnsi="Times New Roman"/>
          <w:b/>
          <w:kern w:val="36"/>
          <w:sz w:val="28"/>
          <w:szCs w:val="28"/>
          <w:lang w:eastAsia="ru-RU"/>
        </w:rPr>
      </w:pPr>
      <w:r w:rsidRPr="00414636">
        <w:rPr>
          <w:rFonts w:ascii="Times New Roman" w:eastAsia="Times New Roman" w:hAnsi="Times New Roman"/>
          <w:b/>
          <w:kern w:val="36"/>
          <w:sz w:val="28"/>
          <w:szCs w:val="28"/>
          <w:lang w:eastAsia="ru-RU"/>
        </w:rPr>
        <w:t>АКТУАЛЬНЫЕ ПРОБЛЕМЫ ПУБЛИЧНОГО ПРАВА</w:t>
      </w:r>
      <w:r w:rsidR="00B256AA" w:rsidRPr="00B256AA">
        <w:rPr>
          <w:rFonts w:ascii="Times New Roman" w:eastAsia="Times New Roman" w:hAnsi="Times New Roman"/>
          <w:kern w:val="36"/>
          <w:sz w:val="28"/>
          <w:szCs w:val="28"/>
          <w:lang w:eastAsia="ru-RU"/>
        </w:rPr>
        <w:t>.......................</w:t>
      </w:r>
      <w:r w:rsidR="00066CAE">
        <w:rPr>
          <w:rFonts w:ascii="Times New Roman" w:eastAsia="Times New Roman" w:hAnsi="Times New Roman"/>
          <w:kern w:val="36"/>
          <w:sz w:val="28"/>
          <w:szCs w:val="28"/>
          <w:lang w:eastAsia="ru-RU"/>
        </w:rPr>
        <w:t>272</w:t>
      </w:r>
    </w:p>
    <w:p w:rsidR="000051E5" w:rsidRPr="000F724F" w:rsidRDefault="000F724F" w:rsidP="005A3DF4">
      <w:pPr>
        <w:widowControl w:val="0"/>
        <w:spacing w:after="0" w:line="240" w:lineRule="auto"/>
        <w:jc w:val="both"/>
        <w:rPr>
          <w:rFonts w:ascii="Times New Roman" w:hAnsi="Times New Roman"/>
          <w:color w:val="000000"/>
          <w:sz w:val="28"/>
          <w:szCs w:val="28"/>
        </w:rPr>
      </w:pPr>
      <w:r>
        <w:rPr>
          <w:rFonts w:ascii="Times New Roman" w:hAnsi="Times New Roman"/>
          <w:sz w:val="28"/>
          <w:szCs w:val="28"/>
        </w:rPr>
        <w:t xml:space="preserve">Александрина А.Е. </w:t>
      </w:r>
      <w:r w:rsidR="000051E5" w:rsidRPr="000F724F">
        <w:rPr>
          <w:rFonts w:ascii="Times New Roman" w:hAnsi="Times New Roman"/>
          <w:sz w:val="28"/>
          <w:szCs w:val="28"/>
        </w:rPr>
        <w:t>Финансирование государственных корпораций</w:t>
      </w:r>
      <w:r>
        <w:rPr>
          <w:rFonts w:ascii="Times New Roman" w:hAnsi="Times New Roman"/>
          <w:sz w:val="28"/>
          <w:szCs w:val="28"/>
        </w:rPr>
        <w:t>...........</w:t>
      </w:r>
      <w:r w:rsidR="00066CAE">
        <w:rPr>
          <w:rFonts w:ascii="Times New Roman" w:hAnsi="Times New Roman"/>
          <w:sz w:val="28"/>
          <w:szCs w:val="28"/>
        </w:rPr>
        <w:t>272</w:t>
      </w:r>
    </w:p>
    <w:p w:rsidR="000051E5" w:rsidRPr="000F724F" w:rsidRDefault="000F724F"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Богачук А.В. </w:t>
      </w:r>
      <w:r w:rsidR="000051E5" w:rsidRPr="000F724F">
        <w:rPr>
          <w:rFonts w:ascii="Times New Roman" w:hAnsi="Times New Roman"/>
          <w:sz w:val="28"/>
          <w:szCs w:val="28"/>
        </w:rPr>
        <w:t xml:space="preserve">Компьютерная информация как предмет преступления, предусмотренного статьей 272 Уголовного кодекса Российской </w:t>
      </w:r>
      <w:r w:rsidR="000051E5" w:rsidRPr="000F724F">
        <w:rPr>
          <w:rFonts w:ascii="Times New Roman" w:hAnsi="Times New Roman"/>
          <w:sz w:val="28"/>
          <w:szCs w:val="28"/>
        </w:rPr>
        <w:lastRenderedPageBreak/>
        <w:t>Федерации</w:t>
      </w:r>
      <w:r>
        <w:rPr>
          <w:rFonts w:ascii="Times New Roman" w:hAnsi="Times New Roman"/>
          <w:sz w:val="28"/>
          <w:szCs w:val="28"/>
        </w:rPr>
        <w:t>..................................................................................................</w:t>
      </w:r>
      <w:r w:rsidR="00B256AA">
        <w:rPr>
          <w:rFonts w:ascii="Times New Roman" w:hAnsi="Times New Roman"/>
          <w:sz w:val="28"/>
          <w:szCs w:val="28"/>
        </w:rPr>
        <w:t>..</w:t>
      </w:r>
      <w:r>
        <w:rPr>
          <w:rFonts w:ascii="Times New Roman" w:hAnsi="Times New Roman"/>
          <w:sz w:val="28"/>
          <w:szCs w:val="28"/>
        </w:rPr>
        <w:t>.</w:t>
      </w:r>
      <w:r w:rsidR="00066CAE">
        <w:rPr>
          <w:rFonts w:ascii="Times New Roman" w:hAnsi="Times New Roman"/>
          <w:sz w:val="28"/>
          <w:szCs w:val="28"/>
        </w:rPr>
        <w:t>278</w:t>
      </w:r>
    </w:p>
    <w:p w:rsidR="000051E5" w:rsidRPr="000F724F" w:rsidRDefault="000F724F"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Басов Н.П. </w:t>
      </w:r>
      <w:r w:rsidR="000051E5" w:rsidRPr="000F724F">
        <w:rPr>
          <w:rFonts w:ascii="Times New Roman" w:hAnsi="Times New Roman"/>
          <w:sz w:val="28"/>
          <w:szCs w:val="28"/>
        </w:rPr>
        <w:t>Некоторые особенности привлечения к административной ответственности за нарушения в сфере охраны объектов животного мира в Приморском крае</w:t>
      </w:r>
      <w:r>
        <w:rPr>
          <w:rFonts w:ascii="Times New Roman" w:hAnsi="Times New Roman"/>
          <w:sz w:val="28"/>
          <w:szCs w:val="28"/>
        </w:rPr>
        <w:t>.......................................................................................</w:t>
      </w:r>
      <w:r w:rsidR="00B256AA">
        <w:rPr>
          <w:rFonts w:ascii="Times New Roman" w:hAnsi="Times New Roman"/>
          <w:sz w:val="28"/>
          <w:szCs w:val="28"/>
        </w:rPr>
        <w:t>...</w:t>
      </w:r>
      <w:r w:rsidR="00066CAE">
        <w:rPr>
          <w:rFonts w:ascii="Times New Roman" w:hAnsi="Times New Roman"/>
          <w:sz w:val="28"/>
          <w:szCs w:val="28"/>
        </w:rPr>
        <w:t>284</w:t>
      </w:r>
    </w:p>
    <w:p w:rsidR="000051E5" w:rsidRPr="000F724F" w:rsidRDefault="000F724F"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Вассерман С.В. </w:t>
      </w:r>
      <w:r w:rsidR="000051E5" w:rsidRPr="000F724F">
        <w:rPr>
          <w:rFonts w:ascii="Times New Roman" w:hAnsi="Times New Roman"/>
          <w:sz w:val="28"/>
          <w:szCs w:val="28"/>
        </w:rPr>
        <w:t>Самовольные уходы несовершеннолетних: проблемы и правовые механизмы профилактики</w:t>
      </w:r>
      <w:r>
        <w:rPr>
          <w:rFonts w:ascii="Times New Roman" w:hAnsi="Times New Roman"/>
          <w:sz w:val="28"/>
          <w:szCs w:val="28"/>
        </w:rPr>
        <w:t>....................................................</w:t>
      </w:r>
      <w:r w:rsidR="00B256AA">
        <w:rPr>
          <w:rFonts w:ascii="Times New Roman" w:hAnsi="Times New Roman"/>
          <w:sz w:val="28"/>
          <w:szCs w:val="28"/>
        </w:rPr>
        <w:t>.....</w:t>
      </w:r>
      <w:r>
        <w:rPr>
          <w:rFonts w:ascii="Times New Roman" w:hAnsi="Times New Roman"/>
          <w:sz w:val="28"/>
          <w:szCs w:val="28"/>
        </w:rPr>
        <w:t>...</w:t>
      </w:r>
      <w:r w:rsidR="00066CAE">
        <w:rPr>
          <w:rFonts w:ascii="Times New Roman" w:hAnsi="Times New Roman"/>
          <w:sz w:val="28"/>
          <w:szCs w:val="28"/>
        </w:rPr>
        <w:t>289</w:t>
      </w:r>
    </w:p>
    <w:p w:rsidR="000051E5" w:rsidRPr="000F724F" w:rsidRDefault="000F724F"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Васькин Д.А. </w:t>
      </w:r>
      <w:r w:rsidR="000051E5" w:rsidRPr="000F724F">
        <w:rPr>
          <w:rFonts w:ascii="Times New Roman" w:hAnsi="Times New Roman"/>
          <w:sz w:val="28"/>
          <w:szCs w:val="28"/>
        </w:rPr>
        <w:t>Профилактика виктимного поведения</w:t>
      </w:r>
      <w:r>
        <w:rPr>
          <w:rFonts w:ascii="Times New Roman" w:hAnsi="Times New Roman"/>
          <w:sz w:val="28"/>
          <w:szCs w:val="28"/>
        </w:rPr>
        <w:t>............................</w:t>
      </w:r>
      <w:r w:rsidR="00B256AA">
        <w:rPr>
          <w:rFonts w:ascii="Times New Roman" w:hAnsi="Times New Roman"/>
          <w:sz w:val="28"/>
          <w:szCs w:val="28"/>
        </w:rPr>
        <w:t>.....</w:t>
      </w:r>
      <w:r>
        <w:rPr>
          <w:rFonts w:ascii="Times New Roman" w:hAnsi="Times New Roman"/>
          <w:sz w:val="28"/>
          <w:szCs w:val="28"/>
        </w:rPr>
        <w:t>.</w:t>
      </w:r>
      <w:r w:rsidR="00FE2F8C">
        <w:rPr>
          <w:rFonts w:ascii="Times New Roman" w:hAnsi="Times New Roman"/>
          <w:sz w:val="28"/>
          <w:szCs w:val="28"/>
        </w:rPr>
        <w:t>297</w:t>
      </w:r>
    </w:p>
    <w:p w:rsidR="000051E5" w:rsidRPr="000F724F" w:rsidRDefault="00EE40A6"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Герасименко О.А. </w:t>
      </w:r>
      <w:r w:rsidR="000051E5" w:rsidRPr="000F724F">
        <w:rPr>
          <w:rFonts w:ascii="Times New Roman" w:hAnsi="Times New Roman"/>
          <w:sz w:val="28"/>
          <w:szCs w:val="28"/>
        </w:rPr>
        <w:t>Особенности нормативно-правового регулирования профилактики конфликтов с участием несовершеннолетних в системе образования Приморского края</w:t>
      </w:r>
      <w:r>
        <w:rPr>
          <w:rFonts w:ascii="Times New Roman" w:hAnsi="Times New Roman"/>
          <w:sz w:val="28"/>
          <w:szCs w:val="28"/>
        </w:rPr>
        <w:t>........................................................</w:t>
      </w:r>
      <w:r w:rsidR="00B256AA">
        <w:rPr>
          <w:rFonts w:ascii="Times New Roman" w:hAnsi="Times New Roman"/>
          <w:sz w:val="28"/>
          <w:szCs w:val="28"/>
        </w:rPr>
        <w:t>..........</w:t>
      </w:r>
      <w:r>
        <w:rPr>
          <w:rFonts w:ascii="Times New Roman" w:hAnsi="Times New Roman"/>
          <w:sz w:val="28"/>
          <w:szCs w:val="28"/>
        </w:rPr>
        <w:t>.</w:t>
      </w:r>
      <w:r w:rsidR="0096376C">
        <w:rPr>
          <w:rFonts w:ascii="Times New Roman" w:hAnsi="Times New Roman"/>
          <w:sz w:val="28"/>
          <w:szCs w:val="28"/>
        </w:rPr>
        <w:t>301</w:t>
      </w:r>
    </w:p>
    <w:p w:rsidR="000051E5" w:rsidRPr="000F724F" w:rsidRDefault="00EE40A6"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Pr>
          <w:rFonts w:ascii="Times New Roman" w:eastAsia="Times New Roman" w:hAnsi="Times New Roman"/>
          <w:kern w:val="36"/>
          <w:sz w:val="28"/>
          <w:szCs w:val="28"/>
          <w:lang w:eastAsia="ru-RU"/>
        </w:rPr>
        <w:t xml:space="preserve">Драузина А.Ю. </w:t>
      </w:r>
      <w:r w:rsidR="000051E5" w:rsidRPr="000F724F">
        <w:rPr>
          <w:rFonts w:ascii="Times New Roman" w:eastAsia="Times New Roman" w:hAnsi="Times New Roman"/>
          <w:kern w:val="36"/>
          <w:sz w:val="28"/>
          <w:szCs w:val="28"/>
          <w:lang w:eastAsia="ru-RU"/>
        </w:rPr>
        <w:t>Методы правового регулирования международного частного права</w:t>
      </w:r>
      <w:r>
        <w:rPr>
          <w:rFonts w:ascii="Times New Roman" w:eastAsia="Times New Roman" w:hAnsi="Times New Roman"/>
          <w:kern w:val="36"/>
          <w:sz w:val="28"/>
          <w:szCs w:val="28"/>
          <w:lang w:eastAsia="ru-RU"/>
        </w:rPr>
        <w:t>.........................................................................................................</w:t>
      </w:r>
      <w:r w:rsidR="00B256AA">
        <w:rPr>
          <w:rFonts w:ascii="Times New Roman" w:eastAsia="Times New Roman" w:hAnsi="Times New Roman"/>
          <w:kern w:val="36"/>
          <w:sz w:val="28"/>
          <w:szCs w:val="28"/>
          <w:lang w:eastAsia="ru-RU"/>
        </w:rPr>
        <w:t>.....</w:t>
      </w:r>
      <w:r w:rsidR="0096376C">
        <w:rPr>
          <w:rFonts w:ascii="Times New Roman" w:eastAsia="Times New Roman" w:hAnsi="Times New Roman"/>
          <w:kern w:val="36"/>
          <w:sz w:val="28"/>
          <w:szCs w:val="28"/>
          <w:lang w:eastAsia="ru-RU"/>
        </w:rPr>
        <w:t>306</w:t>
      </w:r>
    </w:p>
    <w:p w:rsidR="000051E5" w:rsidRPr="000F724F" w:rsidRDefault="00EE40A6" w:rsidP="005A3DF4">
      <w:pPr>
        <w:pStyle w:val="Style3"/>
        <w:spacing w:line="240" w:lineRule="auto"/>
        <w:jc w:val="both"/>
        <w:rPr>
          <w:rStyle w:val="FontStyle19"/>
          <w:b w:val="0"/>
          <w:i w:val="0"/>
          <w:sz w:val="28"/>
          <w:szCs w:val="28"/>
        </w:rPr>
      </w:pPr>
      <w:r>
        <w:rPr>
          <w:rStyle w:val="FontStyle13"/>
          <w:rFonts w:ascii="Times New Roman" w:hAnsi="Times New Roman" w:cs="Times New Roman"/>
          <w:b w:val="0"/>
          <w:sz w:val="28"/>
          <w:szCs w:val="28"/>
        </w:rPr>
        <w:t xml:space="preserve">Жигалов А.А. </w:t>
      </w:r>
      <w:r w:rsidR="000051E5" w:rsidRPr="000F724F">
        <w:rPr>
          <w:rStyle w:val="FontStyle13"/>
          <w:rFonts w:ascii="Times New Roman" w:hAnsi="Times New Roman" w:cs="Times New Roman"/>
          <w:b w:val="0"/>
          <w:sz w:val="28"/>
          <w:szCs w:val="28"/>
        </w:rPr>
        <w:t>Определение понятия информационной безопасности, её место в системе национальной безопасности</w:t>
      </w:r>
      <w:r>
        <w:rPr>
          <w:rStyle w:val="FontStyle13"/>
          <w:rFonts w:ascii="Times New Roman" w:hAnsi="Times New Roman" w:cs="Times New Roman"/>
          <w:b w:val="0"/>
          <w:sz w:val="28"/>
          <w:szCs w:val="28"/>
        </w:rPr>
        <w:t>..........................................................</w:t>
      </w:r>
      <w:r w:rsidR="00B256AA">
        <w:rPr>
          <w:rStyle w:val="FontStyle13"/>
          <w:rFonts w:ascii="Times New Roman" w:hAnsi="Times New Roman" w:cs="Times New Roman"/>
          <w:b w:val="0"/>
          <w:sz w:val="28"/>
          <w:szCs w:val="28"/>
        </w:rPr>
        <w:t>.</w:t>
      </w:r>
      <w:r w:rsidR="0096376C">
        <w:rPr>
          <w:rStyle w:val="FontStyle13"/>
          <w:rFonts w:ascii="Times New Roman" w:hAnsi="Times New Roman" w:cs="Times New Roman"/>
          <w:b w:val="0"/>
          <w:sz w:val="28"/>
          <w:szCs w:val="28"/>
        </w:rPr>
        <w:t>309</w:t>
      </w:r>
    </w:p>
    <w:p w:rsidR="000051E5" w:rsidRPr="000F724F" w:rsidRDefault="00EE40A6" w:rsidP="005A3DF4">
      <w:pPr>
        <w:widowControl w:val="0"/>
        <w:shd w:val="clear" w:color="auto" w:fill="FFFFFF"/>
        <w:spacing w:after="0" w:line="240" w:lineRule="auto"/>
        <w:jc w:val="both"/>
        <w:rPr>
          <w:rFonts w:ascii="Times New Roman" w:hAnsi="Times New Roman"/>
          <w:sz w:val="28"/>
          <w:szCs w:val="28"/>
        </w:rPr>
      </w:pPr>
      <w:r>
        <w:rPr>
          <w:rFonts w:ascii="Times New Roman" w:eastAsia="Times New Roman" w:hAnsi="Times New Roman"/>
          <w:kern w:val="36"/>
          <w:sz w:val="28"/>
          <w:szCs w:val="28"/>
        </w:rPr>
        <w:t xml:space="preserve">Заичкин М.В. </w:t>
      </w:r>
      <w:r w:rsidR="000051E5" w:rsidRPr="000F724F">
        <w:rPr>
          <w:rFonts w:ascii="Times New Roman" w:eastAsia="Times New Roman" w:hAnsi="Times New Roman"/>
          <w:kern w:val="36"/>
          <w:sz w:val="28"/>
          <w:szCs w:val="28"/>
        </w:rPr>
        <w:t>Процессуальные особенности использование результатов ОРД в доказывании по уголовным делам в странах бывшего СССР</w:t>
      </w:r>
      <w:r>
        <w:rPr>
          <w:rFonts w:ascii="Times New Roman" w:eastAsia="Times New Roman" w:hAnsi="Times New Roman"/>
          <w:kern w:val="36"/>
          <w:sz w:val="28"/>
          <w:szCs w:val="28"/>
        </w:rPr>
        <w:t>...............</w:t>
      </w:r>
      <w:r w:rsidR="00B256AA">
        <w:rPr>
          <w:rFonts w:ascii="Times New Roman" w:eastAsia="Times New Roman" w:hAnsi="Times New Roman"/>
          <w:kern w:val="36"/>
          <w:sz w:val="28"/>
          <w:szCs w:val="28"/>
        </w:rPr>
        <w:t>...</w:t>
      </w:r>
      <w:r w:rsidR="0096376C">
        <w:rPr>
          <w:rFonts w:ascii="Times New Roman" w:eastAsia="Times New Roman" w:hAnsi="Times New Roman"/>
          <w:kern w:val="36"/>
          <w:sz w:val="28"/>
          <w:szCs w:val="28"/>
        </w:rPr>
        <w:t>313</w:t>
      </w:r>
    </w:p>
    <w:p w:rsidR="000051E5" w:rsidRPr="000F724F" w:rsidRDefault="00EE40A6" w:rsidP="005A3DF4">
      <w:pPr>
        <w:widowControl w:val="0"/>
        <w:spacing w:after="0" w:line="240" w:lineRule="auto"/>
        <w:jc w:val="both"/>
        <w:rPr>
          <w:rFonts w:ascii="Times New Roman" w:eastAsia="Times New Roman" w:hAnsi="Times New Roman"/>
          <w:i/>
          <w:color w:val="000000"/>
          <w:sz w:val="28"/>
          <w:szCs w:val="28"/>
          <w:lang w:eastAsia="ru-RU"/>
        </w:rPr>
      </w:pPr>
      <w:r>
        <w:rPr>
          <w:rFonts w:ascii="Times New Roman" w:eastAsia="Times New Roman" w:hAnsi="Times New Roman"/>
          <w:color w:val="000000"/>
          <w:sz w:val="28"/>
          <w:szCs w:val="28"/>
          <w:lang w:eastAsia="ru-RU"/>
        </w:rPr>
        <w:t xml:space="preserve">Иозеф Е.С. </w:t>
      </w:r>
      <w:r w:rsidR="000051E5" w:rsidRPr="000F724F">
        <w:rPr>
          <w:rFonts w:ascii="Times New Roman" w:eastAsia="Times New Roman" w:hAnsi="Times New Roman"/>
          <w:color w:val="000000"/>
          <w:sz w:val="28"/>
          <w:szCs w:val="28"/>
          <w:lang w:eastAsia="ru-RU"/>
        </w:rPr>
        <w:t>К вопросу об исправлении осужденных как к достижению цели уголовного наказания</w:t>
      </w:r>
      <w:r>
        <w:rPr>
          <w:rFonts w:ascii="Times New Roman" w:eastAsia="Times New Roman" w:hAnsi="Times New Roman"/>
          <w:color w:val="000000"/>
          <w:sz w:val="28"/>
          <w:szCs w:val="28"/>
          <w:lang w:eastAsia="ru-RU"/>
        </w:rPr>
        <w:t>..............................................................................</w:t>
      </w:r>
      <w:r w:rsidR="00B256AA">
        <w:rPr>
          <w:rFonts w:ascii="Times New Roman" w:eastAsia="Times New Roman" w:hAnsi="Times New Roman"/>
          <w:color w:val="000000"/>
          <w:sz w:val="28"/>
          <w:szCs w:val="28"/>
          <w:lang w:eastAsia="ru-RU"/>
        </w:rPr>
        <w:t>.....</w:t>
      </w:r>
      <w:r w:rsidR="0096376C">
        <w:rPr>
          <w:rFonts w:ascii="Times New Roman" w:eastAsia="Times New Roman" w:hAnsi="Times New Roman"/>
          <w:color w:val="000000"/>
          <w:sz w:val="28"/>
          <w:szCs w:val="28"/>
          <w:lang w:eastAsia="ru-RU"/>
        </w:rPr>
        <w:t>324</w:t>
      </w:r>
    </w:p>
    <w:p w:rsidR="000051E5" w:rsidRPr="000F724F" w:rsidRDefault="00EE40A6"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Косырев И.А. </w:t>
      </w:r>
      <w:r w:rsidR="000051E5" w:rsidRPr="000F724F">
        <w:rPr>
          <w:rFonts w:ascii="Times New Roman" w:hAnsi="Times New Roman"/>
          <w:sz w:val="28"/>
          <w:szCs w:val="28"/>
        </w:rPr>
        <w:t>Проблемы, возникающие при исполнении исполнительных документов о выселении должника и пути их решения</w:t>
      </w:r>
      <w:r>
        <w:rPr>
          <w:rFonts w:ascii="Times New Roman" w:hAnsi="Times New Roman"/>
          <w:sz w:val="28"/>
          <w:szCs w:val="28"/>
        </w:rPr>
        <w:t>...........................</w:t>
      </w:r>
      <w:r w:rsidR="00B256AA">
        <w:rPr>
          <w:rFonts w:ascii="Times New Roman" w:hAnsi="Times New Roman"/>
          <w:sz w:val="28"/>
          <w:szCs w:val="28"/>
        </w:rPr>
        <w:t>...</w:t>
      </w:r>
      <w:r w:rsidR="0096376C">
        <w:rPr>
          <w:rFonts w:ascii="Times New Roman" w:hAnsi="Times New Roman"/>
          <w:sz w:val="28"/>
          <w:szCs w:val="28"/>
        </w:rPr>
        <w:t>328</w:t>
      </w:r>
    </w:p>
    <w:p w:rsidR="000051E5" w:rsidRPr="000F724F" w:rsidRDefault="00EE40A6" w:rsidP="005A3DF4">
      <w:pPr>
        <w:widowControl w:val="0"/>
        <w:shd w:val="clear" w:color="auto" w:fill="FFFFFF"/>
        <w:spacing w:after="0" w:line="240" w:lineRule="auto"/>
        <w:jc w:val="both"/>
        <w:rPr>
          <w:rFonts w:ascii="Times New Roman" w:hAnsi="Times New Roman"/>
          <w:kern w:val="36"/>
          <w:sz w:val="28"/>
          <w:szCs w:val="28"/>
        </w:rPr>
      </w:pPr>
      <w:r>
        <w:rPr>
          <w:rFonts w:ascii="Times New Roman" w:hAnsi="Times New Roman"/>
          <w:kern w:val="36"/>
          <w:sz w:val="28"/>
          <w:szCs w:val="28"/>
        </w:rPr>
        <w:t xml:space="preserve">Корнеев Р.Д. </w:t>
      </w:r>
      <w:r w:rsidR="000051E5" w:rsidRPr="000F724F">
        <w:rPr>
          <w:rFonts w:ascii="Times New Roman" w:hAnsi="Times New Roman"/>
          <w:kern w:val="36"/>
          <w:sz w:val="28"/>
          <w:szCs w:val="28"/>
        </w:rPr>
        <w:t>Актуальные проблемы обеспечения правового режима компьютерной информации: материальные и процессуальные аспекты</w:t>
      </w:r>
      <w:r>
        <w:rPr>
          <w:rFonts w:ascii="Times New Roman" w:hAnsi="Times New Roman"/>
          <w:kern w:val="36"/>
          <w:sz w:val="28"/>
          <w:szCs w:val="28"/>
        </w:rPr>
        <w:t>......</w:t>
      </w:r>
      <w:r w:rsidR="0096376C">
        <w:rPr>
          <w:rFonts w:ascii="Times New Roman" w:hAnsi="Times New Roman"/>
          <w:kern w:val="36"/>
          <w:sz w:val="28"/>
          <w:szCs w:val="28"/>
        </w:rPr>
        <w:t>334</w:t>
      </w:r>
    </w:p>
    <w:p w:rsidR="000051E5" w:rsidRPr="000F724F" w:rsidRDefault="00EE40A6" w:rsidP="005A3DF4">
      <w:pPr>
        <w:widowControl w:val="0"/>
        <w:shd w:val="clear" w:color="auto" w:fill="FFFFFF"/>
        <w:spacing w:after="0" w:line="240" w:lineRule="auto"/>
        <w:jc w:val="both"/>
        <w:rPr>
          <w:rFonts w:ascii="Times New Roman" w:hAnsi="Times New Roman"/>
          <w:kern w:val="36"/>
          <w:sz w:val="28"/>
          <w:szCs w:val="28"/>
          <w:lang w:eastAsia="ru-RU"/>
        </w:rPr>
      </w:pPr>
      <w:r>
        <w:rPr>
          <w:rFonts w:ascii="Times New Roman" w:hAnsi="Times New Roman"/>
          <w:color w:val="000000"/>
          <w:sz w:val="28"/>
          <w:szCs w:val="28"/>
          <w:shd w:val="clear" w:color="auto" w:fill="FFFFFF"/>
        </w:rPr>
        <w:t xml:space="preserve">Капитулина А.В. </w:t>
      </w:r>
      <w:r w:rsidR="000051E5" w:rsidRPr="000F724F">
        <w:rPr>
          <w:rFonts w:ascii="Times New Roman" w:hAnsi="Times New Roman"/>
          <w:color w:val="000000"/>
          <w:sz w:val="28"/>
          <w:szCs w:val="28"/>
          <w:shd w:val="clear" w:color="auto" w:fill="FFFFFF"/>
        </w:rPr>
        <w:t>Расторжение служебного контракта на государственной службе</w:t>
      </w:r>
      <w:r>
        <w:rPr>
          <w:rFonts w:ascii="Times New Roman" w:hAnsi="Times New Roman"/>
          <w:color w:val="000000"/>
          <w:sz w:val="28"/>
          <w:szCs w:val="28"/>
          <w:shd w:val="clear" w:color="auto" w:fill="FFFFFF"/>
        </w:rPr>
        <w:t>..............................................................................................................</w:t>
      </w:r>
      <w:r w:rsidR="0096376C">
        <w:rPr>
          <w:rFonts w:ascii="Times New Roman" w:hAnsi="Times New Roman"/>
          <w:color w:val="000000"/>
          <w:sz w:val="28"/>
          <w:szCs w:val="28"/>
          <w:shd w:val="clear" w:color="auto" w:fill="FFFFFF"/>
        </w:rPr>
        <w:t>344</w:t>
      </w:r>
    </w:p>
    <w:p w:rsidR="000051E5" w:rsidRPr="000F724F" w:rsidRDefault="00415E8B"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Карапетян Г.С. </w:t>
      </w:r>
      <w:r w:rsidR="000051E5" w:rsidRPr="000F724F">
        <w:rPr>
          <w:rFonts w:ascii="Times New Roman" w:hAnsi="Times New Roman"/>
          <w:sz w:val="28"/>
          <w:szCs w:val="28"/>
        </w:rPr>
        <w:t>Обжалование решений миграционного органа</w:t>
      </w:r>
      <w:r>
        <w:rPr>
          <w:rFonts w:ascii="Times New Roman" w:hAnsi="Times New Roman"/>
          <w:sz w:val="28"/>
          <w:szCs w:val="28"/>
        </w:rPr>
        <w:t>.................</w:t>
      </w:r>
      <w:r w:rsidR="0096376C">
        <w:rPr>
          <w:rFonts w:ascii="Times New Roman" w:hAnsi="Times New Roman"/>
          <w:sz w:val="28"/>
          <w:szCs w:val="28"/>
        </w:rPr>
        <w:t>348</w:t>
      </w:r>
    </w:p>
    <w:p w:rsidR="000051E5" w:rsidRPr="000F724F" w:rsidRDefault="00415E8B"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Лапшина Ю.В. </w:t>
      </w:r>
      <w:r w:rsidR="000051E5" w:rsidRPr="000F724F">
        <w:rPr>
          <w:rFonts w:ascii="Times New Roman" w:hAnsi="Times New Roman"/>
          <w:sz w:val="28"/>
          <w:szCs w:val="28"/>
        </w:rPr>
        <w:t>Процедура помещения несовершеннолетних в учебно-воспитательные учреждения закрытого типа как альтернатива уголовному наказанию</w:t>
      </w:r>
      <w:r>
        <w:rPr>
          <w:rFonts w:ascii="Times New Roman" w:hAnsi="Times New Roman"/>
          <w:sz w:val="28"/>
          <w:szCs w:val="28"/>
        </w:rPr>
        <w:t>.......................................................................................................</w:t>
      </w:r>
      <w:r w:rsidR="0096376C">
        <w:rPr>
          <w:rFonts w:ascii="Times New Roman" w:hAnsi="Times New Roman"/>
          <w:sz w:val="28"/>
          <w:szCs w:val="28"/>
        </w:rPr>
        <w:t>359</w:t>
      </w:r>
    </w:p>
    <w:p w:rsidR="000051E5" w:rsidRDefault="00415E8B"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Ле М. </w:t>
      </w:r>
      <w:r w:rsidR="000051E5" w:rsidRPr="000F724F">
        <w:rPr>
          <w:rFonts w:ascii="Times New Roman" w:hAnsi="Times New Roman"/>
          <w:sz w:val="28"/>
          <w:szCs w:val="28"/>
        </w:rPr>
        <w:t>Соотношение основных принципов международного права: права наций на самоопределение и территориальной целостности государства</w:t>
      </w:r>
      <w:r w:rsidR="005F0567">
        <w:rPr>
          <w:rFonts w:ascii="Times New Roman" w:hAnsi="Times New Roman"/>
          <w:sz w:val="28"/>
          <w:szCs w:val="28"/>
        </w:rPr>
        <w:t>....</w:t>
      </w:r>
      <w:r w:rsidR="0096376C">
        <w:rPr>
          <w:rFonts w:ascii="Times New Roman" w:hAnsi="Times New Roman"/>
          <w:sz w:val="28"/>
          <w:szCs w:val="28"/>
        </w:rPr>
        <w:t>366</w:t>
      </w:r>
    </w:p>
    <w:p w:rsidR="00B75021" w:rsidRPr="000F724F" w:rsidRDefault="00B75021" w:rsidP="005A3DF4">
      <w:pPr>
        <w:widowControl w:val="0"/>
        <w:spacing w:after="0" w:line="240" w:lineRule="auto"/>
        <w:jc w:val="both"/>
        <w:rPr>
          <w:rFonts w:ascii="Times New Roman" w:hAnsi="Times New Roman"/>
          <w:sz w:val="28"/>
          <w:szCs w:val="28"/>
        </w:rPr>
      </w:pPr>
      <w:r>
        <w:rPr>
          <w:rFonts w:ascii="Times New Roman" w:hAnsi="Times New Roman"/>
          <w:sz w:val="28"/>
          <w:szCs w:val="28"/>
        </w:rPr>
        <w:t>Музыка Е.Л. Участие органов прокуратуры субъектов Российской Федерации в антикоррупционной экспертизе нормативных правовых актов...............</w:t>
      </w:r>
      <w:r w:rsidR="0096376C">
        <w:rPr>
          <w:rFonts w:ascii="Times New Roman" w:hAnsi="Times New Roman"/>
          <w:sz w:val="28"/>
          <w:szCs w:val="28"/>
        </w:rPr>
        <w:t>369</w:t>
      </w:r>
      <w:r>
        <w:rPr>
          <w:rFonts w:ascii="Times New Roman" w:hAnsi="Times New Roman"/>
          <w:sz w:val="28"/>
          <w:szCs w:val="28"/>
        </w:rPr>
        <w:t xml:space="preserve">  </w:t>
      </w:r>
    </w:p>
    <w:p w:rsidR="000051E5" w:rsidRPr="000F724F" w:rsidRDefault="00415E8B" w:rsidP="005A3DF4">
      <w:pPr>
        <w:pStyle w:val="af1"/>
        <w:widowControl w:val="0"/>
        <w:jc w:val="both"/>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 xml:space="preserve">Подгорный В. К. </w:t>
      </w:r>
      <w:r w:rsidR="000051E5" w:rsidRPr="000F724F">
        <w:rPr>
          <w:rFonts w:ascii="Times New Roman" w:eastAsia="Times New Roman" w:hAnsi="Times New Roman" w:cs="Times New Roman"/>
          <w:kern w:val="36"/>
          <w:sz w:val="28"/>
          <w:szCs w:val="28"/>
          <w:lang w:eastAsia="ru-RU"/>
        </w:rPr>
        <w:t>Позитивистское и метафизическое направления правопонимания</w:t>
      </w:r>
      <w:r>
        <w:rPr>
          <w:rFonts w:ascii="Times New Roman" w:eastAsia="Times New Roman" w:hAnsi="Times New Roman" w:cs="Times New Roman"/>
          <w:kern w:val="36"/>
          <w:sz w:val="28"/>
          <w:szCs w:val="28"/>
          <w:lang w:eastAsia="ru-RU"/>
        </w:rPr>
        <w:t>...............................................................................................</w:t>
      </w:r>
      <w:r w:rsidR="0096376C">
        <w:rPr>
          <w:rFonts w:ascii="Times New Roman" w:eastAsia="Times New Roman" w:hAnsi="Times New Roman" w:cs="Times New Roman"/>
          <w:kern w:val="36"/>
          <w:sz w:val="28"/>
          <w:szCs w:val="28"/>
          <w:lang w:eastAsia="ru-RU"/>
        </w:rPr>
        <w:t>376</w:t>
      </w:r>
    </w:p>
    <w:p w:rsidR="000051E5" w:rsidRPr="000F724F" w:rsidRDefault="00415E8B" w:rsidP="005A3DF4">
      <w:pPr>
        <w:widowControl w:val="0"/>
        <w:shd w:val="clear" w:color="auto" w:fill="FFFFFF"/>
        <w:spacing w:after="0" w:line="240" w:lineRule="auto"/>
        <w:jc w:val="both"/>
        <w:rPr>
          <w:rFonts w:ascii="Times New Roman" w:eastAsia="Times New Roman" w:hAnsi="Times New Roman"/>
          <w:color w:val="000000" w:themeColor="text1"/>
          <w:kern w:val="36"/>
          <w:sz w:val="28"/>
          <w:szCs w:val="28"/>
          <w:lang w:eastAsia="ru-RU"/>
        </w:rPr>
      </w:pPr>
      <w:r>
        <w:rPr>
          <w:rFonts w:ascii="Times New Roman" w:hAnsi="Times New Roman"/>
          <w:color w:val="000000" w:themeColor="text1"/>
          <w:sz w:val="28"/>
          <w:szCs w:val="28"/>
        </w:rPr>
        <w:t xml:space="preserve">Ревуцкий И.О. </w:t>
      </w:r>
      <w:r w:rsidR="000051E5" w:rsidRPr="000F724F">
        <w:rPr>
          <w:rFonts w:ascii="Times New Roman" w:hAnsi="Times New Roman"/>
          <w:color w:val="000000" w:themeColor="text1"/>
          <w:sz w:val="28"/>
          <w:szCs w:val="28"/>
        </w:rPr>
        <w:t>П</w:t>
      </w:r>
      <w:r>
        <w:rPr>
          <w:rFonts w:ascii="Times New Roman" w:hAnsi="Times New Roman"/>
          <w:color w:val="000000" w:themeColor="text1"/>
          <w:sz w:val="28"/>
          <w:szCs w:val="28"/>
        </w:rPr>
        <w:t>роблемы применения законодательства о митингах, шествиях и пикетированиях.........................................................................</w:t>
      </w:r>
      <w:r w:rsidR="0096376C">
        <w:rPr>
          <w:rFonts w:ascii="Times New Roman" w:hAnsi="Times New Roman"/>
          <w:color w:val="000000" w:themeColor="text1"/>
          <w:sz w:val="28"/>
          <w:szCs w:val="28"/>
        </w:rPr>
        <w:t>385</w:t>
      </w:r>
    </w:p>
    <w:p w:rsidR="000051E5" w:rsidRPr="000F724F" w:rsidRDefault="000051E5" w:rsidP="005A3DF4">
      <w:pPr>
        <w:widowControl w:val="0"/>
        <w:spacing w:after="0" w:line="240" w:lineRule="auto"/>
        <w:jc w:val="both"/>
        <w:rPr>
          <w:rFonts w:ascii="Times New Roman" w:hAnsi="Times New Roman"/>
          <w:sz w:val="28"/>
          <w:szCs w:val="28"/>
        </w:rPr>
      </w:pPr>
      <w:r w:rsidRPr="000F724F">
        <w:rPr>
          <w:rFonts w:ascii="Times New Roman" w:hAnsi="Times New Roman"/>
          <w:sz w:val="28"/>
          <w:szCs w:val="28"/>
        </w:rPr>
        <w:t>Романова Д</w:t>
      </w:r>
      <w:r w:rsidR="00415E8B">
        <w:rPr>
          <w:rFonts w:ascii="Times New Roman" w:hAnsi="Times New Roman"/>
          <w:sz w:val="28"/>
          <w:szCs w:val="28"/>
        </w:rPr>
        <w:t>.</w:t>
      </w:r>
      <w:r w:rsidRPr="000F724F">
        <w:rPr>
          <w:rFonts w:ascii="Times New Roman" w:hAnsi="Times New Roman"/>
          <w:sz w:val="28"/>
          <w:szCs w:val="28"/>
        </w:rPr>
        <w:t>С</w:t>
      </w:r>
      <w:r w:rsidR="00415E8B">
        <w:rPr>
          <w:rFonts w:ascii="Times New Roman" w:hAnsi="Times New Roman"/>
          <w:sz w:val="28"/>
          <w:szCs w:val="28"/>
        </w:rPr>
        <w:t xml:space="preserve">. </w:t>
      </w:r>
      <w:r w:rsidRPr="000F724F">
        <w:rPr>
          <w:rFonts w:ascii="Times New Roman" w:hAnsi="Times New Roman"/>
          <w:sz w:val="28"/>
          <w:szCs w:val="28"/>
        </w:rPr>
        <w:t>А</w:t>
      </w:r>
      <w:r w:rsidR="00415E8B">
        <w:rPr>
          <w:rFonts w:ascii="Times New Roman" w:hAnsi="Times New Roman"/>
          <w:sz w:val="28"/>
          <w:szCs w:val="28"/>
        </w:rPr>
        <w:t>нглосаксонская модель местного самоуправления.........</w:t>
      </w:r>
      <w:r w:rsidR="005F0567">
        <w:rPr>
          <w:rFonts w:ascii="Times New Roman" w:hAnsi="Times New Roman"/>
          <w:sz w:val="28"/>
          <w:szCs w:val="28"/>
        </w:rPr>
        <w:t>.</w:t>
      </w:r>
      <w:r w:rsidR="0096376C">
        <w:rPr>
          <w:rFonts w:ascii="Times New Roman" w:hAnsi="Times New Roman"/>
          <w:sz w:val="28"/>
          <w:szCs w:val="28"/>
        </w:rPr>
        <w:t>391</w:t>
      </w:r>
    </w:p>
    <w:p w:rsidR="000051E5" w:rsidRPr="000F724F" w:rsidRDefault="00415E8B" w:rsidP="005A3DF4">
      <w:pPr>
        <w:pStyle w:val="af1"/>
        <w:widowControl w:val="0"/>
        <w:jc w:val="both"/>
        <w:rPr>
          <w:rFonts w:ascii="Times New Roman" w:eastAsia="Times New Roman" w:hAnsi="Times New Roman" w:cs="Times New Roman"/>
          <w:kern w:val="36"/>
          <w:sz w:val="28"/>
          <w:szCs w:val="28"/>
          <w:lang w:eastAsia="ru-RU"/>
        </w:rPr>
      </w:pPr>
      <w:r>
        <w:rPr>
          <w:rFonts w:ascii="Times New Roman" w:eastAsia="Times New Roman" w:hAnsi="Times New Roman" w:cs="Times New Roman"/>
          <w:kern w:val="36"/>
          <w:sz w:val="28"/>
          <w:szCs w:val="28"/>
          <w:lang w:eastAsia="ru-RU"/>
        </w:rPr>
        <w:t xml:space="preserve">Сазонова А.С. </w:t>
      </w:r>
      <w:r w:rsidR="000051E5" w:rsidRPr="000F724F">
        <w:rPr>
          <w:rFonts w:ascii="Times New Roman" w:eastAsia="Times New Roman" w:hAnsi="Times New Roman" w:cs="Times New Roman"/>
          <w:kern w:val="36"/>
          <w:sz w:val="28"/>
          <w:szCs w:val="28"/>
          <w:lang w:eastAsia="ru-RU"/>
        </w:rPr>
        <w:t>Роль института ответственности при защите прав участников исполнительного производства</w:t>
      </w:r>
      <w:r>
        <w:rPr>
          <w:rFonts w:ascii="Times New Roman" w:eastAsia="Times New Roman" w:hAnsi="Times New Roman" w:cs="Times New Roman"/>
          <w:kern w:val="36"/>
          <w:sz w:val="28"/>
          <w:szCs w:val="28"/>
          <w:lang w:eastAsia="ru-RU"/>
        </w:rPr>
        <w:t>...................................................................</w:t>
      </w:r>
      <w:r w:rsidR="005F0567">
        <w:rPr>
          <w:rFonts w:ascii="Times New Roman" w:eastAsia="Times New Roman" w:hAnsi="Times New Roman" w:cs="Times New Roman"/>
          <w:kern w:val="36"/>
          <w:sz w:val="28"/>
          <w:szCs w:val="28"/>
          <w:lang w:eastAsia="ru-RU"/>
        </w:rPr>
        <w:t>.</w:t>
      </w:r>
      <w:r w:rsidR="0096376C">
        <w:rPr>
          <w:rFonts w:ascii="Times New Roman" w:eastAsia="Times New Roman" w:hAnsi="Times New Roman" w:cs="Times New Roman"/>
          <w:kern w:val="36"/>
          <w:sz w:val="28"/>
          <w:szCs w:val="28"/>
          <w:lang w:eastAsia="ru-RU"/>
        </w:rPr>
        <w:t>396</w:t>
      </w:r>
    </w:p>
    <w:p w:rsidR="000051E5" w:rsidRPr="000F724F" w:rsidRDefault="00415E8B"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Синкина А.А. </w:t>
      </w:r>
      <w:r w:rsidR="000051E5" w:rsidRPr="000F724F">
        <w:rPr>
          <w:rFonts w:ascii="Times New Roman" w:hAnsi="Times New Roman"/>
          <w:sz w:val="28"/>
          <w:szCs w:val="28"/>
        </w:rPr>
        <w:t>Правовое положение детей-сирот и детей, оставшихся без попечения родителей в Российской Федерации на примере Приморского края</w:t>
      </w:r>
      <w:r>
        <w:rPr>
          <w:rFonts w:ascii="Times New Roman" w:hAnsi="Times New Roman"/>
          <w:sz w:val="28"/>
          <w:szCs w:val="28"/>
        </w:rPr>
        <w:t>.............................................................................................................</w:t>
      </w:r>
      <w:r w:rsidR="005F0567">
        <w:rPr>
          <w:rFonts w:ascii="Times New Roman" w:hAnsi="Times New Roman"/>
          <w:sz w:val="28"/>
          <w:szCs w:val="28"/>
        </w:rPr>
        <w:t>...</w:t>
      </w:r>
      <w:r w:rsidR="0096376C">
        <w:rPr>
          <w:rFonts w:ascii="Times New Roman" w:hAnsi="Times New Roman"/>
          <w:sz w:val="28"/>
          <w:szCs w:val="28"/>
        </w:rPr>
        <w:t>403</w:t>
      </w:r>
    </w:p>
    <w:p w:rsidR="000051E5" w:rsidRPr="000F724F" w:rsidRDefault="000051E5" w:rsidP="005A3DF4">
      <w:pPr>
        <w:widowControl w:val="0"/>
        <w:spacing w:after="0" w:line="240" w:lineRule="auto"/>
        <w:jc w:val="both"/>
        <w:rPr>
          <w:rFonts w:ascii="Times New Roman" w:hAnsi="Times New Roman"/>
          <w:sz w:val="28"/>
          <w:szCs w:val="28"/>
        </w:rPr>
      </w:pPr>
      <w:r w:rsidRPr="000F724F">
        <w:rPr>
          <w:rFonts w:ascii="Times New Roman" w:hAnsi="Times New Roman"/>
          <w:sz w:val="28"/>
          <w:szCs w:val="28"/>
        </w:rPr>
        <w:t>Толкачева А</w:t>
      </w:r>
      <w:r w:rsidR="00415E8B">
        <w:rPr>
          <w:rFonts w:ascii="Times New Roman" w:hAnsi="Times New Roman"/>
          <w:sz w:val="28"/>
          <w:szCs w:val="28"/>
        </w:rPr>
        <w:t>.</w:t>
      </w:r>
      <w:r w:rsidRPr="000F724F">
        <w:rPr>
          <w:rFonts w:ascii="Times New Roman" w:hAnsi="Times New Roman"/>
          <w:sz w:val="28"/>
          <w:szCs w:val="28"/>
        </w:rPr>
        <w:t>В</w:t>
      </w:r>
      <w:r w:rsidR="00415E8B">
        <w:rPr>
          <w:rFonts w:ascii="Times New Roman" w:hAnsi="Times New Roman"/>
          <w:sz w:val="28"/>
          <w:szCs w:val="28"/>
        </w:rPr>
        <w:t xml:space="preserve">. </w:t>
      </w:r>
      <w:r w:rsidRPr="000F724F">
        <w:rPr>
          <w:rFonts w:ascii="Times New Roman" w:hAnsi="Times New Roman"/>
          <w:sz w:val="28"/>
          <w:szCs w:val="28"/>
        </w:rPr>
        <w:t>Валютный контроль за импортными поставками</w:t>
      </w:r>
      <w:r w:rsidR="00415E8B">
        <w:rPr>
          <w:rFonts w:ascii="Times New Roman" w:hAnsi="Times New Roman"/>
          <w:sz w:val="28"/>
          <w:szCs w:val="28"/>
        </w:rPr>
        <w:t>............</w:t>
      </w:r>
      <w:r w:rsidR="005F0567">
        <w:rPr>
          <w:rFonts w:ascii="Times New Roman" w:hAnsi="Times New Roman"/>
          <w:sz w:val="28"/>
          <w:szCs w:val="28"/>
        </w:rPr>
        <w:t>..</w:t>
      </w:r>
      <w:r w:rsidR="0096376C">
        <w:rPr>
          <w:rFonts w:ascii="Times New Roman" w:hAnsi="Times New Roman"/>
          <w:sz w:val="28"/>
          <w:szCs w:val="28"/>
        </w:rPr>
        <w:t>411</w:t>
      </w:r>
    </w:p>
    <w:p w:rsidR="000051E5" w:rsidRPr="000F724F" w:rsidRDefault="00ED30D0"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Pr>
          <w:rFonts w:ascii="Times New Roman" w:eastAsia="Times New Roman" w:hAnsi="Times New Roman"/>
          <w:kern w:val="36"/>
          <w:sz w:val="28"/>
          <w:szCs w:val="28"/>
          <w:lang w:eastAsia="ru-RU"/>
        </w:rPr>
        <w:t xml:space="preserve">Фукс Е.В. </w:t>
      </w:r>
      <w:r w:rsidR="000051E5" w:rsidRPr="000F724F">
        <w:rPr>
          <w:rFonts w:ascii="Times New Roman" w:eastAsia="Times New Roman" w:hAnsi="Times New Roman"/>
          <w:kern w:val="36"/>
          <w:sz w:val="28"/>
          <w:szCs w:val="28"/>
          <w:lang w:eastAsia="ru-RU"/>
        </w:rPr>
        <w:t xml:space="preserve">Понятие и виды антикоррупционной экспертизы нормативных </w:t>
      </w:r>
      <w:r w:rsidR="000051E5" w:rsidRPr="000F724F">
        <w:rPr>
          <w:rFonts w:ascii="Times New Roman" w:eastAsia="Times New Roman" w:hAnsi="Times New Roman"/>
          <w:kern w:val="36"/>
          <w:sz w:val="28"/>
          <w:szCs w:val="28"/>
          <w:lang w:eastAsia="ru-RU"/>
        </w:rPr>
        <w:lastRenderedPageBreak/>
        <w:t>правовых актов и их проектов</w:t>
      </w:r>
      <w:r>
        <w:rPr>
          <w:rFonts w:ascii="Times New Roman" w:eastAsia="Times New Roman" w:hAnsi="Times New Roman"/>
          <w:kern w:val="36"/>
          <w:sz w:val="28"/>
          <w:szCs w:val="28"/>
          <w:lang w:eastAsia="ru-RU"/>
        </w:rPr>
        <w:t>......................................................................</w:t>
      </w:r>
      <w:r w:rsidR="0096376C">
        <w:rPr>
          <w:rFonts w:ascii="Times New Roman" w:eastAsia="Times New Roman" w:hAnsi="Times New Roman"/>
          <w:kern w:val="36"/>
          <w:sz w:val="28"/>
          <w:szCs w:val="28"/>
          <w:lang w:eastAsia="ru-RU"/>
        </w:rPr>
        <w:t>419</w:t>
      </w:r>
    </w:p>
    <w:p w:rsidR="000051E5" w:rsidRPr="000F724F" w:rsidRDefault="00ED30D0"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sidRPr="000F724F">
        <w:rPr>
          <w:rFonts w:ascii="Times New Roman" w:hAnsi="Times New Roman"/>
          <w:sz w:val="28"/>
          <w:szCs w:val="28"/>
        </w:rPr>
        <w:t>Хайруллина</w:t>
      </w:r>
      <w:r>
        <w:rPr>
          <w:rFonts w:ascii="Times New Roman" w:hAnsi="Times New Roman"/>
          <w:sz w:val="28"/>
          <w:szCs w:val="28"/>
        </w:rPr>
        <w:t xml:space="preserve"> Е.В. Минимальный размер оплаты труда как основная государственная </w:t>
      </w:r>
      <w:r w:rsidR="000051E5" w:rsidRPr="00ED30D0">
        <w:rPr>
          <w:rFonts w:ascii="Times New Roman" w:hAnsi="Times New Roman"/>
          <w:sz w:val="28"/>
          <w:szCs w:val="28"/>
          <w:shd w:val="clear" w:color="auto" w:fill="FFFFFF"/>
        </w:rPr>
        <w:t>гаранти</w:t>
      </w:r>
      <w:r>
        <w:rPr>
          <w:rFonts w:ascii="Times New Roman" w:hAnsi="Times New Roman"/>
          <w:sz w:val="28"/>
          <w:szCs w:val="28"/>
          <w:shd w:val="clear" w:color="auto" w:fill="FFFFFF"/>
        </w:rPr>
        <w:t>я</w:t>
      </w:r>
      <w:r w:rsidR="000051E5" w:rsidRPr="00ED30D0">
        <w:rPr>
          <w:rFonts w:ascii="Times New Roman" w:hAnsi="Times New Roman"/>
          <w:sz w:val="28"/>
          <w:szCs w:val="28"/>
          <w:shd w:val="clear" w:color="auto" w:fill="FFFFFF"/>
        </w:rPr>
        <w:t xml:space="preserve"> оплаты труда работников в РФ</w:t>
      </w:r>
      <w:r>
        <w:rPr>
          <w:rFonts w:ascii="Times New Roman" w:hAnsi="Times New Roman"/>
          <w:caps/>
          <w:sz w:val="28"/>
          <w:szCs w:val="28"/>
          <w:shd w:val="clear" w:color="auto" w:fill="FFFFFF"/>
        </w:rPr>
        <w:t>............................</w:t>
      </w:r>
      <w:r w:rsidR="0096376C">
        <w:rPr>
          <w:rFonts w:ascii="Times New Roman" w:hAnsi="Times New Roman"/>
          <w:caps/>
          <w:sz w:val="28"/>
          <w:szCs w:val="28"/>
          <w:shd w:val="clear" w:color="auto" w:fill="FFFFFF"/>
        </w:rPr>
        <w:t>425</w:t>
      </w:r>
    </w:p>
    <w:p w:rsidR="000051E5" w:rsidRPr="000F724F" w:rsidRDefault="00EB5ED7" w:rsidP="005A3DF4">
      <w:pPr>
        <w:widowControl w:val="0"/>
        <w:spacing w:after="0" w:line="240" w:lineRule="auto"/>
        <w:jc w:val="both"/>
        <w:rPr>
          <w:rFonts w:ascii="Times New Roman" w:eastAsia="Times New Roman" w:hAnsi="Times New Roman"/>
          <w:sz w:val="28"/>
          <w:szCs w:val="28"/>
          <w:lang w:eastAsia="ru-RU"/>
        </w:rPr>
      </w:pPr>
      <w:r>
        <w:rPr>
          <w:rFonts w:ascii="Times New Roman" w:hAnsi="Times New Roman"/>
          <w:color w:val="000000"/>
          <w:sz w:val="28"/>
          <w:szCs w:val="28"/>
        </w:rPr>
        <w:t xml:space="preserve">Хромина Е.С. </w:t>
      </w:r>
      <w:r w:rsidR="000051E5" w:rsidRPr="00EB5ED7">
        <w:rPr>
          <w:rFonts w:ascii="Times New Roman" w:hAnsi="Times New Roman"/>
          <w:color w:val="000000"/>
          <w:sz w:val="28"/>
          <w:szCs w:val="28"/>
        </w:rPr>
        <w:t>Ю</w:t>
      </w:r>
      <w:r>
        <w:rPr>
          <w:rFonts w:ascii="Times New Roman" w:hAnsi="Times New Roman"/>
          <w:color w:val="000000"/>
          <w:sz w:val="28"/>
          <w:szCs w:val="28"/>
        </w:rPr>
        <w:t>ридическая защита прав и законных интересов несовершеннолетних в исполнительном производстве...........................</w:t>
      </w:r>
      <w:r w:rsidR="005F0567">
        <w:rPr>
          <w:rFonts w:ascii="Times New Roman" w:hAnsi="Times New Roman"/>
          <w:color w:val="000000"/>
          <w:sz w:val="28"/>
          <w:szCs w:val="28"/>
        </w:rPr>
        <w:t>....</w:t>
      </w:r>
      <w:r w:rsidR="0096376C">
        <w:rPr>
          <w:rFonts w:ascii="Times New Roman" w:hAnsi="Times New Roman"/>
          <w:color w:val="000000"/>
          <w:sz w:val="28"/>
          <w:szCs w:val="28"/>
        </w:rPr>
        <w:t>434</w:t>
      </w:r>
    </w:p>
    <w:p w:rsidR="000051E5" w:rsidRPr="000F724F" w:rsidRDefault="00EB5ED7" w:rsidP="005A3DF4">
      <w:pPr>
        <w:widowControl w:val="0"/>
        <w:spacing w:after="0" w:line="240" w:lineRule="auto"/>
        <w:jc w:val="both"/>
        <w:rPr>
          <w:rFonts w:ascii="Times New Roman" w:hAnsi="Times New Roman"/>
          <w:i/>
          <w:sz w:val="28"/>
          <w:szCs w:val="28"/>
        </w:rPr>
      </w:pPr>
      <w:r>
        <w:rPr>
          <w:rFonts w:ascii="Times New Roman" w:hAnsi="Times New Roman"/>
          <w:sz w:val="28"/>
          <w:szCs w:val="28"/>
        </w:rPr>
        <w:t xml:space="preserve">Чебунин Н.А. </w:t>
      </w:r>
      <w:r w:rsidR="000051E5" w:rsidRPr="000F724F">
        <w:rPr>
          <w:rFonts w:ascii="Times New Roman" w:hAnsi="Times New Roman"/>
          <w:sz w:val="28"/>
          <w:szCs w:val="28"/>
        </w:rPr>
        <w:t>Уголовно-правовая характеристика личности киберпреступника</w:t>
      </w:r>
      <w:r>
        <w:rPr>
          <w:rFonts w:ascii="Times New Roman" w:hAnsi="Times New Roman"/>
          <w:sz w:val="28"/>
          <w:szCs w:val="28"/>
        </w:rPr>
        <w:t>........................................................................................</w:t>
      </w:r>
      <w:r w:rsidR="005F0567">
        <w:rPr>
          <w:rFonts w:ascii="Times New Roman" w:hAnsi="Times New Roman"/>
          <w:sz w:val="28"/>
          <w:szCs w:val="28"/>
        </w:rPr>
        <w:t>..</w:t>
      </w:r>
      <w:r w:rsidR="0096376C">
        <w:rPr>
          <w:rFonts w:ascii="Times New Roman" w:hAnsi="Times New Roman"/>
          <w:sz w:val="28"/>
          <w:szCs w:val="28"/>
        </w:rPr>
        <w:t>440</w:t>
      </w:r>
    </w:p>
    <w:p w:rsidR="000051E5" w:rsidRPr="000F724F" w:rsidRDefault="00EB5ED7"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r>
        <w:rPr>
          <w:rFonts w:ascii="Times New Roman" w:eastAsia="Times New Roman" w:hAnsi="Times New Roman"/>
          <w:kern w:val="36"/>
          <w:sz w:val="28"/>
          <w:szCs w:val="28"/>
          <w:lang w:eastAsia="ru-RU"/>
        </w:rPr>
        <w:t xml:space="preserve">Шинкоренко Е.В. </w:t>
      </w:r>
      <w:r w:rsidR="000051E5" w:rsidRPr="000F724F">
        <w:rPr>
          <w:rFonts w:ascii="Times New Roman" w:eastAsia="Times New Roman" w:hAnsi="Times New Roman"/>
          <w:kern w:val="36"/>
          <w:sz w:val="28"/>
          <w:szCs w:val="28"/>
          <w:lang w:eastAsia="ru-RU"/>
        </w:rPr>
        <w:t>Развитие исполнительного производства в современный период</w:t>
      </w:r>
      <w:r>
        <w:rPr>
          <w:rFonts w:ascii="Times New Roman" w:eastAsia="Times New Roman" w:hAnsi="Times New Roman"/>
          <w:kern w:val="36"/>
          <w:sz w:val="28"/>
          <w:szCs w:val="28"/>
          <w:lang w:eastAsia="ru-RU"/>
        </w:rPr>
        <w:t>.........................................................................................................</w:t>
      </w:r>
      <w:r w:rsidR="005F0567">
        <w:rPr>
          <w:rFonts w:ascii="Times New Roman" w:eastAsia="Times New Roman" w:hAnsi="Times New Roman"/>
          <w:kern w:val="36"/>
          <w:sz w:val="28"/>
          <w:szCs w:val="28"/>
          <w:lang w:eastAsia="ru-RU"/>
        </w:rPr>
        <w:t>...</w:t>
      </w:r>
      <w:r w:rsidR="0096376C">
        <w:rPr>
          <w:rFonts w:ascii="Times New Roman" w:eastAsia="Times New Roman" w:hAnsi="Times New Roman"/>
          <w:kern w:val="36"/>
          <w:sz w:val="28"/>
          <w:szCs w:val="28"/>
          <w:lang w:eastAsia="ru-RU"/>
        </w:rPr>
        <w:t>446</w:t>
      </w:r>
    </w:p>
    <w:p w:rsidR="000051E5" w:rsidRPr="000F724F" w:rsidRDefault="00EB5ED7" w:rsidP="005A3DF4">
      <w:pPr>
        <w:widowControl w:val="0"/>
        <w:spacing w:after="0" w:line="240" w:lineRule="auto"/>
        <w:jc w:val="both"/>
        <w:rPr>
          <w:rFonts w:ascii="Times New Roman" w:hAnsi="Times New Roman"/>
          <w:sz w:val="28"/>
          <w:szCs w:val="28"/>
        </w:rPr>
      </w:pPr>
      <w:r>
        <w:rPr>
          <w:rFonts w:ascii="Times New Roman" w:hAnsi="Times New Roman"/>
          <w:sz w:val="28"/>
          <w:szCs w:val="28"/>
        </w:rPr>
        <w:t xml:space="preserve">Фукс Е.В. </w:t>
      </w:r>
      <w:r w:rsidR="000051E5" w:rsidRPr="000F724F">
        <w:rPr>
          <w:rFonts w:ascii="Times New Roman" w:hAnsi="Times New Roman"/>
          <w:sz w:val="28"/>
          <w:szCs w:val="28"/>
        </w:rPr>
        <w:t>Роль и место Административного права в правовой системе Российской Федерации</w:t>
      </w:r>
      <w:r>
        <w:rPr>
          <w:rFonts w:ascii="Times New Roman" w:hAnsi="Times New Roman"/>
          <w:sz w:val="28"/>
          <w:szCs w:val="28"/>
        </w:rPr>
        <w:t>................................................................................</w:t>
      </w:r>
      <w:r w:rsidR="005F0567">
        <w:rPr>
          <w:rFonts w:ascii="Times New Roman" w:hAnsi="Times New Roman"/>
          <w:sz w:val="28"/>
          <w:szCs w:val="28"/>
        </w:rPr>
        <w:t>..</w:t>
      </w:r>
      <w:r>
        <w:rPr>
          <w:rFonts w:ascii="Times New Roman" w:hAnsi="Times New Roman"/>
          <w:sz w:val="28"/>
          <w:szCs w:val="28"/>
        </w:rPr>
        <w:t>.</w:t>
      </w:r>
      <w:r w:rsidR="0096376C">
        <w:rPr>
          <w:rFonts w:ascii="Times New Roman" w:hAnsi="Times New Roman"/>
          <w:sz w:val="28"/>
          <w:szCs w:val="28"/>
        </w:rPr>
        <w:t>452</w:t>
      </w:r>
    </w:p>
    <w:p w:rsidR="000051E5" w:rsidRDefault="00EB5ED7" w:rsidP="005A3DF4">
      <w:pPr>
        <w:widowControl w:val="0"/>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Ячмень В.А. </w:t>
      </w:r>
      <w:r w:rsidR="000051E5" w:rsidRPr="000F724F">
        <w:rPr>
          <w:rFonts w:ascii="Times New Roman" w:hAnsi="Times New Roman"/>
          <w:sz w:val="28"/>
          <w:szCs w:val="28"/>
        </w:rPr>
        <w:t>Регламент арбитражного суда</w:t>
      </w:r>
      <w:r>
        <w:rPr>
          <w:rFonts w:ascii="Times New Roman" w:hAnsi="Times New Roman"/>
          <w:sz w:val="28"/>
          <w:szCs w:val="28"/>
        </w:rPr>
        <w:t>.................................................</w:t>
      </w:r>
      <w:r w:rsidR="0096376C">
        <w:rPr>
          <w:rFonts w:ascii="Times New Roman" w:hAnsi="Times New Roman"/>
          <w:sz w:val="28"/>
          <w:szCs w:val="28"/>
        </w:rPr>
        <w:t>458</w:t>
      </w:r>
    </w:p>
    <w:p w:rsidR="005A19CB" w:rsidRDefault="005A19CB" w:rsidP="005A3DF4">
      <w:pPr>
        <w:widowControl w:val="0"/>
        <w:shd w:val="clear" w:color="auto" w:fill="FFFFFF"/>
        <w:spacing w:after="0" w:line="240" w:lineRule="auto"/>
        <w:jc w:val="both"/>
        <w:rPr>
          <w:rFonts w:ascii="Times New Roman" w:hAnsi="Times New Roman"/>
          <w:sz w:val="28"/>
          <w:szCs w:val="28"/>
        </w:rPr>
      </w:pPr>
    </w:p>
    <w:p w:rsidR="005A19CB" w:rsidRDefault="005A19CB" w:rsidP="005A19CB">
      <w:pPr>
        <w:widowControl w:val="0"/>
        <w:shd w:val="clear" w:color="auto" w:fill="FFFFFF"/>
        <w:spacing w:after="0" w:line="240" w:lineRule="auto"/>
        <w:jc w:val="both"/>
        <w:rPr>
          <w:rFonts w:ascii="Times New Roman" w:hAnsi="Times New Roman"/>
          <w:sz w:val="28"/>
          <w:szCs w:val="28"/>
        </w:rPr>
      </w:pPr>
      <w:r w:rsidRPr="00584BA8">
        <w:rPr>
          <w:rFonts w:ascii="Times New Roman" w:hAnsi="Times New Roman"/>
          <w:b/>
          <w:sz w:val="28"/>
          <w:szCs w:val="28"/>
        </w:rPr>
        <w:t>СОБЛЮДЕНИЕ ПРАВ ЧЕЛОВЕКА В ПРИМОРСКОМ КРАЕ</w:t>
      </w:r>
      <w:r>
        <w:rPr>
          <w:rFonts w:ascii="Times New Roman" w:hAnsi="Times New Roman"/>
          <w:sz w:val="28"/>
          <w:szCs w:val="28"/>
        </w:rPr>
        <w:t>……</w:t>
      </w:r>
      <w:r w:rsidR="00281ADF">
        <w:rPr>
          <w:rFonts w:ascii="Times New Roman" w:hAnsi="Times New Roman"/>
          <w:sz w:val="28"/>
          <w:szCs w:val="28"/>
        </w:rPr>
        <w:t>…471</w:t>
      </w:r>
    </w:p>
    <w:p w:rsidR="005A19CB" w:rsidRDefault="005A19CB" w:rsidP="005A19CB">
      <w:pPr>
        <w:widowControl w:val="0"/>
        <w:shd w:val="clear" w:color="auto" w:fill="FFFFFF"/>
        <w:spacing w:after="0" w:line="240" w:lineRule="auto"/>
        <w:jc w:val="both"/>
        <w:rPr>
          <w:rFonts w:ascii="Times New Roman" w:hAnsi="Times New Roman"/>
          <w:sz w:val="28"/>
          <w:szCs w:val="28"/>
        </w:rPr>
      </w:pPr>
      <w:r>
        <w:rPr>
          <w:rFonts w:ascii="Times New Roman" w:hAnsi="Times New Roman"/>
          <w:sz w:val="28"/>
          <w:szCs w:val="28"/>
        </w:rPr>
        <w:t>Бурцева С.С. Проблемы правового регулирования договора коммерческого найма жилого помещения…………………………………………………</w:t>
      </w:r>
      <w:r w:rsidR="00281ADF">
        <w:rPr>
          <w:rFonts w:ascii="Times New Roman" w:hAnsi="Times New Roman"/>
          <w:sz w:val="28"/>
          <w:szCs w:val="28"/>
        </w:rPr>
        <w:t>…</w:t>
      </w:r>
      <w:r>
        <w:rPr>
          <w:rFonts w:ascii="Times New Roman" w:hAnsi="Times New Roman"/>
          <w:sz w:val="28"/>
          <w:szCs w:val="28"/>
        </w:rPr>
        <w:t>..</w:t>
      </w:r>
      <w:r w:rsidR="00281ADF">
        <w:rPr>
          <w:rFonts w:ascii="Times New Roman" w:hAnsi="Times New Roman"/>
          <w:sz w:val="28"/>
          <w:szCs w:val="28"/>
        </w:rPr>
        <w:t>471</w:t>
      </w:r>
    </w:p>
    <w:p w:rsidR="005A19CB" w:rsidRDefault="005A19CB" w:rsidP="005A19CB">
      <w:pPr>
        <w:widowControl w:val="0"/>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Голубева В.А. Деятельность комиссий по делам несовершеннолетних и защите их прав по профилактике правонарушений во Владивостокском городском </w:t>
      </w:r>
      <w:r w:rsidR="00281ADF">
        <w:rPr>
          <w:rFonts w:ascii="Times New Roman" w:hAnsi="Times New Roman"/>
          <w:sz w:val="28"/>
          <w:szCs w:val="28"/>
        </w:rPr>
        <w:t>округе………………………………………………………………493</w:t>
      </w:r>
      <w:r>
        <w:rPr>
          <w:rFonts w:ascii="Times New Roman" w:hAnsi="Times New Roman"/>
          <w:sz w:val="28"/>
          <w:szCs w:val="28"/>
        </w:rPr>
        <w:t xml:space="preserve"> </w:t>
      </w:r>
    </w:p>
    <w:p w:rsidR="005A19CB" w:rsidRDefault="005A19CB" w:rsidP="005A19CB">
      <w:pPr>
        <w:widowControl w:val="0"/>
        <w:shd w:val="clear" w:color="auto" w:fill="FFFFFF"/>
        <w:spacing w:after="0" w:line="240" w:lineRule="auto"/>
        <w:jc w:val="both"/>
        <w:rPr>
          <w:rFonts w:ascii="Times New Roman" w:hAnsi="Times New Roman"/>
          <w:sz w:val="28"/>
          <w:szCs w:val="28"/>
        </w:rPr>
      </w:pPr>
      <w:r>
        <w:rPr>
          <w:rFonts w:ascii="Times New Roman" w:hAnsi="Times New Roman"/>
          <w:sz w:val="28"/>
          <w:szCs w:val="28"/>
        </w:rPr>
        <w:t>Горбенко И.В. Защита прав граждан при возникновении стихийных бедствий. Вопросы защиты прав граждан по вопросу возмещения ущерба, нанесенного стихией в Приморском крае………………………………………………….</w:t>
      </w:r>
      <w:r w:rsidR="00281ADF">
        <w:rPr>
          <w:rFonts w:ascii="Times New Roman" w:hAnsi="Times New Roman"/>
          <w:sz w:val="28"/>
          <w:szCs w:val="28"/>
        </w:rPr>
        <w:t>538</w:t>
      </w:r>
    </w:p>
    <w:p w:rsidR="005A19CB" w:rsidRDefault="005A19CB" w:rsidP="005A19CB">
      <w:pPr>
        <w:widowControl w:val="0"/>
        <w:shd w:val="clear" w:color="auto" w:fill="FFFFFF"/>
        <w:spacing w:after="0" w:line="240" w:lineRule="auto"/>
        <w:jc w:val="both"/>
        <w:rPr>
          <w:rFonts w:ascii="Times New Roman" w:hAnsi="Times New Roman"/>
          <w:sz w:val="28"/>
          <w:szCs w:val="28"/>
        </w:rPr>
      </w:pPr>
      <w:r>
        <w:rPr>
          <w:rFonts w:ascii="Times New Roman" w:hAnsi="Times New Roman"/>
          <w:sz w:val="28"/>
          <w:szCs w:val="28"/>
        </w:rPr>
        <w:t>Медведева Ю.Д. Реализация права несовершеннолетних граждан Приморского края на оказания паллиативной помощи……………………</w:t>
      </w:r>
      <w:r w:rsidR="00281ADF">
        <w:rPr>
          <w:rFonts w:ascii="Times New Roman" w:hAnsi="Times New Roman"/>
          <w:sz w:val="28"/>
          <w:szCs w:val="28"/>
        </w:rPr>
        <w:t>561</w:t>
      </w:r>
      <w:r>
        <w:rPr>
          <w:rFonts w:ascii="Times New Roman" w:hAnsi="Times New Roman"/>
          <w:sz w:val="28"/>
          <w:szCs w:val="28"/>
        </w:rPr>
        <w:t xml:space="preserve"> </w:t>
      </w:r>
    </w:p>
    <w:p w:rsidR="005A19CB" w:rsidRPr="00414636" w:rsidRDefault="005A19CB" w:rsidP="005A19CB">
      <w:pPr>
        <w:widowControl w:val="0"/>
        <w:shd w:val="clear" w:color="auto" w:fill="FFFFFF"/>
        <w:spacing w:after="0" w:line="240" w:lineRule="auto"/>
        <w:jc w:val="both"/>
        <w:rPr>
          <w:rFonts w:ascii="Times New Roman" w:eastAsia="Times New Roman" w:hAnsi="Times New Roman"/>
          <w:kern w:val="36"/>
          <w:sz w:val="28"/>
          <w:szCs w:val="28"/>
          <w:lang w:eastAsia="ru-RU"/>
        </w:rPr>
      </w:pPr>
      <w:r>
        <w:rPr>
          <w:rFonts w:ascii="Times New Roman" w:hAnsi="Times New Roman"/>
          <w:sz w:val="28"/>
          <w:szCs w:val="28"/>
        </w:rPr>
        <w:t>Хуторная Ю.В. Правовое регулирование защиты прав пациентов как потребителей медицинских услуг…………………………………………….</w:t>
      </w:r>
      <w:r w:rsidR="00281ADF">
        <w:rPr>
          <w:rFonts w:ascii="Times New Roman" w:hAnsi="Times New Roman"/>
          <w:sz w:val="28"/>
          <w:szCs w:val="28"/>
        </w:rPr>
        <w:t>582</w:t>
      </w:r>
    </w:p>
    <w:p w:rsidR="005A19CB" w:rsidRPr="00414636" w:rsidRDefault="005A19CB" w:rsidP="005A3DF4">
      <w:pPr>
        <w:widowControl w:val="0"/>
        <w:shd w:val="clear" w:color="auto" w:fill="FFFFFF"/>
        <w:spacing w:after="0" w:line="240" w:lineRule="auto"/>
        <w:jc w:val="both"/>
        <w:rPr>
          <w:rFonts w:ascii="Times New Roman" w:eastAsia="Times New Roman" w:hAnsi="Times New Roman"/>
          <w:kern w:val="36"/>
          <w:sz w:val="28"/>
          <w:szCs w:val="28"/>
          <w:lang w:eastAsia="ru-RU"/>
        </w:rPr>
      </w:pPr>
    </w:p>
    <w:p w:rsidR="007C364C" w:rsidRDefault="007C364C" w:rsidP="005A3DF4">
      <w:pPr>
        <w:widowControl w:val="0"/>
        <w:spacing w:after="0" w:line="240" w:lineRule="auto"/>
        <w:ind w:left="709"/>
        <w:contextualSpacing/>
        <w:rPr>
          <w:rFonts w:ascii="Times New Roman" w:hAnsi="Times New Roman"/>
          <w:b/>
          <w:sz w:val="28"/>
          <w:szCs w:val="28"/>
        </w:rPr>
      </w:pPr>
    </w:p>
    <w:p w:rsidR="007C364C" w:rsidRDefault="007C364C" w:rsidP="005A3DF4">
      <w:pPr>
        <w:widowControl w:val="0"/>
        <w:spacing w:after="0" w:line="240" w:lineRule="auto"/>
        <w:ind w:left="709"/>
        <w:contextualSpacing/>
        <w:rPr>
          <w:rFonts w:ascii="Times New Roman" w:hAnsi="Times New Roman"/>
          <w:b/>
          <w:sz w:val="28"/>
          <w:szCs w:val="28"/>
        </w:rPr>
      </w:pPr>
    </w:p>
    <w:p w:rsidR="007C364C" w:rsidRDefault="007C364C" w:rsidP="005A3DF4">
      <w:pPr>
        <w:widowControl w:val="0"/>
        <w:spacing w:after="0" w:line="240" w:lineRule="auto"/>
        <w:ind w:left="709"/>
        <w:contextualSpacing/>
        <w:rPr>
          <w:rFonts w:ascii="Times New Roman" w:hAnsi="Times New Roman"/>
          <w:b/>
          <w:sz w:val="28"/>
          <w:szCs w:val="28"/>
        </w:rPr>
      </w:pPr>
    </w:p>
    <w:p w:rsidR="007C364C" w:rsidRDefault="007C364C" w:rsidP="005A3DF4">
      <w:pPr>
        <w:widowControl w:val="0"/>
        <w:spacing w:after="0" w:line="240" w:lineRule="auto"/>
        <w:ind w:left="709"/>
        <w:contextualSpacing/>
        <w:rPr>
          <w:rFonts w:ascii="Times New Roman" w:hAnsi="Times New Roman"/>
          <w:b/>
          <w:sz w:val="28"/>
          <w:szCs w:val="28"/>
        </w:rPr>
      </w:pPr>
    </w:p>
    <w:p w:rsidR="007C364C" w:rsidRDefault="007C364C" w:rsidP="005A3DF4">
      <w:pPr>
        <w:widowControl w:val="0"/>
        <w:spacing w:after="0" w:line="240" w:lineRule="auto"/>
        <w:ind w:left="709"/>
        <w:contextualSpacing/>
        <w:rPr>
          <w:rFonts w:ascii="Times New Roman" w:hAnsi="Times New Roman"/>
          <w:b/>
          <w:sz w:val="28"/>
          <w:szCs w:val="28"/>
        </w:rPr>
      </w:pPr>
    </w:p>
    <w:p w:rsidR="007C364C" w:rsidRDefault="007C364C" w:rsidP="005A3DF4">
      <w:pPr>
        <w:widowControl w:val="0"/>
        <w:spacing w:after="0" w:line="240" w:lineRule="auto"/>
        <w:ind w:left="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7C364C" w:rsidRDefault="007C364C" w:rsidP="005A3DF4">
      <w:pPr>
        <w:widowControl w:val="0"/>
        <w:spacing w:after="0" w:line="240" w:lineRule="auto"/>
        <w:ind w:firstLine="709"/>
        <w:contextualSpacing/>
        <w:rPr>
          <w:rFonts w:ascii="Times New Roman" w:hAnsi="Times New Roman"/>
          <w:b/>
          <w:sz w:val="28"/>
          <w:szCs w:val="28"/>
        </w:rPr>
      </w:pPr>
    </w:p>
    <w:p w:rsidR="00243511" w:rsidRDefault="00243511" w:rsidP="005A3DF4">
      <w:pPr>
        <w:widowControl w:val="0"/>
        <w:spacing w:after="0" w:line="240" w:lineRule="auto"/>
        <w:ind w:firstLine="709"/>
        <w:contextualSpacing/>
        <w:rPr>
          <w:rFonts w:ascii="Times New Roman" w:hAnsi="Times New Roman"/>
          <w:b/>
          <w:sz w:val="28"/>
          <w:szCs w:val="28"/>
        </w:rPr>
      </w:pPr>
    </w:p>
    <w:p w:rsidR="00243511" w:rsidRDefault="00243511" w:rsidP="005A3DF4">
      <w:pPr>
        <w:widowControl w:val="0"/>
        <w:spacing w:after="0" w:line="240" w:lineRule="auto"/>
        <w:ind w:firstLine="709"/>
        <w:contextualSpacing/>
        <w:rPr>
          <w:rFonts w:ascii="Times New Roman" w:hAnsi="Times New Roman"/>
          <w:b/>
          <w:sz w:val="28"/>
          <w:szCs w:val="28"/>
        </w:rPr>
      </w:pPr>
    </w:p>
    <w:p w:rsidR="00A75F9F" w:rsidRPr="00467B95" w:rsidRDefault="00DA4C0E" w:rsidP="005A3DF4">
      <w:pPr>
        <w:widowControl w:val="0"/>
        <w:spacing w:after="0" w:line="240" w:lineRule="auto"/>
        <w:contextualSpacing/>
        <w:rPr>
          <w:rFonts w:ascii="Times New Roman" w:hAnsi="Times New Roman"/>
          <w:b/>
          <w:sz w:val="28"/>
          <w:szCs w:val="28"/>
        </w:rPr>
      </w:pPr>
      <w:r w:rsidRPr="00467B95">
        <w:rPr>
          <w:rFonts w:ascii="Times New Roman" w:hAnsi="Times New Roman"/>
          <w:b/>
          <w:sz w:val="28"/>
          <w:szCs w:val="28"/>
        </w:rPr>
        <w:lastRenderedPageBreak/>
        <w:t>СРАВНИТЕЛЬНОЕ ПРАВОВЕДЕНИЕ</w:t>
      </w:r>
    </w:p>
    <w:p w:rsidR="00EE179A" w:rsidRPr="00467B95" w:rsidRDefault="00EE179A" w:rsidP="005A3DF4">
      <w:pPr>
        <w:widowControl w:val="0"/>
        <w:spacing w:after="0" w:line="240" w:lineRule="auto"/>
        <w:ind w:firstLine="709"/>
        <w:contextualSpacing/>
        <w:rPr>
          <w:rFonts w:ascii="Times New Roman" w:hAnsi="Times New Roman"/>
          <w:sz w:val="28"/>
          <w:szCs w:val="28"/>
        </w:rPr>
      </w:pP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Условия усыновления детей-граждан Российской Федерации гражданами стран Северо-Восточной Азии</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Андрюшок Дарья Павловна,</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бакалавр</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Владивостокский государственный университет экономики и сервиса</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Россия. Владивосток</w:t>
      </w:r>
    </w:p>
    <w:p w:rsidR="0000108B" w:rsidRPr="0004316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val="en-US" w:eastAsia="ru-RU"/>
        </w:rPr>
        <w:t>E</w:t>
      </w:r>
      <w:r w:rsidRPr="00467B95">
        <w:rPr>
          <w:rFonts w:ascii="Times New Roman" w:eastAsia="Times New Roman" w:hAnsi="Times New Roman"/>
          <w:kern w:val="36"/>
          <w:sz w:val="28"/>
          <w:szCs w:val="28"/>
          <w:lang w:eastAsia="ru-RU"/>
        </w:rPr>
        <w:t>-</w:t>
      </w:r>
      <w:r w:rsidRPr="00043165">
        <w:rPr>
          <w:rFonts w:ascii="Times New Roman" w:eastAsia="Times New Roman" w:hAnsi="Times New Roman"/>
          <w:kern w:val="36"/>
          <w:sz w:val="28"/>
          <w:szCs w:val="28"/>
          <w:lang w:val="en-US" w:eastAsia="ru-RU"/>
        </w:rPr>
        <w:t>mail</w:t>
      </w:r>
      <w:r w:rsidRPr="00043165">
        <w:rPr>
          <w:rFonts w:ascii="Times New Roman" w:eastAsia="Times New Roman" w:hAnsi="Times New Roman"/>
          <w:kern w:val="36"/>
          <w:sz w:val="28"/>
          <w:szCs w:val="28"/>
          <w:lang w:eastAsia="ru-RU"/>
        </w:rPr>
        <w:t>:</w:t>
      </w:r>
      <w:r w:rsidRPr="00043165">
        <w:rPr>
          <w:rFonts w:ascii="Times New Roman" w:hAnsi="Times New Roman"/>
          <w:sz w:val="28"/>
          <w:szCs w:val="28"/>
        </w:rPr>
        <w:t xml:space="preserve"> </w:t>
      </w:r>
      <w:hyperlink r:id="rId9" w:history="1">
        <w:r w:rsidRPr="00043165">
          <w:rPr>
            <w:rStyle w:val="a8"/>
            <w:rFonts w:ascii="Times New Roman" w:eastAsia="Times New Roman" w:hAnsi="Times New Roman"/>
            <w:color w:val="auto"/>
            <w:kern w:val="36"/>
            <w:sz w:val="28"/>
            <w:szCs w:val="28"/>
            <w:u w:val="none"/>
            <w:lang w:val="en-US" w:eastAsia="ru-RU"/>
          </w:rPr>
          <w:t>starikova</w:t>
        </w:r>
        <w:r w:rsidRPr="00043165">
          <w:rPr>
            <w:rStyle w:val="a8"/>
            <w:rFonts w:ascii="Times New Roman" w:eastAsia="Times New Roman" w:hAnsi="Times New Roman"/>
            <w:color w:val="auto"/>
            <w:kern w:val="36"/>
            <w:sz w:val="28"/>
            <w:szCs w:val="28"/>
            <w:u w:val="none"/>
            <w:lang w:eastAsia="ru-RU"/>
          </w:rPr>
          <w:t>-</w:t>
        </w:r>
        <w:r w:rsidRPr="00043165">
          <w:rPr>
            <w:rStyle w:val="a8"/>
            <w:rFonts w:ascii="Times New Roman" w:eastAsia="Times New Roman" w:hAnsi="Times New Roman"/>
            <w:color w:val="auto"/>
            <w:kern w:val="36"/>
            <w:sz w:val="28"/>
            <w:szCs w:val="28"/>
            <w:u w:val="none"/>
            <w:lang w:val="en-US" w:eastAsia="ru-RU"/>
          </w:rPr>
          <w:t>dasha</w:t>
        </w:r>
        <w:r w:rsidRPr="00043165">
          <w:rPr>
            <w:rStyle w:val="a8"/>
            <w:rFonts w:ascii="Times New Roman" w:eastAsia="Times New Roman" w:hAnsi="Times New Roman"/>
            <w:color w:val="auto"/>
            <w:kern w:val="36"/>
            <w:sz w:val="28"/>
            <w:szCs w:val="28"/>
            <w:u w:val="none"/>
            <w:lang w:eastAsia="ru-RU"/>
          </w:rPr>
          <w:t>@</w:t>
        </w:r>
        <w:r w:rsidRPr="00043165">
          <w:rPr>
            <w:rStyle w:val="a8"/>
            <w:rFonts w:ascii="Times New Roman" w:eastAsia="Times New Roman" w:hAnsi="Times New Roman"/>
            <w:color w:val="auto"/>
            <w:kern w:val="36"/>
            <w:sz w:val="28"/>
            <w:szCs w:val="28"/>
            <w:u w:val="none"/>
            <w:lang w:val="en-US" w:eastAsia="ru-RU"/>
          </w:rPr>
          <w:t>mail</w:t>
        </w:r>
        <w:r w:rsidRPr="00043165">
          <w:rPr>
            <w:rStyle w:val="a8"/>
            <w:rFonts w:ascii="Times New Roman" w:eastAsia="Times New Roman" w:hAnsi="Times New Roman"/>
            <w:color w:val="auto"/>
            <w:kern w:val="36"/>
            <w:sz w:val="28"/>
            <w:szCs w:val="28"/>
            <w:u w:val="none"/>
            <w:lang w:eastAsia="ru-RU"/>
          </w:rPr>
          <w:t>.</w:t>
        </w:r>
        <w:r w:rsidRPr="00043165">
          <w:rPr>
            <w:rStyle w:val="a8"/>
            <w:rFonts w:ascii="Times New Roman" w:eastAsia="Times New Roman" w:hAnsi="Times New Roman"/>
            <w:color w:val="auto"/>
            <w:kern w:val="36"/>
            <w:sz w:val="28"/>
            <w:szCs w:val="28"/>
            <w:u w:val="none"/>
            <w:lang w:val="en-US" w:eastAsia="ru-RU"/>
          </w:rPr>
          <w:t>ru</w:t>
        </w:r>
      </w:hyperlink>
      <w:r w:rsidRPr="00043165">
        <w:rPr>
          <w:rFonts w:ascii="Times New Roman" w:eastAsia="Times New Roman" w:hAnsi="Times New Roman"/>
          <w:kern w:val="36"/>
          <w:sz w:val="28"/>
          <w:szCs w:val="28"/>
          <w:lang w:eastAsia="ru-RU"/>
        </w:rPr>
        <w:t>; тел.: +79532271735</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043165">
        <w:rPr>
          <w:rFonts w:ascii="Times New Roman" w:eastAsia="Times New Roman" w:hAnsi="Times New Roman"/>
          <w:kern w:val="36"/>
          <w:sz w:val="28"/>
          <w:szCs w:val="28"/>
          <w:lang w:eastAsia="ru-RU"/>
        </w:rPr>
        <w:t>ул. Гоголя, 41, г. Владивосток, Приморский</w:t>
      </w:r>
      <w:r w:rsidRPr="00467B95">
        <w:rPr>
          <w:rFonts w:ascii="Times New Roman" w:eastAsia="Times New Roman" w:hAnsi="Times New Roman"/>
          <w:kern w:val="36"/>
          <w:sz w:val="28"/>
          <w:szCs w:val="28"/>
          <w:lang w:eastAsia="ru-RU"/>
        </w:rPr>
        <w:t xml:space="preserve"> край, Россия, 690014</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00108B" w:rsidRPr="00467B95" w:rsidRDefault="009B2968"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 xml:space="preserve">   </w:t>
      </w:r>
      <w:r w:rsidR="0000108B" w:rsidRPr="00467B95">
        <w:rPr>
          <w:rFonts w:ascii="Times New Roman" w:eastAsia="Times New Roman" w:hAnsi="Times New Roman"/>
          <w:i/>
          <w:kern w:val="36"/>
          <w:sz w:val="28"/>
          <w:szCs w:val="28"/>
          <w:lang w:eastAsia="ru-RU"/>
        </w:rPr>
        <w:t>Вопросы, касающиеся регулирования международного усыновления (удочерения) детей, являются наиболее приоритетными для Российской Федерации в области семейного, конституционного, административного, международного и международного частного права в связи с тем, что дети, оставшиеся без попечения родителей, нуждаются в особой защите со стороны государства, так как они лишены права на воспитание в семье и полноценного роста в семейном окружении.</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F732A2">
        <w:rPr>
          <w:rFonts w:ascii="Times New Roman" w:eastAsia="Times New Roman" w:hAnsi="Times New Roman"/>
          <w:i/>
          <w:kern w:val="36"/>
          <w:sz w:val="28"/>
          <w:szCs w:val="28"/>
          <w:lang w:eastAsia="ru-RU"/>
        </w:rPr>
        <w:t>Ключевые слова и словосочетания:</w:t>
      </w:r>
      <w:r w:rsidRPr="00467B95">
        <w:rPr>
          <w:rFonts w:ascii="Times New Roman" w:eastAsia="Times New Roman" w:hAnsi="Times New Roman"/>
          <w:i/>
          <w:kern w:val="36"/>
          <w:sz w:val="28"/>
          <w:szCs w:val="28"/>
          <w:lang w:eastAsia="ru-RU"/>
        </w:rPr>
        <w:t xml:space="preserve"> международное усыновление, иностранное законодательство, международный договор, национальное законодательство.</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Terms of adoption of children-citizens of the Russian Federation by citizens of the countries of Northeast Asia</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Matters relating to the regulation of international adoption (adoption) of children are of highest priority for the Russian Federation in the field of family, constitutional, administrative, international and international private law due to the fact that children left without parental care need special protection from side of the state, as they are deprived of the right to upbringing in the family and full growth in the family environment.</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F732A2">
        <w:rPr>
          <w:rFonts w:ascii="Times New Roman" w:eastAsia="Times New Roman" w:hAnsi="Times New Roman"/>
          <w:i/>
          <w:kern w:val="36"/>
          <w:sz w:val="28"/>
          <w:szCs w:val="28"/>
          <w:lang w:val="en-US" w:eastAsia="ru-RU"/>
        </w:rPr>
        <w:t>Keywords: international</w:t>
      </w:r>
      <w:r w:rsidRPr="00467B95">
        <w:rPr>
          <w:rFonts w:ascii="Times New Roman" w:eastAsia="Times New Roman" w:hAnsi="Times New Roman"/>
          <w:i/>
          <w:kern w:val="36"/>
          <w:sz w:val="28"/>
          <w:szCs w:val="28"/>
          <w:lang w:val="en-US" w:eastAsia="ru-RU"/>
        </w:rPr>
        <w:t xml:space="preserve"> adoption, foreign legislation, international treaty, national legislation.</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Особую значимость в современном семейном законодательстве приобретают вопросы устройства детей, оставшихся без попечения родителей, посредством усыновления (удочерения) таких детей российскими гражданами, а также гражданами иностранных государств.</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Целью настоящей работы является рассмотрение условий и порядка международного усыновления, а также исследование особенностей источников правового регулирования института усыновления (удочерения) </w:t>
      </w:r>
      <w:r w:rsidRPr="00467B95">
        <w:rPr>
          <w:rFonts w:ascii="Times New Roman" w:eastAsia="Times New Roman" w:hAnsi="Times New Roman"/>
          <w:sz w:val="28"/>
          <w:szCs w:val="28"/>
          <w:lang w:eastAsia="ru-RU"/>
        </w:rPr>
        <w:lastRenderedPageBreak/>
        <w:t>детей, оставшихся без попечения родителей.</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В качестве объекта исследования выступают отношения по усыновлению (удочерению) детей-граждан Российской Федерации иностранными гражданами. </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Предметом исследования являются нормы российского конституционного, административного, семейного права и других отраслей права, иностранные нормы в сфере усыновления, нормы международных договоров о сотрудничестве в области усыновления (удочерения) детей и о правовой помощи, судебная практика по вопросам международного усыновления, а также защиты прав детей, оставшихся без попечения родителей.</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Усыновление считается международным, когда оно осуществляется:</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1) иностранными гражданами или лицами без гражданства в отношении ребенка-гражданина РФ на территории России;</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2) иностранными гражданами или лицами без гражданства в отношении ребенка-гражданина РФ за пределами территории Российской Федерации;</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3) российскими гражданами в отношении ребенка, являющегося иностранным гражданином, на территории Российской Федерации;</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4) российскими гражданами в отношении ребенка, являющегося иностранным гражданином, на территории иностранного государства [1, с. 510].</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На основе раздела Семейного кодекса Российской Федерации «Усыновление» можно определить, что под условием усыновления (удочерения) детей понимаются установленные в законодательстве обстоятельства, при которых существует возможность процедуры усыновления, а также совокупность требований, предъявляемых к каждой из сторон в рамках данной процедуры.</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Можно выделить три категории условий усыновления (удочерения) детей:</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условия (требования), предъявляемые к усыновителям;</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условия (обстоятельства), которым должен соответствовать ребенок;</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условия (правила), относящиеся к порядку (возможности усыновления).</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Установленные законодателем определенные условия усыновления детей, оставшихся без попечения родителей, позволяют установить в отношении каких детей разрешается процедура устройства усыновления (удочерения) ребенка.</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 в статье 125 Семейного кодекса Российской Федерации российский законодатель установил критерии детей, в отношении которых разрешается такая форма устройства как усыновление (удочерение), это несовершеннолетние дети, которые остались без попечения родителей [2].</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Условиями международного усыновления, относящимися к возможности усыновления, являются следующие:</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а) когда не представляется возможным передать таких детей на </w:t>
      </w:r>
      <w:r w:rsidRPr="00467B95">
        <w:rPr>
          <w:rFonts w:ascii="Times New Roman" w:eastAsia="Times New Roman" w:hAnsi="Times New Roman"/>
          <w:sz w:val="28"/>
          <w:szCs w:val="28"/>
          <w:lang w:eastAsia="ru-RU"/>
        </w:rPr>
        <w:lastRenderedPageBreak/>
        <w:t>воспитание в семьи граждан Российской Федерации или постоянно проживающих на территории Российской Федерации, либо на усыновление родственникам этих детей независимо от гражданства и места жительства этих родственников;</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б) соблюдения интересов детей, учитывая их этническое происхождение, принадлежность к определенной религии и культуре, родного языка и возможность обеспечения преемственности в воспитании и образовании ребенка;</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соблюдения и с учетом возможностей обеспечить детям полноценное физическое, психическое, духовное и нравственное развитие [2].</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Семейным законодательством Российской Федерации определены категории лиц, которые могут быть усыновителями, это граждане Российской Федерации, иностранные граждане или лица без гражданства, которые соответствуют следующим требованиям:</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совершеннолетние лица обоего пола;</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лица, состоящие между собой в зарегистрированном браке. Если данное требование не будет соблюдено усыновителями, то усыновить одного и того же ребенка данным лицам будет запрещено [2].</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Важным вопросом при международном усыновлении является соблюдение норм иностранного государства, касающихся условий (требований), предъявляемых к кандидатам в усыновители, а также возможность в данном случае применения норм непосредственного действия, которые содержатся в семейном законодательстве Российской Федерации.</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случае, если условия (требования), предъявляемые к усыновителю, которые определяются правом гражданства усыновителя будут противоречить нормам непосредственного применения Российской Федерации, то такое противоречие может привести к нарушению публичного порядка Российской Федерации.</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информационном письме № 156 от 26.02.2013 Президиума Высшего Арбитражного Суда Российской Федерации суд указал, что под публичным порядком понимаются фундаментальные правовые начала (принципы), которые обладают высшей императивностью, универсальностью, особой общественной и публичной значимостью и составляют основу построения экономической, политической, правовой системы государства [3].</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Противоречие норме национального семейного законодательства Российской Федерации, касающейся требований для лиц, имеющих право быть усыновителями (ст. 127 Семейного кодекса Российской Федерации) наблюдается в норме Японского закона, устанавливающей право быть усыновителями несовершеннолетним лицам при вступлении ими в брак. </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 по семейному законодательству Японии усыновитель должен быть совершеннолетним. Вместе с тем, в случае, если несовершеннолетнее лицо состоит в браке, то за ним признается право усыновить (удочерить) ребенка, так как при вступлении в брак несовершеннолетний приобретает полную дееспособность [4].</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lastRenderedPageBreak/>
        <w:t>Данное условие противоречит публичному порядку Российской Федерации, так как в норме непосредственного применения (ст. 127 Семейного кодекса Российской Федерации) установлено, что усыновителями могут быть только совершеннолетние лица обоего пола [2]. Исключений в виде вступления в брак несовершеннолетних кандидатов в усыновители семейное законодательство Российской Федерации не предусматривает.</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Разграничив условия усыновления (удочерения), содержащиеся в законодательстве стран Северо-Восточной Азии и Российской Федерации на общие и особенные, можно установить, насколько различны нормы об условиях усыновления в разных государствах.</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Если говорить об условиях, предъявляемых к кандидатам в усыновители, то общим в данной категории будет условие о совершеннолетии лиц обоего пола [2], особенными же условиями будут выступать требования о возрасте усыновителя в 30 лет и более, об отсутствии детей у кандидатов в усыновители, о способности воспитать и дать образование усыновляемому ребенку [5].</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 например, японский законодатель устанавливает только требования в совершеннолетнем возрасте для усыновителя, что касается законодательства Китайской Народной Республики, то оно содержит требования о возрасте усыновителя в 30 лет и более, об отсутствии детей (исключение составляют случаи усыновления детей кровных родственников по боковой линии того же поколения в пределах трех степеней родства, а также усыновление сирот, детей-инвалидов, детей-подкидышей, находящихся на содержании органа социального благосостояния и детей, чьи биологические родители не могут быть установлены), о способности воспитать и дать образование усыновляемому ребенку [5]. В Российской Федерации не устанавливается таких ограничений, предъявляемых к лицам, которые имеют право быть усыновителями. По семейному законодательству Российской Федерации (ст. 127) усыновителя могут быть совершеннолетние лица обоего пола и лица, состоящие между собой в зарегистрированном браке (для усыновления одного и того же ребенка) [2].</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Законодательство Китая устанавливает особые требования и ограничения, предъявляемые к лицам, которые имеют право быть усыновителями и должны соответствовать одновременно перечисленным требованиям:</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1</w:t>
      </w:r>
      <w:r w:rsidR="00F732A2">
        <w:rPr>
          <w:rFonts w:ascii="Times New Roman" w:eastAsia="Times New Roman" w:hAnsi="Times New Roman"/>
          <w:sz w:val="28"/>
          <w:szCs w:val="28"/>
          <w:lang w:eastAsia="ru-RU"/>
        </w:rPr>
        <w:t xml:space="preserve"> </w:t>
      </w:r>
      <w:r w:rsidRPr="00467B95">
        <w:rPr>
          <w:rFonts w:ascii="Times New Roman" w:eastAsia="Times New Roman" w:hAnsi="Times New Roman"/>
          <w:sz w:val="28"/>
          <w:szCs w:val="28"/>
          <w:lang w:eastAsia="ru-RU"/>
        </w:rPr>
        <w:t>«отсутствие детей, исключением является случаи, при усыновлении детей кровных родственников по боковой линии того же поколения в пределах трех степеней родства, а также при усыновлении сирот, детей-инвалидов, детей-подкидышей, находящихся на содержании органа социального благосостояния и детей, чьи биологические родители не могут быть установлены;</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2</w:t>
      </w:r>
      <w:r w:rsidR="00F732A2">
        <w:rPr>
          <w:rFonts w:ascii="Times New Roman" w:eastAsia="Times New Roman" w:hAnsi="Times New Roman"/>
          <w:sz w:val="28"/>
          <w:szCs w:val="28"/>
          <w:lang w:eastAsia="ru-RU"/>
        </w:rPr>
        <w:t xml:space="preserve"> </w:t>
      </w:r>
      <w:r w:rsidRPr="00467B95">
        <w:rPr>
          <w:rFonts w:ascii="Times New Roman" w:eastAsia="Times New Roman" w:hAnsi="Times New Roman"/>
          <w:sz w:val="28"/>
          <w:szCs w:val="28"/>
          <w:lang w:eastAsia="ru-RU"/>
        </w:rPr>
        <w:t>способность воспитывать и дать образование усыновляемому;</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3</w:t>
      </w:r>
      <w:r w:rsidR="00F732A2">
        <w:rPr>
          <w:rFonts w:ascii="Times New Roman" w:eastAsia="Times New Roman" w:hAnsi="Times New Roman"/>
          <w:sz w:val="28"/>
          <w:szCs w:val="28"/>
          <w:lang w:eastAsia="ru-RU"/>
        </w:rPr>
        <w:t xml:space="preserve"> </w:t>
      </w:r>
      <w:r w:rsidRPr="00467B95">
        <w:rPr>
          <w:rFonts w:ascii="Times New Roman" w:eastAsia="Times New Roman" w:hAnsi="Times New Roman"/>
          <w:sz w:val="28"/>
          <w:szCs w:val="28"/>
          <w:lang w:eastAsia="ru-RU"/>
        </w:rPr>
        <w:t>отсутствие болезней, при которых с медицинской точки зрения усыновление детей недопустимо»;</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lastRenderedPageBreak/>
        <w:t>4</w:t>
      </w:r>
      <w:r w:rsidR="00F732A2">
        <w:rPr>
          <w:rFonts w:ascii="Times New Roman" w:eastAsia="Times New Roman" w:hAnsi="Times New Roman"/>
          <w:sz w:val="28"/>
          <w:szCs w:val="28"/>
          <w:lang w:eastAsia="ru-RU"/>
        </w:rPr>
        <w:t xml:space="preserve"> </w:t>
      </w:r>
      <w:r w:rsidRPr="00467B95">
        <w:rPr>
          <w:rFonts w:ascii="Times New Roman" w:eastAsia="Times New Roman" w:hAnsi="Times New Roman"/>
          <w:sz w:val="28"/>
          <w:szCs w:val="28"/>
          <w:lang w:eastAsia="ru-RU"/>
        </w:rPr>
        <w:t>возраст усыновителя должен составлять 30 лет и более [5].</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Закрепляя в законодательном акте ограничение, связанное с возрастом усыновителя в 30 лет и более, законодатель предусматривает факт того, что лица в зрелом возрасте полностью осознают взятую на себя ответственность за воспитание, содержание взятого в свою семью ребенка, эти лица способны должным образом осуществлять свои обязанности по содержанию, образованию ребенка и формированию в нем личности, оказать усыновленному ребенку надлежащее родительское воспитание.</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Общим условием, которым должен соответствовать ребенок будет являться указание на несовершеннолетие такого ребенка, который остался без попечения родителей [2]. Особенным условием в данной категории будет являться указание на точный возраст усыновляемого ребенка.</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 в законодательстве Китайской Народной Республики усыновление допускается в отношении несовершеннолетних детей в возрасте до 14 лет [5], по Японскому же законодательству усыновление допускается в отношении несовершеннолетних детей в возрасте до 15 лет с согласия законных представителей, а с 15 лет с согласия детей, оставшихся без попечения родителей [4]. В российском семейном законодательстве, в отличие от норм стран Северо-Восточной Азии, не предусмотрено конкретное ограничение в возрасте усыновляемого ребенка, а закреплено лишь положение о несовершеннолетии ребенка.</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Таким образом, в семейном законодательстве стран Северо-Восточной Азии закреплены разные нормы об условиях как для кандидатов в усыновители, так и для детей, в отношении которых допускается процедура усыновления (удочерения) детей. Также и разные условия содержатся в национальном законодательстве Российской Федерации и в семейном законодательстве стран Северо-Восточной Азии.</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Можно прийти к выводу, что вопросы защиты прав детей, оставшихся без попечения родителей, занимают важное место в системе социально-экономических прав человека и гражданина, поэтому их гарантированность и защита является одним из ключевых направлений политики и обязанностью каждого демократического государства. </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настоящее время самой распространенной и приоритетной формой устройства детей, оставшихся без попечения родителей, является усыновление, в том числе, когда оно является международным.</w:t>
      </w:r>
    </w:p>
    <w:p w:rsidR="0000108B" w:rsidRPr="00467B95" w:rsidRDefault="00E361B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00108B" w:rsidRPr="00E361B5" w:rsidRDefault="0000108B" w:rsidP="005A3DF4">
      <w:pPr>
        <w:pStyle w:val="a7"/>
        <w:widowControl w:val="0"/>
        <w:numPr>
          <w:ilvl w:val="0"/>
          <w:numId w:val="2"/>
        </w:numPr>
        <w:tabs>
          <w:tab w:val="left" w:pos="993"/>
        </w:tabs>
        <w:spacing w:after="0" w:line="240" w:lineRule="auto"/>
        <w:ind w:left="0" w:firstLine="709"/>
        <w:contextualSpacing w:val="0"/>
        <w:jc w:val="both"/>
        <w:rPr>
          <w:rFonts w:ascii="Times New Roman" w:eastAsia="Times New Roman" w:hAnsi="Times New Roman"/>
          <w:sz w:val="28"/>
          <w:szCs w:val="28"/>
          <w:lang w:eastAsia="ru-RU"/>
        </w:rPr>
      </w:pPr>
      <w:r w:rsidRPr="00E361B5">
        <w:rPr>
          <w:rFonts w:ascii="Times New Roman" w:eastAsia="Times New Roman" w:hAnsi="Times New Roman"/>
          <w:sz w:val="28"/>
          <w:szCs w:val="28"/>
          <w:lang w:eastAsia="ru-RU"/>
        </w:rPr>
        <w:t xml:space="preserve">Дмитриева Г.К. Международное частное право: учебник / под ред. Г.К. Дмитриевой. - 4-е изд. - перераб. и доп. – Москва: Проспект, 2016. – 680 с. </w:t>
      </w:r>
    </w:p>
    <w:p w:rsidR="0000108B" w:rsidRPr="00467B95" w:rsidRDefault="0000108B" w:rsidP="005A3DF4">
      <w:pPr>
        <w:widowControl w:val="0"/>
        <w:numPr>
          <w:ilvl w:val="0"/>
          <w:numId w:val="2"/>
        </w:numPr>
        <w:tabs>
          <w:tab w:val="left" w:pos="993"/>
        </w:tabs>
        <w:spacing w:after="0" w:line="240" w:lineRule="auto"/>
        <w:ind w:left="0"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Семейный кодекс Российской Федерации: федеральный закон от 29.12.1995 № 223-ФЗ (ред. от 03.08.2018) [Электронный ресурс] // СПС «Консультант плюс». - Режим доступа: http://www.consultant.ru. </w:t>
      </w:r>
    </w:p>
    <w:p w:rsidR="0000108B" w:rsidRPr="00467B95" w:rsidRDefault="0000108B" w:rsidP="005A3DF4">
      <w:pPr>
        <w:widowControl w:val="0"/>
        <w:numPr>
          <w:ilvl w:val="0"/>
          <w:numId w:val="2"/>
        </w:numPr>
        <w:tabs>
          <w:tab w:val="left" w:pos="993"/>
        </w:tabs>
        <w:spacing w:after="0" w:line="240" w:lineRule="auto"/>
        <w:ind w:left="0"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Обзор практики рассмотрения арбитражными судами дел о применении оговорки о публичном порядке как основания отказа в </w:t>
      </w:r>
      <w:r w:rsidRPr="00467B95">
        <w:rPr>
          <w:rFonts w:ascii="Times New Roman" w:eastAsia="Times New Roman" w:hAnsi="Times New Roman"/>
          <w:sz w:val="28"/>
          <w:szCs w:val="28"/>
          <w:lang w:eastAsia="ru-RU"/>
        </w:rPr>
        <w:lastRenderedPageBreak/>
        <w:t xml:space="preserve">признании и приведении в исполнение иностранных судебных и арбитражных решений: информационное письмо Президиума Высшего Арбитражного Суда Российской Федерации от 26.02.2013 № 156 [Электронный ресурс] // СПС «Консультант плюс». - Режим доступа: http://www.consultant.ru. </w:t>
      </w:r>
    </w:p>
    <w:p w:rsidR="0000108B" w:rsidRPr="00467B95" w:rsidRDefault="0000108B" w:rsidP="005A3DF4">
      <w:pPr>
        <w:widowControl w:val="0"/>
        <w:numPr>
          <w:ilvl w:val="0"/>
          <w:numId w:val="2"/>
        </w:numPr>
        <w:tabs>
          <w:tab w:val="left" w:pos="993"/>
        </w:tabs>
        <w:spacing w:after="0" w:line="240" w:lineRule="auto"/>
        <w:ind w:left="0"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Кустова В. Усыновление в Японии [Электронный ресурс] / В. Кустова // «Общество Россия-Япония». – Режим доступа: http://www.ru-jp.org/adoption.</w:t>
      </w:r>
    </w:p>
    <w:p w:rsidR="00986D95" w:rsidRPr="007C364C" w:rsidRDefault="0000108B" w:rsidP="005A3DF4">
      <w:pPr>
        <w:widowControl w:val="0"/>
        <w:spacing w:after="0" w:line="240" w:lineRule="auto"/>
        <w:ind w:firstLine="709"/>
        <w:contextualSpacing/>
        <w:jc w:val="both"/>
        <w:rPr>
          <w:rFonts w:ascii="Times New Roman" w:hAnsi="Times New Roman"/>
          <w:b/>
          <w:sz w:val="28"/>
          <w:szCs w:val="28"/>
        </w:rPr>
      </w:pPr>
      <w:r w:rsidRPr="00467B95">
        <w:rPr>
          <w:rFonts w:ascii="Times New Roman" w:eastAsia="Times New Roman" w:hAnsi="Times New Roman"/>
          <w:sz w:val="28"/>
          <w:szCs w:val="28"/>
          <w:lang w:eastAsia="ru-RU"/>
        </w:rPr>
        <w:t xml:space="preserve">Об усыновлении: </w:t>
      </w:r>
      <w:r w:rsidRPr="007C364C">
        <w:rPr>
          <w:rFonts w:ascii="Times New Roman" w:eastAsia="Times New Roman" w:hAnsi="Times New Roman"/>
          <w:sz w:val="28"/>
          <w:szCs w:val="28"/>
          <w:lang w:eastAsia="ru-RU"/>
        </w:rPr>
        <w:t>закон Китайской Народной Республики от 29.12.1991 (ред. 04.11.1998) [Электронный ресурс] // «SBF Group». - Режим доступа:</w:t>
      </w:r>
      <w:hyperlink r:id="rId10" w:history="1">
        <w:r w:rsidR="00986D95" w:rsidRPr="007C364C">
          <w:rPr>
            <w:rStyle w:val="a8"/>
            <w:rFonts w:ascii="Times New Roman" w:eastAsia="Times New Roman" w:hAnsi="Times New Roman"/>
            <w:color w:val="auto"/>
            <w:sz w:val="28"/>
            <w:szCs w:val="28"/>
            <w:u w:val="none"/>
            <w:lang w:eastAsia="ru-RU"/>
          </w:rPr>
          <w:t>http://sbf-group.com</w:t>
        </w:r>
      </w:hyperlink>
      <w:r w:rsidRPr="007C364C">
        <w:rPr>
          <w:rFonts w:ascii="Times New Roman" w:eastAsia="Times New Roman" w:hAnsi="Times New Roman"/>
          <w:sz w:val="28"/>
          <w:szCs w:val="28"/>
          <w:lang w:eastAsia="ru-RU"/>
        </w:rPr>
        <w:t>.</w:t>
      </w:r>
      <w:r w:rsidR="00986D95" w:rsidRPr="007C364C">
        <w:rPr>
          <w:rFonts w:ascii="Times New Roman" w:hAnsi="Times New Roman"/>
          <w:b/>
          <w:sz w:val="28"/>
          <w:szCs w:val="28"/>
        </w:rPr>
        <w:t xml:space="preserve"> </w:t>
      </w:r>
    </w:p>
    <w:p w:rsidR="00986D95" w:rsidRDefault="00986D95" w:rsidP="005A3DF4">
      <w:pPr>
        <w:widowControl w:val="0"/>
        <w:spacing w:after="0" w:line="240" w:lineRule="auto"/>
        <w:ind w:firstLine="709"/>
        <w:contextualSpacing/>
        <w:jc w:val="center"/>
        <w:rPr>
          <w:rFonts w:ascii="Times New Roman" w:hAnsi="Times New Roman"/>
          <w:b/>
          <w:sz w:val="28"/>
          <w:szCs w:val="28"/>
        </w:rPr>
      </w:pPr>
    </w:p>
    <w:p w:rsidR="00986D95" w:rsidRPr="00467B95" w:rsidRDefault="00986D95"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b/>
          <w:sz w:val="28"/>
          <w:szCs w:val="28"/>
        </w:rPr>
        <w:t>Сравнительный анализ законодательства РФ и Гонконга по привлечению к субсидиарной ответственности в банкротстве: правовой аспект</w:t>
      </w:r>
    </w:p>
    <w:p w:rsidR="00986D95" w:rsidRPr="00467B95" w:rsidRDefault="00986D95" w:rsidP="005A3DF4">
      <w:pPr>
        <w:widowControl w:val="0"/>
        <w:spacing w:after="0" w:line="240" w:lineRule="auto"/>
        <w:ind w:firstLine="709"/>
        <w:contextualSpacing/>
        <w:jc w:val="center"/>
        <w:rPr>
          <w:rFonts w:ascii="Times New Roman" w:hAnsi="Times New Roman"/>
          <w:sz w:val="28"/>
          <w:szCs w:val="28"/>
        </w:rPr>
      </w:pPr>
    </w:p>
    <w:p w:rsidR="00986D95" w:rsidRPr="00467B95" w:rsidRDefault="00986D95"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В.Е. Былкова</w:t>
      </w:r>
    </w:p>
    <w:p w:rsidR="00986D95" w:rsidRPr="00467B95" w:rsidRDefault="00986D95"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студент 4 курса Института права</w:t>
      </w:r>
    </w:p>
    <w:p w:rsidR="00986D95" w:rsidRPr="00467B95" w:rsidRDefault="00986D95" w:rsidP="005A3DF4">
      <w:pPr>
        <w:widowControl w:val="0"/>
        <w:spacing w:after="0" w:line="240" w:lineRule="auto"/>
        <w:ind w:firstLine="709"/>
        <w:contextualSpacing/>
        <w:jc w:val="center"/>
        <w:rPr>
          <w:rFonts w:ascii="Times New Roman" w:hAnsi="Times New Roman"/>
          <w:sz w:val="28"/>
          <w:szCs w:val="28"/>
          <w:lang w:val="en-US"/>
        </w:rPr>
      </w:pPr>
      <w:r w:rsidRPr="00467B95">
        <w:rPr>
          <w:rFonts w:ascii="Times New Roman" w:hAnsi="Times New Roman"/>
          <w:sz w:val="28"/>
          <w:szCs w:val="28"/>
          <w:lang w:val="en-US"/>
        </w:rPr>
        <w:t>e-mail: bylkova.valera@mail.ru</w:t>
      </w:r>
    </w:p>
    <w:p w:rsidR="00986D95" w:rsidRPr="00467B95" w:rsidRDefault="00986D95"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Владивостокский государственный университет экономики и сервиса</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Владивосток. Россия</w:t>
      </w:r>
    </w:p>
    <w:p w:rsidR="00986D95" w:rsidRPr="00467B95" w:rsidRDefault="00986D95" w:rsidP="005A3DF4">
      <w:pPr>
        <w:widowControl w:val="0"/>
        <w:spacing w:after="0" w:line="240" w:lineRule="auto"/>
        <w:ind w:firstLine="709"/>
        <w:rPr>
          <w:rFonts w:ascii="Times New Roman" w:hAnsi="Times New Roman"/>
          <w:b/>
          <w:sz w:val="28"/>
          <w:szCs w:val="28"/>
        </w:rPr>
      </w:pPr>
    </w:p>
    <w:p w:rsidR="00986D95" w:rsidRPr="00F1532C" w:rsidRDefault="00986D95" w:rsidP="005A3DF4">
      <w:pPr>
        <w:widowControl w:val="0"/>
        <w:spacing w:after="0" w:line="240" w:lineRule="auto"/>
        <w:ind w:firstLine="709"/>
        <w:contextualSpacing/>
        <w:jc w:val="both"/>
        <w:rPr>
          <w:rFonts w:ascii="Times New Roman" w:hAnsi="Times New Roman"/>
          <w:i/>
          <w:sz w:val="28"/>
          <w:szCs w:val="28"/>
        </w:rPr>
      </w:pPr>
      <w:r w:rsidRPr="00F1532C">
        <w:rPr>
          <w:rFonts w:ascii="Times New Roman" w:hAnsi="Times New Roman"/>
          <w:i/>
          <w:sz w:val="28"/>
          <w:szCs w:val="28"/>
        </w:rPr>
        <w:t>В статье проведен сравнительно-правовой анализ норм законодательства РФ и Гонконга по привлечению к субсидиарной ответственности при банкротстве организации в целях разработки предложений по совершенствованию норм российского права. Предмет исследования составляют основные нормативно-правовые акты России и Гонконга в сфере привлечений к ответственности при банкротстве, а также ряд научных исследований по теме. На основе исследования были получены выводы о том, что нормы российского законодательства намного эффективнее регулируют отношения по привлечению к ответственности руководителей компаний, в частности к субсидиарной, в отличие от Гонконга.</w:t>
      </w:r>
    </w:p>
    <w:p w:rsidR="00986D95" w:rsidRPr="00F1532C" w:rsidRDefault="00986D95" w:rsidP="005A3DF4">
      <w:pPr>
        <w:widowControl w:val="0"/>
        <w:spacing w:after="0" w:line="240" w:lineRule="auto"/>
        <w:ind w:firstLine="709"/>
        <w:contextualSpacing/>
        <w:jc w:val="both"/>
        <w:rPr>
          <w:rFonts w:ascii="Times New Roman" w:hAnsi="Times New Roman"/>
          <w:i/>
          <w:sz w:val="28"/>
          <w:szCs w:val="28"/>
        </w:rPr>
      </w:pPr>
      <w:r w:rsidRPr="00F1532C">
        <w:rPr>
          <w:rFonts w:ascii="Times New Roman" w:hAnsi="Times New Roman"/>
          <w:i/>
          <w:sz w:val="28"/>
          <w:szCs w:val="28"/>
        </w:rPr>
        <w:t xml:space="preserve"> </w:t>
      </w:r>
    </w:p>
    <w:p w:rsidR="00986D95" w:rsidRPr="00F1532C" w:rsidRDefault="00986D95" w:rsidP="005A3DF4">
      <w:pPr>
        <w:widowControl w:val="0"/>
        <w:spacing w:after="0" w:line="240" w:lineRule="auto"/>
        <w:ind w:firstLine="709"/>
        <w:jc w:val="both"/>
        <w:rPr>
          <w:rFonts w:ascii="Times New Roman" w:hAnsi="Times New Roman"/>
          <w:i/>
          <w:sz w:val="28"/>
          <w:szCs w:val="28"/>
        </w:rPr>
      </w:pPr>
      <w:r w:rsidRPr="00F1532C">
        <w:rPr>
          <w:rFonts w:ascii="Times New Roman" w:hAnsi="Times New Roman"/>
          <w:i/>
          <w:sz w:val="28"/>
          <w:szCs w:val="28"/>
        </w:rPr>
        <w:t>Ключевые слова и словосочетания: субсидиарная ответственность, Гонконг, банкротство, контролирующее должника лицо.</w:t>
      </w:r>
    </w:p>
    <w:p w:rsidR="00986D95" w:rsidRDefault="00986D95" w:rsidP="005A3DF4">
      <w:pPr>
        <w:widowControl w:val="0"/>
        <w:spacing w:after="0" w:line="240" w:lineRule="auto"/>
        <w:ind w:firstLine="709"/>
        <w:contextualSpacing/>
        <w:jc w:val="both"/>
        <w:rPr>
          <w:rFonts w:ascii="Times New Roman" w:hAnsi="Times New Roman"/>
          <w:sz w:val="28"/>
          <w:szCs w:val="28"/>
        </w:rPr>
      </w:pPr>
    </w:p>
    <w:p w:rsidR="00986D95" w:rsidRPr="00467B95" w:rsidRDefault="00986D95" w:rsidP="005A3DF4">
      <w:pPr>
        <w:widowControl w:val="0"/>
        <w:spacing w:after="0" w:line="240" w:lineRule="auto"/>
        <w:ind w:firstLine="709"/>
        <w:rPr>
          <w:rFonts w:ascii="Times New Roman" w:hAnsi="Times New Roman"/>
          <w:b/>
          <w:sz w:val="28"/>
          <w:szCs w:val="28"/>
          <w:lang w:val="en-US"/>
        </w:rPr>
      </w:pPr>
      <w:r w:rsidRPr="00467B95">
        <w:rPr>
          <w:rFonts w:ascii="Times New Roman" w:hAnsi="Times New Roman"/>
          <w:b/>
          <w:sz w:val="28"/>
          <w:szCs w:val="28"/>
          <w:lang w:val="en-US"/>
        </w:rPr>
        <w:t>Comparative analysis of the legislation of the Russian Federation and Hong Kong on subsidiary liability in bankruptcy: legal aspect</w:t>
      </w:r>
    </w:p>
    <w:p w:rsidR="00986D95" w:rsidRPr="0031504C" w:rsidRDefault="00986D95" w:rsidP="005A3DF4">
      <w:pPr>
        <w:widowControl w:val="0"/>
        <w:spacing w:after="0" w:line="240" w:lineRule="auto"/>
        <w:ind w:firstLine="709"/>
        <w:contextualSpacing/>
        <w:jc w:val="both"/>
        <w:rPr>
          <w:rFonts w:ascii="Times New Roman" w:hAnsi="Times New Roman"/>
          <w:sz w:val="28"/>
          <w:szCs w:val="28"/>
          <w:lang w:val="en-US"/>
        </w:rPr>
      </w:pPr>
    </w:p>
    <w:p w:rsidR="00986D95" w:rsidRPr="00F1532C" w:rsidRDefault="00986D95" w:rsidP="005A3DF4">
      <w:pPr>
        <w:widowControl w:val="0"/>
        <w:spacing w:after="0" w:line="240" w:lineRule="auto"/>
        <w:ind w:firstLine="709"/>
        <w:contextualSpacing/>
        <w:jc w:val="both"/>
        <w:rPr>
          <w:rFonts w:ascii="Times New Roman" w:hAnsi="Times New Roman"/>
          <w:i/>
          <w:sz w:val="28"/>
          <w:szCs w:val="28"/>
          <w:lang w:val="en-US"/>
        </w:rPr>
      </w:pPr>
      <w:r w:rsidRPr="00F1532C">
        <w:rPr>
          <w:rFonts w:ascii="Times New Roman" w:hAnsi="Times New Roman"/>
          <w:i/>
          <w:sz w:val="28"/>
          <w:szCs w:val="28"/>
          <w:lang w:val="en-US"/>
        </w:rPr>
        <w:t xml:space="preserve">This article presents a comparative legal analysis of the legislation of the Russian Federation and Hong Kong to attract subsidiary liability in the bankruptcy of the organization in order to develop proposals to improve the rules of Russian law. The subject of the study is the main legal acts of Russia and Hong Kong in the </w:t>
      </w:r>
      <w:r w:rsidRPr="00F1532C">
        <w:rPr>
          <w:rFonts w:ascii="Times New Roman" w:hAnsi="Times New Roman"/>
          <w:i/>
          <w:sz w:val="28"/>
          <w:szCs w:val="28"/>
          <w:lang w:val="en-US"/>
        </w:rPr>
        <w:lastRenderedPageBreak/>
        <w:t>field of liability in bankruptcy, as well as a number of research on the topic. On the basis of the study, it was concluded that the norms of the Russian legislation are much more effective in regulating relations to bring to responsibility the heads of companies, in particular to subsidiary, unlike Hong Kong.</w:t>
      </w:r>
    </w:p>
    <w:p w:rsidR="00986D95" w:rsidRPr="00F1532C" w:rsidRDefault="00986D95" w:rsidP="005A3DF4">
      <w:pPr>
        <w:widowControl w:val="0"/>
        <w:spacing w:after="0" w:line="240" w:lineRule="auto"/>
        <w:ind w:firstLine="709"/>
        <w:contextualSpacing/>
        <w:jc w:val="both"/>
        <w:rPr>
          <w:rFonts w:ascii="Times New Roman" w:hAnsi="Times New Roman"/>
          <w:i/>
          <w:sz w:val="28"/>
          <w:szCs w:val="28"/>
          <w:lang w:val="en-US"/>
        </w:rPr>
      </w:pPr>
    </w:p>
    <w:p w:rsidR="00986D95" w:rsidRPr="00F1532C" w:rsidRDefault="00986D95" w:rsidP="005A3DF4">
      <w:pPr>
        <w:widowControl w:val="0"/>
        <w:spacing w:after="0" w:line="240" w:lineRule="auto"/>
        <w:ind w:firstLine="709"/>
        <w:contextualSpacing/>
        <w:jc w:val="both"/>
        <w:rPr>
          <w:rFonts w:ascii="Times New Roman" w:hAnsi="Times New Roman"/>
          <w:i/>
          <w:sz w:val="28"/>
          <w:szCs w:val="28"/>
          <w:lang w:val="en-US"/>
        </w:rPr>
      </w:pPr>
      <w:r w:rsidRPr="00F1532C">
        <w:rPr>
          <w:rFonts w:ascii="Times New Roman" w:hAnsi="Times New Roman"/>
          <w:i/>
          <w:sz w:val="28"/>
          <w:szCs w:val="28"/>
          <w:lang w:val="en-US"/>
        </w:rPr>
        <w:t>Keywords: subsidiary liability, Hong Kong, bankruptcy, controlling person of the debtor.</w:t>
      </w:r>
    </w:p>
    <w:p w:rsidR="00986D95" w:rsidRPr="00467B95" w:rsidRDefault="00986D95" w:rsidP="005A3DF4">
      <w:pPr>
        <w:widowControl w:val="0"/>
        <w:spacing w:after="0" w:line="240" w:lineRule="auto"/>
        <w:ind w:firstLine="709"/>
        <w:contextualSpacing/>
        <w:jc w:val="both"/>
        <w:rPr>
          <w:rFonts w:ascii="Times New Roman" w:hAnsi="Times New Roman"/>
          <w:sz w:val="28"/>
          <w:szCs w:val="28"/>
          <w:lang w:val="en-US"/>
        </w:rPr>
      </w:pP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2017 г. были внесены существенные изменений в российское законодательство, регулирующее отношения по привлечению к ответственности при банкротстве [1]. Это, в свою очередь, показывает, что в России проблеме привлечения к субсидиарной ответственности в банкротстве уделяется достаточно большое внимание. При этом среди ученых до сих пор продолжаются дискуссии по вопросам дальнейшего совершенствования института субсидиарной ответственности [2]. В этой связи возникает необходимость в исследовании особенностей мер ответственности за недобросовестное поведение третьих лиц при банкротстве организаций, закрепленных в нормах зарубежного законодательства.</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Так, на сегодняшний день Гонконг является финансовым и коммерческим центром, представляющий собой специальный административный район КНР. Гонконг уникален тем, что имеет собственное законодательство, устанавливающее особенности правового регулирования как общественных, так и экономических отношений на территории данного района, что, в свою очередь, определяет его независимость и суверенность. В частности, на территории Гонконга действует принцип невмешательства государства в экономическую деятельность предприятий, обеспечивая при этом низкое налогообложение для компаний, что способствует развитию экономики страны. Но при этом, несмотря на свободу в экономической сфере, любой участник предпринимательской деятельности не застрахован от наступления кризисной ситуации, в том числе и введения процедуры банкротства в отношении него. Так, согласно статистическим данным Гонконг на сегодняшний день занимает лидирующие позиции по количеству банкротств компании, по сравнению с другими странами (Малайзия, Сингапур, Южная Корея, Япония) [3].</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Следовательно, поскольку Гонконг признается «мировым финансовым центром», то его опыт в правовом регулировании отношений по привлечению к ответственности в банкротстве, представляется достаточно интересным. В этой связи представляется важным рассмотреть особенности привлечения к ответственности руководителей при банкротстве компаний на территории Гонконга, в том числе провести сравнительный законодательства РФ и Гонконга по теме исследования.</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Так, отношения по привлечению к ответственности в банкротстве регулируются главой III.2. Федерального закона от 26.10.2002 № 127-ФЗ «О несостоятельности (банкротстве) [4] (далее – Закон о банкротстве). Как выше </w:t>
      </w:r>
      <w:r w:rsidRPr="00467B95">
        <w:rPr>
          <w:rFonts w:ascii="Times New Roman" w:hAnsi="Times New Roman"/>
          <w:sz w:val="28"/>
          <w:szCs w:val="28"/>
        </w:rPr>
        <w:lastRenderedPageBreak/>
        <w:t>было отмечено, указанная глава была введена совсем недавно – в 2017 году [1], ранее отношения по привлечению к субсидиарной ответственности регулировались ст. 10 Закона о банкротстве. Внесение изменений в законодательство о банкротстве РФ было обусловлено, прежде всего, необходимостью конкретизации процедуры привлечения контролирующих должника лиц к ответственности, в том числе и в расширении субъектного состава лиц, которые могут быть признаны контролирующими должника.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Правовое регулирование отношений в сфере несостоятельности организаций в Гонконге закреплено в Указе «О компаниях» (глава 32-32н) (Сompanies Ordinance. Cap. 32-32н), который устанавливает также и общие положения о деятельности юридических лиц на территории Гонконга [5]. Следует отметить, что 3 марта 2014 года вступило в силу Постановление о компаниях (глава 622) (Companies Ordinance. Cap. 622), с принятием которого были внесены существенные изменения в вышеуказанный акт, но положения о несостоятельности компаний так отменены и не были [6]. </w:t>
      </w:r>
    </w:p>
    <w:p w:rsidR="00986D95" w:rsidRPr="00467B95" w:rsidRDefault="00986D95" w:rsidP="005A3DF4">
      <w:pPr>
        <w:widowControl w:val="0"/>
        <w:spacing w:after="0" w:line="240" w:lineRule="auto"/>
        <w:ind w:firstLine="709"/>
        <w:jc w:val="both"/>
        <w:rPr>
          <w:rFonts w:ascii="Times New Roman" w:hAnsi="Times New Roman"/>
          <w:b/>
          <w:sz w:val="28"/>
          <w:szCs w:val="28"/>
        </w:rPr>
      </w:pPr>
      <w:r w:rsidRPr="00467B95">
        <w:rPr>
          <w:rFonts w:ascii="Times New Roman" w:hAnsi="Times New Roman"/>
          <w:sz w:val="28"/>
          <w:szCs w:val="28"/>
        </w:rPr>
        <w:t>При исследовании применялись следующие методы: формально-логические методы, заключающиеся в анализе, синтезе, сравнении; описательный метод; сравнительно-правовой, путем установления общего и особенного в правовом регулировании отношений по привлечению к субсидиарной ответственности при банкротстве организаций.</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целях защиты имущественных прав кредиторов при банкротстве должника, в российском законодательстве закреплен специальный механизм, позволяющий привлечь руководителя должника к субсидиарной ответственности. Так, знаменитый юрист И. Рыков определяет субсидиарную ответственность в банкротстве как, «дополнительную ответственность третьего лица, когда основной должник не в состоянии рассчитаться по своим обязательствам» [7]. В соответствии с положениями Закона о банкротстве РФ, предусмотрено два основания для привлечения к ответственности контролирующих должника лиц: в случае невозможности полного погашения требований кредиторов (ст. 61.11 Закона о банкротстве); и в случае неподачи или несвоевременной подачи заявления должником о признании себя банкротом (ст. 61.12 Закона о банкротстве). </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Гонконге основным актом, регулирующим отношения несостоятельности организации, является Постановление «О компаниях» (глава 32-32н) (далее – Закон о компаниях) [5], которое устанавливает правовой порядок проведения процедур банкротства в отношении неплатежеспособных компаний, в том числе и порядок удовлетворения требований кредиторов.</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Однако в настоящее время, в Гонконге отсутствуют нормы, устанавливающие дополнительную ответственность руководителей компаний по обязательствам должников. Так, в 2000 г. Комиссией по правовой реформе Гонконга была предложена концепция «о несостоятельной торговле», в рамках которой были заложены идеи о повышении интереса директоров к надлежащему исполнению обязательств перед кредиторами [8]. Согласно </w:t>
      </w:r>
      <w:r w:rsidRPr="00467B95">
        <w:rPr>
          <w:rFonts w:ascii="Times New Roman" w:hAnsi="Times New Roman"/>
          <w:sz w:val="28"/>
          <w:szCs w:val="28"/>
        </w:rPr>
        <w:lastRenderedPageBreak/>
        <w:t xml:space="preserve">концепции «несостоятельная торговля» представляет собой обстоятельство, когда ответственное лицо компании, продолжает осуществлять торговую деятельность при наличии признаков неплатежеспособности [8]. При этом к ответственности руководитель компании может быть привлечен при условии, что он был осведомлен в том, что компания является неплатежеспособной и не предпринял никаких мер в целях восстановления прежнего состояния.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Между тем концепция «о несостоятельной торговле» в конечном итоге была отклонена и, на сегодняшний день, предусмотренные ей положения так и не были реализованы в законодательстве о несостоятельности компаний Гонконга. Как отмечено некоторыми авторами, «исторически сложилось так, что директора гонконгских компаний, за исключением самых вопиющих обстоятельств, избежали ответственности за тяжелое положение управляемых ими компаний» [8]. Однако, как указывают исследователи, введение закона «о несостоятельной торговле» в Гонконге неизбежно, в соответствии с которым «директору или теневому директору может быть предписано выплатить компенсацию ликвидируемой компании, если компания набрала долгов в условиях неплатежеспособности» [9]. При этом защитить себя руководитель компании сможет только при условии принятия всех необходимых мер для устранения признаков несостоятельности.</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Это, в свою очередь означает, что Гонконг еще на стадии разработки положений о привлечении к ответственности за недобросовестные действия контролирующих должника лиц в банкротстве. При этом будет ли разработанный закон аналогичен институту субсидиарной ответственности в России пока еще неизвестно, но отметим, что, на первый взгляд, общие признаки присутствуют. </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Так, при сравнении концепции «несостоятельной торговли» и норм законодательства о банкротстве РФ, можно сделать вывод, что именно субсидиарная ответственность, установленная ст. 61.12 Закона о банкротстве, соответствует общим положениям об ответственности директоров компаний при несостоятельности в Гонконге, которые еще в разработке. Так, указанная норма, закрепляет, что «Руководитель должника может быть привлечен к субсидиарной ответственности &lt;…&gt;, если он не исполнил обязанность по подаче в суд заявления должника о собственном банкротстве в месячный срок, установленный пунктом 2 статьи 9 Закона о банкротстве» [4]. Следовательно, российское законодательство также допускает ситуации, когда организации при наличии признаков банкротства продолжают заниматься предпринимательской деятельностью, в результате которой имущественным интересам кредиторов может быть нанесен вред. Более того, российское право допускает возможность освобождения руководителя должника от ответственности в случае, если он «добросовестно рассчитывал на их преодоление в разумный срок, приложил необходимые усилия для достижения такого результата, выполняя экономически обоснованный план» [10]. </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этой связи, поскольку в Законе о компаниях (глава 32-32н) [5] </w:t>
      </w:r>
      <w:r w:rsidRPr="00467B95">
        <w:rPr>
          <w:rFonts w:ascii="Times New Roman" w:hAnsi="Times New Roman"/>
          <w:sz w:val="28"/>
          <w:szCs w:val="28"/>
        </w:rPr>
        <w:lastRenderedPageBreak/>
        <w:t>институт субсидиарной ответственности не регламентирован, проанализируем иные положения законодательства Гонконга, устанавливающее ответственность при несостоятельности (ликвидации) компаний.</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Так, одной из обязанностей ликвидатора в Гонконге при несостоятельности компании является расследование дел компании «ликвидационное расследование», направленное на определении текущих активов и обязательств должника, а также выявление фактов нарушения со стороны как нынешних, так и бывших сотрудников компании. Следовательно, как видим, одной из приоритетных задач законодателя Гонконга является установление факта добросовестности лиц, которые принимали участие в деятельности по управлению должником (компанией). В этой связи, должник обязан раскрыть любую информацию относительно своих активов, обязательств, финансовых вопросов и другую соответствующую информацию ликвидатору (управляющему) [5].</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Статья 265 Закона о компаниях, устанавливает, что «лицо является контролирующим компанию при наличии одного из следующих условий: в случае если директор указанной компании привык действовать в соответствии с указаниями или инструкциями этого лица; в случае если лицо имеет контроль над более чем 30% голосов на любом общем собрании компании» [5]. При этом директор, теневой директор или другое должностное лицо относятся к категории ассоциированных лиц компании. Следовательно, в Гонконге руководители организации не могут быть признаны контролирующими лицами компаний.</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свою очередь, понятие контролирующего должника лица в российском праве не устанавливает ограниченность в привлечении к ответственности в зависимости от условий, поскольку главным основание для признания лица контролирующим является осуществления существенного контроля над действиями организации [4].</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Интересным представляется положения и статьи 271 Закона о компаниях [5], в которой установлена, что «к ответственности может быть привлечено любое лицо, которое совершает следующие действия: не полностью и достоверно предоставляет информацию об имуществе компании или сведения о передаче активов организации другим лицам; не передает ликвидатору имущество организации или скрывает его; обманным путем вывозит любую часть имущества </w:t>
      </w:r>
      <w:hyperlink r:id="rId11" w:anchor="company" w:tgtFrame="_top" w:history="1">
        <w:r w:rsidRPr="00467B95">
          <w:rPr>
            <w:rFonts w:ascii="Times New Roman" w:hAnsi="Times New Roman"/>
            <w:sz w:val="28"/>
            <w:szCs w:val="28"/>
          </w:rPr>
          <w:t>компании</w:t>
        </w:r>
      </w:hyperlink>
      <w:r w:rsidRPr="00467B95">
        <w:rPr>
          <w:rFonts w:ascii="Times New Roman" w:hAnsi="Times New Roman"/>
          <w:sz w:val="28"/>
          <w:szCs w:val="28"/>
        </w:rPr>
        <w:t xml:space="preserve">; делает существенные нарушения в документации компании; и др.» [5]. В данном случае применяется наказание в виде тюремного заключения и штрафа. Заметим, что в соответствии с законодательством РФ, некоторые из вышеперечисленных деяний относятся к категории преступлений. Это, в свою очередь, показывает, что в Гонконге установлены более жесткие меры ответственности за недобросовестное поведение третьих лиц, поскольку согласно российскому законодательству указанные деяния признаются преступлениями при условии, что причинен крупный ущерб и действия совершены были при наличии признаков </w:t>
      </w:r>
      <w:r w:rsidRPr="00467B95">
        <w:rPr>
          <w:rFonts w:ascii="Times New Roman" w:hAnsi="Times New Roman"/>
          <w:sz w:val="28"/>
          <w:szCs w:val="28"/>
        </w:rPr>
        <w:lastRenderedPageBreak/>
        <w:t>банкротства.</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При этом статья 275 Закона о компаниях [5], закрепляет, что «если в ходе ликвидации </w:t>
      </w:r>
      <w:hyperlink r:id="rId12" w:anchor="company" w:tgtFrame="_top" w:history="1">
        <w:r w:rsidRPr="00467B95">
          <w:rPr>
            <w:rFonts w:ascii="Times New Roman" w:hAnsi="Times New Roman"/>
            <w:sz w:val="28"/>
            <w:szCs w:val="28"/>
          </w:rPr>
          <w:t>компании</w:t>
        </w:r>
      </w:hyperlink>
      <w:r w:rsidRPr="00467B95">
        <w:rPr>
          <w:rFonts w:ascii="Times New Roman" w:hAnsi="Times New Roman"/>
          <w:sz w:val="28"/>
          <w:szCs w:val="28"/>
        </w:rPr>
        <w:t xml:space="preserve"> выясняется, что лицо, совершило какие-либо действия с целью обмана кредиторов, то </w:t>
      </w:r>
      <w:hyperlink r:id="rId13" w:anchor="court" w:tgtFrame="_top" w:history="1">
        <w:r w:rsidRPr="00467B95">
          <w:rPr>
            <w:rFonts w:ascii="Times New Roman" w:hAnsi="Times New Roman"/>
            <w:sz w:val="28"/>
            <w:szCs w:val="28"/>
          </w:rPr>
          <w:t>суд</w:t>
        </w:r>
      </w:hyperlink>
      <w:r w:rsidRPr="00467B95">
        <w:rPr>
          <w:rFonts w:ascii="Times New Roman" w:hAnsi="Times New Roman"/>
          <w:sz w:val="28"/>
          <w:szCs w:val="28"/>
        </w:rPr>
        <w:t> по заявлению ликвидатора или любого кредитора может привлечь указанное лицо к ответственности (личной) по всем или только по одному обязательству компании» [5]. Также любое лицо, которое сознательно совершило действия, направленные на причинение вреда компании и интересам кредиторов, признается виновным в совершении преступления и может быть подвергнуто к тюремному заключению и штрафу [5]. Если в процессе ликвидации </w:t>
      </w:r>
      <w:hyperlink r:id="rId14" w:anchor="company" w:tgtFrame="_top" w:history="1">
        <w:r w:rsidRPr="00467B95">
          <w:rPr>
            <w:rFonts w:ascii="Times New Roman" w:hAnsi="Times New Roman"/>
            <w:sz w:val="28"/>
            <w:szCs w:val="28"/>
          </w:rPr>
          <w:t>компании</w:t>
        </w:r>
      </w:hyperlink>
      <w:r w:rsidRPr="00467B95">
        <w:rPr>
          <w:rFonts w:ascii="Times New Roman" w:hAnsi="Times New Roman"/>
          <w:sz w:val="28"/>
          <w:szCs w:val="28"/>
        </w:rPr>
        <w:t> окажется, что лицо незаконно удержало деньги или имущество компании, </w:t>
      </w:r>
      <w:hyperlink r:id="rId15" w:anchor="court" w:tgtFrame="_top" w:history="1">
        <w:r w:rsidRPr="00467B95">
          <w:rPr>
            <w:rFonts w:ascii="Times New Roman" w:hAnsi="Times New Roman"/>
            <w:sz w:val="28"/>
            <w:szCs w:val="28"/>
          </w:rPr>
          <w:t>суд</w:t>
        </w:r>
      </w:hyperlink>
      <w:r w:rsidRPr="00467B95">
        <w:rPr>
          <w:rFonts w:ascii="Times New Roman" w:hAnsi="Times New Roman"/>
          <w:sz w:val="28"/>
          <w:szCs w:val="28"/>
        </w:rPr>
        <w:t xml:space="preserve"> может обязать его возвратить деньги или имущество, или любую их часть, с учетом размера процентов, установленных на усмотрение суда.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Следовательно, представляется, что именно статья 275 Закона о компаниях [5] предусматривает схожие положения с Законом о банкротстве РФ о субсидиарной ответственности, а именно в закреплении «личной» ответственности лиц, которые своими неправомерными действиями причинили вред кредиторам. Однако в Гонконге указанные лица, при причинении вреда компании и кредиторам, могут быть привлечены также и к уголовной ответственности, а российское законодательство устанавливает только меры гражданско-правовой ответственности, что на наш взгляд, представляется не совсем верным.</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Итак, сделаем вывод, что в российском законодательстве отношения по привлечению к субсидиарной ответственности регламентированы более подробно, в отличие от законодательства Гонконга, которое устанавливает только уголовную ответственность за аналогичные деяния. Так, законодательство Гонконга предусматривает ответственность руководителя компании только в случае «мошенничества», которое отнесено к категории преступлений, при этом меры гражданско-правовой ответственности не предусмотрены. Следовательно, на основе проведенного анализа, важно отметить, что в России механизм привлечения к ответственности в банкротстве реализуется намного эффективнее, что на наш взгляд, является, безусловным, преимуществом, в отличие от Гонконга, который только разрабатывает аналогичные положения по привлечению к дополнительной ответственности контролирующих должника лиц.</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свою очередь, для российского права представляет интерес именно положения законодательства Гонконга, которое устанавливает уголовную ответственности за причинение вреда кредиторам вне зависимости от наличия или отсутствия признаков банкротства, что может послужить хорошим примером для российского законодателя.</w:t>
      </w:r>
    </w:p>
    <w:p w:rsidR="00986D95" w:rsidRPr="00467B95" w:rsidRDefault="00986D9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1 О внесении изменений в Федеральный закон «О несостоятельности (банкротстве)» и Кодекс Российской Федерации об административных правонарушениях»: федеральный закон от 29.07.2017 № 266-ФЗ (ред. от </w:t>
      </w:r>
      <w:r w:rsidRPr="00467B95">
        <w:rPr>
          <w:rFonts w:ascii="Times New Roman" w:hAnsi="Times New Roman"/>
          <w:sz w:val="28"/>
          <w:szCs w:val="28"/>
        </w:rPr>
        <w:lastRenderedPageBreak/>
        <w:t>29.07.2017) [Электронный ресурс] // СПС «Гарант».</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2 Алферов В.Н. Развитие концепции субсидиарной ответственности как инструмента повышения эффективности института банкротства и обеспечения экономической безопасности страны / В.Н. Алферов, М.М. Коригова // МИР (Модернизация. Инновации. Развитие). – 2018. – Т. 9. № 3. – С. 460-474.  </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3 Статистические данные. [Электронный ресурс] // Биржевой портал № 1. – Режим доступа: </w:t>
      </w:r>
      <w:hyperlink r:id="rId16" w:history="1">
        <w:r w:rsidRPr="00467B95">
          <w:rPr>
            <w:rFonts w:ascii="Times New Roman" w:hAnsi="Times New Roman"/>
            <w:sz w:val="28"/>
            <w:szCs w:val="28"/>
          </w:rPr>
          <w:t>https://take-profit.org/statistics/bankruptcies/hong-kong/</w:t>
        </w:r>
      </w:hyperlink>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4 О несостоятельности (банкротстве): федеральный закон от 26.10.2002 № 127-ФЗ (ред. от 27.12.2018) [Электронный ресурс] // СПС «КонсультантПлюс». </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lang w:val="en-US"/>
        </w:rPr>
        <w:t xml:space="preserve">5 </w:t>
      </w:r>
      <w:r w:rsidRPr="00467B95">
        <w:rPr>
          <w:rFonts w:ascii="Times New Roman" w:hAnsi="Times New Roman"/>
          <w:sz w:val="28"/>
          <w:szCs w:val="28"/>
        </w:rPr>
        <w:t>С</w:t>
      </w:r>
      <w:r w:rsidRPr="00467B95">
        <w:rPr>
          <w:rFonts w:ascii="Times New Roman" w:hAnsi="Times New Roman"/>
          <w:sz w:val="28"/>
          <w:szCs w:val="28"/>
          <w:lang w:val="en-US"/>
        </w:rPr>
        <w:t xml:space="preserve">ompanies (winding up and miscellaneous provisions) Ordinance. </w:t>
      </w:r>
      <w:r w:rsidRPr="00467B95">
        <w:rPr>
          <w:rFonts w:ascii="Times New Roman" w:hAnsi="Times New Roman"/>
          <w:sz w:val="28"/>
          <w:szCs w:val="28"/>
        </w:rPr>
        <w:t>Cap. 32. 1933. [Электронный ресурс] – Режим доступа: http://www.hklii.hk/eng/hk/legis/ord/32/</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6 Companies Ordinance. Cap. 622. 2014. [Электронный ресурс] – Режим доступа: https://www.elegislation.gov.hk/hk/cap622</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7 Рыков И. Субсидиарная ответственность в Российской Федерации: монография / И. Рыков. – М.: Статут, 2017. – 192 с. </w:t>
      </w: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lang w:val="en-US"/>
        </w:rPr>
        <w:t xml:space="preserve">8 Hong Kong Considers Chapter 11 Equivalen: articles. </w:t>
      </w:r>
      <w:r w:rsidRPr="00467B95">
        <w:rPr>
          <w:rFonts w:ascii="Times New Roman" w:hAnsi="Times New Roman"/>
          <w:sz w:val="28"/>
          <w:szCs w:val="28"/>
        </w:rPr>
        <w:t xml:space="preserve">С. 6 [Электронный ресурс] // LEХOLOGY – Режим доступа: </w:t>
      </w:r>
      <w:hyperlink r:id="rId17" w:history="1">
        <w:r w:rsidRPr="00467B95">
          <w:rPr>
            <w:rFonts w:ascii="Times New Roman" w:hAnsi="Times New Roman"/>
            <w:sz w:val="28"/>
            <w:szCs w:val="28"/>
          </w:rPr>
          <w:t>https://www.lexology.com/library/detail.aspx?g=26eaaa10-7d66-4767-8f6f-cda27bf24e2e</w:t>
        </w:r>
      </w:hyperlink>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lang w:val="en-US"/>
        </w:rPr>
        <w:t xml:space="preserve">9 Insolvency and Corporate Reorganisation Report: articles. </w:t>
      </w:r>
      <w:r w:rsidRPr="00467B95">
        <w:rPr>
          <w:rFonts w:ascii="Times New Roman" w:hAnsi="Times New Roman"/>
          <w:sz w:val="28"/>
          <w:szCs w:val="28"/>
        </w:rPr>
        <w:t xml:space="preserve">2015. [Электронный ресурс] – Режим доступа: </w:t>
      </w:r>
      <w:hyperlink r:id="rId18" w:history="1">
        <w:r w:rsidRPr="00467B95">
          <w:rPr>
            <w:rFonts w:ascii="Times New Roman" w:hAnsi="Times New Roman"/>
            <w:sz w:val="28"/>
            <w:szCs w:val="28"/>
            <w:lang w:val="en-US"/>
          </w:rPr>
          <w:t>https</w:t>
        </w:r>
        <w:r w:rsidRPr="00467B95">
          <w:rPr>
            <w:rFonts w:ascii="Times New Roman" w:hAnsi="Times New Roman"/>
            <w:sz w:val="28"/>
            <w:szCs w:val="28"/>
          </w:rPr>
          <w:t>://</w:t>
        </w:r>
        <w:r w:rsidRPr="00467B95">
          <w:rPr>
            <w:rFonts w:ascii="Times New Roman" w:hAnsi="Times New Roman"/>
            <w:sz w:val="28"/>
            <w:szCs w:val="28"/>
            <w:lang w:val="en-US"/>
          </w:rPr>
          <w:t>www</w:t>
        </w:r>
        <w:r w:rsidRPr="00467B95">
          <w:rPr>
            <w:rFonts w:ascii="Times New Roman" w:hAnsi="Times New Roman"/>
            <w:sz w:val="28"/>
            <w:szCs w:val="28"/>
          </w:rPr>
          <w:t>.</w:t>
        </w:r>
        <w:r w:rsidRPr="00467B95">
          <w:rPr>
            <w:rFonts w:ascii="Times New Roman" w:hAnsi="Times New Roman"/>
            <w:sz w:val="28"/>
            <w:szCs w:val="28"/>
            <w:lang w:val="en-US"/>
          </w:rPr>
          <w:t>iflr</w:t>
        </w:r>
        <w:r w:rsidRPr="00467B95">
          <w:rPr>
            <w:rFonts w:ascii="Times New Roman" w:hAnsi="Times New Roman"/>
            <w:sz w:val="28"/>
            <w:szCs w:val="28"/>
          </w:rPr>
          <w:t>.</w:t>
        </w:r>
        <w:r w:rsidRPr="00467B95">
          <w:rPr>
            <w:rFonts w:ascii="Times New Roman" w:hAnsi="Times New Roman"/>
            <w:sz w:val="28"/>
            <w:szCs w:val="28"/>
            <w:lang w:val="en-US"/>
          </w:rPr>
          <w:t>com</w:t>
        </w:r>
        <w:r w:rsidRPr="00467B95">
          <w:rPr>
            <w:rFonts w:ascii="Times New Roman" w:hAnsi="Times New Roman"/>
            <w:sz w:val="28"/>
            <w:szCs w:val="28"/>
          </w:rPr>
          <w:t>/</w:t>
        </w:r>
        <w:r w:rsidRPr="00467B95">
          <w:rPr>
            <w:rFonts w:ascii="Times New Roman" w:hAnsi="Times New Roman"/>
            <w:sz w:val="28"/>
            <w:szCs w:val="28"/>
            <w:lang w:val="en-US"/>
          </w:rPr>
          <w:t>Article</w:t>
        </w:r>
        <w:r w:rsidRPr="00467B95">
          <w:rPr>
            <w:rFonts w:ascii="Times New Roman" w:hAnsi="Times New Roman"/>
            <w:sz w:val="28"/>
            <w:szCs w:val="28"/>
          </w:rPr>
          <w:t>/3458458/2015-</w:t>
        </w:r>
        <w:r w:rsidRPr="00467B95">
          <w:rPr>
            <w:rFonts w:ascii="Times New Roman" w:hAnsi="Times New Roman"/>
            <w:sz w:val="28"/>
            <w:szCs w:val="28"/>
            <w:lang w:val="en-US"/>
          </w:rPr>
          <w:t>Insolvency</w:t>
        </w:r>
        <w:r w:rsidRPr="00467B95">
          <w:rPr>
            <w:rFonts w:ascii="Times New Roman" w:hAnsi="Times New Roman"/>
            <w:sz w:val="28"/>
            <w:szCs w:val="28"/>
          </w:rPr>
          <w:t>-</w:t>
        </w:r>
        <w:r w:rsidRPr="00467B95">
          <w:rPr>
            <w:rFonts w:ascii="Times New Roman" w:hAnsi="Times New Roman"/>
            <w:sz w:val="28"/>
            <w:szCs w:val="28"/>
            <w:lang w:val="en-US"/>
          </w:rPr>
          <w:t>and</w:t>
        </w:r>
        <w:r w:rsidRPr="00467B95">
          <w:rPr>
            <w:rFonts w:ascii="Times New Roman" w:hAnsi="Times New Roman"/>
            <w:sz w:val="28"/>
            <w:szCs w:val="28"/>
          </w:rPr>
          <w:t>-</w:t>
        </w:r>
        <w:r w:rsidRPr="00467B95">
          <w:rPr>
            <w:rFonts w:ascii="Times New Roman" w:hAnsi="Times New Roman"/>
            <w:sz w:val="28"/>
            <w:szCs w:val="28"/>
            <w:lang w:val="en-US"/>
          </w:rPr>
          <w:t>Corporate</w:t>
        </w:r>
        <w:r w:rsidRPr="00467B95">
          <w:rPr>
            <w:rFonts w:ascii="Times New Roman" w:hAnsi="Times New Roman"/>
            <w:sz w:val="28"/>
            <w:szCs w:val="28"/>
          </w:rPr>
          <w:t>-</w:t>
        </w:r>
        <w:r w:rsidRPr="00467B95">
          <w:rPr>
            <w:rFonts w:ascii="Times New Roman" w:hAnsi="Times New Roman"/>
            <w:sz w:val="28"/>
            <w:szCs w:val="28"/>
            <w:lang w:val="en-US"/>
          </w:rPr>
          <w:t>Reorganisation</w:t>
        </w:r>
        <w:r w:rsidRPr="00467B95">
          <w:rPr>
            <w:rFonts w:ascii="Times New Roman" w:hAnsi="Times New Roman"/>
            <w:sz w:val="28"/>
            <w:szCs w:val="28"/>
          </w:rPr>
          <w:t>-</w:t>
        </w:r>
        <w:r w:rsidRPr="00467B95">
          <w:rPr>
            <w:rFonts w:ascii="Times New Roman" w:hAnsi="Times New Roman"/>
            <w:sz w:val="28"/>
            <w:szCs w:val="28"/>
            <w:lang w:val="en-US"/>
          </w:rPr>
          <w:t>Report</w:t>
        </w:r>
        <w:r w:rsidRPr="00467B95">
          <w:rPr>
            <w:rFonts w:ascii="Times New Roman" w:hAnsi="Times New Roman"/>
            <w:sz w:val="28"/>
            <w:szCs w:val="28"/>
          </w:rPr>
          <w:t>-</w:t>
        </w:r>
        <w:r w:rsidRPr="00467B95">
          <w:rPr>
            <w:rFonts w:ascii="Times New Roman" w:hAnsi="Times New Roman"/>
            <w:sz w:val="28"/>
            <w:szCs w:val="28"/>
            <w:lang w:val="en-US"/>
          </w:rPr>
          <w:t>Hong</w:t>
        </w:r>
        <w:r w:rsidRPr="00467B95">
          <w:rPr>
            <w:rFonts w:ascii="Times New Roman" w:hAnsi="Times New Roman"/>
            <w:sz w:val="28"/>
            <w:szCs w:val="28"/>
          </w:rPr>
          <w:t>-</w:t>
        </w:r>
        <w:r w:rsidRPr="00467B95">
          <w:rPr>
            <w:rFonts w:ascii="Times New Roman" w:hAnsi="Times New Roman"/>
            <w:sz w:val="28"/>
            <w:szCs w:val="28"/>
            <w:lang w:val="en-US"/>
          </w:rPr>
          <w:t>Kong</w:t>
        </w:r>
        <w:r w:rsidRPr="00467B95">
          <w:rPr>
            <w:rFonts w:ascii="Times New Roman" w:hAnsi="Times New Roman"/>
            <w:sz w:val="28"/>
            <w:szCs w:val="28"/>
          </w:rPr>
          <w:t>.</w:t>
        </w:r>
        <w:r w:rsidRPr="00467B95">
          <w:rPr>
            <w:rFonts w:ascii="Times New Roman" w:hAnsi="Times New Roman"/>
            <w:sz w:val="28"/>
            <w:szCs w:val="28"/>
            <w:lang w:val="en-US"/>
          </w:rPr>
          <w:t>html</w:t>
        </w:r>
        <w:r w:rsidRPr="00467B95">
          <w:rPr>
            <w:rFonts w:ascii="Times New Roman" w:hAnsi="Times New Roman"/>
            <w:sz w:val="28"/>
            <w:szCs w:val="28"/>
          </w:rPr>
          <w:t>?</w:t>
        </w:r>
        <w:r w:rsidRPr="00467B95">
          <w:rPr>
            <w:rFonts w:ascii="Times New Roman" w:hAnsi="Times New Roman"/>
            <w:sz w:val="28"/>
            <w:szCs w:val="28"/>
            <w:lang w:val="en-US"/>
          </w:rPr>
          <w:t>ArticleId</w:t>
        </w:r>
        <w:r w:rsidRPr="00467B95">
          <w:rPr>
            <w:rFonts w:ascii="Times New Roman" w:hAnsi="Times New Roman"/>
            <w:sz w:val="28"/>
            <w:szCs w:val="28"/>
          </w:rPr>
          <w:t>=3458458</w:t>
        </w:r>
      </w:hyperlink>
    </w:p>
    <w:p w:rsidR="00986D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10 О некоторых вопросах, связанных с привлечением контролирующих должника лиц к ответственности при банкротстве: постановление Пленума Верховного Суда РФ от 21.12.2017 № 53 [Электронный ресурс] // СПС «КонсультантПлюс». </w:t>
      </w:r>
    </w:p>
    <w:p w:rsidR="00986D95" w:rsidRDefault="00986D95" w:rsidP="005A3DF4">
      <w:pPr>
        <w:widowControl w:val="0"/>
        <w:spacing w:after="0" w:line="240" w:lineRule="auto"/>
        <w:ind w:firstLine="709"/>
        <w:jc w:val="both"/>
        <w:rPr>
          <w:rFonts w:ascii="Times New Roman" w:hAnsi="Times New Roman"/>
          <w:sz w:val="28"/>
          <w:szCs w:val="28"/>
        </w:rPr>
      </w:pPr>
    </w:p>
    <w:p w:rsidR="00986D95" w:rsidRPr="00467B95" w:rsidRDefault="00986D95"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Права и обязанности родителей и детей: сравнительный анализ законодательства Российской Федерации и Японии</w:t>
      </w:r>
    </w:p>
    <w:p w:rsidR="00986D95" w:rsidRPr="00467B95" w:rsidRDefault="00986D95" w:rsidP="005A3DF4">
      <w:pPr>
        <w:widowControl w:val="0"/>
        <w:spacing w:after="0" w:line="240" w:lineRule="auto"/>
        <w:ind w:firstLine="709"/>
        <w:jc w:val="center"/>
        <w:rPr>
          <w:rFonts w:ascii="Times New Roman" w:hAnsi="Times New Roman"/>
          <w:b/>
          <w:sz w:val="28"/>
          <w:szCs w:val="28"/>
        </w:rPr>
      </w:pP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Дегтярева Александра Андреевна</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студент 4 курса, группы БЮП-15-01, кафедра гражданско-правовых дисциплин, Институт права</w:t>
      </w:r>
    </w:p>
    <w:p w:rsidR="00986D95" w:rsidRPr="00467B95" w:rsidRDefault="00986D95"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986D95" w:rsidRPr="00467B95" w:rsidRDefault="00986D95"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986D95" w:rsidRPr="00467B95" w:rsidRDefault="00986D95" w:rsidP="005A3DF4">
      <w:pPr>
        <w:widowControl w:val="0"/>
        <w:spacing w:after="0" w:line="240" w:lineRule="auto"/>
        <w:ind w:firstLine="709"/>
        <w:jc w:val="center"/>
        <w:rPr>
          <w:rFonts w:ascii="Times New Roman" w:hAnsi="Times New Roman"/>
          <w:sz w:val="28"/>
          <w:szCs w:val="28"/>
        </w:rPr>
      </w:pPr>
    </w:p>
    <w:p w:rsidR="00986D95" w:rsidRPr="00467B95" w:rsidRDefault="00986D95" w:rsidP="005A3DF4">
      <w:pPr>
        <w:widowControl w:val="0"/>
        <w:shd w:val="clear" w:color="auto" w:fill="FFFFFF"/>
        <w:spacing w:after="0" w:line="240" w:lineRule="auto"/>
        <w:ind w:firstLine="709"/>
        <w:jc w:val="both"/>
        <w:rPr>
          <w:rFonts w:ascii="Times New Roman" w:eastAsia="Times New Roman" w:hAnsi="Times New Roman"/>
          <w:i/>
          <w:color w:val="000000"/>
          <w:sz w:val="28"/>
          <w:szCs w:val="28"/>
          <w:lang w:eastAsia="ru-RU"/>
        </w:rPr>
      </w:pPr>
      <w:r w:rsidRPr="00467B95">
        <w:rPr>
          <w:rStyle w:val="blk"/>
          <w:rFonts w:ascii="Times New Roman" w:hAnsi="Times New Roman"/>
          <w:i/>
          <w:sz w:val="28"/>
          <w:szCs w:val="28"/>
        </w:rPr>
        <w:t>В данной статье проведен анализ положений действующего японского и российского законодательства, посвященных регулированию и изучению особенностей правового статуса детей и родителей в детско-родительских отношениях в Японии и России.</w:t>
      </w:r>
    </w:p>
    <w:p w:rsidR="00986D95" w:rsidRPr="00467B95" w:rsidRDefault="00986D95" w:rsidP="005A3DF4">
      <w:pPr>
        <w:widowControl w:val="0"/>
        <w:shd w:val="clear" w:color="auto" w:fill="FFFFFF"/>
        <w:spacing w:after="0" w:line="240" w:lineRule="auto"/>
        <w:ind w:firstLine="709"/>
        <w:jc w:val="both"/>
        <w:rPr>
          <w:rFonts w:ascii="Times New Roman" w:eastAsia="Times New Roman" w:hAnsi="Times New Roman"/>
          <w:i/>
          <w:sz w:val="28"/>
          <w:szCs w:val="28"/>
          <w:lang w:eastAsia="ru-RU"/>
        </w:rPr>
      </w:pPr>
      <w:r w:rsidRPr="00467B95">
        <w:rPr>
          <w:rStyle w:val="blk"/>
          <w:rFonts w:ascii="Times New Roman" w:hAnsi="Times New Roman"/>
          <w:i/>
          <w:sz w:val="28"/>
          <w:szCs w:val="28"/>
        </w:rPr>
        <w:lastRenderedPageBreak/>
        <w:t>Автор</w:t>
      </w:r>
      <w:r w:rsidRPr="00467B95">
        <w:rPr>
          <w:rFonts w:ascii="Times New Roman" w:hAnsi="Times New Roman"/>
          <w:i/>
          <w:sz w:val="28"/>
          <w:szCs w:val="28"/>
        </w:rPr>
        <w:t xml:space="preserve"> изучил </w:t>
      </w:r>
      <w:r w:rsidRPr="00467B95">
        <w:rPr>
          <w:rFonts w:ascii="Times New Roman" w:eastAsia="Times New Roman" w:hAnsi="Times New Roman"/>
          <w:i/>
          <w:sz w:val="28"/>
          <w:szCs w:val="28"/>
          <w:lang w:eastAsia="ru-RU"/>
        </w:rPr>
        <w:t>правовые основы регулирования детско-родительских отношений в России и Японии, выявил проблемы правового регулирования правового статуса родителей и детей, а также в практике его реализации и предложил пути их преодоления.</w:t>
      </w:r>
    </w:p>
    <w:p w:rsidR="00986D95" w:rsidRDefault="00986D95" w:rsidP="005A3DF4">
      <w:pPr>
        <w:widowControl w:val="0"/>
        <w:spacing w:after="0" w:line="240" w:lineRule="auto"/>
        <w:ind w:firstLine="709"/>
        <w:jc w:val="both"/>
        <w:rPr>
          <w:rFonts w:ascii="Times New Roman" w:hAnsi="Times New Roman"/>
          <w:i/>
          <w:color w:val="000000"/>
          <w:sz w:val="28"/>
          <w:szCs w:val="28"/>
        </w:rPr>
      </w:pPr>
    </w:p>
    <w:p w:rsidR="00986D95" w:rsidRPr="00467B95" w:rsidRDefault="00986D95" w:rsidP="005A3DF4">
      <w:pPr>
        <w:widowControl w:val="0"/>
        <w:spacing w:after="0" w:line="240" w:lineRule="auto"/>
        <w:ind w:firstLine="709"/>
        <w:jc w:val="both"/>
        <w:rPr>
          <w:rFonts w:ascii="Times New Roman" w:hAnsi="Times New Roman"/>
          <w:i/>
          <w:color w:val="000000"/>
          <w:sz w:val="28"/>
          <w:szCs w:val="28"/>
        </w:rPr>
      </w:pPr>
      <w:r w:rsidRPr="00F732A2">
        <w:rPr>
          <w:rFonts w:ascii="Times New Roman" w:hAnsi="Times New Roman"/>
          <w:i/>
          <w:color w:val="000000"/>
          <w:sz w:val="28"/>
          <w:szCs w:val="28"/>
        </w:rPr>
        <w:t>Ключевые слова и словосочетания:</w:t>
      </w:r>
      <w:r w:rsidRPr="00467B95">
        <w:rPr>
          <w:rFonts w:ascii="Times New Roman" w:hAnsi="Times New Roman"/>
          <w:i/>
          <w:color w:val="000000"/>
          <w:sz w:val="28"/>
          <w:szCs w:val="28"/>
        </w:rPr>
        <w:t xml:space="preserve"> родители, дети, семейное право, права, обязанности, законодательство, проблемы, Россия, Япония.</w:t>
      </w:r>
    </w:p>
    <w:p w:rsidR="00986D95" w:rsidRPr="00467B95" w:rsidRDefault="00986D95" w:rsidP="005A3DF4">
      <w:pPr>
        <w:widowControl w:val="0"/>
        <w:spacing w:after="0" w:line="240" w:lineRule="auto"/>
        <w:ind w:firstLine="709"/>
        <w:jc w:val="both"/>
        <w:rPr>
          <w:rFonts w:ascii="Times New Roman" w:hAnsi="Times New Roman"/>
          <w:sz w:val="28"/>
          <w:szCs w:val="28"/>
        </w:rPr>
      </w:pPr>
    </w:p>
    <w:p w:rsidR="00986D95" w:rsidRPr="00F732A2" w:rsidRDefault="00986D95" w:rsidP="005A3DF4">
      <w:pPr>
        <w:widowControl w:val="0"/>
        <w:spacing w:after="0" w:line="240" w:lineRule="auto"/>
        <w:ind w:firstLine="709"/>
        <w:jc w:val="center"/>
        <w:rPr>
          <w:rFonts w:ascii="Times New Roman" w:hAnsi="Times New Roman"/>
          <w:b/>
          <w:sz w:val="28"/>
          <w:szCs w:val="28"/>
          <w:lang w:val="en-US"/>
        </w:rPr>
      </w:pPr>
      <w:r w:rsidRPr="00F732A2">
        <w:rPr>
          <w:rFonts w:ascii="Times New Roman" w:hAnsi="Times New Roman"/>
          <w:b/>
          <w:sz w:val="28"/>
          <w:szCs w:val="28"/>
          <w:lang w:val="en-US"/>
        </w:rPr>
        <w:t>Rights and obligations of parents and children: comparative analysis of the legislation of the Russian Federation and Japan.</w:t>
      </w:r>
    </w:p>
    <w:p w:rsidR="00986D95" w:rsidRPr="005542CD" w:rsidRDefault="00986D95" w:rsidP="005A3DF4">
      <w:pPr>
        <w:widowControl w:val="0"/>
        <w:spacing w:after="0" w:line="240" w:lineRule="auto"/>
        <w:ind w:firstLine="709"/>
        <w:jc w:val="center"/>
        <w:rPr>
          <w:rFonts w:ascii="Times New Roman" w:hAnsi="Times New Roman"/>
          <w:sz w:val="28"/>
          <w:szCs w:val="28"/>
          <w:lang w:val="en-US"/>
        </w:rPr>
      </w:pPr>
    </w:p>
    <w:p w:rsidR="00986D95" w:rsidRPr="00467B95" w:rsidRDefault="00986D95"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Degtyareva Alexandra Andreevna,</w:t>
      </w:r>
    </w:p>
    <w:p w:rsidR="00986D95" w:rsidRPr="00467B95" w:rsidRDefault="00986D95"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student of the fourth year,</w:t>
      </w:r>
      <w:r w:rsidRPr="00467B95">
        <w:rPr>
          <w:rFonts w:ascii="Times New Roman" w:eastAsia="Times New Roman" w:hAnsi="Times New Roman"/>
          <w:kern w:val="36"/>
          <w:sz w:val="28"/>
          <w:szCs w:val="28"/>
          <w:lang w:val="en-US" w:eastAsia="ru-RU"/>
        </w:rPr>
        <w:t xml:space="preserve"> BIP-15-01 group,</w:t>
      </w:r>
      <w:r w:rsidRPr="00467B95">
        <w:rPr>
          <w:rFonts w:ascii="Times New Roman" w:hAnsi="Times New Roman"/>
          <w:sz w:val="28"/>
          <w:szCs w:val="28"/>
          <w:lang w:val="en-US"/>
        </w:rPr>
        <w:t xml:space="preserve"> Chair of </w:t>
      </w:r>
      <w:r w:rsidRPr="00467B95">
        <w:rPr>
          <w:rFonts w:ascii="Times New Roman" w:hAnsi="Times New Roman"/>
          <w:color w:val="000000"/>
          <w:sz w:val="28"/>
          <w:szCs w:val="28"/>
          <w:shd w:val="clear" w:color="auto" w:fill="FFFFFF"/>
          <w:lang w:val="en-US"/>
        </w:rPr>
        <w:t>civil law disciplines</w:t>
      </w:r>
      <w:r w:rsidRPr="00467B95">
        <w:rPr>
          <w:rFonts w:ascii="Times New Roman" w:hAnsi="Times New Roman"/>
          <w:sz w:val="28"/>
          <w:szCs w:val="28"/>
          <w:lang w:val="en-US"/>
        </w:rPr>
        <w:t>, Institute of Law</w:t>
      </w:r>
    </w:p>
    <w:p w:rsidR="00986D95" w:rsidRPr="00467B95" w:rsidRDefault="00986D95" w:rsidP="005A3DF4">
      <w:pPr>
        <w:widowControl w:val="0"/>
        <w:shd w:val="clear" w:color="auto" w:fill="FFFFFF"/>
        <w:spacing w:after="0" w:line="240" w:lineRule="auto"/>
        <w:ind w:firstLine="709"/>
        <w:jc w:val="center"/>
        <w:rPr>
          <w:rFonts w:ascii="Times New Roman" w:hAnsi="Times New Roman"/>
          <w:i/>
          <w:kern w:val="2"/>
          <w:sz w:val="28"/>
          <w:szCs w:val="28"/>
          <w:lang w:val="en-US"/>
        </w:rPr>
      </w:pPr>
      <w:r w:rsidRPr="00467B95">
        <w:rPr>
          <w:rFonts w:ascii="Times New Roman" w:hAnsi="Times New Roman"/>
          <w:i/>
          <w:kern w:val="2"/>
          <w:sz w:val="28"/>
          <w:szCs w:val="28"/>
          <w:lang w:val="en-US"/>
        </w:rPr>
        <w:t>Vladivostok State University of Economics and Service</w:t>
      </w:r>
    </w:p>
    <w:p w:rsidR="00986D95" w:rsidRPr="00467B95" w:rsidRDefault="00986D95" w:rsidP="005A3DF4">
      <w:pPr>
        <w:widowControl w:val="0"/>
        <w:shd w:val="clear" w:color="auto" w:fill="FFFFFF"/>
        <w:spacing w:after="0" w:line="240" w:lineRule="auto"/>
        <w:ind w:firstLine="709"/>
        <w:jc w:val="center"/>
        <w:rPr>
          <w:rFonts w:ascii="Times New Roman" w:hAnsi="Times New Roman"/>
          <w:i/>
          <w:kern w:val="2"/>
          <w:sz w:val="28"/>
          <w:szCs w:val="28"/>
          <w:lang w:val="en-US"/>
        </w:rPr>
      </w:pPr>
      <w:r w:rsidRPr="00467B95">
        <w:rPr>
          <w:rFonts w:ascii="Times New Roman" w:hAnsi="Times New Roman"/>
          <w:i/>
          <w:kern w:val="2"/>
          <w:sz w:val="28"/>
          <w:szCs w:val="28"/>
          <w:lang w:val="en-US"/>
        </w:rPr>
        <w:t>Vladivostok, Russia</w:t>
      </w:r>
    </w:p>
    <w:p w:rsidR="00986D95" w:rsidRPr="00467B95" w:rsidRDefault="00986D95" w:rsidP="005A3DF4">
      <w:pPr>
        <w:widowControl w:val="0"/>
        <w:spacing w:after="0" w:line="240" w:lineRule="auto"/>
        <w:ind w:firstLine="709"/>
        <w:jc w:val="both"/>
        <w:rPr>
          <w:rFonts w:ascii="Times New Roman" w:hAnsi="Times New Roman"/>
          <w:color w:val="000000"/>
          <w:sz w:val="28"/>
          <w:szCs w:val="28"/>
          <w:lang w:val="en-US"/>
        </w:rPr>
      </w:pPr>
    </w:p>
    <w:p w:rsidR="00986D95" w:rsidRPr="00467B95" w:rsidRDefault="00986D95" w:rsidP="005A3DF4">
      <w:pPr>
        <w:widowControl w:val="0"/>
        <w:shd w:val="clear" w:color="auto" w:fill="FFFFFF"/>
        <w:spacing w:after="0" w:line="240" w:lineRule="auto"/>
        <w:ind w:firstLine="709"/>
        <w:jc w:val="both"/>
        <w:rPr>
          <w:rFonts w:ascii="Times New Roman" w:hAnsi="Times New Roman"/>
          <w:i/>
          <w:kern w:val="2"/>
          <w:sz w:val="28"/>
          <w:szCs w:val="28"/>
          <w:lang w:val="en-US"/>
        </w:rPr>
      </w:pPr>
      <w:r w:rsidRPr="00467B95">
        <w:rPr>
          <w:rFonts w:ascii="Times New Roman" w:hAnsi="Times New Roman"/>
          <w:i/>
          <w:kern w:val="2"/>
          <w:sz w:val="28"/>
          <w:szCs w:val="28"/>
          <w:lang w:val="en-US"/>
        </w:rPr>
        <w:t>This article analyzes the provisions of the current Japanese and Russian legislation on the regulation and study of the legal status of children and parents in child-parent relations in Japan and Russia.</w:t>
      </w:r>
    </w:p>
    <w:p w:rsidR="00986D95" w:rsidRPr="00467B95" w:rsidRDefault="00986D95" w:rsidP="005A3DF4">
      <w:pPr>
        <w:widowControl w:val="0"/>
        <w:shd w:val="clear" w:color="auto" w:fill="FFFFFF"/>
        <w:spacing w:after="0" w:line="240" w:lineRule="auto"/>
        <w:ind w:firstLine="709"/>
        <w:jc w:val="both"/>
        <w:rPr>
          <w:rFonts w:ascii="Times New Roman" w:hAnsi="Times New Roman"/>
          <w:i/>
          <w:kern w:val="2"/>
          <w:sz w:val="28"/>
          <w:szCs w:val="28"/>
          <w:lang w:val="en-US"/>
        </w:rPr>
      </w:pPr>
      <w:r w:rsidRPr="00467B95">
        <w:rPr>
          <w:rFonts w:ascii="Times New Roman" w:hAnsi="Times New Roman"/>
          <w:i/>
          <w:kern w:val="2"/>
          <w:sz w:val="28"/>
          <w:szCs w:val="28"/>
          <w:lang w:val="en-US"/>
        </w:rPr>
        <w:t>The author studied the legal basis for the regulation of parent-child relations in Russia and Japan, identified the problems of legal regulation of the legal status of parents and children, as well as in the practice of its implementation and proposed ways to income them.</w:t>
      </w:r>
    </w:p>
    <w:p w:rsidR="00986D95" w:rsidRPr="005542CD" w:rsidRDefault="00986D95" w:rsidP="005A3DF4">
      <w:pPr>
        <w:widowControl w:val="0"/>
        <w:spacing w:after="0" w:line="240" w:lineRule="auto"/>
        <w:ind w:firstLine="709"/>
        <w:jc w:val="both"/>
        <w:rPr>
          <w:rFonts w:ascii="Times New Roman" w:hAnsi="Times New Roman"/>
          <w:i/>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r w:rsidRPr="00F732A2">
        <w:rPr>
          <w:rFonts w:ascii="Times New Roman" w:hAnsi="Times New Roman"/>
          <w:i/>
          <w:sz w:val="28"/>
          <w:szCs w:val="28"/>
          <w:lang w:val="en-US"/>
        </w:rPr>
        <w:t>Keywords</w:t>
      </w:r>
      <w:r w:rsidRPr="00467B95">
        <w:rPr>
          <w:rFonts w:ascii="Times New Roman" w:hAnsi="Times New Roman"/>
          <w:i/>
          <w:sz w:val="28"/>
          <w:szCs w:val="28"/>
          <w:lang w:val="en-US"/>
        </w:rPr>
        <w:t>: parents, children, family law, rights, obligations, legislation, problems, Russia, Japan.</w:t>
      </w:r>
    </w:p>
    <w:p w:rsidR="00986D95" w:rsidRPr="00467B95" w:rsidRDefault="00986D95" w:rsidP="005A3DF4">
      <w:pPr>
        <w:widowControl w:val="0"/>
        <w:spacing w:after="0" w:line="240" w:lineRule="auto"/>
        <w:ind w:firstLine="709"/>
        <w:jc w:val="both"/>
        <w:rPr>
          <w:rFonts w:ascii="Times New Roman" w:hAnsi="Times New Roman"/>
          <w:b/>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Забота о своих детях является неотъемлемой и естественной функцией каждого родителя, не в зависимости от его принадлежности к гражданству того или иного государства, что обусловлено наличием у человека материнского, либо отцовского инстинкта по отношению к своему потомству.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Указанные обстоятельства влекут за собой необходимость строгой регламентации правового статуса родителей и детей в детско-родительских отношениях на легальном уровне в действующем российском семейном законодательстве: в этой связи, наибольший научно-исследовательский интерес представляет законодательный опыт Японии, чья традиционная семья во всем мире считается эталоном родственных связей, а случаи утраты японскими родителями права воспитания своих детей несоизмеримо редки в сравнении с другими государствами, в том числе и Россией.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Полагаем, что изучение основ правового статуса родителей и детей в Японии позволит обратить внимание на существующие пробелы, противоречия в российском семейном законодательстве, и восполнить их путем частичной рецепции положений соответствующей японской </w:t>
      </w:r>
      <w:r w:rsidRPr="00467B95">
        <w:rPr>
          <w:rFonts w:ascii="Times New Roman" w:hAnsi="Times New Roman"/>
          <w:sz w:val="28"/>
          <w:szCs w:val="28"/>
        </w:rPr>
        <w:lastRenderedPageBreak/>
        <w:t>нормативно-правовой базы</w:t>
      </w:r>
      <w:bookmarkStart w:id="1" w:name="_Hlk3012309"/>
      <w:r w:rsidRPr="00467B95">
        <w:rPr>
          <w:rFonts w:ascii="Times New Roman" w:hAnsi="Times New Roman"/>
          <w:sz w:val="28"/>
          <w:szCs w:val="28"/>
        </w:rPr>
        <w:t xml:space="preserve">, что и обуславливает актуальность выбранной темы исследования.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Предметом исследования являются положения действующего японского и российского семейного законодательства, посвященные вопросам регламентации правового статуса родителей и детей; соответствующие положения отечественной и зарубежной правовой доктрины по изучаемому вопросу, а также материалы сформированной судебной практики по разрешению споров, вытекающих из детско-родительских отношений.</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Цель исследования заключается в проведении всестороннего анализа особенностей правового статуса родителей и детей в детско-родительских отношениях в России и Японии.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Поставленная нами цель достигается за счет выполнения следующих научно-практических задач исследования:</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изучить права, обязанности, ответственность японских родителей;</w:t>
      </w:r>
    </w:p>
    <w:p w:rsidR="00986D95" w:rsidRPr="00467B95" w:rsidRDefault="00986D95"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sz w:val="28"/>
          <w:szCs w:val="28"/>
        </w:rPr>
        <w:t xml:space="preserve">- проанализировать </w:t>
      </w:r>
      <w:r w:rsidRPr="00467B95">
        <w:rPr>
          <w:rFonts w:ascii="Times New Roman" w:hAnsi="Times New Roman"/>
          <w:bCs/>
          <w:sz w:val="28"/>
          <w:szCs w:val="28"/>
        </w:rPr>
        <w:t>права японских детей;</w:t>
      </w:r>
    </w:p>
    <w:p w:rsidR="00986D95" w:rsidRPr="00467B95" w:rsidRDefault="00986D95"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определить права, обязанности, ответственность российских родителей;</w:t>
      </w:r>
    </w:p>
    <w:p w:rsidR="00986D95" w:rsidRPr="00467B95" w:rsidRDefault="00986D95"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охарактеризовать права российских детей.</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Аспекты выбранной темы исследования освещены в научных трудах следующих авторов: С. Вагацума [2], К. С. Воркина [3], Ю. В. Ставропольский [4],  а также ряда других. Указанная совокупность научных трудов выступила в качестве научно-теоретической базы исследования.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Нормативная правовая база исследования представлена совокупностью действующих нормативных правовых актов на территориях России и Японии, посвященных регламентации правового статуса родителей и детей в детско-родительских отношениях в данных государствах, в частности, Конституция Японии [5], Гражданский кодекс Японии (далее по тексту – ГК Японии) [6], Конституция РФ [7], Семейный кодекс РФ [8], а также ряд иных.</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Эмпирической базой исследования явились судебные решения, принятые по результатам разрешения споров, вытекающих из детско-родительских отношений; официальные статистические данные, связанные с рассматриваемым вопросом.</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качестве методологической базы исследования использованы следующие методы научно-правового познания: синтез, логический метод, сравнительно-правовой анализ, системно-структурный анализ, формально-юридический метод, статистический метод, дедукция, индукция, метод деловой беседы, а также ряд иных.</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Практическая значимость исследования заключается в том, что полученные по итогам его проведения выводы могут быть использованы в практической деятельности начинающих юристов в сфере семейного права, а также при подготовке студентов высших учебных заведений к экзаменам, зачетам и семинарским занятиям по дисциплине: «Семейное право».</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Права, предоставленные японским родителем на законодательном </w:t>
      </w:r>
      <w:r w:rsidRPr="00467B95">
        <w:rPr>
          <w:rFonts w:ascii="Times New Roman" w:hAnsi="Times New Roman"/>
          <w:sz w:val="28"/>
          <w:szCs w:val="28"/>
        </w:rPr>
        <w:lastRenderedPageBreak/>
        <w:t>уровне, реализуются ими в процессе воспитания ребенка совместно, если они (мужчина и женщина) состоят в зарегистрированном (официальном) браке. При этом, существуют некоторые легальные изъятия из указанного правила, в том числе:</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 осуществление родительских прав усыновителями (п. 2 ст. 818 ГК Японии). </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Б) осуществление родительских прав единолично (либо матерью, либо отцом) (п. 3 ст. 818 ГК Японии). </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осуществление родительских прав после расторжения официального брака. (п. 1, 5 ст. 819 ГК Японии; п. 1 ст. 9 Закона о судебном рассмотрении семейных дел) [2, с. 227]. </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Г) осуществление родительских прав в отношении ребенка, рожденного вне брака. (п. 4 ст. 819 ГК Японии, п. 5 ст. 819 ГК Японии).</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Права японского родителя - это мера возможного поведения в отношениях с ребенком, либо в отношениях с третьими лицами, возникающие по поводу ребенка, предоставленная его родителю, к числу которых могут быть отнесены следующие: право на определение местожительства ребенка; право самостоятельного применения в отношении ребенка исправительных мер; право разрешать детям заниматься какой-либо профессиональной деятельностью; право представительства ребенка во всех правоотношениях, которые не связываются с его лично-правовым статусом; право управления имуществом, которое принадлежит ребенку на праве собственности.</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Под обязанностями родителей следует понимать меру должного поведения, возложенную на них законом и осуществляемую ими в отношении своих детей, за неисполнение которой они будут привлечены к юридической ответственности. </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В частности, действующим японским законодателем к обязанностям родителей отнесены следующие: обязанность по взаимному содержанию ребенка; обязанность по обеспечению получения ребенком обязательного школьного образования; обязанность не привлекать детей к попрошайничеству, сбору милостыни, участию в цирковых и иных представлениях, проводимых с целью увеселения публики и получения денежных средств; обязанность представлять интересы ребенка в суде по делам о установлении отцовства, изменении фамилии, аннулировании усыновления, отказа от наследования; обязанность проявлять повышенное внимание при управлении имуществом, принадлежащего на праве собственности, а также при совершении сделок с ним; обязанность предоставить отчет об управлении имуществом, принадлежащего на праве собственности ребенку, при достижении им совершеннолетнего возраста.</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Японское семейное законодательство регламентирует институт ответственности родителей, в случае их  злоупотребления родительскими правами, а также в случае, если они осознанно, без наличия на то каких-либо уважительных причин, уклоняются от исполнения ими возложенных на них </w:t>
      </w:r>
      <w:r w:rsidRPr="00467B95">
        <w:rPr>
          <w:rFonts w:ascii="Times New Roman" w:hAnsi="Times New Roman"/>
          <w:sz w:val="28"/>
          <w:szCs w:val="28"/>
        </w:rPr>
        <w:lastRenderedPageBreak/>
        <w:t>обязанностей по воспитанию, попечению и содержанию детей (институт лишения родителей родительских прав по воспитанию ребенка, институт лишения права управления имуществом, находящемся в собственности ребенка, права совершения сделок с ним от имени ребенка и в его интересах).</w:t>
      </w:r>
    </w:p>
    <w:p w:rsidR="00986D95" w:rsidRPr="00467B95" w:rsidRDefault="00986D95" w:rsidP="005A3DF4">
      <w:pPr>
        <w:widowControl w:val="0"/>
        <w:tabs>
          <w:tab w:val="left" w:pos="1068"/>
        </w:tabs>
        <w:spacing w:after="0" w:line="240" w:lineRule="auto"/>
        <w:ind w:firstLine="709"/>
        <w:jc w:val="both"/>
        <w:rPr>
          <w:rFonts w:ascii="Times New Roman" w:hAnsi="Times New Roman"/>
          <w:sz w:val="28"/>
          <w:szCs w:val="28"/>
        </w:rPr>
      </w:pPr>
      <w:r w:rsidRPr="00467B95">
        <w:rPr>
          <w:rFonts w:ascii="Times New Roman" w:hAnsi="Times New Roman"/>
          <w:sz w:val="28"/>
          <w:szCs w:val="28"/>
        </w:rPr>
        <w:t>В целом, подчеркнем, что японским законодателем достаточно детально регламентирован правовой статус родителей в детско-японских отношениях, что связывается с его пристальным вниманием к вопросам охраны и защиты детства, в связи, с чем нам представляется возможным осуществить рецепцию отдельных положений японского семейного законодательства, регулирующего данный вопрос.</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 числу основных прав японского ребенка как субъекта детско-родительских отношений необходимо относить следующие: право знать своих родителей; право на заботу и попечение со стороны родителей, усыновителей; право на имя; право на финансовое обеспечение со стороны родителей, усыновителей; право быть воспитанным с участием обоих родителей, усыновителей; право на алиментное содержание от родителей, усыновителей; право изменить фамилию матери на фамилию отца при установлении (признании) отцовства, а также фамилию кровных родителей на фамилию приемных при усыновлении; право наследования за родителями и усыновителями; право на обеспечение со стороны родителей, усыновителей прохождения им обязательного школьного образования; право на представление своих интересов родителями, усыновителями во всех имущественных правоотношениях; право на управление родителями, усыновителями его имуществом, находящимся у него в собственности; право на осуществление профессиональной деятельности, с получением предварительного разрешения на это со стороны родителей и усыновителей; право на общение с кровными (биологическими) родственниками при усыновлении.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 числу прав и обязанностей российских родителей относятся следующие: обязанность и право воспитывать своих детей; преимущественное право на обучение и воспитание своих детей; обязанность обеспечить получение ребенком среднее (общее) образование; право выбора места прохождения обучения детьми, а также формы получения ими необходимых школьных знаний с учетом их мнения; право и обязанность представлять интересы своих детей во всех правоотношениях без предварительного получения специальных на то полномочий; право требовать возврата своего ребенка от любого лица, удерживающего его у себя без наличия вступившего в законную силу решения суда, допускающего возможность этого; право на общение с ребенком при их раздельном проживании; право на получение информации о ребенке из воспитательных, лечебных учреждений, учреждений социальной защиты населения, в случае их раздельного проживания; обязанность по содержанию своих детей.</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Нами были выявлены следующие проблемы и предложены пути их преодоления:</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1 Проблема неточности некоторых формулировок прав и обязанностей родителей (например, нет понимания, что считать воспитанием, нравственным развитием и иные). Разрешение данной проблемы возможно за счет внесения соответствующих конкретизирующих изменений в положения действующего российского семейного законодательства.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Проблема правовой неграмотности родителей, что влечет за собой невозможность их самостоятельной защиты собственных прав и прав своих детей от всякого рода нарушений со стороны третьих лиц. На наш взгляд, разрешить данную проблему возможно путем организации и проведения работы сотрудниками органов опеки и попечительства, направленной на повышение правовой информированности по вопросам реализации родительских прав и обязанностей среди граждан, являющихся родителями несовершеннолетних детей: (в роддомах, детских садах, школах, женских консультациях).</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3 Проблема неправомерного ограничения одним родителем права другого на общение с ребенком. Полагаем, что обозначенная проблема будет разрешена за счет проведения сотрудниками органов опек и попечительства профилактической беседы с родителями о необходимости устранения препятствий в общении с ребенком другому родителю, а также за счет ужесточения ответственности за совершение данного правонарушения (вплоть до уголовной).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Проблема злостного уклонения родителей, проживающих раздельно с ребенком, по его содержанию. Разрешение данной проблемы отчасти видится нам в ужесточении ответственности за уклонение от уплаты алиментов и при первом же допущенном нарушении следует привлекать недобросовестного родителя к уголовной ответственности, вплоть до лишения свободы.</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 числу прав российского ребенка относятся: право жить и воспитываться в семье, знать своих родителей; право на обеспечение интересов, всестороннее развитие и уважение его собственного человеческого достоинств; право на общение с родственниками; право на защиту прав и законных интересов; имущественные права.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Нами были выявлены следующие проблемы и предложены пути их решения:</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 Проблема воспрепятствования общению ребенка с другими родственниками.  Разрешение данной проблемы видится нам в проведении сотрудниками органов опек и попечительства профилактической беседы с родителями о необходимости устранения препятствий в общении с ребенком другому родителю, а также за счет ужесточения ответственности за совершение данного правонарушения (вплоть до уголовной).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Проблема латентности нарушений права ребенка на уважение человеческого достоинства. Подавляющее большинство подростков, подвергающихся со стороны родителей физическому и психическому насилию, постесняются, побояться обратиться за помощью, что обуславливает необходимость проведения психологической работы, на базе </w:t>
      </w:r>
      <w:r w:rsidRPr="00467B95">
        <w:rPr>
          <w:rFonts w:ascii="Times New Roman" w:hAnsi="Times New Roman"/>
          <w:sz w:val="28"/>
          <w:szCs w:val="28"/>
        </w:rPr>
        <w:lastRenderedPageBreak/>
        <w:t xml:space="preserve">образовательных учреждений, с детьми на предмет выявления фактов нарушения их прав вследствие физического и психического насилия.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Проведенный нами анализ положений действующего японского и российского семейного законодательства, научной юридической литературы, посвященных регулированию и изучению особенностей правового статуса детей и родителей в детско-родительских отношениях в Японии и России, позволяет сформулировать вывод, который свидетельствует о достижении поставленной цели и реализации задач исследования:</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действующее японское законодательство более детально урегулировало правовой статус родителей, их права, обязанности, ответственность, а также права детей и особенности их защиты от всякого рода нарушений, в том числе и со стороны их родителей. Указанное связывается с пристальным вниманием японского законодателя к вопросам охраны и защиты детства, в связи, с чем нам представляется возможным осуществить рецепцию отдельных положений японского семейного законодательства, регулирующего данный вопрос (например, возможность лишения родителей права управления имуществом, принадлежащем ребенку на праве собственности, права представления его интересов, без лишения родительских прав, в целом, а не в единичных случаях, на основании решения суда; легальное закрепление право ребенка на сохранение общения с биологическими родителями даже в случае его усыновления).</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отметим, что нам, в целом, импонирует подход японского законодателя к правовому регулированию правового статуса детей: так, детально изложенные нормы, отраженные в множестве специальных японских законов, принятых с целью обеспечения реализации прав и законных интересов детей, а также охраны и защиты от всякого рода нарушений, позволяют избегать судам Японии трудностей и сложностей в правоприменительной практике. Полагаем, возможным применять подобного рода подход и на территории российского государства, при формировании нормативной правовой базы, посвященной регламентации детско-родительских отношений.</w:t>
      </w:r>
    </w:p>
    <w:bookmarkEnd w:id="1"/>
    <w:p w:rsidR="00986D95" w:rsidRPr="00467B95" w:rsidRDefault="00986D95" w:rsidP="005A3DF4">
      <w:pPr>
        <w:widowControl w:val="0"/>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986D95" w:rsidRPr="00A31929"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 xml:space="preserve">Отчет о работе судов общей юрисдикции о рассмотрении гражданских, административных дел по первой инстанции [Электронный ресурс] // </w:t>
      </w:r>
      <w:r w:rsidRPr="00A31929">
        <w:rPr>
          <w:rFonts w:ascii="Times New Roman" w:hAnsi="Times New Roman" w:cs="Times New Roman"/>
          <w:sz w:val="28"/>
          <w:szCs w:val="28"/>
        </w:rPr>
        <w:t xml:space="preserve">Официальный сайт Судебного Департамента Верховного суда Российской Федерации. – Режим доступа: </w:t>
      </w:r>
      <w:hyperlink r:id="rId19" w:history="1">
        <w:r w:rsidRPr="00A31929">
          <w:rPr>
            <w:rStyle w:val="a8"/>
            <w:rFonts w:ascii="Times New Roman" w:hAnsi="Times New Roman" w:cs="Times New Roman"/>
            <w:color w:val="auto"/>
            <w:sz w:val="28"/>
            <w:szCs w:val="28"/>
            <w:u w:val="none"/>
          </w:rPr>
          <w:t>http://www.cdep.ru/index.php?id=79&amp;item=4476</w:t>
        </w:r>
      </w:hyperlink>
      <w:r w:rsidRPr="00A31929">
        <w:rPr>
          <w:rFonts w:ascii="Times New Roman" w:hAnsi="Times New Roman" w:cs="Times New Roman"/>
          <w:sz w:val="28"/>
          <w:szCs w:val="28"/>
        </w:rPr>
        <w:t>.</w:t>
      </w:r>
    </w:p>
    <w:p w:rsidR="00986D95" w:rsidRPr="00467B95"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A31929">
        <w:rPr>
          <w:rFonts w:ascii="Times New Roman" w:hAnsi="Times New Roman" w:cs="Times New Roman"/>
          <w:sz w:val="28"/>
          <w:szCs w:val="28"/>
        </w:rPr>
        <w:t>Вагацума С. Гражданское право Японии. Книга</w:t>
      </w:r>
      <w:r w:rsidRPr="00467B95">
        <w:rPr>
          <w:rFonts w:ascii="Times New Roman" w:hAnsi="Times New Roman" w:cs="Times New Roman"/>
          <w:sz w:val="28"/>
          <w:szCs w:val="28"/>
        </w:rPr>
        <w:t xml:space="preserve"> вторая. / С. Вагацума, Т. Ариилзуми. - М.: Прогресс, 1983. – 336 с.</w:t>
      </w:r>
    </w:p>
    <w:p w:rsidR="00986D95" w:rsidRPr="00467B95"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 xml:space="preserve">Воркина К. С. Японская семья в различные периоды истории. / К. С. Воркина. // Вестник РУДН. Серия «Вопросы образования: языки и специальность. – 2012. – № 2. – С. 21-26. </w:t>
      </w:r>
    </w:p>
    <w:p w:rsidR="00986D95" w:rsidRPr="00467B95"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 xml:space="preserve">Ставропольский Ю. В. Некоторые положения японского наследственного права, которые были пересмотрены в процессе ревизии </w:t>
      </w:r>
      <w:r w:rsidRPr="00467B95">
        <w:rPr>
          <w:rFonts w:ascii="Times New Roman" w:hAnsi="Times New Roman" w:cs="Times New Roman"/>
          <w:sz w:val="28"/>
          <w:szCs w:val="28"/>
        </w:rPr>
        <w:lastRenderedPageBreak/>
        <w:t>японского гражданского кодекса в мае 1947 года. / Ю. В. Ставропольский. // Проблемы и перспективы развития государства и права в XXI веке: сб. материалов науч.-практ. конф. – Улан-Уде, 2017. – С. 93-97.</w:t>
      </w:r>
    </w:p>
    <w:p w:rsidR="00986D95" w:rsidRPr="00467B95"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 xml:space="preserve">Конституция Японии (1946 г.) </w:t>
      </w:r>
      <w:bookmarkStart w:id="2" w:name="_Hlk3923470"/>
      <w:r w:rsidRPr="00467B95">
        <w:rPr>
          <w:rFonts w:ascii="Times New Roman" w:hAnsi="Times New Roman" w:cs="Times New Roman"/>
          <w:sz w:val="28"/>
          <w:szCs w:val="28"/>
        </w:rPr>
        <w:t>[Электронный ресурс] // Сайт «Конституции государств (стран) мира». – Режим доступа: https://worldconstitutions.ru/?p=37&amp;attempt=1</w:t>
      </w:r>
      <w:bookmarkEnd w:id="2"/>
      <w:r w:rsidRPr="00467B95">
        <w:rPr>
          <w:rFonts w:ascii="Times New Roman" w:hAnsi="Times New Roman" w:cs="Times New Roman"/>
          <w:sz w:val="28"/>
          <w:szCs w:val="28"/>
        </w:rPr>
        <w:t xml:space="preserve">. </w:t>
      </w:r>
    </w:p>
    <w:p w:rsidR="00986D95" w:rsidRPr="00A31929"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 xml:space="preserve">Гражданский кодекс Японии (1898 г.) [Электронный ресурс] // Официальный сайт Бурятского </w:t>
      </w:r>
      <w:r w:rsidRPr="00A31929">
        <w:rPr>
          <w:rFonts w:ascii="Times New Roman" w:hAnsi="Times New Roman" w:cs="Times New Roman"/>
          <w:sz w:val="28"/>
          <w:szCs w:val="28"/>
        </w:rPr>
        <w:t>государственного университета имени Доржи Банзарова. – Режим доступа:</w:t>
      </w:r>
      <w:bookmarkStart w:id="3" w:name="_Hlk4740543"/>
      <w:r w:rsidR="000C05CA" w:rsidRPr="00A31929">
        <w:rPr>
          <w:rFonts w:ascii="Times New Roman" w:hAnsi="Times New Roman" w:cs="Times New Roman"/>
          <w:sz w:val="28"/>
          <w:szCs w:val="28"/>
        </w:rPr>
        <w:fldChar w:fldCharType="begin"/>
      </w:r>
      <w:r w:rsidRPr="00A31929">
        <w:rPr>
          <w:rFonts w:ascii="Times New Roman" w:hAnsi="Times New Roman" w:cs="Times New Roman"/>
          <w:sz w:val="28"/>
          <w:szCs w:val="28"/>
        </w:rPr>
        <w:instrText xml:space="preserve"> HYPERLINK "http://www.bsu.ru/university/departments/faculties/uf/13244/13252/13366/" </w:instrText>
      </w:r>
      <w:r w:rsidR="000C05CA" w:rsidRPr="00A31929">
        <w:rPr>
          <w:rFonts w:ascii="Times New Roman" w:hAnsi="Times New Roman" w:cs="Times New Roman"/>
          <w:sz w:val="28"/>
          <w:szCs w:val="28"/>
        </w:rPr>
        <w:fldChar w:fldCharType="separate"/>
      </w:r>
      <w:r w:rsidRPr="00A31929">
        <w:rPr>
          <w:rStyle w:val="a8"/>
          <w:rFonts w:ascii="Times New Roman" w:hAnsi="Times New Roman" w:cs="Times New Roman"/>
          <w:color w:val="auto"/>
          <w:sz w:val="28"/>
          <w:szCs w:val="28"/>
          <w:u w:val="none"/>
        </w:rPr>
        <w:t>http://www.bsu.ru/university/departments/faculties/uf/13244/13252/13366/</w:t>
      </w:r>
      <w:bookmarkEnd w:id="3"/>
      <w:r w:rsidR="000C05CA" w:rsidRPr="00A31929">
        <w:rPr>
          <w:rFonts w:ascii="Times New Roman" w:hAnsi="Times New Roman" w:cs="Times New Roman"/>
          <w:sz w:val="28"/>
          <w:szCs w:val="28"/>
        </w:rPr>
        <w:fldChar w:fldCharType="end"/>
      </w:r>
      <w:r w:rsidRPr="00A31929">
        <w:rPr>
          <w:rFonts w:ascii="Times New Roman" w:hAnsi="Times New Roman" w:cs="Times New Roman"/>
          <w:sz w:val="28"/>
          <w:szCs w:val="28"/>
        </w:rPr>
        <w:t>.</w:t>
      </w:r>
    </w:p>
    <w:p w:rsidR="00986D95" w:rsidRPr="00467B95"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A31929">
        <w:rPr>
          <w:rFonts w:ascii="Times New Roman" w:hAnsi="Times New Roman" w:cs="Times New Roman"/>
          <w:sz w:val="28"/>
          <w:szCs w:val="28"/>
        </w:rPr>
        <w:t>Конституция Российской Федерации: принята всенародным голосованием 12.12.1993 (ред. от 21.07.2014) [Электронный ресурс] // СПС «КонсультантПлюс». – Режим</w:t>
      </w:r>
      <w:r w:rsidRPr="00467B95">
        <w:rPr>
          <w:rFonts w:ascii="Times New Roman" w:hAnsi="Times New Roman" w:cs="Times New Roman"/>
          <w:sz w:val="28"/>
          <w:szCs w:val="28"/>
        </w:rPr>
        <w:t xml:space="preserve"> доступа: http://www.consultant.ru/document/cons_doc_LAW_28399/.</w:t>
      </w:r>
    </w:p>
    <w:p w:rsidR="00986D95" w:rsidRPr="001B084E" w:rsidRDefault="00986D95" w:rsidP="005A3DF4">
      <w:pPr>
        <w:pStyle w:val="a7"/>
        <w:widowControl w:val="0"/>
        <w:numPr>
          <w:ilvl w:val="0"/>
          <w:numId w:val="2"/>
        </w:numPr>
        <w:tabs>
          <w:tab w:val="left" w:pos="1134"/>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 xml:space="preserve">Семейный кодекс Российской Федерации: федеральный закон от 29.12.1995 № </w:t>
      </w:r>
      <w:r w:rsidRPr="001B084E">
        <w:rPr>
          <w:rFonts w:ascii="Times New Roman" w:hAnsi="Times New Roman" w:cs="Times New Roman"/>
          <w:sz w:val="28"/>
          <w:szCs w:val="28"/>
        </w:rPr>
        <w:t xml:space="preserve">223-ФЗ (ред. от 03.08.2018) [Электронный ресурс] // СПС «КонсультантПлюс». – Режим доступа: </w:t>
      </w:r>
      <w:hyperlink r:id="rId20" w:history="1">
        <w:r w:rsidRPr="001B084E">
          <w:rPr>
            <w:rStyle w:val="a8"/>
            <w:rFonts w:ascii="Times New Roman" w:hAnsi="Times New Roman" w:cs="Times New Roman"/>
            <w:color w:val="auto"/>
            <w:sz w:val="28"/>
            <w:szCs w:val="28"/>
            <w:u w:val="none"/>
          </w:rPr>
          <w:t>http://www.consultant.ru/document/cons_doc_LAW_8982/</w:t>
        </w:r>
      </w:hyperlink>
      <w:r w:rsidRPr="001B084E">
        <w:rPr>
          <w:rFonts w:ascii="Times New Roman" w:hAnsi="Times New Roman" w:cs="Times New Roman"/>
          <w:sz w:val="28"/>
          <w:szCs w:val="28"/>
        </w:rPr>
        <w:t>.</w:t>
      </w:r>
    </w:p>
    <w:p w:rsidR="00986D95" w:rsidRPr="001B084E" w:rsidRDefault="00986D95" w:rsidP="005A3DF4">
      <w:pPr>
        <w:pStyle w:val="a7"/>
        <w:widowControl w:val="0"/>
        <w:tabs>
          <w:tab w:val="left" w:pos="1134"/>
        </w:tabs>
        <w:spacing w:after="0" w:line="240" w:lineRule="auto"/>
        <w:contextualSpacing w:val="0"/>
        <w:jc w:val="both"/>
        <w:rPr>
          <w:rFonts w:ascii="Times New Roman" w:hAnsi="Times New Roman" w:cs="Times New Roman"/>
          <w:sz w:val="28"/>
          <w:szCs w:val="28"/>
        </w:rPr>
      </w:pPr>
    </w:p>
    <w:p w:rsidR="00986D95" w:rsidRPr="00467B95" w:rsidRDefault="00986D95"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Эволюция международного трудового права РФ (СССР)</w:t>
      </w:r>
    </w:p>
    <w:p w:rsidR="00986D95" w:rsidRDefault="00986D95" w:rsidP="005A3DF4">
      <w:pPr>
        <w:widowControl w:val="0"/>
        <w:spacing w:after="0" w:line="240" w:lineRule="auto"/>
        <w:ind w:firstLine="709"/>
        <w:jc w:val="center"/>
        <w:rPr>
          <w:rFonts w:ascii="Times New Roman" w:hAnsi="Times New Roman"/>
          <w:sz w:val="28"/>
          <w:szCs w:val="28"/>
        </w:rPr>
      </w:pPr>
    </w:p>
    <w:p w:rsidR="00986D95" w:rsidRPr="00856C5E" w:rsidRDefault="00986D95" w:rsidP="005A3DF4">
      <w:pPr>
        <w:widowControl w:val="0"/>
        <w:spacing w:after="0" w:line="240" w:lineRule="auto"/>
        <w:ind w:firstLine="709"/>
        <w:jc w:val="center"/>
        <w:rPr>
          <w:rFonts w:ascii="Times New Roman" w:hAnsi="Times New Roman"/>
          <w:sz w:val="28"/>
          <w:szCs w:val="28"/>
        </w:rPr>
      </w:pPr>
      <w:r w:rsidRPr="00856C5E">
        <w:rPr>
          <w:rFonts w:ascii="Times New Roman" w:hAnsi="Times New Roman"/>
          <w:sz w:val="28"/>
          <w:szCs w:val="28"/>
        </w:rPr>
        <w:t>Корниенко Татьяна Сергеевна</w:t>
      </w:r>
    </w:p>
    <w:p w:rsidR="00986D95" w:rsidRPr="00856C5E" w:rsidRDefault="00986D95" w:rsidP="005A3DF4">
      <w:pPr>
        <w:widowControl w:val="0"/>
        <w:spacing w:after="0" w:line="240" w:lineRule="auto"/>
        <w:ind w:firstLine="709"/>
        <w:jc w:val="center"/>
        <w:rPr>
          <w:rFonts w:ascii="Times New Roman" w:hAnsi="Times New Roman"/>
          <w:sz w:val="28"/>
          <w:szCs w:val="28"/>
        </w:rPr>
      </w:pPr>
      <w:r w:rsidRPr="00856C5E">
        <w:rPr>
          <w:rFonts w:ascii="Times New Roman" w:hAnsi="Times New Roman"/>
          <w:sz w:val="28"/>
          <w:szCs w:val="28"/>
        </w:rPr>
        <w:t>бакалавр</w:t>
      </w:r>
    </w:p>
    <w:p w:rsidR="00986D95" w:rsidRPr="00856C5E" w:rsidRDefault="00986D95" w:rsidP="005A3DF4">
      <w:pPr>
        <w:widowControl w:val="0"/>
        <w:spacing w:after="0" w:line="240" w:lineRule="auto"/>
        <w:ind w:firstLine="709"/>
        <w:jc w:val="center"/>
        <w:rPr>
          <w:rFonts w:ascii="Times New Roman" w:hAnsi="Times New Roman"/>
          <w:i/>
          <w:sz w:val="28"/>
          <w:szCs w:val="28"/>
        </w:rPr>
      </w:pPr>
      <w:r w:rsidRPr="00856C5E">
        <w:rPr>
          <w:rFonts w:ascii="Times New Roman" w:hAnsi="Times New Roman"/>
          <w:i/>
          <w:sz w:val="28"/>
          <w:szCs w:val="28"/>
        </w:rPr>
        <w:t>Владивостокский государственный  университет экономики и сервиса</w:t>
      </w:r>
    </w:p>
    <w:p w:rsidR="00986D95" w:rsidRPr="00856C5E" w:rsidRDefault="00986D95" w:rsidP="005A3DF4">
      <w:pPr>
        <w:widowControl w:val="0"/>
        <w:spacing w:after="0" w:line="240" w:lineRule="auto"/>
        <w:ind w:firstLine="709"/>
        <w:jc w:val="center"/>
        <w:rPr>
          <w:rFonts w:ascii="Times New Roman" w:hAnsi="Times New Roman"/>
          <w:i/>
          <w:sz w:val="28"/>
          <w:szCs w:val="28"/>
        </w:rPr>
      </w:pPr>
      <w:r w:rsidRPr="00856C5E">
        <w:rPr>
          <w:rFonts w:ascii="Times New Roman" w:hAnsi="Times New Roman"/>
          <w:i/>
          <w:sz w:val="28"/>
          <w:szCs w:val="28"/>
        </w:rPr>
        <w:t xml:space="preserve">Россия. Владивосток </w:t>
      </w:r>
    </w:p>
    <w:p w:rsidR="00986D95" w:rsidRPr="00856C5E" w:rsidRDefault="00986D95" w:rsidP="005A3DF4">
      <w:pPr>
        <w:widowControl w:val="0"/>
        <w:spacing w:after="0" w:line="240" w:lineRule="auto"/>
        <w:ind w:firstLine="709"/>
        <w:jc w:val="center"/>
        <w:rPr>
          <w:rFonts w:ascii="Times New Roman" w:hAnsi="Times New Roman"/>
          <w:sz w:val="28"/>
          <w:szCs w:val="28"/>
        </w:rPr>
      </w:pPr>
      <w:r w:rsidRPr="00856C5E">
        <w:rPr>
          <w:rFonts w:ascii="Times New Roman" w:hAnsi="Times New Roman"/>
          <w:sz w:val="28"/>
          <w:szCs w:val="28"/>
          <w:lang w:val="en-US"/>
        </w:rPr>
        <w:t>E</w:t>
      </w:r>
      <w:r w:rsidRPr="00856C5E">
        <w:rPr>
          <w:rFonts w:ascii="Times New Roman" w:hAnsi="Times New Roman"/>
          <w:sz w:val="28"/>
          <w:szCs w:val="28"/>
        </w:rPr>
        <w:t>-</w:t>
      </w:r>
      <w:r w:rsidRPr="00856C5E">
        <w:rPr>
          <w:rFonts w:ascii="Times New Roman" w:hAnsi="Times New Roman"/>
          <w:sz w:val="28"/>
          <w:szCs w:val="28"/>
          <w:lang w:val="en-US"/>
        </w:rPr>
        <w:t>mail</w:t>
      </w:r>
      <w:r w:rsidRPr="00856C5E">
        <w:rPr>
          <w:rFonts w:ascii="Times New Roman" w:hAnsi="Times New Roman"/>
          <w:sz w:val="28"/>
          <w:szCs w:val="28"/>
        </w:rPr>
        <w:t xml:space="preserve">: </w:t>
      </w:r>
      <w:hyperlink r:id="rId21" w:history="1">
        <w:r w:rsidRPr="00856C5E">
          <w:rPr>
            <w:rStyle w:val="a8"/>
            <w:rFonts w:ascii="Times New Roman" w:hAnsi="Times New Roman"/>
            <w:color w:val="auto"/>
            <w:sz w:val="28"/>
            <w:szCs w:val="28"/>
            <w:u w:val="none"/>
            <w:lang w:val="en-US"/>
          </w:rPr>
          <w:t>ttyana</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kornienko</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mail</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ru</w:t>
        </w:r>
      </w:hyperlink>
      <w:r w:rsidRPr="00856C5E">
        <w:rPr>
          <w:rFonts w:ascii="Times New Roman" w:hAnsi="Times New Roman"/>
          <w:sz w:val="28"/>
          <w:szCs w:val="28"/>
        </w:rPr>
        <w:t>; +79020518418</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856C5E">
        <w:rPr>
          <w:rFonts w:ascii="Times New Roman" w:hAnsi="Times New Roman"/>
          <w:sz w:val="28"/>
          <w:szCs w:val="28"/>
        </w:rPr>
        <w:t>ул. Гоголя, 41, г. Владивосток</w:t>
      </w:r>
      <w:r w:rsidRPr="00467B95">
        <w:rPr>
          <w:rFonts w:ascii="Times New Roman" w:hAnsi="Times New Roman"/>
          <w:sz w:val="28"/>
          <w:szCs w:val="28"/>
        </w:rPr>
        <w:t>, Приморский край, Россия, 690014</w:t>
      </w:r>
    </w:p>
    <w:p w:rsidR="00986D95" w:rsidRDefault="00986D95" w:rsidP="005A3DF4">
      <w:pPr>
        <w:widowControl w:val="0"/>
        <w:spacing w:after="0" w:line="240" w:lineRule="auto"/>
        <w:ind w:firstLine="709"/>
        <w:jc w:val="both"/>
        <w:rPr>
          <w:rFonts w:ascii="Times New Roman" w:hAnsi="Times New Roman"/>
          <w:i/>
          <w:sz w:val="28"/>
          <w:szCs w:val="28"/>
        </w:rPr>
      </w:pPr>
    </w:p>
    <w:p w:rsidR="00986D95" w:rsidRPr="00467B95" w:rsidRDefault="00986D95"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В работе рассматривается эволюция международного трудового права как подотрасли международного частного права, выявляются тенденции развития международных трудовых отношений и особенности урегулирования этих отношений.</w:t>
      </w:r>
    </w:p>
    <w:p w:rsidR="00986D95" w:rsidRPr="00467B95" w:rsidRDefault="00986D95" w:rsidP="005A3DF4">
      <w:pPr>
        <w:widowControl w:val="0"/>
        <w:spacing w:after="0" w:line="240" w:lineRule="auto"/>
        <w:ind w:firstLine="709"/>
        <w:jc w:val="both"/>
        <w:rPr>
          <w:rFonts w:ascii="Times New Roman" w:hAnsi="Times New Roman"/>
          <w:i/>
          <w:sz w:val="28"/>
          <w:szCs w:val="28"/>
        </w:rPr>
      </w:pPr>
      <w:r w:rsidRPr="00856C5E">
        <w:rPr>
          <w:rFonts w:ascii="Times New Roman" w:hAnsi="Times New Roman"/>
          <w:i/>
          <w:sz w:val="28"/>
          <w:szCs w:val="28"/>
        </w:rPr>
        <w:t>Ключевые слова и словосочетания:</w:t>
      </w:r>
      <w:r w:rsidRPr="00467B95">
        <w:rPr>
          <w:rFonts w:ascii="Times New Roman" w:hAnsi="Times New Roman"/>
          <w:b/>
          <w:i/>
          <w:sz w:val="28"/>
          <w:szCs w:val="28"/>
        </w:rPr>
        <w:t xml:space="preserve"> </w:t>
      </w:r>
      <w:r w:rsidRPr="00467B95">
        <w:rPr>
          <w:rFonts w:ascii="Times New Roman" w:hAnsi="Times New Roman"/>
          <w:i/>
          <w:sz w:val="28"/>
          <w:szCs w:val="28"/>
        </w:rPr>
        <w:t xml:space="preserve">эволюция, международное трудовое право, международное частное право, трудовая деятельность, иностранные работники. </w:t>
      </w:r>
    </w:p>
    <w:p w:rsidR="00986D95" w:rsidRDefault="00986D95" w:rsidP="005A3DF4">
      <w:pPr>
        <w:widowControl w:val="0"/>
        <w:spacing w:after="0" w:line="240" w:lineRule="auto"/>
        <w:ind w:firstLine="709"/>
        <w:jc w:val="both"/>
        <w:rPr>
          <w:rFonts w:ascii="Times New Roman" w:hAnsi="Times New Roman"/>
          <w:b/>
          <w:sz w:val="28"/>
          <w:szCs w:val="28"/>
        </w:rPr>
      </w:pPr>
    </w:p>
    <w:p w:rsidR="00986D95" w:rsidRPr="00467B95" w:rsidRDefault="00986D95" w:rsidP="005A3DF4">
      <w:pPr>
        <w:widowControl w:val="0"/>
        <w:spacing w:after="0" w:line="240" w:lineRule="auto"/>
        <w:ind w:firstLine="709"/>
        <w:jc w:val="both"/>
        <w:rPr>
          <w:rFonts w:ascii="Times New Roman" w:hAnsi="Times New Roman"/>
          <w:b/>
          <w:sz w:val="28"/>
          <w:szCs w:val="28"/>
          <w:lang w:val="en-US"/>
        </w:rPr>
      </w:pPr>
      <w:r w:rsidRPr="00467B95">
        <w:rPr>
          <w:rFonts w:ascii="Times New Roman" w:hAnsi="Times New Roman"/>
          <w:b/>
          <w:sz w:val="28"/>
          <w:szCs w:val="28"/>
          <w:lang w:val="en-US"/>
        </w:rPr>
        <w:t>Evolution of the international labor law of the Russian Federation (USSR)</w:t>
      </w:r>
    </w:p>
    <w:p w:rsidR="00986D95" w:rsidRPr="005542CD" w:rsidRDefault="00986D95" w:rsidP="005A3DF4">
      <w:pPr>
        <w:widowControl w:val="0"/>
        <w:spacing w:after="0" w:line="240" w:lineRule="auto"/>
        <w:ind w:firstLine="709"/>
        <w:jc w:val="both"/>
        <w:rPr>
          <w:rFonts w:ascii="Times New Roman" w:hAnsi="Times New Roman"/>
          <w:i/>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Today, foreign citizens migrating to the Russian Federation seeking to engage in labor activity are migrating to the territory of the Russian Federation. There is active cooperation between Russia and foreign countries to resolve labor issues between the employee and the employer.</w:t>
      </w:r>
      <w:r w:rsidRPr="00467B95">
        <w:rPr>
          <w:rFonts w:ascii="Times New Roman" w:hAnsi="Times New Roman"/>
          <w:sz w:val="28"/>
          <w:szCs w:val="28"/>
          <w:lang w:val="en-US"/>
        </w:rPr>
        <w:t xml:space="preserve"> </w:t>
      </w:r>
      <w:r w:rsidRPr="00467B95">
        <w:rPr>
          <w:rFonts w:ascii="Times New Roman" w:hAnsi="Times New Roman"/>
          <w:i/>
          <w:sz w:val="28"/>
          <w:szCs w:val="28"/>
          <w:lang w:val="en-US"/>
        </w:rPr>
        <w:t xml:space="preserve">In this regard, for the study of </w:t>
      </w:r>
      <w:r w:rsidRPr="00467B95">
        <w:rPr>
          <w:rFonts w:ascii="Times New Roman" w:hAnsi="Times New Roman"/>
          <w:i/>
          <w:sz w:val="28"/>
          <w:szCs w:val="28"/>
          <w:lang w:val="en-US"/>
        </w:rPr>
        <w:lastRenderedPageBreak/>
        <w:t>international labor law, it is necessary to understand the laws of the historical development of legal norms governing international labor relations.</w:t>
      </w:r>
    </w:p>
    <w:p w:rsidR="00986D95" w:rsidRPr="005542CD" w:rsidRDefault="00986D95" w:rsidP="005A3DF4">
      <w:pPr>
        <w:widowControl w:val="0"/>
        <w:spacing w:after="0" w:line="240" w:lineRule="auto"/>
        <w:ind w:firstLine="709"/>
        <w:jc w:val="both"/>
        <w:rPr>
          <w:rFonts w:ascii="Times New Roman" w:hAnsi="Times New Roman"/>
          <w:b/>
          <w:i/>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r w:rsidRPr="00856C5E">
        <w:rPr>
          <w:rFonts w:ascii="Times New Roman" w:hAnsi="Times New Roman"/>
          <w:i/>
          <w:sz w:val="28"/>
          <w:szCs w:val="28"/>
          <w:lang w:val="en-US"/>
        </w:rPr>
        <w:t>Keywords: evolution</w:t>
      </w:r>
      <w:r w:rsidRPr="00467B95">
        <w:rPr>
          <w:rFonts w:ascii="Times New Roman" w:hAnsi="Times New Roman"/>
          <w:i/>
          <w:sz w:val="28"/>
          <w:szCs w:val="28"/>
          <w:lang w:val="en-US"/>
        </w:rPr>
        <w:t>,</w:t>
      </w:r>
      <w:r w:rsidRPr="00467B95">
        <w:rPr>
          <w:rFonts w:ascii="Times New Roman" w:hAnsi="Times New Roman"/>
          <w:sz w:val="28"/>
          <w:szCs w:val="28"/>
          <w:lang w:val="en-US"/>
        </w:rPr>
        <w:t xml:space="preserve"> </w:t>
      </w:r>
      <w:r w:rsidRPr="00467B95">
        <w:rPr>
          <w:rFonts w:ascii="Times New Roman" w:hAnsi="Times New Roman"/>
          <w:i/>
          <w:sz w:val="28"/>
          <w:szCs w:val="28"/>
          <w:lang w:val="en-US"/>
        </w:rPr>
        <w:t>international labor law, international private law, labor activity, foreign workers.</w:t>
      </w:r>
    </w:p>
    <w:p w:rsidR="00986D95" w:rsidRPr="005542CD" w:rsidRDefault="00986D95" w:rsidP="005A3DF4">
      <w:pPr>
        <w:widowControl w:val="0"/>
        <w:spacing w:after="0" w:line="240" w:lineRule="auto"/>
        <w:ind w:firstLine="709"/>
        <w:jc w:val="both"/>
        <w:rPr>
          <w:rFonts w:ascii="Times New Roman" w:eastAsia="Times New Roman" w:hAnsi="Times New Roman"/>
          <w:sz w:val="28"/>
          <w:szCs w:val="28"/>
          <w:lang w:val="en-US"/>
        </w:rPr>
      </w:pP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Актуальность </w:t>
      </w:r>
      <w:r w:rsidRPr="00467B95">
        <w:rPr>
          <w:rFonts w:ascii="Times New Roman" w:eastAsia="Times New Roman" w:hAnsi="Times New Roman"/>
          <w:color w:val="000000" w:themeColor="text1"/>
          <w:sz w:val="28"/>
          <w:szCs w:val="28"/>
        </w:rPr>
        <w:t xml:space="preserve">темы исследования </w:t>
      </w:r>
      <w:r w:rsidRPr="00467B95">
        <w:rPr>
          <w:rFonts w:ascii="Times New Roman" w:eastAsia="Times New Roman" w:hAnsi="Times New Roman"/>
          <w:sz w:val="28"/>
          <w:szCs w:val="28"/>
        </w:rPr>
        <w:t>заключается в том, что для исследования международного трудового права необходимо понимать закономерности исторического развития правовых норм, регулирующих международные трудовые отношения. На становление и развитие международного трудового права влияют исторические, политические, экономические и социальные предпосылки. На сегодняшний день на территорию Российской Федерации мигрируют иностранные граждане, стремящиеся заниматься трудовой деятельностью.  Согласно статистическим данным Министерства внутренних дел РФ в 2016 году было оформлено 149013 разрешений на работу иностранным гражданам и лицам без гражданства, в 2017 году эта цифра составила 148326 разрешений[2], в 2018 году было выдано 130136 разрешений [3].  Для определения особенностей правового регулирования труда иностранцев на территории РФ (СССР) была изучена эволюция норм, разрешающих проблемы определения применимого права к трудовым отношениям, осложненным иностранным элементом.</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Для определения особенностей развития правового регулирования труда иностранных граждан в Российской Федерации (СССР) в качестве объекта исследования, </w:t>
      </w:r>
      <w:r w:rsidRPr="00467B95">
        <w:rPr>
          <w:rFonts w:ascii="Times New Roman" w:eastAsia="Times New Roman" w:hAnsi="Times New Roman"/>
          <w:strike/>
          <w:sz w:val="28"/>
          <w:szCs w:val="28"/>
        </w:rPr>
        <w:t>положенного в основу доклада,</w:t>
      </w:r>
      <w:r w:rsidRPr="00467B95">
        <w:rPr>
          <w:rFonts w:ascii="Times New Roman" w:eastAsia="Times New Roman" w:hAnsi="Times New Roman"/>
          <w:sz w:val="28"/>
          <w:szCs w:val="28"/>
        </w:rPr>
        <w:t xml:space="preserve"> был определен процесс развития международного трудового права, как подотрасли МЧП на территории Российской Федерации (СССР), в качестве предмета - нормативно-правовые акты, содержащие нормы, которые регулируют трудовую деятельность с иностранным элементом, двусторонние и многосторонние международные договоры по вопросам трудовой деятельности иностранных граждан.</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Для достижения указанной цели </w:t>
      </w:r>
      <w:r w:rsidRPr="00467B95">
        <w:rPr>
          <w:rFonts w:ascii="Times New Roman" w:eastAsia="Times New Roman" w:hAnsi="Times New Roman"/>
          <w:color w:val="000000" w:themeColor="text1"/>
          <w:sz w:val="28"/>
          <w:szCs w:val="28"/>
        </w:rPr>
        <w:t>были</w:t>
      </w:r>
      <w:r w:rsidRPr="00467B95">
        <w:rPr>
          <w:rFonts w:ascii="Times New Roman" w:eastAsia="Times New Roman" w:hAnsi="Times New Roman"/>
          <w:color w:val="FF0000"/>
          <w:sz w:val="28"/>
          <w:szCs w:val="28"/>
        </w:rPr>
        <w:t xml:space="preserve"> </w:t>
      </w:r>
      <w:r w:rsidRPr="00467B95">
        <w:rPr>
          <w:rFonts w:ascii="Times New Roman" w:eastAsia="Times New Roman" w:hAnsi="Times New Roman"/>
          <w:sz w:val="28"/>
          <w:szCs w:val="28"/>
        </w:rPr>
        <w:t>поставлены следующие задачи:</w:t>
      </w:r>
    </w:p>
    <w:p w:rsidR="00986D95" w:rsidRPr="00467B95" w:rsidRDefault="00986D95" w:rsidP="007F4EC1">
      <w:pPr>
        <w:widowControl w:val="0"/>
        <w:numPr>
          <w:ilvl w:val="0"/>
          <w:numId w:val="27"/>
        </w:numPr>
        <w:tabs>
          <w:tab w:val="left" w:pos="993"/>
        </w:tabs>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установить наличие норм советского (российского) законодательства и международных договоров, регулирующих трудовые отношения с иностранным элементом;</w:t>
      </w:r>
    </w:p>
    <w:p w:rsidR="00986D95" w:rsidRPr="00467B95" w:rsidRDefault="00986D95" w:rsidP="007F4EC1">
      <w:pPr>
        <w:widowControl w:val="0"/>
        <w:numPr>
          <w:ilvl w:val="0"/>
          <w:numId w:val="27"/>
        </w:numPr>
        <w:tabs>
          <w:tab w:val="left" w:pos="993"/>
        </w:tabs>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установить международные договоры с участием СССР и РФ, направленные на защиту прав граждан, имеющих отношение к трудовым правам;</w:t>
      </w:r>
    </w:p>
    <w:p w:rsidR="00986D95" w:rsidRPr="00467B95" w:rsidRDefault="00986D95" w:rsidP="007F4EC1">
      <w:pPr>
        <w:widowControl w:val="0"/>
        <w:numPr>
          <w:ilvl w:val="0"/>
          <w:numId w:val="27"/>
        </w:numPr>
        <w:tabs>
          <w:tab w:val="left" w:pos="993"/>
        </w:tabs>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выявить тенденции развития международного трудового права.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eastAsia="Times New Roman" w:hAnsi="Times New Roman"/>
          <w:sz w:val="28"/>
          <w:szCs w:val="28"/>
        </w:rPr>
        <w:t xml:space="preserve">Методологическую основу </w:t>
      </w:r>
      <w:r w:rsidRPr="00467B95">
        <w:rPr>
          <w:rFonts w:ascii="Times New Roman" w:hAnsi="Times New Roman"/>
          <w:sz w:val="28"/>
          <w:szCs w:val="28"/>
        </w:rPr>
        <w:t xml:space="preserve">исследования составили формально-юридический метод, метод толкования, сравнительно-правовой метод. </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shd w:val="clear" w:color="auto" w:fill="FFFF00"/>
        </w:rPr>
      </w:pPr>
      <w:r w:rsidRPr="00467B95">
        <w:rPr>
          <w:rFonts w:ascii="Times New Roman" w:hAnsi="Times New Roman"/>
          <w:sz w:val="28"/>
          <w:szCs w:val="28"/>
        </w:rPr>
        <w:t>В результате исследования были сделаны следующие выводы:</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1</w:t>
      </w:r>
      <w:r w:rsidRPr="00467B95">
        <w:rPr>
          <w:rFonts w:ascii="Times New Roman" w:eastAsia="Times New Roman" w:hAnsi="Times New Roman"/>
          <w:sz w:val="28"/>
          <w:szCs w:val="28"/>
        </w:rPr>
        <w:tab/>
        <w:t xml:space="preserve">В научной литературе еще не выработан единый подход к понятию международного трудового права, как и к его методу и к классификации источников международного трудового права. Основными </w:t>
      </w:r>
      <w:r w:rsidRPr="00467B95">
        <w:rPr>
          <w:rFonts w:ascii="Times New Roman" w:eastAsia="Times New Roman" w:hAnsi="Times New Roman"/>
          <w:sz w:val="28"/>
          <w:szCs w:val="28"/>
        </w:rPr>
        <w:lastRenderedPageBreak/>
        <w:t>источниками, регулирующими трудовые отношения с иностранцами на территории РФ, являются Конституция РФ, Трудовой кодекс РФ, федеральные законы и международные договоры РФ.</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2</w:t>
      </w:r>
      <w:r w:rsidRPr="00467B95">
        <w:rPr>
          <w:rFonts w:ascii="Times New Roman" w:eastAsia="Times New Roman" w:hAnsi="Times New Roman"/>
          <w:sz w:val="28"/>
          <w:szCs w:val="28"/>
        </w:rPr>
        <w:tab/>
        <w:t xml:space="preserve"> На развитие трудового законодательства в СССР и РФ влияла политическая и экономическая ситуация. Национальное законодательство, регулирующее трудовые отношения, осложненные иностранным элементом, развивалось по направлению конкретизации </w:t>
      </w:r>
      <w:r w:rsidRPr="00467B95">
        <w:rPr>
          <w:rFonts w:ascii="Times New Roman" w:eastAsia="Times New Roman" w:hAnsi="Times New Roman"/>
          <w:color w:val="000000" w:themeColor="text1"/>
          <w:sz w:val="28"/>
          <w:szCs w:val="28"/>
        </w:rPr>
        <w:t>соответствующих</w:t>
      </w:r>
      <w:r w:rsidRPr="00467B95">
        <w:rPr>
          <w:rFonts w:ascii="Times New Roman" w:eastAsia="Times New Roman" w:hAnsi="Times New Roman"/>
          <w:color w:val="FF0000"/>
          <w:sz w:val="28"/>
          <w:szCs w:val="28"/>
        </w:rPr>
        <w:t xml:space="preserve"> </w:t>
      </w:r>
      <w:r w:rsidRPr="00467B95">
        <w:rPr>
          <w:rFonts w:ascii="Times New Roman" w:eastAsia="Times New Roman" w:hAnsi="Times New Roman"/>
          <w:sz w:val="28"/>
          <w:szCs w:val="28"/>
        </w:rPr>
        <w:t>норм. Необходимость первого законного урегулирования труда иностранцев в Советском Союзе возникла после окончания Первой мировой войны в 1918 году. Национальное законодательство СССР не содержало отдельных норм о регулировании труда иностранных граждан. Только лишь в 2002 году был принят Федеральный закон «О правовом положении иностранных граждан в Российской Федерации» № 115-ФЗ [1], а в 2014 году в Трудовой кодекс РФ была введена отдельная глава, регулирующая труд работников, являющихся иностранными гражданами или лицами без гражданства [10].</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3</w:t>
      </w:r>
      <w:r w:rsidRPr="00467B95">
        <w:rPr>
          <w:rFonts w:ascii="Times New Roman" w:eastAsia="Times New Roman" w:hAnsi="Times New Roman"/>
          <w:sz w:val="28"/>
          <w:szCs w:val="28"/>
        </w:rPr>
        <w:tab/>
        <w:t xml:space="preserve"> В результате поиска международных договоров по трудовым вопросам было найдено более 20 международных договоров, заключенных между Правительством РФ (СССР) и Правительством стран, которые в прошлом были союзными республиками (Украина[4], Белоруссия[5], Узбекистан[6] и др.), а также с Правительством Социалистической Республики Вьетнам[7], Республики Корея[8], Китайской Народной Республики[9]. Представляется, что заключение незначительного числа Соглашений о труде именно с этими странами связано с особыми, дружескими связями между государствами. Соглашения о трудовой деятельности и социальной защите трудящихся-мигрантов содержат нормы, непосредственно касающиеся трудовой деятельности, а именно: положения о видах деятельности трудящихся-мигрантов, нормы об оплате труда, отдыхе, положения о трудовом стаже. Также проанализированные Соглашения регулируют вопросы социального обеспечения, выплаты различных компенсаций. </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В международных соглашениях наблюдается положительная тенденция развития коллизионных норм. Коллизионные нормы в международных соглашениях начинают встречаться с 80-х годов ХХ века, например в </w:t>
      </w:r>
      <w:r w:rsidRPr="00467B95">
        <w:rPr>
          <w:rFonts w:ascii="Times New Roman" w:hAnsi="Times New Roman"/>
          <w:sz w:val="28"/>
          <w:szCs w:val="28"/>
        </w:rPr>
        <w:t>Соглашении между Правительством СССР и Правительством  Социалистической Республики Вьетнам 1981 года. Чаще всего встречается коллизионная привязка «закон места работы». Например, во всех Соглашениях между РФ и странами СНГ трудовая деятельность работника на территории Стороны трудоустройства и прекращение трудовых отношений с ним регулируются законодательством этой Стороны. Также все виды пособий и выплат, предоставляемых работникам, работающим на территории государства трудоустройства, в случаях временной нетрудоспособности, беременности и родов, рождения ребенка, предоставления отпуска по уходу за ребенком и в других случаях, выплачиваются и осуществляются на основании законодательства государства трудоустройства.</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lastRenderedPageBreak/>
        <w:t xml:space="preserve">4 </w:t>
      </w:r>
      <w:r w:rsidRPr="00467B95">
        <w:rPr>
          <w:rFonts w:ascii="Times New Roman" w:eastAsia="Times New Roman" w:hAnsi="Times New Roman"/>
          <w:sz w:val="28"/>
          <w:szCs w:val="28"/>
        </w:rPr>
        <w:tab/>
        <w:t xml:space="preserve">На всех этапах развития международного трудового права в национальном законодательстве отсутствовали коллизионные нормы, регулирующие отношения между работником и работодателем, осложненные «иностранным элементом». В вопросе трудовой деятельности на территории  СССР и РФ иностранцам предоставлялся национальный режим. </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Особенностями правового регулирования труда иностранных граждан в СССР и РФ является то, что настоящее время трудовая деятельность иностранных граждан на территории РФ регулируется отдельной главой в ТК РФ и специальным ФЗ №115, тогда как в СССР отсутствовали специальные правовые нормы; в основном  трудовые отношения регулируются законом государства трудоустройства, реже – законом государства постоянного проживания; законодательство РФ закрепляет ограничения на некоторые виды трудовой деятельности иностранцев (запрет на государственную, муниципальную службу); Российская Федерация предоставляет все права и гарантии иностранным работникам наравне с работниками государства трудоустройства.  </w:t>
      </w:r>
    </w:p>
    <w:p w:rsidR="00986D95" w:rsidRPr="00856C5E" w:rsidRDefault="00986D95" w:rsidP="005A3DF4">
      <w:pPr>
        <w:widowControl w:val="0"/>
        <w:spacing w:after="0" w:line="240" w:lineRule="auto"/>
        <w:ind w:firstLine="709"/>
        <w:contextualSpacing/>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986D95" w:rsidRPr="00856C5E" w:rsidRDefault="00986D95" w:rsidP="005A3DF4">
      <w:pPr>
        <w:pStyle w:val="af1"/>
        <w:widowControl w:val="0"/>
        <w:ind w:firstLine="709"/>
        <w:jc w:val="both"/>
        <w:rPr>
          <w:rFonts w:ascii="Times New Roman" w:hAnsi="Times New Roman" w:cs="Times New Roman"/>
          <w:color w:val="000000" w:themeColor="text1"/>
          <w:sz w:val="28"/>
          <w:szCs w:val="28"/>
        </w:rPr>
      </w:pPr>
      <w:r w:rsidRPr="00856C5E">
        <w:rPr>
          <w:rFonts w:ascii="Times New Roman" w:hAnsi="Times New Roman" w:cs="Times New Roman"/>
          <w:color w:val="000000" w:themeColor="text1"/>
          <w:sz w:val="28"/>
          <w:szCs w:val="28"/>
        </w:rPr>
        <w:t xml:space="preserve">1 О правовом положении иностранных граждан в Российской Федерации: федеральный закон от 25.07.2002 № 115-ФЗ (ред. от 27.12.2018) (с изм. и доп., вступ. в силу с 16.01.2019) [Электронный ресурс] // СПС «КонсультантПлюс». – Режим доступа: </w:t>
      </w:r>
      <w:hyperlink r:id="rId22" w:history="1">
        <w:r w:rsidRPr="00856C5E">
          <w:rPr>
            <w:rStyle w:val="a8"/>
            <w:rFonts w:ascii="Times New Roman" w:hAnsi="Times New Roman" w:cs="Times New Roman"/>
            <w:color w:val="000000" w:themeColor="text1"/>
            <w:sz w:val="28"/>
            <w:szCs w:val="28"/>
            <w:u w:val="none"/>
          </w:rPr>
          <w:t>http://www.consultant.ru/document/cons_doc_LAW_37868/</w:t>
        </w:r>
      </w:hyperlink>
      <w:r w:rsidRPr="00856C5E">
        <w:rPr>
          <w:rFonts w:ascii="Times New Roman" w:hAnsi="Times New Roman" w:cs="Times New Roman"/>
          <w:color w:val="000000" w:themeColor="text1"/>
          <w:sz w:val="28"/>
          <w:szCs w:val="28"/>
        </w:rPr>
        <w:t>.</w:t>
      </w:r>
    </w:p>
    <w:p w:rsidR="00986D95" w:rsidRPr="00856C5E" w:rsidRDefault="00986D95" w:rsidP="005A3DF4">
      <w:pPr>
        <w:widowControl w:val="0"/>
        <w:tabs>
          <w:tab w:val="left" w:pos="709"/>
        </w:tabs>
        <w:spacing w:after="0" w:line="240" w:lineRule="auto"/>
        <w:ind w:firstLine="709"/>
        <w:jc w:val="both"/>
        <w:rPr>
          <w:rFonts w:ascii="Times New Roman" w:eastAsia="Times New Roman" w:hAnsi="Times New Roman"/>
          <w:color w:val="000000" w:themeColor="text1"/>
          <w:sz w:val="28"/>
          <w:szCs w:val="28"/>
        </w:rPr>
      </w:pPr>
      <w:r w:rsidRPr="00856C5E">
        <w:rPr>
          <w:rFonts w:ascii="Times New Roman" w:eastAsia="Times New Roman" w:hAnsi="Times New Roman"/>
          <w:color w:val="000000" w:themeColor="text1"/>
          <w:sz w:val="28"/>
          <w:szCs w:val="28"/>
        </w:rPr>
        <w:t xml:space="preserve">2 Сводка основных показателей деятельности по миграционной ситуации в РФ за январь – декабрь 2017 года [Электронный ресурс] //Министерство внутренних дел РФ. – Режим доступа: </w:t>
      </w:r>
      <w:hyperlink r:id="rId23" w:history="1">
        <w:r w:rsidRPr="00856C5E">
          <w:rPr>
            <w:rStyle w:val="a8"/>
            <w:rFonts w:ascii="Times New Roman" w:eastAsia="Times New Roman" w:hAnsi="Times New Roman"/>
            <w:color w:val="000000" w:themeColor="text1"/>
            <w:sz w:val="28"/>
            <w:szCs w:val="28"/>
            <w:u w:val="none"/>
          </w:rPr>
          <w:t>https://xn--b1aew.xn--p1ai/Deljatelnost/statistics/migracionnaya/item/12162186/</w:t>
        </w:r>
      </w:hyperlink>
      <w:r w:rsidRPr="00856C5E">
        <w:rPr>
          <w:rFonts w:ascii="Times New Roman" w:eastAsia="Times New Roman" w:hAnsi="Times New Roman"/>
          <w:color w:val="000000" w:themeColor="text1"/>
          <w:sz w:val="28"/>
          <w:szCs w:val="28"/>
        </w:rPr>
        <w:t>.</w:t>
      </w:r>
    </w:p>
    <w:p w:rsidR="00986D95" w:rsidRPr="00856C5E" w:rsidRDefault="00986D95" w:rsidP="005A3DF4">
      <w:pPr>
        <w:widowControl w:val="0"/>
        <w:spacing w:after="0" w:line="240" w:lineRule="auto"/>
        <w:ind w:firstLine="709"/>
        <w:jc w:val="both"/>
        <w:rPr>
          <w:rFonts w:ascii="Times New Roman" w:eastAsia="Times New Roman" w:hAnsi="Times New Roman"/>
          <w:color w:val="000000" w:themeColor="text1"/>
          <w:sz w:val="28"/>
          <w:szCs w:val="28"/>
        </w:rPr>
      </w:pPr>
      <w:r w:rsidRPr="00856C5E">
        <w:rPr>
          <w:rFonts w:ascii="Times New Roman" w:eastAsia="Times New Roman" w:hAnsi="Times New Roman"/>
          <w:color w:val="000000" w:themeColor="text1"/>
          <w:sz w:val="28"/>
          <w:szCs w:val="28"/>
        </w:rPr>
        <w:t xml:space="preserve">3 Сводка основных показателей деятельности по миграционной ситуации в РФ за январь – декабрь 2018 года [Электронный ресурс] //Министерство внутренних дел РФ. – Режим доступа: </w:t>
      </w:r>
      <w:hyperlink r:id="rId24" w:history="1">
        <w:r w:rsidRPr="00856C5E">
          <w:rPr>
            <w:rStyle w:val="a8"/>
            <w:rFonts w:ascii="Times New Roman" w:eastAsia="Times New Roman" w:hAnsi="Times New Roman"/>
            <w:color w:val="000000" w:themeColor="text1"/>
            <w:sz w:val="28"/>
            <w:szCs w:val="28"/>
            <w:u w:val="none"/>
          </w:rPr>
          <w:t>https://xn--b1aew.xn--p1ai/Deljatelnost/statistics/migracionnaya/item/15850787/</w:t>
        </w:r>
      </w:hyperlink>
      <w:r w:rsidRPr="00856C5E">
        <w:rPr>
          <w:rFonts w:ascii="Times New Roman" w:eastAsia="Times New Roman" w:hAnsi="Times New Roman"/>
          <w:color w:val="000000" w:themeColor="text1"/>
          <w:sz w:val="28"/>
          <w:szCs w:val="28"/>
        </w:rPr>
        <w:t xml:space="preserve">. </w:t>
      </w:r>
    </w:p>
    <w:p w:rsidR="00986D95" w:rsidRPr="00856C5E" w:rsidRDefault="00986D95" w:rsidP="005A3DF4">
      <w:pPr>
        <w:pStyle w:val="af1"/>
        <w:widowControl w:val="0"/>
        <w:ind w:firstLine="709"/>
        <w:jc w:val="both"/>
        <w:rPr>
          <w:rFonts w:ascii="Times New Roman" w:hAnsi="Times New Roman" w:cs="Times New Roman"/>
          <w:color w:val="000000" w:themeColor="text1"/>
          <w:sz w:val="28"/>
          <w:szCs w:val="28"/>
        </w:rPr>
      </w:pPr>
      <w:r w:rsidRPr="00856C5E">
        <w:rPr>
          <w:rFonts w:ascii="Times New Roman" w:hAnsi="Times New Roman" w:cs="Times New Roman"/>
          <w:color w:val="000000" w:themeColor="text1"/>
          <w:sz w:val="28"/>
          <w:szCs w:val="28"/>
        </w:rPr>
        <w:t xml:space="preserve">4 Соглашение между Правительством Российской Федерации и Правительством Украины о трудовой деятельности и социальной защите граждан России и Украины, работающих за пределами границ своих государств: международный договор от 14.01.1993 [Электронный ресурс] // Сейчас.ру. – Режим доступа:   </w:t>
      </w:r>
      <w:hyperlink r:id="rId25" w:history="1">
        <w:r w:rsidRPr="00856C5E">
          <w:rPr>
            <w:rStyle w:val="a8"/>
            <w:rFonts w:ascii="Times New Roman" w:hAnsi="Times New Roman" w:cs="Times New Roman"/>
            <w:color w:val="000000" w:themeColor="text1"/>
            <w:sz w:val="28"/>
            <w:szCs w:val="28"/>
            <w:u w:val="none"/>
            <w:lang w:val="en-US"/>
          </w:rPr>
          <w:t>https</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www</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lawmix</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ru</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abrolaw</w:t>
        </w:r>
        <w:r w:rsidRPr="00856C5E">
          <w:rPr>
            <w:rStyle w:val="a8"/>
            <w:rFonts w:ascii="Times New Roman" w:hAnsi="Times New Roman" w:cs="Times New Roman"/>
            <w:color w:val="000000" w:themeColor="text1"/>
            <w:sz w:val="28"/>
            <w:szCs w:val="28"/>
            <w:u w:val="none"/>
          </w:rPr>
          <w:t>/13064</w:t>
        </w:r>
      </w:hyperlink>
      <w:r w:rsidRPr="00856C5E">
        <w:rPr>
          <w:rFonts w:ascii="Times New Roman" w:hAnsi="Times New Roman" w:cs="Times New Roman"/>
          <w:color w:val="000000" w:themeColor="text1"/>
          <w:sz w:val="28"/>
          <w:szCs w:val="28"/>
        </w:rPr>
        <w:t>.</w:t>
      </w:r>
    </w:p>
    <w:p w:rsidR="00986D95" w:rsidRPr="00856C5E" w:rsidRDefault="00986D95" w:rsidP="005A3DF4">
      <w:pPr>
        <w:pStyle w:val="af1"/>
        <w:widowControl w:val="0"/>
        <w:ind w:firstLine="709"/>
        <w:jc w:val="both"/>
        <w:rPr>
          <w:rStyle w:val="a8"/>
          <w:rFonts w:ascii="Times New Roman" w:hAnsi="Times New Roman" w:cs="Times New Roman"/>
          <w:color w:val="000000" w:themeColor="text1"/>
          <w:sz w:val="28"/>
          <w:szCs w:val="28"/>
          <w:u w:val="none"/>
        </w:rPr>
      </w:pPr>
      <w:r w:rsidRPr="00856C5E">
        <w:rPr>
          <w:rFonts w:ascii="Times New Roman" w:hAnsi="Times New Roman" w:cs="Times New Roman"/>
          <w:color w:val="000000" w:themeColor="text1"/>
          <w:sz w:val="28"/>
          <w:szCs w:val="28"/>
        </w:rPr>
        <w:t xml:space="preserve">5 Соглашение между Правительством Российской Федерации и Правительством Республики Беларусь о трудовой деятельности и социальной защите граждан Российской Федерации, работающих на территории Республики Беларусь, и граждан Республики Беларусь, работающих на территории Российской Федерации:  международный договор от 24. 09.1993 [Электронный ресурс] //Министерство иностранных дел Российской Федерации. – Режим доступа:   </w:t>
      </w:r>
      <w:hyperlink r:id="rId26" w:history="1">
        <w:r w:rsidRPr="00856C5E">
          <w:rPr>
            <w:rStyle w:val="a8"/>
            <w:rFonts w:ascii="Times New Roman" w:hAnsi="Times New Roman" w:cs="Times New Roman"/>
            <w:color w:val="000000" w:themeColor="text1"/>
            <w:sz w:val="28"/>
            <w:szCs w:val="28"/>
            <w:u w:val="none"/>
          </w:rPr>
          <w:t>http://www.mid.ru/foreign_policy/international_contracts/2_contract/-/storage-viewer/bilateral/page-344/48390</w:t>
        </w:r>
      </w:hyperlink>
      <w:r w:rsidRPr="00856C5E">
        <w:rPr>
          <w:rStyle w:val="a8"/>
          <w:rFonts w:ascii="Times New Roman" w:hAnsi="Times New Roman" w:cs="Times New Roman"/>
          <w:color w:val="000000" w:themeColor="text1"/>
          <w:sz w:val="28"/>
          <w:szCs w:val="28"/>
          <w:u w:val="none"/>
        </w:rPr>
        <w:t>.</w:t>
      </w:r>
    </w:p>
    <w:p w:rsidR="00986D95" w:rsidRPr="00856C5E" w:rsidRDefault="00986D95" w:rsidP="005A3DF4">
      <w:pPr>
        <w:pStyle w:val="af1"/>
        <w:widowControl w:val="0"/>
        <w:ind w:firstLine="709"/>
        <w:jc w:val="both"/>
        <w:rPr>
          <w:rStyle w:val="a8"/>
          <w:rFonts w:ascii="Times New Roman" w:hAnsi="Times New Roman" w:cs="Times New Roman"/>
          <w:color w:val="000000" w:themeColor="text1"/>
          <w:sz w:val="28"/>
          <w:szCs w:val="28"/>
          <w:u w:val="none"/>
        </w:rPr>
      </w:pPr>
      <w:r w:rsidRPr="00856C5E">
        <w:rPr>
          <w:rFonts w:ascii="Times New Roman" w:hAnsi="Times New Roman" w:cs="Times New Roman"/>
          <w:color w:val="000000" w:themeColor="text1"/>
          <w:sz w:val="28"/>
          <w:szCs w:val="28"/>
        </w:rPr>
        <w:lastRenderedPageBreak/>
        <w:t xml:space="preserve">6 Соглашение между Правительством Российской Федерации и Правительством Республики Узбекистан  о трудовой деятельности и защите прав трудящихся - мигрантов, являющихся гражданами Российской Федерации, в Республике Узбекистан и трудящихся-мигрантов, являющихся гражданами Республики Узбекистан, в Российской Федерации: международный договор от 04.07.2007 [Электронный ресурс] // Информационно-правовой портал «Гарант.ру». – Режим доступа: </w:t>
      </w:r>
      <w:hyperlink r:id="rId27" w:history="1">
        <w:r w:rsidRPr="00856C5E">
          <w:rPr>
            <w:rStyle w:val="a8"/>
            <w:rFonts w:ascii="Times New Roman" w:hAnsi="Times New Roman" w:cs="Times New Roman"/>
            <w:color w:val="000000" w:themeColor="text1"/>
            <w:sz w:val="28"/>
            <w:szCs w:val="28"/>
            <w:u w:val="none"/>
            <w:lang w:val="en-US"/>
          </w:rPr>
          <w:t>http</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base</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garant</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ru</w:t>
        </w:r>
        <w:r w:rsidRPr="00856C5E">
          <w:rPr>
            <w:rStyle w:val="a8"/>
            <w:rFonts w:ascii="Times New Roman" w:hAnsi="Times New Roman" w:cs="Times New Roman"/>
            <w:color w:val="000000" w:themeColor="text1"/>
            <w:sz w:val="28"/>
            <w:szCs w:val="28"/>
            <w:u w:val="none"/>
          </w:rPr>
          <w:t>/2564911/</w:t>
        </w:r>
      </w:hyperlink>
      <w:r w:rsidRPr="00856C5E">
        <w:rPr>
          <w:rFonts w:ascii="Times New Roman" w:hAnsi="Times New Roman" w:cs="Times New Roman"/>
          <w:color w:val="000000" w:themeColor="text1"/>
          <w:sz w:val="28"/>
          <w:szCs w:val="28"/>
        </w:rPr>
        <w:t>.</w:t>
      </w:r>
    </w:p>
    <w:p w:rsidR="00986D95" w:rsidRPr="00856C5E" w:rsidRDefault="00986D95" w:rsidP="005A3DF4">
      <w:pPr>
        <w:pStyle w:val="af1"/>
        <w:widowControl w:val="0"/>
        <w:ind w:firstLine="709"/>
        <w:jc w:val="both"/>
        <w:rPr>
          <w:rFonts w:ascii="Times New Roman" w:hAnsi="Times New Roman" w:cs="Times New Roman"/>
          <w:color w:val="000000" w:themeColor="text1"/>
          <w:sz w:val="28"/>
          <w:szCs w:val="28"/>
        </w:rPr>
      </w:pPr>
      <w:r w:rsidRPr="00856C5E">
        <w:rPr>
          <w:rFonts w:ascii="Times New Roman" w:hAnsi="Times New Roman" w:cs="Times New Roman"/>
          <w:color w:val="000000" w:themeColor="text1"/>
          <w:sz w:val="28"/>
          <w:szCs w:val="28"/>
        </w:rPr>
        <w:t xml:space="preserve">7 Соглашение между Правительством Российской Федерации и Правительством Социалистической Республики Вьетнам о временной трудовой деятельности граждан Российской Федерации в Социалистической Республике Вьетнам и граждан Социалистической Республики Вьетнам в Российской Федерации: международный договор от 27.10.2008  [Электронный ресурс] // Информационно-правовой портал «Гарант.ру». – Режим доступа: </w:t>
      </w:r>
      <w:hyperlink r:id="rId28" w:history="1">
        <w:r w:rsidRPr="00856C5E">
          <w:rPr>
            <w:rStyle w:val="a8"/>
            <w:rFonts w:ascii="Times New Roman" w:hAnsi="Times New Roman" w:cs="Times New Roman"/>
            <w:color w:val="000000" w:themeColor="text1"/>
            <w:sz w:val="28"/>
            <w:szCs w:val="28"/>
            <w:u w:val="none"/>
            <w:lang w:val="en-US"/>
          </w:rPr>
          <w:t>http</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base</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garant</w:t>
        </w:r>
        <w:r w:rsidRPr="00856C5E">
          <w:rPr>
            <w:rStyle w:val="a8"/>
            <w:rFonts w:ascii="Times New Roman" w:hAnsi="Times New Roman" w:cs="Times New Roman"/>
            <w:color w:val="000000" w:themeColor="text1"/>
            <w:sz w:val="28"/>
            <w:szCs w:val="28"/>
            <w:u w:val="none"/>
          </w:rPr>
          <w:t>.</w:t>
        </w:r>
        <w:r w:rsidRPr="00856C5E">
          <w:rPr>
            <w:rStyle w:val="a8"/>
            <w:rFonts w:ascii="Times New Roman" w:hAnsi="Times New Roman" w:cs="Times New Roman"/>
            <w:color w:val="000000" w:themeColor="text1"/>
            <w:sz w:val="28"/>
            <w:szCs w:val="28"/>
            <w:u w:val="none"/>
            <w:lang w:val="en-US"/>
          </w:rPr>
          <w:t>ru</w:t>
        </w:r>
        <w:r w:rsidRPr="00856C5E">
          <w:rPr>
            <w:rStyle w:val="a8"/>
            <w:rFonts w:ascii="Times New Roman" w:hAnsi="Times New Roman" w:cs="Times New Roman"/>
            <w:color w:val="000000" w:themeColor="text1"/>
            <w:sz w:val="28"/>
            <w:szCs w:val="28"/>
            <w:u w:val="none"/>
          </w:rPr>
          <w:t>/2564581/</w:t>
        </w:r>
      </w:hyperlink>
      <w:r w:rsidRPr="00856C5E">
        <w:rPr>
          <w:rFonts w:ascii="Times New Roman" w:hAnsi="Times New Roman" w:cs="Times New Roman"/>
          <w:color w:val="000000" w:themeColor="text1"/>
          <w:sz w:val="28"/>
          <w:szCs w:val="28"/>
        </w:rPr>
        <w:t>.</w:t>
      </w:r>
    </w:p>
    <w:p w:rsidR="00986D95" w:rsidRPr="00856C5E" w:rsidRDefault="00986D95" w:rsidP="005A3DF4">
      <w:pPr>
        <w:pStyle w:val="af1"/>
        <w:widowControl w:val="0"/>
        <w:ind w:firstLine="709"/>
        <w:jc w:val="both"/>
        <w:rPr>
          <w:rFonts w:ascii="Times New Roman" w:hAnsi="Times New Roman" w:cs="Times New Roman"/>
          <w:color w:val="000000" w:themeColor="text1"/>
          <w:sz w:val="28"/>
          <w:szCs w:val="28"/>
        </w:rPr>
      </w:pPr>
      <w:r w:rsidRPr="00856C5E">
        <w:rPr>
          <w:rFonts w:ascii="Times New Roman" w:hAnsi="Times New Roman" w:cs="Times New Roman"/>
          <w:color w:val="000000" w:themeColor="text1"/>
          <w:sz w:val="28"/>
          <w:szCs w:val="28"/>
        </w:rPr>
        <w:t xml:space="preserve">8 Соглашение между Правительством Российской Федерации и Правительством Республики Корея о временной трудовой деятельности граждан одного государства на территории другого государства: международный договор от 10.11.2010 [Электронный ресурс] // Министерство иностранных дел Российской Федерации. – Режим доступа:  </w:t>
      </w:r>
      <w:hyperlink r:id="rId29" w:history="1">
        <w:r w:rsidRPr="00856C5E">
          <w:rPr>
            <w:rStyle w:val="a8"/>
            <w:rFonts w:ascii="Times New Roman" w:hAnsi="Times New Roman" w:cs="Times New Roman"/>
            <w:color w:val="000000" w:themeColor="text1"/>
            <w:sz w:val="28"/>
            <w:szCs w:val="28"/>
            <w:u w:val="none"/>
          </w:rPr>
          <w:t>http://www.mid.ru/foreign_policy/international_contracts/2_contract/-/storage-viewer/bilateral/page-87/45009</w:t>
        </w:r>
      </w:hyperlink>
      <w:r w:rsidRPr="00856C5E">
        <w:rPr>
          <w:rFonts w:ascii="Times New Roman" w:hAnsi="Times New Roman" w:cs="Times New Roman"/>
          <w:color w:val="000000" w:themeColor="text1"/>
          <w:sz w:val="28"/>
          <w:szCs w:val="28"/>
        </w:rPr>
        <w:t>.</w:t>
      </w:r>
    </w:p>
    <w:p w:rsidR="00986D95" w:rsidRPr="00856C5E" w:rsidRDefault="00986D95" w:rsidP="005A3DF4">
      <w:pPr>
        <w:pStyle w:val="af1"/>
        <w:widowControl w:val="0"/>
        <w:tabs>
          <w:tab w:val="left" w:pos="709"/>
        </w:tabs>
        <w:ind w:firstLine="709"/>
        <w:jc w:val="both"/>
        <w:rPr>
          <w:rFonts w:ascii="Times New Roman" w:hAnsi="Times New Roman" w:cs="Times New Roman"/>
          <w:sz w:val="28"/>
          <w:szCs w:val="28"/>
        </w:rPr>
      </w:pPr>
      <w:r w:rsidRPr="00856C5E">
        <w:rPr>
          <w:rFonts w:ascii="Times New Roman" w:hAnsi="Times New Roman" w:cs="Times New Roman"/>
          <w:color w:val="000000" w:themeColor="text1"/>
          <w:sz w:val="28"/>
          <w:szCs w:val="28"/>
        </w:rPr>
        <w:t xml:space="preserve">9 Соглашение между Правительством Российской Федерации и Правительством Китайской Народной Республики о временной трудовой деятельности граждан Российской Федерации в Китайской Народной Республике и граждан Китайской Народной Республики в Российской Федерации: международный договор от 03.11.2000 [Электронный ресурс] //Министерство иностранных дел Российской Федерации. – Режим доступа:   </w:t>
      </w:r>
      <w:hyperlink r:id="rId30" w:history="1">
        <w:r w:rsidRPr="00856C5E">
          <w:rPr>
            <w:rStyle w:val="a8"/>
            <w:rFonts w:ascii="Times New Roman" w:hAnsi="Times New Roman" w:cs="Times New Roman"/>
            <w:color w:val="000000" w:themeColor="text1"/>
            <w:sz w:val="28"/>
            <w:szCs w:val="28"/>
            <w:u w:val="none"/>
          </w:rPr>
          <w:t>http://www.mid.ru/en/foreign_policy/international_contracts/2_contract/-/storage-viewer/bilateral/page-215/46812</w:t>
        </w:r>
      </w:hyperlink>
      <w:r w:rsidRPr="00856C5E">
        <w:rPr>
          <w:rFonts w:ascii="Times New Roman" w:hAnsi="Times New Roman" w:cs="Times New Roman"/>
          <w:color w:val="000000" w:themeColor="text1"/>
          <w:sz w:val="28"/>
          <w:szCs w:val="28"/>
        </w:rPr>
        <w:t>.</w:t>
      </w:r>
    </w:p>
    <w:p w:rsidR="00986D95" w:rsidRPr="00856C5E" w:rsidRDefault="00986D95" w:rsidP="005A3DF4">
      <w:pPr>
        <w:pStyle w:val="af1"/>
        <w:widowControl w:val="0"/>
        <w:ind w:firstLine="709"/>
        <w:jc w:val="both"/>
        <w:rPr>
          <w:rFonts w:ascii="Times New Roman" w:hAnsi="Times New Roman" w:cs="Times New Roman"/>
          <w:color w:val="000000" w:themeColor="text1"/>
          <w:sz w:val="28"/>
          <w:szCs w:val="28"/>
        </w:rPr>
      </w:pPr>
      <w:r w:rsidRPr="00856C5E">
        <w:rPr>
          <w:rFonts w:ascii="Times New Roman" w:hAnsi="Times New Roman" w:cs="Times New Roman"/>
          <w:color w:val="000000" w:themeColor="text1"/>
          <w:sz w:val="28"/>
          <w:szCs w:val="28"/>
        </w:rPr>
        <w:t xml:space="preserve">10 Трудовой кодекс Российской Федерации: федеральный закон от 30.12.2001 № 197-ФЗ (ред. от 27.12.2018) [Электронный ресурс] // СПС «КонсультантПлюс». – Режим доступа: </w:t>
      </w:r>
      <w:hyperlink r:id="rId31" w:history="1">
        <w:r w:rsidRPr="00856C5E">
          <w:rPr>
            <w:rStyle w:val="a8"/>
            <w:rFonts w:ascii="Times New Roman" w:hAnsi="Times New Roman" w:cs="Times New Roman"/>
            <w:color w:val="000000" w:themeColor="text1"/>
            <w:sz w:val="28"/>
            <w:szCs w:val="28"/>
            <w:u w:val="none"/>
          </w:rPr>
          <w:t>http://www.consultant.ru/document/cons_doc_LAW_34683/</w:t>
        </w:r>
      </w:hyperlink>
      <w:r w:rsidRPr="00856C5E">
        <w:rPr>
          <w:rFonts w:ascii="Times New Roman" w:hAnsi="Times New Roman" w:cs="Times New Roman"/>
          <w:color w:val="000000" w:themeColor="text1"/>
          <w:sz w:val="28"/>
          <w:szCs w:val="28"/>
        </w:rPr>
        <w:t>.</w:t>
      </w:r>
    </w:p>
    <w:p w:rsidR="00986D95" w:rsidRPr="00856C5E" w:rsidRDefault="00986D95" w:rsidP="005A3DF4">
      <w:pPr>
        <w:pStyle w:val="af1"/>
        <w:widowControl w:val="0"/>
        <w:ind w:firstLine="709"/>
        <w:rPr>
          <w:rFonts w:ascii="Times New Roman" w:hAnsi="Times New Roman" w:cs="Times New Roman"/>
          <w:color w:val="000000" w:themeColor="text1"/>
          <w:sz w:val="28"/>
          <w:szCs w:val="28"/>
        </w:rPr>
      </w:pPr>
    </w:p>
    <w:p w:rsidR="00986D95" w:rsidRPr="00467B95" w:rsidRDefault="00986D95"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Эволюция международного наследственного права РФ (СССР)</w:t>
      </w:r>
    </w:p>
    <w:p w:rsidR="00986D95" w:rsidRDefault="00986D95" w:rsidP="005A3DF4">
      <w:pPr>
        <w:widowControl w:val="0"/>
        <w:spacing w:after="0" w:line="240" w:lineRule="auto"/>
        <w:ind w:firstLine="709"/>
        <w:jc w:val="center"/>
        <w:rPr>
          <w:rFonts w:ascii="Times New Roman" w:hAnsi="Times New Roman"/>
          <w:sz w:val="28"/>
          <w:szCs w:val="28"/>
        </w:rPr>
      </w:pP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Куманькова Дарья Александровна</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986D95" w:rsidRPr="00467B95" w:rsidRDefault="00986D95"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986D95" w:rsidRPr="00467B95" w:rsidRDefault="00986D95"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986D95" w:rsidRPr="00856C5E" w:rsidRDefault="00986D95" w:rsidP="005A3DF4">
      <w:pPr>
        <w:widowControl w:val="0"/>
        <w:spacing w:after="0" w:line="240" w:lineRule="auto"/>
        <w:ind w:firstLine="709"/>
        <w:jc w:val="center"/>
        <w:rPr>
          <w:rFonts w:ascii="Times New Roman" w:hAnsi="Times New Roman"/>
          <w:sz w:val="28"/>
          <w:szCs w:val="28"/>
        </w:rPr>
      </w:pPr>
      <w:r w:rsidRPr="00856C5E">
        <w:rPr>
          <w:rFonts w:ascii="Times New Roman" w:hAnsi="Times New Roman"/>
          <w:sz w:val="28"/>
          <w:szCs w:val="28"/>
          <w:lang w:val="en-US"/>
        </w:rPr>
        <w:t>E</w:t>
      </w:r>
      <w:r w:rsidRPr="00856C5E">
        <w:rPr>
          <w:rFonts w:ascii="Times New Roman" w:hAnsi="Times New Roman"/>
          <w:sz w:val="28"/>
          <w:szCs w:val="28"/>
        </w:rPr>
        <w:t>-</w:t>
      </w:r>
      <w:r w:rsidRPr="00856C5E">
        <w:rPr>
          <w:rFonts w:ascii="Times New Roman" w:hAnsi="Times New Roman"/>
          <w:sz w:val="28"/>
          <w:szCs w:val="28"/>
          <w:lang w:val="en-US"/>
        </w:rPr>
        <w:t>mail</w:t>
      </w:r>
      <w:r w:rsidRPr="00856C5E">
        <w:rPr>
          <w:rFonts w:ascii="Times New Roman" w:hAnsi="Times New Roman"/>
          <w:sz w:val="28"/>
          <w:szCs w:val="28"/>
        </w:rPr>
        <w:t xml:space="preserve">: </w:t>
      </w:r>
      <w:hyperlink r:id="rId32" w:history="1">
        <w:r w:rsidRPr="00856C5E">
          <w:rPr>
            <w:rStyle w:val="a8"/>
            <w:rFonts w:ascii="Times New Roman" w:hAnsi="Times New Roman"/>
            <w:color w:val="auto"/>
            <w:sz w:val="28"/>
            <w:szCs w:val="28"/>
            <w:u w:val="none"/>
            <w:lang w:val="en-US"/>
          </w:rPr>
          <w:t>dkumankova</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mail</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ru</w:t>
        </w:r>
      </w:hyperlink>
      <w:r w:rsidRPr="00856C5E">
        <w:rPr>
          <w:rFonts w:ascii="Times New Roman" w:hAnsi="Times New Roman"/>
          <w:sz w:val="28"/>
          <w:szCs w:val="28"/>
        </w:rPr>
        <w:t>; +79084459843</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986D95" w:rsidRPr="00467B95" w:rsidRDefault="00986D95" w:rsidP="005A3DF4">
      <w:pPr>
        <w:widowControl w:val="0"/>
        <w:spacing w:after="0" w:line="240" w:lineRule="auto"/>
        <w:ind w:firstLine="709"/>
        <w:jc w:val="center"/>
        <w:rPr>
          <w:rFonts w:ascii="Times New Roman" w:hAnsi="Times New Roman"/>
          <w:sz w:val="28"/>
          <w:szCs w:val="28"/>
        </w:rPr>
      </w:pPr>
    </w:p>
    <w:p w:rsidR="00986D95" w:rsidRPr="00856C5E" w:rsidRDefault="00986D95" w:rsidP="005A3DF4">
      <w:pPr>
        <w:widowControl w:val="0"/>
        <w:spacing w:after="0" w:line="240" w:lineRule="auto"/>
        <w:ind w:firstLine="709"/>
        <w:jc w:val="both"/>
        <w:rPr>
          <w:rFonts w:ascii="Times New Roman" w:hAnsi="Times New Roman"/>
          <w:i/>
          <w:sz w:val="28"/>
          <w:szCs w:val="28"/>
        </w:rPr>
      </w:pPr>
      <w:r w:rsidRPr="00856C5E">
        <w:rPr>
          <w:rFonts w:ascii="Times New Roman" w:hAnsi="Times New Roman"/>
          <w:i/>
          <w:sz w:val="28"/>
          <w:szCs w:val="28"/>
        </w:rPr>
        <w:lastRenderedPageBreak/>
        <w:t>Аннотация. В докладе рассмтривается эволюция международного наследственного права и выявляются тенденции развития международных наследственных отношений с учетом исторической обстановки, а также выделяются этапы его развития.</w:t>
      </w:r>
    </w:p>
    <w:p w:rsidR="00986D95" w:rsidRDefault="00986D95" w:rsidP="005A3DF4">
      <w:pPr>
        <w:widowControl w:val="0"/>
        <w:spacing w:after="0" w:line="240" w:lineRule="auto"/>
        <w:ind w:firstLine="709"/>
        <w:jc w:val="both"/>
        <w:rPr>
          <w:rFonts w:ascii="Times New Roman" w:hAnsi="Times New Roman"/>
          <w:i/>
          <w:sz w:val="28"/>
          <w:szCs w:val="28"/>
        </w:rPr>
      </w:pPr>
    </w:p>
    <w:p w:rsidR="00986D95" w:rsidRPr="00856C5E" w:rsidRDefault="00986D95" w:rsidP="005A3DF4">
      <w:pPr>
        <w:widowControl w:val="0"/>
        <w:spacing w:after="0" w:line="240" w:lineRule="auto"/>
        <w:ind w:firstLine="709"/>
        <w:jc w:val="both"/>
        <w:rPr>
          <w:rFonts w:ascii="Times New Roman" w:hAnsi="Times New Roman"/>
          <w:i/>
          <w:sz w:val="28"/>
          <w:szCs w:val="28"/>
        </w:rPr>
      </w:pPr>
      <w:r w:rsidRPr="00856C5E">
        <w:rPr>
          <w:rFonts w:ascii="Times New Roman" w:hAnsi="Times New Roman"/>
          <w:i/>
          <w:sz w:val="28"/>
          <w:szCs w:val="28"/>
        </w:rPr>
        <w:t>Ключевые слова и словосочетания: международное наследственное право, эволюция международного наследственного права, этапы становления международного наследственного права.</w:t>
      </w:r>
    </w:p>
    <w:p w:rsidR="00986D95" w:rsidRDefault="00986D95" w:rsidP="005A3DF4">
      <w:pPr>
        <w:widowControl w:val="0"/>
        <w:spacing w:after="0" w:line="240" w:lineRule="auto"/>
        <w:ind w:firstLine="709"/>
        <w:jc w:val="center"/>
        <w:rPr>
          <w:rFonts w:ascii="Times New Roman" w:hAnsi="Times New Roman"/>
          <w:sz w:val="28"/>
          <w:szCs w:val="28"/>
        </w:rPr>
      </w:pPr>
    </w:p>
    <w:p w:rsidR="00986D95" w:rsidRPr="00856C5E" w:rsidRDefault="00986D95" w:rsidP="005A3DF4">
      <w:pPr>
        <w:widowControl w:val="0"/>
        <w:spacing w:after="0" w:line="240" w:lineRule="auto"/>
        <w:ind w:firstLine="709"/>
        <w:jc w:val="center"/>
        <w:rPr>
          <w:rFonts w:ascii="Times New Roman" w:hAnsi="Times New Roman"/>
          <w:b/>
          <w:sz w:val="28"/>
          <w:szCs w:val="28"/>
          <w:lang w:val="en-US"/>
        </w:rPr>
      </w:pPr>
      <w:r w:rsidRPr="00856C5E">
        <w:rPr>
          <w:rFonts w:ascii="Times New Roman" w:hAnsi="Times New Roman"/>
          <w:b/>
          <w:sz w:val="28"/>
          <w:szCs w:val="28"/>
          <w:lang w:val="en-US"/>
        </w:rPr>
        <w:t>Evolution of the international inheritance law of the Russian Federation (USSR)</w:t>
      </w:r>
    </w:p>
    <w:p w:rsidR="00986D95" w:rsidRPr="005542CD" w:rsidRDefault="00986D95" w:rsidP="005A3DF4">
      <w:pPr>
        <w:widowControl w:val="0"/>
        <w:spacing w:after="0" w:line="240" w:lineRule="auto"/>
        <w:ind w:firstLine="709"/>
        <w:jc w:val="both"/>
        <w:rPr>
          <w:rFonts w:ascii="Times New Roman" w:hAnsi="Times New Roman"/>
          <w:i/>
          <w:sz w:val="28"/>
          <w:szCs w:val="28"/>
          <w:lang w:val="en-US"/>
        </w:rPr>
      </w:pPr>
    </w:p>
    <w:p w:rsidR="00986D95" w:rsidRPr="00856C5E" w:rsidRDefault="00986D95" w:rsidP="005A3DF4">
      <w:pPr>
        <w:widowControl w:val="0"/>
        <w:spacing w:after="0" w:line="240" w:lineRule="auto"/>
        <w:ind w:firstLine="709"/>
        <w:jc w:val="both"/>
        <w:rPr>
          <w:rFonts w:ascii="Times New Roman" w:hAnsi="Times New Roman"/>
          <w:i/>
          <w:sz w:val="28"/>
          <w:szCs w:val="28"/>
          <w:lang w:val="en-US"/>
        </w:rPr>
      </w:pPr>
      <w:r w:rsidRPr="00856C5E">
        <w:rPr>
          <w:rFonts w:ascii="Times New Roman" w:hAnsi="Times New Roman"/>
          <w:i/>
          <w:sz w:val="28"/>
          <w:szCs w:val="28"/>
          <w:lang w:val="en-US"/>
        </w:rPr>
        <w:t>Annotation. The report examines the evolution of international inheritance law and identifies trends in the development of international inheritance relations, taking into account the historical situation, and also highlights the stages of its development.</w:t>
      </w:r>
    </w:p>
    <w:p w:rsidR="00986D95" w:rsidRPr="005542CD" w:rsidRDefault="00986D95" w:rsidP="005A3DF4">
      <w:pPr>
        <w:widowControl w:val="0"/>
        <w:spacing w:after="0" w:line="240" w:lineRule="auto"/>
        <w:ind w:firstLine="709"/>
        <w:jc w:val="both"/>
        <w:rPr>
          <w:rFonts w:ascii="Times New Roman" w:hAnsi="Times New Roman"/>
          <w:i/>
          <w:sz w:val="28"/>
          <w:szCs w:val="28"/>
          <w:lang w:val="en-US"/>
        </w:rPr>
      </w:pPr>
    </w:p>
    <w:p w:rsidR="00986D95" w:rsidRPr="00856C5E" w:rsidRDefault="00986D95" w:rsidP="005A3DF4">
      <w:pPr>
        <w:widowControl w:val="0"/>
        <w:spacing w:after="0" w:line="240" w:lineRule="auto"/>
        <w:ind w:firstLine="709"/>
        <w:jc w:val="both"/>
        <w:rPr>
          <w:rFonts w:ascii="Times New Roman" w:hAnsi="Times New Roman"/>
          <w:i/>
          <w:sz w:val="28"/>
          <w:szCs w:val="28"/>
          <w:lang w:val="en-US"/>
        </w:rPr>
      </w:pPr>
      <w:r w:rsidRPr="00856C5E">
        <w:rPr>
          <w:rFonts w:ascii="Times New Roman" w:hAnsi="Times New Roman"/>
          <w:i/>
          <w:sz w:val="28"/>
          <w:szCs w:val="28"/>
          <w:lang w:val="en-US"/>
        </w:rPr>
        <w:t>Key words and phrases: international inheritance law, the evolution of international inheritance law, the stages of formation of international inheritance law.</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Актуальность работы обусловлена тем, что исследование международного наследственного права невозможно без понимания истории развития правовых норм, регулирующих международные наследственные отношения. Как и на всю систему права,на формирование института наследования оказывают влияниеисторические, культурные, религиозные события, происходящие в стране.</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В связи с тем, что наследственные отношения могут быть осложнены иностранным элементом, правовое регулирование таких отношений усложняется. Наследственные правоотношения с иностранным элементом порождают проблемы определения применимого права которое осуществляется на основе коллизионных норм.</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Международное наследственное право направлено на установление взаимодействия различных правовых систем государств посредством использования коллизионных норм. Для того, чтобы в полной мере понимать действие и сущность современных коллизионных норм, необходимо изучить их эволюцию.</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Для определения особенностей развития правового регулирования международных наследственных отношений в РФ (СССР), в качестве объекта исследования, положенного в основу доклада, было определено правовое регулирование наследственных отношений., в качестве предмета - коллизионные нормы, закрепленные в актах национального законодательства (9 актов) и международных договорах (27 актов).</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Для достижения цели исследования были сформулированы следующие задачи::</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lastRenderedPageBreak/>
        <w:t>- дать понятие международному наследственному праву в системе российского международного частного права;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-выявить этапы  развития международного наследственного права (уточнить период);</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выявить тенденции развития международного наследственного права и объяснить их с учетом исторической обстановки.</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При написании работы применялись сравнительно-правовой и исторический метод исследования. </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В результате проведенного исследования были сделаны следующие выводы: </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1 Международное наследственное право – это совокупность правовых норм, регулирующих отношения, связанные с переходом прав и обязанностей умершего к другим лицам, осложненные иностранным элементом. Международное наследственное право является институтом международного гражданского права.</w:t>
      </w:r>
    </w:p>
    <w:p w:rsidR="00986D95" w:rsidRPr="00467B95" w:rsidRDefault="00986D95" w:rsidP="005A3DF4">
      <w:pPr>
        <w:widowControl w:val="0"/>
        <w:spacing w:after="0" w:line="240" w:lineRule="auto"/>
        <w:ind w:firstLine="709"/>
        <w:jc w:val="both"/>
        <w:rPr>
          <w:rFonts w:ascii="Times New Roman" w:hAnsi="Times New Roman"/>
          <w:strike/>
          <w:sz w:val="28"/>
          <w:szCs w:val="28"/>
          <w:lang w:eastAsia="ru-RU"/>
        </w:rPr>
      </w:pPr>
      <w:r w:rsidRPr="00467B95">
        <w:rPr>
          <w:rFonts w:ascii="Times New Roman" w:hAnsi="Times New Roman"/>
          <w:sz w:val="28"/>
          <w:szCs w:val="28"/>
          <w:lang w:eastAsia="ru-RU"/>
        </w:rPr>
        <w:t>2 Анализ национального законодательства, регулирующего международные наследственные отношения в разные периоды истории страны, позволил выделить четыре этапа: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1 1917 – 1961 год: характеризуется отменой норм, принятых в Российской Империи, о наследовании, отсутствием коллизионных норм, регулирующих наследственные отношения.</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2 1961 – 1991 год: характеризуется появлением норм, регулирующих международные наследственные частные отношения.</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3 1991 – 2002 год: характеризуется конкретизацией норм, регулирующих международные наследственные отношения и действием Основ гражданского законодательства 1991 г., в которых был расширен объем коллизионных норм.</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4 2002 – настоящее время: характеризуется действием Гражданского кодекса Российской Федерации 2001 г. и существенным изменением коллизионных норм. Изменилась как формулировка отношений, так и привязки. Ранее законодательство определяло форму и способность к завещанию строго к наследованию недвижимого имущества – строению, теперь же, определялась общая форма завещания и способности к составлению и отмене завещания. Кроме того, появились новые положения, взятые из Модельного кодекса стран СНГ 1996 г. В частности, это положение о наследовании недвижимого имущества, привязки к этим отношениям «закон места нахождения вещи» и положение о наследовании недвижимого имущества, внесенного в государственный реестр РФ с привязкой «по российскому праву». С момента принятия нового Гражданского кодекса 2001 г. никаких изменений коллизионных норм не производилось.</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 2 Можно выделить следующие тенденции развития международного наследственного права: </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1 В Советский период происходила конкретизация отношений, регулируемых коллизионными нормами. Во время существования СССР ни </w:t>
      </w:r>
      <w:r w:rsidRPr="00467B95">
        <w:rPr>
          <w:rFonts w:ascii="Times New Roman" w:hAnsi="Times New Roman"/>
          <w:sz w:val="28"/>
          <w:szCs w:val="28"/>
          <w:lang w:eastAsia="ru-RU"/>
        </w:rPr>
        <w:lastRenderedPageBreak/>
        <w:t>объем, ни привязки коллизионных норм практически не изменялись, за исключением изменений законодательства в 1991 г., в соответствии с которыми объем отношений по наследованию недвижимого имущества был расширен. В целом же, изменения коллизионных норм касались конструкции нормы, а не смыслового содержания.</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2 Значительную роль в развитие внес Гражданский кодекс часть 3, принятая в 2001 г. Расширились отношения, урегулированные коллизионными нормами, в частности, отношения по наследованию недвижимого имущества, отношения касающиеся формы завещания (определялась общая форма завещания, независимо от наследуемого имущества; применялась привязка «закон места жительства») и способности составлять/отменять завещание. Для регулирования наследственных отношений в отношении недвижимости стала применяться формула прикрепления «закон места нахождения вещи». Вместе с тем, в Гражданском кодексе 2001 г. прослеживается тенденция преемства положений из актов советского законодательства и модельного кодекса СНГ 1996 г.</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3 Анализ международных договоров РФ (СССР) показал, что до распада Советский Союз унифицировал отношения преимущественно со странами социалистической ориентации, что обуславливается событиями, происходящими на международной арене. В настоящее время Российская Федерация предпочитает упорядочивать наследственные отношений путем заключения договоров с разными государствами независимо от их политической, экономической и правовой системы.</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4 Наблюдается тенденция унифицироавания международного наследственного права в форме заключения двусторонних договоров, а не многосторнних. </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5 Коллизионные нормы международных договоров имеют свои особенности. Прежде всего, это разделение отношений по наследованию имущества на движимое и недвижимое, что является отличием от коллизионных норм национального законодательства. Помимо этого, еще одним отличием является использование альтернативных привязок в международных договорах и наличие правила определения движимого и недвижимого имущества. Таким образом, общей тенденцией развития международного наследственного права, как в период СССР, так и в период РФ, является отсутствие подобия коллизионных норм национального законодательства коллизионным нормам международных договоров. Кроме того, круг отношений, регулирующийся международными договорами и национальным законодательством,  в целом, совпадает – это отношения по наследованию имущества, отношения по наследованию недвижимого имущества, определение формы завещания и способности составлять/отменять завещание. В настоящее время в данных нормативных документах имеются такие формулировки отношений, которые не характерны для международных договоров и национального законодательства соответственно. Так, в международных договорах – это отношения по </w:t>
      </w:r>
      <w:r w:rsidRPr="00467B95">
        <w:rPr>
          <w:rFonts w:ascii="Times New Roman" w:hAnsi="Times New Roman"/>
          <w:sz w:val="28"/>
          <w:szCs w:val="28"/>
          <w:lang w:eastAsia="ru-RU"/>
        </w:rPr>
        <w:lastRenderedPageBreak/>
        <w:t>установлению, какое наследственное имущество следует считать движимым, а какое недвижимым, а в национальном законодательстве – отношения по наследованию недвижимого имущества, которое внесено в государственный реестр РФ. Во всех международных договорах РФ или СССР не присутствовало положение об имуществе, внесенное в госудраственный реестр, и в национальном законодательстве России никогда не появлялись «отношения по установлению, какое наследственное имущество следует считать движимым, а какое недвижимым». Таким образом, еще раз подтверждается тенденция отсутствия подобия коллизионных норм национального законодательства коллизионным нормам международных договоров.</w:t>
      </w:r>
    </w:p>
    <w:p w:rsidR="00986D95" w:rsidRPr="00467B95" w:rsidRDefault="00986D95" w:rsidP="005A3DF4">
      <w:pPr>
        <w:widowControl w:val="0"/>
        <w:spacing w:after="0" w:line="240" w:lineRule="auto"/>
        <w:ind w:firstLine="709"/>
        <w:rPr>
          <w:rFonts w:ascii="Times New Roman" w:hAnsi="Times New Roman"/>
          <w:sz w:val="28"/>
          <w:szCs w:val="28"/>
        </w:rPr>
      </w:pPr>
    </w:p>
    <w:p w:rsidR="00986D95" w:rsidRPr="00467B95" w:rsidRDefault="00986D95" w:rsidP="005A3DF4">
      <w:pPr>
        <w:widowControl w:val="0"/>
        <w:autoSpaceDE w:val="0"/>
        <w:autoSpaceDN w:val="0"/>
        <w:adjustRightInd w:val="0"/>
        <w:spacing w:after="0" w:line="240" w:lineRule="auto"/>
        <w:ind w:firstLine="709"/>
        <w:contextualSpacing/>
        <w:jc w:val="center"/>
        <w:rPr>
          <w:rFonts w:ascii="Times New Roman" w:eastAsia="SimSun" w:hAnsi="Times New Roman"/>
          <w:b/>
          <w:color w:val="000000"/>
          <w:sz w:val="28"/>
          <w:szCs w:val="28"/>
          <w:lang w:eastAsia="zh-CN"/>
        </w:rPr>
      </w:pPr>
      <w:r w:rsidRPr="00467B95">
        <w:rPr>
          <w:rFonts w:ascii="Times New Roman" w:eastAsia="SimSun" w:hAnsi="Times New Roman"/>
          <w:b/>
          <w:color w:val="000000"/>
          <w:sz w:val="28"/>
          <w:szCs w:val="28"/>
          <w:lang w:eastAsia="zh-CN"/>
        </w:rPr>
        <w:t>Ответственность операторов информационных систем в Российской Федерации и государствах Северо-Восточной Азии: сравнительно-правовой аспект</w:t>
      </w:r>
    </w:p>
    <w:p w:rsidR="00986D95" w:rsidRPr="00467B95" w:rsidRDefault="00986D95" w:rsidP="005A3DF4">
      <w:pPr>
        <w:widowControl w:val="0"/>
        <w:autoSpaceDE w:val="0"/>
        <w:autoSpaceDN w:val="0"/>
        <w:adjustRightInd w:val="0"/>
        <w:spacing w:after="0" w:line="240" w:lineRule="auto"/>
        <w:ind w:firstLine="709"/>
        <w:contextualSpacing/>
        <w:jc w:val="center"/>
        <w:rPr>
          <w:rFonts w:ascii="Times New Roman" w:eastAsia="SimSun" w:hAnsi="Times New Roman"/>
          <w:b/>
          <w:color w:val="000000"/>
          <w:sz w:val="28"/>
          <w:szCs w:val="28"/>
          <w:lang w:eastAsia="zh-CN"/>
        </w:rPr>
      </w:pPr>
    </w:p>
    <w:p w:rsidR="00986D95" w:rsidRPr="00A31929" w:rsidRDefault="00986D95" w:rsidP="005A3DF4">
      <w:pPr>
        <w:widowControl w:val="0"/>
        <w:autoSpaceDE w:val="0"/>
        <w:autoSpaceDN w:val="0"/>
        <w:adjustRightInd w:val="0"/>
        <w:spacing w:after="0" w:line="240" w:lineRule="auto"/>
        <w:ind w:firstLine="709"/>
        <w:contextualSpacing/>
        <w:jc w:val="center"/>
        <w:rPr>
          <w:rFonts w:ascii="Times New Roman" w:eastAsia="SimSun" w:hAnsi="Times New Roman"/>
          <w:b/>
          <w:color w:val="000000"/>
          <w:sz w:val="28"/>
          <w:szCs w:val="28"/>
          <w:lang w:val="en-US" w:eastAsia="zh-CN"/>
        </w:rPr>
      </w:pPr>
      <w:r w:rsidRPr="00A31929">
        <w:rPr>
          <w:rFonts w:ascii="Times New Roman" w:eastAsia="SimSun" w:hAnsi="Times New Roman"/>
          <w:b/>
          <w:color w:val="000000"/>
          <w:sz w:val="28"/>
          <w:szCs w:val="28"/>
          <w:lang w:val="en-US" w:eastAsia="zh-CN"/>
        </w:rPr>
        <w:t>Responsibility of information system operators in the Russian Federation and the states of Northeast Asia: a comparative legal aspect.</w:t>
      </w:r>
    </w:p>
    <w:p w:rsidR="00986D95" w:rsidRPr="00467B95" w:rsidRDefault="00986D95" w:rsidP="005A3DF4">
      <w:pPr>
        <w:widowControl w:val="0"/>
        <w:autoSpaceDE w:val="0"/>
        <w:autoSpaceDN w:val="0"/>
        <w:adjustRightInd w:val="0"/>
        <w:spacing w:after="0" w:line="240" w:lineRule="auto"/>
        <w:ind w:firstLine="709"/>
        <w:contextualSpacing/>
        <w:jc w:val="center"/>
        <w:rPr>
          <w:rFonts w:ascii="Times New Roman" w:eastAsia="SimSun" w:hAnsi="Times New Roman"/>
          <w:color w:val="000000"/>
          <w:sz w:val="28"/>
          <w:szCs w:val="28"/>
          <w:lang w:val="en-US" w:eastAsia="zh-CN"/>
        </w:rPr>
      </w:pPr>
    </w:p>
    <w:p w:rsidR="00986D95" w:rsidRPr="00467B95" w:rsidRDefault="00986D95" w:rsidP="005A3DF4">
      <w:pPr>
        <w:widowControl w:val="0"/>
        <w:autoSpaceDE w:val="0"/>
        <w:autoSpaceDN w:val="0"/>
        <w:adjustRightInd w:val="0"/>
        <w:spacing w:after="0" w:line="240" w:lineRule="auto"/>
        <w:ind w:firstLine="709"/>
        <w:contextualSpacing/>
        <w:jc w:val="center"/>
        <w:rPr>
          <w:rFonts w:ascii="Times New Roman" w:eastAsia="SimSun" w:hAnsi="Times New Roman"/>
          <w:color w:val="000000"/>
          <w:sz w:val="28"/>
          <w:szCs w:val="28"/>
          <w:lang w:eastAsia="zh-CN"/>
        </w:rPr>
      </w:pPr>
      <w:r w:rsidRPr="00467B95">
        <w:rPr>
          <w:rFonts w:ascii="Times New Roman" w:eastAsia="SimSun" w:hAnsi="Times New Roman"/>
          <w:color w:val="000000"/>
          <w:sz w:val="28"/>
          <w:szCs w:val="28"/>
          <w:lang w:eastAsia="zh-CN"/>
        </w:rPr>
        <w:t>Калугина Анастасия Юрьевна</w:t>
      </w:r>
    </w:p>
    <w:p w:rsidR="00986D95" w:rsidRPr="00467B95" w:rsidRDefault="00986D95" w:rsidP="005A3DF4">
      <w:pPr>
        <w:widowControl w:val="0"/>
        <w:autoSpaceDE w:val="0"/>
        <w:autoSpaceDN w:val="0"/>
        <w:adjustRightInd w:val="0"/>
        <w:spacing w:after="0" w:line="240" w:lineRule="auto"/>
        <w:ind w:firstLine="709"/>
        <w:contextualSpacing/>
        <w:jc w:val="center"/>
        <w:rPr>
          <w:rFonts w:ascii="Times New Roman" w:eastAsia="SimSun" w:hAnsi="Times New Roman"/>
          <w:color w:val="000000"/>
          <w:sz w:val="28"/>
          <w:szCs w:val="28"/>
          <w:lang w:eastAsia="zh-CN"/>
        </w:rPr>
      </w:pPr>
      <w:r w:rsidRPr="00467B95">
        <w:rPr>
          <w:rFonts w:ascii="Times New Roman" w:eastAsia="SimSun" w:hAnsi="Times New Roman"/>
          <w:color w:val="000000"/>
          <w:sz w:val="28"/>
          <w:szCs w:val="28"/>
          <w:lang w:val="en-US" w:eastAsia="zh-CN"/>
        </w:rPr>
        <w:t>KaluginaAnastasiaYuryevna</w:t>
      </w:r>
    </w:p>
    <w:p w:rsidR="00986D95" w:rsidRPr="00467B95" w:rsidRDefault="00986D95" w:rsidP="005A3DF4">
      <w:pPr>
        <w:pStyle w:val="a9"/>
        <w:widowControl w:val="0"/>
        <w:spacing w:before="0" w:beforeAutospacing="0" w:after="0" w:afterAutospacing="0"/>
        <w:ind w:firstLine="709"/>
        <w:jc w:val="center"/>
        <w:rPr>
          <w:color w:val="000000"/>
          <w:sz w:val="28"/>
          <w:szCs w:val="28"/>
        </w:rPr>
      </w:pPr>
      <w:r w:rsidRPr="00467B95">
        <w:rPr>
          <w:color w:val="000000"/>
          <w:sz w:val="28"/>
          <w:szCs w:val="28"/>
        </w:rPr>
        <w:t>Бакалавр</w:t>
      </w:r>
    </w:p>
    <w:p w:rsidR="00986D95" w:rsidRPr="00467B95" w:rsidRDefault="00986D95" w:rsidP="005A3DF4">
      <w:pPr>
        <w:pStyle w:val="a9"/>
        <w:widowControl w:val="0"/>
        <w:spacing w:before="0" w:beforeAutospacing="0" w:after="0" w:afterAutospacing="0"/>
        <w:ind w:firstLine="709"/>
        <w:jc w:val="center"/>
        <w:rPr>
          <w:color w:val="000000"/>
          <w:sz w:val="28"/>
          <w:szCs w:val="28"/>
        </w:rPr>
      </w:pPr>
      <w:r w:rsidRPr="00467B95">
        <w:rPr>
          <w:color w:val="000000"/>
          <w:sz w:val="28"/>
          <w:szCs w:val="28"/>
        </w:rPr>
        <w:t>ул. Гоголя, 41, г. Владивосток, Приморский край, Россия, 690014</w:t>
      </w:r>
    </w:p>
    <w:p w:rsidR="00986D95" w:rsidRPr="00467B95" w:rsidRDefault="00986D95" w:rsidP="005A3DF4">
      <w:pPr>
        <w:pStyle w:val="a9"/>
        <w:widowControl w:val="0"/>
        <w:spacing w:before="0" w:beforeAutospacing="0" w:after="0" w:afterAutospacing="0"/>
        <w:ind w:firstLine="709"/>
        <w:jc w:val="center"/>
        <w:rPr>
          <w:color w:val="000000"/>
          <w:sz w:val="28"/>
          <w:szCs w:val="28"/>
          <w:lang w:val="en-US"/>
        </w:rPr>
      </w:pPr>
      <w:r w:rsidRPr="00467B95">
        <w:rPr>
          <w:color w:val="000000"/>
          <w:sz w:val="28"/>
          <w:szCs w:val="28"/>
          <w:lang w:val="en-US"/>
        </w:rPr>
        <w:t xml:space="preserve">E-mail: kalugina.anastasia.97@mail.ru; </w:t>
      </w:r>
      <w:r w:rsidRPr="00467B95">
        <w:rPr>
          <w:color w:val="000000"/>
          <w:sz w:val="28"/>
          <w:szCs w:val="28"/>
        </w:rPr>
        <w:t>тел</w:t>
      </w:r>
      <w:r w:rsidRPr="00467B95">
        <w:rPr>
          <w:color w:val="000000"/>
          <w:sz w:val="28"/>
          <w:szCs w:val="28"/>
          <w:lang w:val="en-US"/>
        </w:rPr>
        <w:t>.: +79147211988</w:t>
      </w:r>
    </w:p>
    <w:p w:rsidR="00986D95" w:rsidRPr="00467B95" w:rsidRDefault="00986D95" w:rsidP="005A3DF4">
      <w:pPr>
        <w:pStyle w:val="a9"/>
        <w:widowControl w:val="0"/>
        <w:spacing w:before="0" w:beforeAutospacing="0" w:after="0" w:afterAutospacing="0"/>
        <w:ind w:firstLine="709"/>
        <w:jc w:val="center"/>
        <w:rPr>
          <w:color w:val="000000"/>
          <w:sz w:val="28"/>
          <w:szCs w:val="28"/>
          <w:lang w:val="en-US"/>
        </w:rPr>
      </w:pPr>
      <w:r w:rsidRPr="00467B95">
        <w:rPr>
          <w:color w:val="000000"/>
          <w:sz w:val="28"/>
          <w:szCs w:val="28"/>
        </w:rPr>
        <w:t>Владивостокский государственный университет экономики и сервиса. Владивосток</w:t>
      </w:r>
      <w:r w:rsidRPr="00467B95">
        <w:rPr>
          <w:color w:val="000000"/>
          <w:sz w:val="28"/>
          <w:szCs w:val="28"/>
          <w:lang w:val="en-US"/>
        </w:rPr>
        <w:t xml:space="preserve">. </w:t>
      </w:r>
      <w:r w:rsidRPr="00467B95">
        <w:rPr>
          <w:color w:val="000000"/>
          <w:sz w:val="28"/>
          <w:szCs w:val="28"/>
        </w:rPr>
        <w:t>Россия</w:t>
      </w:r>
    </w:p>
    <w:p w:rsidR="00986D95" w:rsidRPr="00467B95" w:rsidRDefault="00986D95" w:rsidP="005A3DF4">
      <w:pPr>
        <w:pStyle w:val="a9"/>
        <w:widowControl w:val="0"/>
        <w:spacing w:before="0" w:beforeAutospacing="0" w:after="0" w:afterAutospacing="0"/>
        <w:ind w:firstLine="709"/>
        <w:jc w:val="center"/>
        <w:rPr>
          <w:color w:val="000000"/>
          <w:sz w:val="28"/>
          <w:szCs w:val="28"/>
        </w:rPr>
      </w:pPr>
      <w:r w:rsidRPr="00467B95">
        <w:rPr>
          <w:color w:val="000000"/>
          <w:sz w:val="28"/>
          <w:szCs w:val="28"/>
          <w:lang w:val="en-US"/>
        </w:rPr>
        <w:t xml:space="preserve">Vladivostok State University of Economics and Service. Vladivostok. </w:t>
      </w:r>
      <w:r w:rsidRPr="00467B95">
        <w:rPr>
          <w:color w:val="000000"/>
          <w:sz w:val="28"/>
          <w:szCs w:val="28"/>
        </w:rPr>
        <w:t>Russia</w:t>
      </w:r>
    </w:p>
    <w:p w:rsidR="00986D95" w:rsidRPr="00467B95" w:rsidRDefault="00986D95" w:rsidP="005A3DF4">
      <w:pPr>
        <w:widowControl w:val="0"/>
        <w:autoSpaceDE w:val="0"/>
        <w:autoSpaceDN w:val="0"/>
        <w:adjustRightInd w:val="0"/>
        <w:spacing w:after="0" w:line="240" w:lineRule="auto"/>
        <w:ind w:firstLine="709"/>
        <w:contextualSpacing/>
        <w:jc w:val="center"/>
        <w:rPr>
          <w:rFonts w:ascii="Times New Roman" w:eastAsia="SimSun" w:hAnsi="Times New Roman"/>
          <w:color w:val="000000"/>
          <w:sz w:val="28"/>
          <w:szCs w:val="28"/>
          <w:lang w:eastAsia="zh-CN"/>
        </w:rPr>
      </w:pPr>
    </w:p>
    <w:p w:rsidR="00986D95" w:rsidRPr="00A31929" w:rsidRDefault="00986D95" w:rsidP="005A3DF4">
      <w:pPr>
        <w:widowControl w:val="0"/>
        <w:autoSpaceDE w:val="0"/>
        <w:autoSpaceDN w:val="0"/>
        <w:adjustRightInd w:val="0"/>
        <w:spacing w:after="0" w:line="240" w:lineRule="auto"/>
        <w:ind w:firstLine="709"/>
        <w:contextualSpacing/>
        <w:jc w:val="both"/>
        <w:rPr>
          <w:rFonts w:ascii="Times New Roman" w:eastAsia="Times New Roman" w:hAnsi="Times New Roman"/>
          <w:i/>
          <w:sz w:val="28"/>
          <w:szCs w:val="28"/>
          <w:lang w:eastAsia="ru-RU"/>
        </w:rPr>
      </w:pPr>
      <w:r w:rsidRPr="00A31929">
        <w:rPr>
          <w:rFonts w:ascii="Times New Roman" w:eastAsia="SimSun" w:hAnsi="Times New Roman"/>
          <w:i/>
          <w:color w:val="000000"/>
          <w:sz w:val="28"/>
          <w:szCs w:val="28"/>
          <w:lang w:eastAsia="zh-CN"/>
        </w:rPr>
        <w:t>Предметом исследования являются</w:t>
      </w:r>
      <w:r w:rsidRPr="00A31929">
        <w:rPr>
          <w:rFonts w:ascii="Times New Roman" w:eastAsia="SimSun" w:hAnsi="Times New Roman"/>
          <w:i/>
          <w:sz w:val="28"/>
          <w:szCs w:val="28"/>
          <w:lang w:eastAsia="zh-CN"/>
        </w:rPr>
        <w:t xml:space="preserve"> законодательство Российской Федерации и государств Северо-Восточной Азии, а также доктринальные источники. </w:t>
      </w:r>
      <w:r w:rsidRPr="00A31929">
        <w:rPr>
          <w:rFonts w:ascii="Times New Roman" w:eastAsia="SimSun" w:hAnsi="Times New Roman"/>
          <w:i/>
          <w:color w:val="000000"/>
          <w:sz w:val="28"/>
          <w:szCs w:val="28"/>
          <w:lang w:eastAsia="zh-CN"/>
        </w:rPr>
        <w:t xml:space="preserve">Цель исследования – исследовать и дать характеристику институту ответственности операторов информационных систем в Российской Федерации и странах Северо-Восточной Азии. </w:t>
      </w:r>
      <w:r w:rsidRPr="00A31929">
        <w:rPr>
          <w:rFonts w:ascii="Times New Roman" w:hAnsi="Times New Roman"/>
          <w:i/>
          <w:color w:val="000000"/>
          <w:sz w:val="28"/>
          <w:szCs w:val="28"/>
        </w:rPr>
        <w:t>С целью получения наиболее достоверных научных результатов был использован ряд общенаучных (системно-структурный, формально-логический и герменевтический методы) и специальных юридических методов познания (сравнительно-правовой и формально-юридический методы</w:t>
      </w:r>
      <w:r w:rsidRPr="00A31929">
        <w:rPr>
          <w:rFonts w:ascii="Times New Roman" w:hAnsi="Times New Roman"/>
          <w:i/>
          <w:color w:val="000000"/>
          <w:sz w:val="28"/>
          <w:szCs w:val="28"/>
          <w:shd w:val="clear" w:color="auto" w:fill="FFFFFF"/>
        </w:rPr>
        <w:t xml:space="preserve">. </w:t>
      </w:r>
      <w:r w:rsidRPr="00A31929">
        <w:rPr>
          <w:rFonts w:ascii="Times New Roman" w:hAnsi="Times New Roman"/>
          <w:i/>
          <w:sz w:val="28"/>
          <w:szCs w:val="28"/>
        </w:rPr>
        <w:t xml:space="preserve">В связи с наличием широкого круга обязанностей, информационные операторы должны быть наделены широким кругом прав, которые бы позволяли им контролировать и предотвращать появление и устранение в системе не надлежащей информации. Для этого целесообразно было бы ведение программного обеспечения.  Программная система, не только для государственных операторов, позволила бы объективно оценивать действия иных операторов информационных систем, говорить о надёжности </w:t>
      </w:r>
      <w:r w:rsidRPr="00A31929">
        <w:rPr>
          <w:rFonts w:ascii="Times New Roman" w:hAnsi="Times New Roman"/>
          <w:i/>
          <w:sz w:val="28"/>
          <w:szCs w:val="28"/>
        </w:rPr>
        <w:lastRenderedPageBreak/>
        <w:t xml:space="preserve">используемой информации и ее безопасности. Отрасль информационной безопасности всегда будет востребована. Одной из целей всех государств является разработка и усовершенствование информационной безопасности, в том числе и установление ответственности лиц, причастных к размещению, передачи и ликвидации такой информации. В связи с этим требуется пересмотр законодательных актов в этой области, и усиление мер, способствующих улучшению поля информационных систем. </w:t>
      </w:r>
      <w:r w:rsidRPr="00A31929">
        <w:rPr>
          <w:rFonts w:ascii="Times New Roman" w:eastAsia="Times New Roman" w:hAnsi="Times New Roman"/>
          <w:i/>
          <w:sz w:val="28"/>
          <w:szCs w:val="28"/>
          <w:lang w:eastAsia="ru-RU"/>
        </w:rPr>
        <w:t xml:space="preserve">В области </w:t>
      </w:r>
      <w:r w:rsidRPr="00A31929">
        <w:rPr>
          <w:rFonts w:ascii="Times New Roman" w:hAnsi="Times New Roman"/>
          <w:bCs/>
          <w:i/>
          <w:sz w:val="28"/>
          <w:szCs w:val="28"/>
          <w:shd w:val="clear" w:color="auto" w:fill="FFFFFF"/>
        </w:rPr>
        <w:t xml:space="preserve">обеспечении безопасности персональных данных при их обработке в информационных системах, </w:t>
      </w:r>
      <w:r w:rsidRPr="00A31929">
        <w:rPr>
          <w:rFonts w:ascii="Times New Roman" w:eastAsia="Times New Roman" w:hAnsi="Times New Roman"/>
          <w:i/>
          <w:sz w:val="28"/>
          <w:szCs w:val="28"/>
          <w:lang w:eastAsia="ru-RU"/>
        </w:rPr>
        <w:t>круг обязанностей хост-провайдера достаточно широк. В связи с чем, по моему мнению, возникает необходимость, увеличения его прав на доступ полномочий, позволяющих отстаивать интересы граждан. Объем обязанностей провайдеров не ответствует, их правам, имеющим нормативно-правовое закрепление, способных своевременно, без причинения вреда публичным и частным интересах, содействовать блокированию и ликвидации конфиденциальных данных граждан и юридических лиц.</w:t>
      </w:r>
    </w:p>
    <w:p w:rsidR="00986D95" w:rsidRPr="00A31929" w:rsidRDefault="00986D95" w:rsidP="005A3DF4">
      <w:pPr>
        <w:widowControl w:val="0"/>
        <w:autoSpaceDE w:val="0"/>
        <w:autoSpaceDN w:val="0"/>
        <w:adjustRightInd w:val="0"/>
        <w:spacing w:after="0" w:line="240" w:lineRule="auto"/>
        <w:ind w:firstLine="709"/>
        <w:contextualSpacing/>
        <w:jc w:val="both"/>
        <w:rPr>
          <w:rFonts w:ascii="Times New Roman" w:eastAsia="SimSun" w:hAnsi="Times New Roman"/>
          <w:i/>
          <w:color w:val="000000"/>
          <w:sz w:val="28"/>
          <w:szCs w:val="28"/>
          <w:lang w:eastAsia="zh-CN"/>
        </w:rPr>
      </w:pPr>
    </w:p>
    <w:p w:rsidR="00986D95" w:rsidRPr="00A31929" w:rsidRDefault="00986D95" w:rsidP="005A3DF4">
      <w:pPr>
        <w:widowControl w:val="0"/>
        <w:autoSpaceDE w:val="0"/>
        <w:autoSpaceDN w:val="0"/>
        <w:adjustRightInd w:val="0"/>
        <w:spacing w:after="0" w:line="240" w:lineRule="auto"/>
        <w:ind w:firstLine="709"/>
        <w:contextualSpacing/>
        <w:jc w:val="both"/>
        <w:rPr>
          <w:rFonts w:ascii="Times New Roman" w:eastAsia="SimSun" w:hAnsi="Times New Roman"/>
          <w:i/>
          <w:color w:val="000000"/>
          <w:sz w:val="28"/>
          <w:szCs w:val="28"/>
          <w:lang w:eastAsia="zh-CN"/>
        </w:rPr>
      </w:pPr>
      <w:r w:rsidRPr="00A31929">
        <w:rPr>
          <w:rFonts w:ascii="Times New Roman" w:eastAsia="SimSun" w:hAnsi="Times New Roman"/>
          <w:i/>
          <w:color w:val="000000"/>
          <w:sz w:val="28"/>
          <w:szCs w:val="28"/>
          <w:lang w:eastAsia="zh-CN"/>
        </w:rPr>
        <w:t>Ключевые слова: информационная система, провайдер, поставщик услуг в интернете, ответственность операторов информационных систем.</w:t>
      </w:r>
    </w:p>
    <w:p w:rsidR="00986D95" w:rsidRPr="00A31929" w:rsidRDefault="00986D95" w:rsidP="005A3DF4">
      <w:pPr>
        <w:widowControl w:val="0"/>
        <w:shd w:val="clear" w:color="auto" w:fill="FFFFFF"/>
        <w:spacing w:after="0" w:line="240" w:lineRule="auto"/>
        <w:ind w:firstLine="709"/>
        <w:jc w:val="both"/>
        <w:rPr>
          <w:rFonts w:ascii="Times New Roman" w:eastAsia="Times New Roman" w:hAnsi="Times New Roman"/>
          <w:i/>
          <w:sz w:val="28"/>
          <w:szCs w:val="28"/>
          <w:lang w:eastAsia="ru-RU"/>
        </w:rPr>
      </w:pPr>
    </w:p>
    <w:p w:rsidR="00986D95" w:rsidRPr="00A31929" w:rsidRDefault="00986D95" w:rsidP="005A3DF4">
      <w:pPr>
        <w:widowControl w:val="0"/>
        <w:shd w:val="clear" w:color="auto" w:fill="FFFFFF"/>
        <w:spacing w:after="0" w:line="240" w:lineRule="auto"/>
        <w:ind w:firstLine="709"/>
        <w:jc w:val="both"/>
        <w:rPr>
          <w:rFonts w:ascii="Times New Roman" w:eastAsia="Times New Roman" w:hAnsi="Times New Roman"/>
          <w:i/>
          <w:sz w:val="28"/>
          <w:szCs w:val="28"/>
          <w:lang w:val="en-US" w:eastAsia="ru-RU"/>
        </w:rPr>
      </w:pPr>
      <w:r w:rsidRPr="00A31929">
        <w:rPr>
          <w:rFonts w:ascii="Times New Roman" w:eastAsia="Times New Roman" w:hAnsi="Times New Roman"/>
          <w:i/>
          <w:sz w:val="28"/>
          <w:szCs w:val="28"/>
          <w:lang w:val="en-US" w:eastAsia="ru-RU"/>
        </w:rPr>
        <w:t>The purpose of the study is to investigate and give an idea about the institute of responsibility of information system operators in the Russian Federation and the countries of North-East Asia. In order to obtain the most reliable research results, a number of general scientific (system-structural, formal-logical and hermeneutical methods) and special methods of cognition (comparative legal and formal-legal methods) were used. Due to the wide range of responsibilities, all necessary access rights should be established, which will allow them to control and prevent the appearance and elimination of deficiencies in the system. For this, it would be advisable to maintain the software. Software systems are not only for state-owned operators, but also for objective evaluation. The security industry will always be in demand. One of the goals of all states is the development and improvement of the system for ensuring security, involvement in the placement, transfer and provision of such information. In this regard, the revision of legislation in this area is required, as well as the strengthening of measures promoting the improvement of polar information systems. The ISP is wide enough. In accordance with my opinion, the emergence of necessity, an increase in the number of rights of citizens. The responsibilities of providers should not be welcomed, they have mandatory regulatory powers, in a timely manner and without causing harm to public and private interests.</w:t>
      </w:r>
    </w:p>
    <w:p w:rsidR="00986D95" w:rsidRPr="00A31929" w:rsidRDefault="00986D95" w:rsidP="005A3DF4">
      <w:pPr>
        <w:widowControl w:val="0"/>
        <w:shd w:val="clear" w:color="auto" w:fill="FFFFFF"/>
        <w:spacing w:after="0" w:line="240" w:lineRule="auto"/>
        <w:ind w:firstLine="709"/>
        <w:jc w:val="both"/>
        <w:rPr>
          <w:rFonts w:ascii="Times New Roman" w:eastAsia="Times New Roman" w:hAnsi="Times New Roman"/>
          <w:i/>
          <w:sz w:val="28"/>
          <w:szCs w:val="28"/>
          <w:lang w:val="en-US" w:eastAsia="ru-RU"/>
        </w:rPr>
      </w:pPr>
    </w:p>
    <w:p w:rsidR="00986D95" w:rsidRPr="00A31929" w:rsidRDefault="00986D95" w:rsidP="005A3DF4">
      <w:pPr>
        <w:widowControl w:val="0"/>
        <w:autoSpaceDE w:val="0"/>
        <w:autoSpaceDN w:val="0"/>
        <w:adjustRightInd w:val="0"/>
        <w:spacing w:after="0" w:line="240" w:lineRule="auto"/>
        <w:ind w:firstLine="709"/>
        <w:contextualSpacing/>
        <w:jc w:val="both"/>
        <w:rPr>
          <w:rFonts w:ascii="Times New Roman" w:eastAsia="SimSun" w:hAnsi="Times New Roman"/>
          <w:i/>
          <w:color w:val="000000"/>
          <w:sz w:val="28"/>
          <w:szCs w:val="28"/>
          <w:lang w:val="en-US" w:eastAsia="zh-CN"/>
        </w:rPr>
      </w:pPr>
      <w:r w:rsidRPr="00A31929">
        <w:rPr>
          <w:rFonts w:ascii="Times New Roman" w:eastAsia="SimSun" w:hAnsi="Times New Roman"/>
          <w:i/>
          <w:color w:val="000000"/>
          <w:sz w:val="28"/>
          <w:szCs w:val="28"/>
          <w:lang w:val="en-US" w:eastAsia="zh-CN"/>
        </w:rPr>
        <w:t>Keywords: information system, provider, Internet service provider, responsibility of information system operators.</w:t>
      </w:r>
    </w:p>
    <w:p w:rsidR="00986D95" w:rsidRPr="00467B95" w:rsidRDefault="00986D95" w:rsidP="005A3DF4">
      <w:pPr>
        <w:widowControl w:val="0"/>
        <w:spacing w:after="0" w:line="240" w:lineRule="auto"/>
        <w:ind w:firstLine="709"/>
        <w:contextualSpacing/>
        <w:jc w:val="both"/>
        <w:rPr>
          <w:rFonts w:ascii="Times New Roman" w:hAnsi="Times New Roman"/>
          <w:sz w:val="28"/>
          <w:szCs w:val="28"/>
          <w:lang w:val="en-US"/>
        </w:rPr>
      </w:pPr>
    </w:p>
    <w:p w:rsidR="00986D95" w:rsidRPr="00467B95" w:rsidRDefault="00986D95"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Актуальность темы определяется непосредственной необходимостью, </w:t>
      </w:r>
      <w:r w:rsidRPr="00467B95">
        <w:rPr>
          <w:rFonts w:ascii="Times New Roman" w:hAnsi="Times New Roman"/>
          <w:sz w:val="28"/>
          <w:szCs w:val="28"/>
        </w:rPr>
        <w:lastRenderedPageBreak/>
        <w:t>изучения особенностей правового статуса операторов информационной системы в России и странах Северо-Восточной Азии, как значимого фактора, который в первую очередь, фундаментально определяет степень эффективности работы информационных систем в государствах в целом. В связи с активным развитием законодательства в области информационных технологий, а именно определение места операторов линий связи, особенности их прав и обязанностей. Развитие и правовое закрепление ответственности операторов информационных систем становится все более востребовано и актуально.</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современном мире, интернет-технологии приобрели особое значение, можно сказать одно из главенствующих. Каждая страна устанавливает свои правила регулирования деятельности провайдеров, учитывая особенности своей правовой системы. Сам процесс совершенствования законодательства стран Восточной Азии происходит, в основном, путем кодификации. Область информационных технологий не является исключением. Сегодня, когда в электронных ресурсах ежедневно хранится, передается, используется большой объем информации, ни одна страна не может быть уверена в своей информационной «надежности» и чувствовать себя полностью защищенной.  В связи с этим государства создают свои мощные правовые приемы, которые буду эффективно работать и обеспечивать безопасность государственных интересов в сфере информационных технологий. Путем изучения актуальных проблем правового положения оператора информационной системы, сделаны определенные выводы, дающие право для сравнения особенностей ответственности операторов информационной системы в РФ и странах Северо-Восточной Азии.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Стремительное развитие информационных технологий, не позволяет руководству стран оставить без развития правовое регулирование информационного права в целом. Выстраивая свою внешнюю политику на международном уровне, правительство определят свою стратегию ведения и урегулирования законодательства. Если государство не будет развивать законодательство и идти в ногу со временем, появляются риски ослабления информационной безопасности в связи с тем, что правительство другой страны может уделять этому вопросу большое внимание и становится не исключением проведение информационных атак на внутренние данные информационных систем. </w:t>
      </w:r>
    </w:p>
    <w:p w:rsidR="00986D95" w:rsidRPr="00467B95" w:rsidRDefault="00986D95" w:rsidP="005A3DF4">
      <w:pPr>
        <w:widowControl w:val="0"/>
        <w:spacing w:after="0" w:line="240" w:lineRule="auto"/>
        <w:ind w:firstLine="709"/>
        <w:contextualSpacing/>
        <w:jc w:val="both"/>
        <w:rPr>
          <w:rFonts w:ascii="Times New Roman" w:eastAsia="SimSun" w:hAnsi="Times New Roman"/>
          <w:color w:val="000000"/>
          <w:sz w:val="28"/>
          <w:szCs w:val="28"/>
          <w:lang w:eastAsia="zh-CN"/>
        </w:rPr>
      </w:pPr>
      <w:r w:rsidRPr="00467B95">
        <w:rPr>
          <w:rFonts w:ascii="Times New Roman" w:eastAsia="SimSun" w:hAnsi="Times New Roman"/>
          <w:color w:val="000000"/>
          <w:sz w:val="28"/>
          <w:szCs w:val="28"/>
          <w:lang w:eastAsia="zh-CN"/>
        </w:rPr>
        <w:t>Цель исследования – исследовать и дать характеристику институту ответственности операторов информационных систем в Российской Федерации и странах Северо-Восточной Азии.</w:t>
      </w:r>
    </w:p>
    <w:p w:rsidR="00986D95" w:rsidRPr="00467B95" w:rsidRDefault="00986D95" w:rsidP="005A3DF4">
      <w:pPr>
        <w:widowControl w:val="0"/>
        <w:spacing w:after="0" w:line="240" w:lineRule="auto"/>
        <w:ind w:firstLine="709"/>
        <w:contextualSpacing/>
        <w:jc w:val="both"/>
        <w:rPr>
          <w:rFonts w:ascii="Times New Roman" w:eastAsia="SimSun" w:hAnsi="Times New Roman"/>
          <w:color w:val="000000"/>
          <w:sz w:val="28"/>
          <w:szCs w:val="28"/>
          <w:lang w:eastAsia="zh-CN"/>
        </w:rPr>
      </w:pPr>
      <w:r w:rsidRPr="00467B95">
        <w:rPr>
          <w:rFonts w:ascii="Times New Roman" w:eastAsia="SimSun" w:hAnsi="Times New Roman"/>
          <w:color w:val="000000"/>
          <w:sz w:val="28"/>
          <w:szCs w:val="28"/>
          <w:lang w:eastAsia="zh-CN"/>
        </w:rPr>
        <w:t xml:space="preserve">Для достижения поставленной цели определены следующие задачи: </w:t>
      </w:r>
    </w:p>
    <w:p w:rsidR="00986D95" w:rsidRPr="00467B95" w:rsidRDefault="00986D95" w:rsidP="005A3DF4">
      <w:pPr>
        <w:pStyle w:val="a7"/>
        <w:widowControl w:val="0"/>
        <w:numPr>
          <w:ilvl w:val="0"/>
          <w:numId w:val="3"/>
        </w:numPr>
        <w:tabs>
          <w:tab w:val="left" w:pos="993"/>
        </w:tabs>
        <w:spacing w:after="0" w:line="240" w:lineRule="auto"/>
        <w:ind w:left="0" w:firstLine="709"/>
        <w:jc w:val="both"/>
        <w:rPr>
          <w:rFonts w:ascii="Times New Roman" w:eastAsia="SimSun" w:hAnsi="Times New Roman" w:cs="Times New Roman"/>
          <w:color w:val="000000"/>
          <w:sz w:val="28"/>
          <w:szCs w:val="28"/>
          <w:lang w:eastAsia="zh-CN"/>
        </w:rPr>
      </w:pPr>
      <w:r w:rsidRPr="00467B95">
        <w:rPr>
          <w:rFonts w:ascii="Times New Roman" w:eastAsia="SimSun" w:hAnsi="Times New Roman" w:cs="Times New Roman"/>
          <w:color w:val="000000"/>
          <w:sz w:val="28"/>
          <w:szCs w:val="28"/>
          <w:lang w:eastAsia="zh-CN"/>
        </w:rPr>
        <w:t>проанализировать и дать характеристику нормам об ответственности операторов информационных систем в Российской Федерации, Республике Кореи, Китайской Народной Республике, Японии.</w:t>
      </w:r>
    </w:p>
    <w:p w:rsidR="00986D95" w:rsidRPr="00467B95" w:rsidRDefault="00986D95" w:rsidP="005A3DF4">
      <w:pPr>
        <w:widowControl w:val="0"/>
        <w:autoSpaceDE w:val="0"/>
        <w:autoSpaceDN w:val="0"/>
        <w:adjustRightInd w:val="0"/>
        <w:spacing w:after="0" w:line="240" w:lineRule="auto"/>
        <w:ind w:firstLine="709"/>
        <w:jc w:val="both"/>
        <w:rPr>
          <w:rFonts w:ascii="Times New Roman" w:eastAsia="SimSun" w:hAnsi="Times New Roman"/>
          <w:sz w:val="28"/>
          <w:szCs w:val="28"/>
          <w:lang w:eastAsia="zh-CN"/>
        </w:rPr>
      </w:pPr>
      <w:r w:rsidRPr="00467B95">
        <w:rPr>
          <w:rFonts w:ascii="Times New Roman" w:eastAsia="SimSun" w:hAnsi="Times New Roman"/>
          <w:color w:val="000000"/>
          <w:sz w:val="28"/>
          <w:szCs w:val="28"/>
          <w:lang w:eastAsia="zh-CN"/>
        </w:rPr>
        <w:t xml:space="preserve">Предметом исследования являются такие источники, как </w:t>
      </w:r>
      <w:r w:rsidRPr="00467B95">
        <w:rPr>
          <w:rFonts w:ascii="Times New Roman" w:eastAsia="SimSun" w:hAnsi="Times New Roman"/>
          <w:sz w:val="28"/>
          <w:szCs w:val="28"/>
          <w:lang w:eastAsia="zh-CN"/>
        </w:rPr>
        <w:t xml:space="preserve">законодательство Российской Федерации и государств Северо-Восточной </w:t>
      </w:r>
      <w:r w:rsidRPr="00467B95">
        <w:rPr>
          <w:rFonts w:ascii="Times New Roman" w:eastAsia="SimSun" w:hAnsi="Times New Roman"/>
          <w:sz w:val="28"/>
          <w:szCs w:val="28"/>
          <w:lang w:eastAsia="zh-CN"/>
        </w:rPr>
        <w:lastRenderedPageBreak/>
        <w:t>Азии, а также доктринальные источники.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Правовые нормы, характеризующие российское информационное право, закреплены в различных источниках. Федеральный закон «О связи» от 07.07.2003 г. №126-ФЗ содержит определенные правила, характерные именно для оператора информационной системы как субъекта отношений. Так, в ст. 46 ФЗ «О связи» закреплен перечень их обязанностей. Операторы отвечают за требования информационно-технического обеспечения круглосуточно, непосредственно предоставляю услуги связи и являясь собственником сетей связи. Также п.2 ст.46 дает понимание того, что провайдер обязан предоставлять отчетность своим абонентам по эксплуатируемым ими услугам. </w:t>
      </w:r>
    </w:p>
    <w:p w:rsidR="00986D95" w:rsidRPr="00467B95" w:rsidRDefault="00986D95" w:rsidP="005A3DF4">
      <w:pPr>
        <w:widowControl w:val="0"/>
        <w:shd w:val="clear" w:color="auto" w:fill="FFFFFF"/>
        <w:tabs>
          <w:tab w:val="left" w:pos="1134"/>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 мнению И.П. Миллер, столкнувшись с использованием, обработкой и систематизацией информации, которая неизбежно становится обработчиков персональных данный, вся ответственность ложится на оператора. Безусловно, при получении такой конфиденциальной информации провайдер вынужден применить все возможные меры с целью защиты информации и сохранения ее конфиденциальности.  Проанализировав судебную практику, можно понять, что операторы все же нарушают требования законодательства о защите персональных данных. Основные причины: недостаточность знаний законодательства, игнорирование требований законодательства. Но при этом, организации - операторы все же стараются оперативно ликвидировать такие нарушения насколько это возможно. </w:t>
      </w:r>
      <w:r w:rsidRPr="00467B95">
        <w:rPr>
          <w:rFonts w:ascii="Times New Roman" w:hAnsi="Times New Roman"/>
          <w:sz w:val="28"/>
          <w:szCs w:val="28"/>
          <w:lang w:eastAsia="ru-RU"/>
        </w:rPr>
        <w:t>Действующее законодательство Российской Федерации в правовом значении не обязывает провайдера осуществлять контроль и надзор за действиями пользователей, т.е. пользователи сами, решают какую информацию они хотят обнародовать для той или иной аудитории. В случае обнаружения нарушений, данные действия должны быть пресечены провайдером по указанию государственного органа, так как законодательством установлены такие полномочия. Мне понимается, что оператор лишь способствует пресечению информации, не допустимой для публичного доступа. Возникает сложность понимания, может ли оператор самостоятельно выявлять и пресекать появление незаконной информации в базах данных [1, С.387].</w:t>
      </w:r>
    </w:p>
    <w:p w:rsidR="00986D95" w:rsidRPr="00467B95" w:rsidRDefault="00986D95"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lang w:eastAsia="ru-RU"/>
        </w:rPr>
        <w:t xml:space="preserve">Согласно, ч.4 ст.17 федерального закона </w:t>
      </w:r>
      <w:r w:rsidRPr="00467B95">
        <w:rPr>
          <w:rFonts w:ascii="Times New Roman" w:eastAsia="Times New Roman" w:hAnsi="Times New Roman"/>
          <w:bCs/>
          <w:kern w:val="36"/>
          <w:sz w:val="28"/>
          <w:szCs w:val="28"/>
          <w:lang w:eastAsia="ru-RU"/>
        </w:rPr>
        <w:t xml:space="preserve">«Об информации, информационных технологиях и о защите информации» от 27.07.2006 №149-ФЗ </w:t>
      </w:r>
      <w:r w:rsidRPr="00467B95">
        <w:rPr>
          <w:rFonts w:ascii="Times New Roman" w:hAnsi="Times New Roman"/>
          <w:sz w:val="28"/>
          <w:szCs w:val="28"/>
          <w:shd w:val="clear" w:color="auto" w:fill="FFFFFF"/>
        </w:rPr>
        <w:t>провайдер хостинга, оператор связи и владелец сайта в сети «Интернет» не несут ответственность перед правообладателем и перед пользователем за ограничение доступа к информации и (или) ограничение ее распространения в соответствии с требованиями настоящего Федерального закона. Это в свою очередь обозначает, что провайдер информационный системы не может привлекаться ни к какому виду ответственности за бездействие по ограничению доступа, потому как полномочия по мониторингу и охране информационных баз данных возложена на государственный орган.</w:t>
      </w:r>
    </w:p>
    <w:p w:rsidR="00986D95" w:rsidRPr="00467B95" w:rsidRDefault="00986D95" w:rsidP="005A3DF4">
      <w:pPr>
        <w:widowControl w:val="0"/>
        <w:shd w:val="clear" w:color="auto" w:fill="FFFFFF"/>
        <w:tabs>
          <w:tab w:val="left" w:pos="1134"/>
        </w:tabs>
        <w:spacing w:after="0" w:line="240" w:lineRule="auto"/>
        <w:ind w:firstLine="709"/>
        <w:jc w:val="both"/>
        <w:rPr>
          <w:rFonts w:ascii="Times New Roman" w:hAnsi="Times New Roman"/>
          <w:color w:val="000000" w:themeColor="text1"/>
          <w:sz w:val="28"/>
          <w:szCs w:val="28"/>
        </w:rPr>
      </w:pPr>
      <w:r w:rsidRPr="00467B95">
        <w:rPr>
          <w:rFonts w:ascii="Times New Roman" w:hAnsi="Times New Roman"/>
          <w:sz w:val="28"/>
          <w:szCs w:val="28"/>
        </w:rPr>
        <w:t xml:space="preserve">В области именно предоставления информации оператор имеет возможность размещать такую информацию в информационной системе. </w:t>
      </w:r>
      <w:r w:rsidRPr="00467B95">
        <w:rPr>
          <w:rFonts w:ascii="Times New Roman" w:hAnsi="Times New Roman"/>
          <w:sz w:val="28"/>
          <w:szCs w:val="28"/>
        </w:rPr>
        <w:lastRenderedPageBreak/>
        <w:t>Такая специфическая система оправдана, по мнению Р.В. Амелина, так как для обеспечения ведения федеральных реестров информация, которая поступает в систему должна быть тщательно проверена и достоверна, в связи с чем оператором, в таком случае будет выступать уполномоченный орган, который в пределах своей компетенции будет совершать эту обязанность и нести соответствующую ответственность за доступ к такой информации [2, С.37].</w:t>
      </w:r>
    </w:p>
    <w:p w:rsidR="00986D95" w:rsidRPr="00467B95" w:rsidRDefault="00986D95" w:rsidP="005A3DF4">
      <w:pPr>
        <w:widowControl w:val="0"/>
        <w:shd w:val="clear" w:color="auto" w:fill="FFFFFF"/>
        <w:tabs>
          <w:tab w:val="left" w:pos="1134"/>
        </w:tabs>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Проанализировав ответственность операторов информационных систем России за нарушения законодательства в области персональных данных и законодательства в области интеллектуальных прав, можно сделать вывод о том, что отечественный законодатель урегулировал не все аспекты требующие внимания. Во-первых, законодателем не была введена едина терминология, которая бы четко определяла, какое лицо подлежит ответственности за нарушения интеллектуальных прав в Интернете. В целом, принятые нормы можно считать эффективными. Но все же, учитываю стремительное развитие права, в области информационных технологий, некоторые нормы, можно оценить, как недоработанные. Весьма целесообразно было бы создание специфического закона, который бы контурно и четко отражал, аспекты по защите прав на все виды нелегального контента. Что касается, законодательства по защите персональных данных в интернете, то российский законодатель довольно качественно позаботился, о нормах регулирования этой области, которые, имеют эффективное применение.</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Важнейшими документами в политике Китая по вопросам информационного развития были такие нормативно-правовые акты, как:</w:t>
      </w:r>
    </w:p>
    <w:p w:rsidR="00986D95" w:rsidRPr="00467B95" w:rsidRDefault="00986D95" w:rsidP="005A3DF4">
      <w:pPr>
        <w:pStyle w:val="a7"/>
        <w:widowControl w:val="0"/>
        <w:numPr>
          <w:ilvl w:val="0"/>
          <w:numId w:val="4"/>
        </w:numPr>
        <w:tabs>
          <w:tab w:val="left" w:pos="993"/>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Решение Постоянного Комитета Национального народного конгресса по интернет-безопасности (2000 г.)</w:t>
      </w:r>
    </w:p>
    <w:p w:rsidR="00986D95" w:rsidRPr="00467B95" w:rsidRDefault="00986D95" w:rsidP="005A3DF4">
      <w:pPr>
        <w:pStyle w:val="a7"/>
        <w:widowControl w:val="0"/>
        <w:numPr>
          <w:ilvl w:val="0"/>
          <w:numId w:val="4"/>
        </w:numPr>
        <w:tabs>
          <w:tab w:val="left" w:pos="993"/>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Закон КНР об электронных подписях (2004 г.)</w:t>
      </w:r>
    </w:p>
    <w:p w:rsidR="00986D95" w:rsidRPr="00467B95" w:rsidRDefault="00986D95" w:rsidP="005A3DF4">
      <w:pPr>
        <w:pStyle w:val="a7"/>
        <w:widowControl w:val="0"/>
        <w:numPr>
          <w:ilvl w:val="0"/>
          <w:numId w:val="4"/>
        </w:numPr>
        <w:tabs>
          <w:tab w:val="left" w:pos="993"/>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Положение о защите права на общение через информационную сеть</w:t>
      </w:r>
    </w:p>
    <w:p w:rsidR="00986D95" w:rsidRPr="00467B95" w:rsidRDefault="00986D95" w:rsidP="005A3DF4">
      <w:pPr>
        <w:pStyle w:val="a7"/>
        <w:widowControl w:val="0"/>
        <w:numPr>
          <w:ilvl w:val="0"/>
          <w:numId w:val="4"/>
        </w:numPr>
        <w:tabs>
          <w:tab w:val="left" w:pos="993"/>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Правила Верховного Народного Суда по некоторым вопросам, касающихся рассмотрения дел о нарушении прав при использовании информационных сетей (2012 г.) [3].</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Все эти источники содержат весьма подробные и детальные положения о правах, обязанностях и ответственности операторов информационных сетей (провайдеров, поставщиков услуг доступа в Интернете).</w:t>
      </w:r>
    </w:p>
    <w:p w:rsidR="00986D95" w:rsidRPr="00467B95" w:rsidRDefault="00986D95" w:rsidP="005A3DF4">
      <w:pPr>
        <w:widowControl w:val="0"/>
        <w:tabs>
          <w:tab w:val="left" w:pos="360"/>
        </w:tabs>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Позднее, 26 декабря 2009 года, вступил в силу Закон КНР о деликтной ответственности (далее - TLL). Особенностью §36TLL является отсутствие предписаний о содержании уведомления интернет-провайдера, системе встречных уведомлений, средствах защиты от ошибочного уведомления и др., но этот недостаток восполняется возможностью дополнения судебной интерпретацией, выпущенной впоследствии.</w:t>
      </w:r>
    </w:p>
    <w:p w:rsidR="00986D95" w:rsidRPr="00467B95" w:rsidRDefault="00986D95" w:rsidP="005A3DF4">
      <w:pPr>
        <w:widowControl w:val="0"/>
        <w:tabs>
          <w:tab w:val="left" w:pos="360"/>
        </w:tabs>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Другим важным новшеством в §36TLL является то, что он объективно связывает субъективные недостатки операторов информационной системы с объемом ответственности интернет-провайдера: если оператор </w:t>
      </w:r>
      <w:r w:rsidRPr="00467B95">
        <w:rPr>
          <w:rFonts w:ascii="Times New Roman" w:hAnsi="Times New Roman"/>
          <w:sz w:val="28"/>
          <w:szCs w:val="28"/>
        </w:rPr>
        <w:lastRenderedPageBreak/>
        <w:t>информационной системы не принимает своевременных необходимых мер после получения уведомления от нарушителя, то провайдер  несет только солидарную ответственность с нарушителем за ущерб, если провайдер заранее знает о действиях нарушителя по отношению к потерпевшему и не принимает мер по сдерживанию, он несет солидарную ответственность с нарушителем с момента, когда провайдеру станет известна эта информация. Определение объема ответственности направлено на защиту развития интернет-индустрии, а установление солидарной ответственности нарушителя и интернет-провайдера - с целью предоставления адекватных средств защиты лицу, которому был причинён вред.</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целом, законодательство Китая уделяет большее внимание именно заблаговременному контролю, обеспечению мер для устранения угроз, которые могли бы возникнуть. Так, если провайдером был обнаружен факт наличия вредоносного контента в Интернете, им должны быть применены незамедлительные меры по удалению и прекращению доступа к такой информации. В противном случае, оператор может быть привлечен к разным видам ответственности, в зависимости от того, знал ли провайдер о наличии такой информации в доступе [4].</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китайском законодательстве имеется норма, утверждающая, что провайдер не будет освобождаться от ответственности, если он знал или должен был знать о предполагаемом нарушении. Провайдер обязан доказать, что он не имел фактических или предположительных знаний о нарушении [5].</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Значительная часть Положений посвящена разъяснению того, как суды должны оценивать фактические или все-таки возможные знания оператора о неправомерной информации. Фактические знания о предполагаемом нарушении имеют место в случае, если после получения уведомления о нарушении провайдер не предпримет необходимых мер для прекращения нарушения.</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Суд должен оценить подразумеваемые знания, принимая во внимание все следующие факторы:</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-степень очевидности или конкретных обстоятельств предполагаемых нарушений; </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-характер и режим услуг, предоставляемых оператором, вероятность того, что такие услуги могут способствовать нарушению, а также возможные полномочия провайдера по управлению информацией; </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-тип и популярность оспариваемых произведений, исполнений или аудио-видео продукции; </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-участие поставщика услуг в Интернете в редактировании, изменении или рекомендации спорных произведений, выступлений или аудио-видео продукции; </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-любые позитивные и/или разумные меры, принятые провайдером для предотвращения нарушения;</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-любые процедуры, установленные провайдером для получения уведомлений о нарушении и предоставления своевременных и разумных </w:t>
      </w:r>
      <w:r w:rsidRPr="00467B95">
        <w:rPr>
          <w:rFonts w:ascii="Times New Roman" w:hAnsi="Times New Roman"/>
          <w:sz w:val="28"/>
          <w:szCs w:val="28"/>
        </w:rPr>
        <w:lastRenderedPageBreak/>
        <w:t xml:space="preserve">ответов на такие уведомления; </w:t>
      </w:r>
    </w:p>
    <w:p w:rsidR="00986D95" w:rsidRPr="00467B95" w:rsidRDefault="00986D95"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-принятие провайдером разумных мер против повторных актов нарушения [6].</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Вышесказанное позволяет, сделать вывод о том, что в гражданском законодательстве Китая не имели отражения положения, регулирующие ответственность за действия в Интернете, вплоть до принятия Закона КНР о деликтной ответственности. Дополнения, внесенные в этот закон в 2009 году (§36), можно смело назвать фундаментальным прорывом в китайском законодательстве о нарушении прав в интернете.</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общему правилу, установлено, что если провайдер знал о появлении, распространении и передачи в сеть незаконной информации, то он подлежит привлечению к ответственности. Считается, что таком случае оператор информационной системы мог бы предостеречь пользователей или принять меры, в случае если информация уже появилась в сети. Акты, принимаемые правительством Китайской Народной Республики, связанные с ответственностью операторов информационных систем в области нарушений персональных данных и прав интеллектуальной собственности, в отличие от нормативно-правовых актов РФ и Республики Кореи, имеют рекомендательный характер. Также весьма авторитетными являются в китайском праве подзаконные акты, регулирующие ответственность провайдера. В тоже время в РФ подзаконные акты не имеют такого значения для правоприменителя. Также законодательство по защите прав интеллектуальной собственности определяет для провайдеров Китая норму, которая обязывает, в случае если оператор информационной системы не принимает своевременных необходимых мер по удалению, блокированию или иного способа ликвидации информации и при этом знал о действиях нарушителя, то провайдер несет солидарную ответственность с нарушителем за ущерб, который был причинен таким деянием лицу, которому был причинен ущерб [7].</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Большинство недавних поправок к Закону о защите личной информации, Закону о сети и Акту о кредитной информации еще не были применены к конкретному делу. Кроме того, поправки к Стандартам и Руководство по адресной рекламе в Интернете могут оказать существенное влияние на текущие усилия по достижению оптимального баланса между защитой личных данных и использованием личных данных. Будет интересно проследить последствия этих недавних событий и их влияние на будущие случаи.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Закону о защите личной информации Республики Кореи, обработчики данных и поставщики онлайн-услуг обязаны принимать меры, необходимые для безопасной обработки личной информации. Эти меры включают технические и управленческие меры защиты, раскрытие политики конфиденциальности, назначение (главного) сотрудника по вопросам конфиденциальности и надзор за сторонними обработчиками данных. Кроме того, Закон о защите личной информации требует, чтобы оператор системы </w:t>
      </w:r>
      <w:r w:rsidRPr="00467B95">
        <w:rPr>
          <w:rFonts w:ascii="Times New Roman" w:hAnsi="Times New Roman"/>
          <w:sz w:val="28"/>
          <w:szCs w:val="28"/>
        </w:rPr>
        <w:lastRenderedPageBreak/>
        <w:t>видеонаблюдения или сетевых камер, установил план управления для работы, а Закон о сети требует, чтобы поставщики онлайн-услуг получали предварительное согласие пользователей на передачу рекламной информации им с помощью электронных средств. Закон о сети также требует, чтобы определенные поставщики онлайн-услуг назначали главного сотрудника по информационной безопасности, чтобы получить подтверждение своих мер безопасности и предоставлять пользователям периодическую сводку любой личной информации, которая была обработана [8].</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Меры защиты, установленные Законом о защите личной информации, дают понять, что обработчики данных и поставщики онлайн-услуг обязаны осуществлять технические и управленческие меры защиты, такие как:</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 создание внутреннего плана управления для безопасной обр14аботки персональных данных;</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б) внедрение системы или мер по предотвращению несанкционированного доступа к личной информации;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использование технологии шифрования для безопасной передачи и хранения личной информации;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г) принятие мер для безопасного хранения данных журнала, используемых для доступа к личной информации, и предотвращения любых подделок или фальсификации данных журнала;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 установка программ безопасности (например, брандмауэров и антивирусных программ); а также</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е) осуществление любых других мер, необходимых для безопасной обработки персональных данных.</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31 августа 2017 года была принята поправка к Стандартам, которая классифицирует обработчиков данных на три уровня в зависимости от масштаба бизнеса и объема личной информации, которой они располагают, и которая соответственно предписывает все более строгие меры безопасности.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связи с продолжающимся развитием ИТ-индустрии и распространением иностранных онлайн-услуг все чаще обсуждается необходимость достижения надлежащего баланса между правом контролировать личную информацию и коммерческим использованием личной информации. Вероятно, активные обсуждения приведут к более практическим законодательным или нормативным изменениям в ближайшем будущем.</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целом, политику Кореи в отношении регулирования прав и обязанностей провайдеров можно считать успешной. Такие методы можно назвать действенными и результативными, ведь они защищают не только общественные интересы, но и интересы отдельных граждан чьи права также могут быть затронуты. Несмотря на законодательные и законодательные изменения и предыдущее регулирование внедрения новой технологии, большинство вопросов защиты данных, возникающих в результате технологических инноваций, регулируются действующим законодательством о защите личной информации, Законом о сетях и другими законами о </w:t>
      </w:r>
      <w:r w:rsidRPr="00467B95">
        <w:rPr>
          <w:rFonts w:ascii="Times New Roman" w:hAnsi="Times New Roman"/>
          <w:sz w:val="28"/>
          <w:szCs w:val="28"/>
        </w:rPr>
        <w:lastRenderedPageBreak/>
        <w:t>конфиденциальности. В связи с продолжающимся развитием ИТ-индустрии и распространением иностранных онлайн-услуг все чаще обсуждается необходимость достижения надлежащего баланса между правом контролировать личную информацию и коммерческим использованием личной информации. Такие обсуждения приведут к более практическим законодательным или нормативным изменениям в ближайшем будущем.</w:t>
      </w:r>
    </w:p>
    <w:p w:rsidR="00986D95" w:rsidRPr="00467B95" w:rsidRDefault="00986D95" w:rsidP="005A3DF4">
      <w:pPr>
        <w:pStyle w:val="a7"/>
        <w:widowControl w:val="0"/>
        <w:tabs>
          <w:tab w:val="left" w:pos="709"/>
        </w:tabs>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color w:val="000000"/>
          <w:sz w:val="28"/>
          <w:szCs w:val="28"/>
          <w:shd w:val="clear" w:color="auto" w:fill="FFFFFF"/>
        </w:rPr>
        <w:t>Японское законодательство регулируют различные типы контента, в том числе порнографии, азартных игр и рекламы. Однако до недавнего времени в Японии не было законов об ответственности за содержание, относящихся к Интернету. Уже 30 ноября 2001 года был принят закон, вступивший в силу 27 мая 2002 года, который регулирует онлайн-нарушения прав третьих лиц, включая клевету, нарушение авторских прав и нарушения конфиденциальности. Этот закон известен как Закон об ответственности провайдера, он был принят как попытка «обеспечить механизмы для работы с онлайн-публикацией контрафактного или вредоносного контента».</w:t>
      </w:r>
    </w:p>
    <w:p w:rsidR="00986D95" w:rsidRPr="00467B95" w:rsidRDefault="00986D95"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sz w:val="28"/>
          <w:szCs w:val="28"/>
        </w:rPr>
        <w:t xml:space="preserve">Также, </w:t>
      </w:r>
      <w:r w:rsidRPr="00467B95">
        <w:rPr>
          <w:rFonts w:ascii="Times New Roman" w:hAnsi="Times New Roman"/>
          <w:color w:val="000000"/>
          <w:sz w:val="28"/>
          <w:szCs w:val="28"/>
          <w:shd w:val="clear" w:color="auto" w:fill="FFFFFF"/>
        </w:rPr>
        <w:t>в соответствии с Законом об ответственности провайдера, ответственность провайдера перед третьей стороной, заявляющей о нарушении, обычно ограничена пониманием того, что если только он не знает или не имеет оснований знать, что информация в его сети нарушает права третьей стороны, то провайдер не может быть привлечен к ответственности. В случае, когда оператор удаляет информацию, представленную отправителем, ответственность такого оператора перед отправителем обычно ограничена, если есть основания предполагать, что права третьих сторон были нарушены, или провайдер передает отправителю запрос от третьей стороны, что информация будет удалена, и провайдер не получит от отправителя в течение семи дней ответ, оспаривающий предложенное удаление [4].</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Закон об ответственности провайдеров пытается уточнить ответственность, которую оператор информационной системы несет в определенных ситуациях за контент, размещенный на его веб-сайте. На местном уровне муниципальное правительство Окаямынедавно приняло постановление о запрещении клеветнических сообщений на своих досках объявлений в целях борьбы с атакой злобных электронных писем, размещенной на его официальном веб-сайте. Это постановление является первым в своем роде в Японии. Он запрещает определенные виды заявлений на досках объявлений, которые ведутся в рамках официального муниципального веб-сайта, в том числе: заявления, которые нарушают неприкосновенность частной жизни человека, клеветнические заявления, дискриминационные заявления. В тоже время, предприятия, оказывающие услуги в Интернете, должны понимать, что в японских деловых практиках сложились определенные закономерности, которые влияют на то, как такие предприятия смогут работать в Японии.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Также Закон об ограничении ответственности за ущерб, причиненный указанным поставщикам телекоммуникационных услуг, и о праве требовать </w:t>
      </w:r>
      <w:r w:rsidRPr="00467B95">
        <w:rPr>
          <w:rFonts w:ascii="Times New Roman" w:hAnsi="Times New Roman"/>
          <w:sz w:val="28"/>
          <w:szCs w:val="28"/>
        </w:rPr>
        <w:lastRenderedPageBreak/>
        <w:t>раскрытия идентификационной информации отправителей, а именно статья 3 разъясняет ответственность, которая может быть наложена на «соответствующего поставщика услуг». Когда какое-либо право других лиц нарушается при распространении информации посредством указанных телекоммуникаций, не несет ответственности за любые убытки, понесенные в результате такого нарушения, за исключением случаев, когда технически возможно принять меры для предотвращения передачи такой информации неуказанным лицам. Однако если указанный соответствующий поставщик услуг является отправителем указанной информации, нарушающей права, это не применяется. В тех случаях, когда упомянутый соответствующий поставщик услуг знал, что нарушение прав других лиц было вызвано распространением информации посредством указанных телекоммуникаций. В тех случаях, когда упомянутый соответствующий поставщик услуг знал о распространении информации указанными телекоммуникациями, и где есть разумное основание для того, чтобы выяснить, что упомянутый соответствующий поставщик услуг мог знать, что нарушение прав других лиц было вызвано распространением информации через указанные телекоммуникации. Когда указанный поставщик телекоммуникационных услуг принял меры для блокирования передачи информации через указанный телекоммуникации, указанный поставщик телекоммуникационных услуг не несет ответственности за любые убытки, понесенные отправителем такой информации, передача которой предотвращена указанными мерами, если указанные меры были приняты в пределах, необходимых для предотвращения передачи указанной информации неуказанные лица и указанные меры подпадают под любой из следующих пунктов.</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тех случаях, когда у указанного поставщика телекоммуникационных услуг имелись разумные основания полагать, что права других лиц были нарушены без надлежащей причины в результате распространения информации через указанные телекоммуникации.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тех случаях, когда лицо, утверждающее, что его право было нарушено путем распространения информации через определенную телекоммуникационную сеть, подало ходатайство, в котором указанный поставщик телекоммуникационных услуг принимает меры для предотвращения того, чтобы указанная информация нарушала его право от передачи, с указанием нарушающей информации и предполагаемого нарушенного права, а также причины, по которой указанное лицо настаивает на указанном нарушении где указано указанный поставщик телекоммуникационных услуг предоставил такую нарушающую информацию и т. д. отправителю указанной нарушающей информации и спросил отправителя, согласен ли указанный отправитель с осуществлением указанных мер по предотвращению передачи, когда указанный поставщик телекоммуникационных услуг не получил никакого уведомления от указанного отправителя с указанием своего несогласия с выполнением указанных мер по предотвращению передачи по истечении семи дней со дня </w:t>
      </w:r>
      <w:r w:rsidRPr="00467B95">
        <w:rPr>
          <w:rFonts w:ascii="Times New Roman" w:hAnsi="Times New Roman"/>
          <w:sz w:val="28"/>
          <w:szCs w:val="28"/>
        </w:rPr>
        <w:lastRenderedPageBreak/>
        <w:t>запроса к указанному отправителю.</w:t>
      </w:r>
    </w:p>
    <w:p w:rsidR="00986D95" w:rsidRPr="00467B95" w:rsidRDefault="00986D95" w:rsidP="005A3DF4">
      <w:pPr>
        <w:widowControl w:val="0"/>
        <w:shd w:val="clear" w:color="auto" w:fill="FFFFFF"/>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Данная норма подтверждает определенную тенденцию. Она заключается в том, что во всех странах, а именно: Россия, Корея, Китай, Япония, мнения законодателей по поводу ответственности оператора информационной системы схожи. Ответственность провайдера наступает только в случае, если он знал о том, что к нему поступает, передаётся, хранится или распространяется незаконная информация. А если им были приняты меры по предотвращению наступления такой информации либо меры по блокированию, то ответственности подлежит лишь пользователь, который были допущены такие нарушения [6].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целом нормы, регулирующие ответственность провайдеров за нарушения прав персональных данных и прав интеллектуальной собственности в Японии, имеют своего рода рекомендательный характер. В Японии не существует специальных государственных органов, регулирующих специфику данного вопроса. Закон о защите личной информации применяется лишь, тогда, когда речь идет о нарушении персональных данных от 5000 физических лиц. Это явно отличает этот закон от закона по защите персональных данных России, Республики Кореи и Китайской Народной Республики. Если проводить сравнение японского правового регулирования ответственности операторов информационных систем, можно заметить, что оно является наиболее альтернативным и либеральным в отличии от Республики Кореи.</w:t>
      </w:r>
    </w:p>
    <w:p w:rsidR="00986D95" w:rsidRPr="00467B95" w:rsidRDefault="00986D95" w:rsidP="005A3DF4">
      <w:pPr>
        <w:widowControl w:val="0"/>
        <w:spacing w:after="0" w:line="240" w:lineRule="auto"/>
        <w:ind w:firstLine="709"/>
        <w:jc w:val="both"/>
        <w:rPr>
          <w:rFonts w:ascii="Times New Roman" w:eastAsia="Times New Roman" w:hAnsi="Times New Roman"/>
          <w:color w:val="000000"/>
          <w:sz w:val="28"/>
          <w:szCs w:val="28"/>
          <w:shd w:val="clear" w:color="auto" w:fill="FFFFFF"/>
          <w:lang w:eastAsia="ru-RU"/>
        </w:rPr>
      </w:pPr>
      <w:r w:rsidRPr="00467B95">
        <w:rPr>
          <w:rFonts w:ascii="Times New Roman" w:eastAsia="Times New Roman" w:hAnsi="Times New Roman"/>
          <w:color w:val="000000"/>
          <w:sz w:val="28"/>
          <w:szCs w:val="28"/>
          <w:shd w:val="clear" w:color="auto" w:fill="FFFFFF"/>
          <w:lang w:eastAsia="ru-RU"/>
        </w:rPr>
        <w:t>В каждом государстве: России, Китае, Корее и Японии приняты законы о защите личной информации, они распространяют свое действие на защиту персональных данных абонентов. В России такой закон именуется как федеральный закон «О персональных данных», за его нарушение оператор информационной системы должен нести ответственность так же, как и за нарушение прав интеллектуальной собственности. Ответственность для операторов может наступить разных видов, а именно: административная, гражданско-правовая, уголовная. Вид ответственности квалифицируется в зависимости от степени совершенного деяния.</w:t>
      </w:r>
    </w:p>
    <w:p w:rsidR="00986D95" w:rsidRPr="00467B95" w:rsidRDefault="00986D95" w:rsidP="005A3DF4">
      <w:pPr>
        <w:widowControl w:val="0"/>
        <w:shd w:val="clear" w:color="auto" w:fill="FFFFFF"/>
        <w:tabs>
          <w:tab w:val="left" w:pos="1134"/>
        </w:tabs>
        <w:spacing w:after="0" w:line="240" w:lineRule="auto"/>
        <w:ind w:firstLine="709"/>
        <w:jc w:val="both"/>
        <w:rPr>
          <w:rFonts w:ascii="Times New Roman" w:eastAsia="SimSun" w:hAnsi="Times New Roman"/>
          <w:color w:val="000000"/>
          <w:sz w:val="28"/>
          <w:szCs w:val="28"/>
          <w:lang w:eastAsia="zh-CN"/>
        </w:rPr>
      </w:pPr>
      <w:r w:rsidRPr="00467B95">
        <w:rPr>
          <w:rFonts w:ascii="Times New Roman" w:eastAsia="SimSun" w:hAnsi="Times New Roman"/>
          <w:color w:val="000000"/>
          <w:sz w:val="28"/>
          <w:szCs w:val="28"/>
          <w:lang w:eastAsia="zh-CN"/>
        </w:rPr>
        <w:t xml:space="preserve">Правовое положение операторов (провайдеров) информационных систем в странах Северо-Восточной Азии имеет особое место во всем мире. Терминология изученных стран в целом соответствует международным классификациям. Оператор, как основной поставщик услуг в Интернет, имеет обширный круг обязанностей. Это можно связать с тем, что руководство стран весьма заинтересованно в безопасности информационной системы. Соблюдение закреплённых обязанностей для провайдеров, позволяет государству быть защищенным на международном уровне, учитывая современное положение, нельзя исключать внешнее воздействие на государственные информационные системы. Исполняя свои обязанности, провайдеры оберегают свое государство от информационных атак, которые, к сожалению, не являются редкостью. В случае несоблюдения правил поставщик информационных услуг может быть разным видам </w:t>
      </w:r>
      <w:r w:rsidRPr="00467B95">
        <w:rPr>
          <w:rFonts w:ascii="Times New Roman" w:eastAsia="SimSun" w:hAnsi="Times New Roman"/>
          <w:color w:val="000000"/>
          <w:sz w:val="28"/>
          <w:szCs w:val="28"/>
          <w:lang w:eastAsia="zh-CN"/>
        </w:rPr>
        <w:lastRenderedPageBreak/>
        <w:t>ответственности в зависимости от совершенного деяния. В современном мире тенденции развиваются очень быстро, отрасль информационных технологий – не исключение. В связи с этим необходимо следить и развивать правовое регулирование этой отрасли, обновлять законодательство, вносить изменения, следовать международным тенденциям. В целом, в странах Северо-Восточной Азии законодатель уже давно позаботился о развитии информационно-правового регулирования, теперь следует поддерживать, развивать и следить за новыми информационными технологическими процессами. Такой подход правительства стран позволит им быть осведомленными в данной сфере, иметь представление о положении дел в соседних странах, способствовать выработки охраны и обороны своей информационной системы. Совершенное законодательство- путь к успешному развитию.</w:t>
      </w:r>
    </w:p>
    <w:p w:rsidR="00986D95" w:rsidRPr="00467B95" w:rsidRDefault="00986D95" w:rsidP="005A3DF4">
      <w:pPr>
        <w:widowControl w:val="0"/>
        <w:spacing w:after="0" w:line="240" w:lineRule="auto"/>
        <w:ind w:firstLine="709"/>
        <w:jc w:val="both"/>
        <w:rPr>
          <w:rFonts w:ascii="Times New Roman" w:eastAsia="Times New Roman" w:hAnsi="Times New Roman"/>
          <w:color w:val="000000"/>
          <w:sz w:val="28"/>
          <w:szCs w:val="28"/>
          <w:shd w:val="clear" w:color="auto" w:fill="FFFFFF"/>
          <w:lang w:eastAsia="ru-RU"/>
        </w:rPr>
      </w:pPr>
      <w:r w:rsidRPr="00467B95">
        <w:rPr>
          <w:rFonts w:ascii="Times New Roman" w:eastAsia="SimSun" w:hAnsi="Times New Roman"/>
          <w:color w:val="000000"/>
          <w:sz w:val="28"/>
          <w:szCs w:val="28"/>
          <w:lang w:eastAsia="zh-CN"/>
        </w:rPr>
        <w:t>На основании вышеизложенного, мною было выявлено, что российская модель ответственности операторов информационных систем имеет отличия от моделей стран Северо-Восточной Азии.</w:t>
      </w:r>
      <w:r w:rsidRPr="00467B95">
        <w:rPr>
          <w:rFonts w:ascii="Times New Roman" w:eastAsia="Times New Roman" w:hAnsi="Times New Roman"/>
          <w:color w:val="000000"/>
          <w:sz w:val="28"/>
          <w:szCs w:val="28"/>
          <w:shd w:val="clear" w:color="auto" w:fill="FFFFFF"/>
          <w:lang w:eastAsia="ru-RU"/>
        </w:rPr>
        <w:t xml:space="preserve">Проанализировав и дав характеристику нормам об ответственности операторов </w:t>
      </w:r>
      <w:r w:rsidRPr="00467B95">
        <w:rPr>
          <w:rFonts w:ascii="Times New Roman" w:eastAsia="SimSun" w:hAnsi="Times New Roman"/>
          <w:color w:val="000000"/>
          <w:sz w:val="28"/>
          <w:szCs w:val="28"/>
          <w:lang w:eastAsia="zh-CN"/>
        </w:rPr>
        <w:t>информационных систем в Российской Федерации, Республики Кореи, КНР, Японии, можно прийти к выводу о том, что в каждой стране институт ответственности имеет свои специфические особенности. Корею и Россию можно охарактеризовать наличием более жестких правовых норм, в основном это нормы обязывающего характера, которые не имеют альтернатив. В Японии и Китае большую роль играют акты рекомендательного характера и подзаконные акты при регулировании ответственности операторов информационных систем за нарушения прав по защите персональных данных и прав интеллектуальной собственности в интернете. Во всех исследованных странах, оператор может быть привлечён к административной и уголовно ответственности.</w:t>
      </w:r>
    </w:p>
    <w:p w:rsidR="00986D95" w:rsidRPr="00467B95" w:rsidRDefault="00986D95" w:rsidP="005A3DF4">
      <w:pPr>
        <w:widowControl w:val="0"/>
        <w:shd w:val="clear" w:color="auto" w:fill="FFFFFF"/>
        <w:tabs>
          <w:tab w:val="left" w:pos="1134"/>
        </w:tabs>
        <w:spacing w:after="0" w:line="240" w:lineRule="auto"/>
        <w:ind w:firstLine="709"/>
        <w:jc w:val="both"/>
        <w:rPr>
          <w:rFonts w:ascii="Times New Roman" w:eastAsia="Times New Roman" w:hAnsi="Times New Roman"/>
          <w:sz w:val="28"/>
          <w:szCs w:val="28"/>
          <w:lang w:eastAsia="ru-RU"/>
        </w:rPr>
      </w:pPr>
      <w:r w:rsidRPr="00467B95">
        <w:rPr>
          <w:rFonts w:ascii="Times New Roman" w:eastAsia="SimSun" w:hAnsi="Times New Roman"/>
          <w:color w:val="000000"/>
          <w:sz w:val="28"/>
          <w:szCs w:val="28"/>
          <w:lang w:eastAsia="zh-CN"/>
        </w:rPr>
        <w:t>Нормы российского законодательства, в отличие от Китая, Японии, имеют обязывающий характер для операторов информационных систем, когда в тоже время в Китае и Японии большинство норм, регулирующих защиту прав интеллектуальной собственности, имеют рекомендательный характер. Обязывание провайдеров - схожая черта для права России и Кореи. Для защиты персональных данных России применяется норма, которая запрещает операторам информационных систем разглашать данные, ставшие им известными во время взаимодействия с абонентами, если согласия от субъекта таких персональных данных не поступало, такой подход оказался уместным и для законодателей стран Северо-Восточной Азии, что подтверждает стремление законодателя защищать и охранять частные интересы и права граждан.</w:t>
      </w:r>
    </w:p>
    <w:p w:rsidR="00986D95" w:rsidRPr="00467B95" w:rsidRDefault="00986D9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986D95" w:rsidRPr="00467B95" w:rsidRDefault="00986D95" w:rsidP="005A3DF4">
      <w:pPr>
        <w:pStyle w:val="a9"/>
        <w:widowControl w:val="0"/>
        <w:numPr>
          <w:ilvl w:val="0"/>
          <w:numId w:val="5"/>
        </w:numPr>
        <w:shd w:val="clear" w:color="auto" w:fill="FFFFFF"/>
        <w:tabs>
          <w:tab w:val="left" w:pos="709"/>
          <w:tab w:val="left" w:pos="993"/>
        </w:tabs>
        <w:spacing w:before="0" w:beforeAutospacing="0" w:after="0" w:afterAutospacing="0"/>
        <w:ind w:left="0" w:firstLine="709"/>
        <w:jc w:val="both"/>
        <w:rPr>
          <w:bCs/>
          <w:kern w:val="36"/>
          <w:sz w:val="28"/>
          <w:szCs w:val="28"/>
        </w:rPr>
      </w:pPr>
      <w:r w:rsidRPr="00467B95">
        <w:rPr>
          <w:sz w:val="28"/>
          <w:szCs w:val="28"/>
        </w:rPr>
        <w:t xml:space="preserve">Миллер И.П. Правовые аспекты использования персональных данных при использовании электронными ресурсами / И.П. Миллер // Безопасность городской среды: международная научно-практическая конференция. – Омск, </w:t>
      </w:r>
      <w:r w:rsidRPr="00467B95">
        <w:rPr>
          <w:sz w:val="28"/>
          <w:szCs w:val="28"/>
        </w:rPr>
        <w:lastRenderedPageBreak/>
        <w:t>2017. – С. 385-389.</w:t>
      </w:r>
    </w:p>
    <w:p w:rsidR="00986D95" w:rsidRPr="00A31929" w:rsidRDefault="00986D95" w:rsidP="005A3DF4">
      <w:pPr>
        <w:pStyle w:val="a9"/>
        <w:widowControl w:val="0"/>
        <w:numPr>
          <w:ilvl w:val="0"/>
          <w:numId w:val="5"/>
        </w:numPr>
        <w:shd w:val="clear" w:color="auto" w:fill="FFFFFF"/>
        <w:tabs>
          <w:tab w:val="left" w:pos="709"/>
          <w:tab w:val="left" w:pos="993"/>
        </w:tabs>
        <w:spacing w:before="0" w:beforeAutospacing="0" w:after="0" w:afterAutospacing="0"/>
        <w:ind w:left="0" w:firstLine="709"/>
        <w:jc w:val="both"/>
        <w:rPr>
          <w:bCs/>
          <w:kern w:val="36"/>
          <w:sz w:val="28"/>
          <w:szCs w:val="28"/>
        </w:rPr>
      </w:pPr>
      <w:r w:rsidRPr="00467B95">
        <w:rPr>
          <w:sz w:val="28"/>
          <w:szCs w:val="28"/>
        </w:rPr>
        <w:t xml:space="preserve">Амелин Р.В. Обязанности поставщиков информации в федеральные информационные системы, связанные со способом представления информации </w:t>
      </w:r>
      <w:r w:rsidRPr="00A31929">
        <w:rPr>
          <w:sz w:val="28"/>
          <w:szCs w:val="28"/>
        </w:rPr>
        <w:t>/ Р.В. Амелин // Юрист. – 2017. – № 8. – С. 35-40.</w:t>
      </w:r>
    </w:p>
    <w:p w:rsidR="00986D95" w:rsidRPr="00A31929" w:rsidRDefault="00986D95" w:rsidP="005A3DF4">
      <w:pPr>
        <w:pStyle w:val="a7"/>
        <w:widowControl w:val="0"/>
        <w:numPr>
          <w:ilvl w:val="0"/>
          <w:numId w:val="5"/>
        </w:numPr>
        <w:tabs>
          <w:tab w:val="left" w:pos="993"/>
        </w:tabs>
        <w:spacing w:after="0" w:line="240" w:lineRule="auto"/>
        <w:ind w:left="0" w:firstLine="709"/>
        <w:contextualSpacing w:val="0"/>
        <w:jc w:val="both"/>
        <w:rPr>
          <w:rFonts w:ascii="Times New Roman" w:hAnsi="Times New Roman" w:cs="Times New Roman"/>
          <w:sz w:val="28"/>
          <w:szCs w:val="28"/>
          <w:lang w:val="en-US"/>
        </w:rPr>
      </w:pPr>
      <w:r w:rsidRPr="00A31929">
        <w:rPr>
          <w:rFonts w:ascii="Times New Roman" w:hAnsi="Times New Roman" w:cs="Times New Roman"/>
          <w:sz w:val="28"/>
          <w:szCs w:val="28"/>
          <w:lang w:val="en-US"/>
        </w:rPr>
        <w:t xml:space="preserve">Tort Liability Law of the People’s Republic of China [Electronic resources] // The National People’s Congress of the People’s Republic of China. – URL: </w:t>
      </w:r>
      <w:hyperlink r:id="rId33" w:history="1">
        <w:r w:rsidRPr="00A31929">
          <w:rPr>
            <w:rStyle w:val="a8"/>
            <w:rFonts w:ascii="Times New Roman" w:hAnsi="Times New Roman" w:cs="Times New Roman"/>
            <w:color w:val="auto"/>
            <w:sz w:val="28"/>
            <w:szCs w:val="28"/>
            <w:u w:val="none"/>
            <w:lang w:val="en-US"/>
          </w:rPr>
          <w:t>http://www.npc.gov.cn/englishnpc/Law/2011-02/16/content_1620761.htm</w:t>
        </w:r>
      </w:hyperlink>
    </w:p>
    <w:p w:rsidR="00986D95" w:rsidRPr="00A31929" w:rsidRDefault="00986D95" w:rsidP="005A3DF4">
      <w:pPr>
        <w:pStyle w:val="a9"/>
        <w:widowControl w:val="0"/>
        <w:numPr>
          <w:ilvl w:val="0"/>
          <w:numId w:val="5"/>
        </w:numPr>
        <w:shd w:val="clear" w:color="auto" w:fill="FFFFFF"/>
        <w:tabs>
          <w:tab w:val="left" w:pos="709"/>
          <w:tab w:val="left" w:pos="993"/>
        </w:tabs>
        <w:spacing w:before="0" w:beforeAutospacing="0" w:after="0" w:afterAutospacing="0"/>
        <w:ind w:left="0" w:firstLine="709"/>
        <w:jc w:val="both"/>
        <w:rPr>
          <w:rStyle w:val="a8"/>
          <w:bCs/>
          <w:color w:val="auto"/>
          <w:kern w:val="36"/>
          <w:sz w:val="28"/>
          <w:szCs w:val="28"/>
          <w:u w:val="none"/>
          <w:lang w:val="en-US"/>
        </w:rPr>
      </w:pPr>
      <w:r w:rsidRPr="00A31929">
        <w:rPr>
          <w:sz w:val="28"/>
          <w:szCs w:val="28"/>
          <w:lang w:val="en-US"/>
        </w:rPr>
        <w:t xml:space="preserve">The Digital Millennium Copyright Act of 1998 [Electronic resources] // U.S. Government Publishing Office. – URL: </w:t>
      </w:r>
      <w:hyperlink r:id="rId34" w:history="1">
        <w:r w:rsidRPr="00A31929">
          <w:rPr>
            <w:rStyle w:val="a8"/>
            <w:color w:val="auto"/>
            <w:sz w:val="28"/>
            <w:szCs w:val="28"/>
            <w:u w:val="none"/>
            <w:lang w:val="en-US"/>
          </w:rPr>
          <w:t>https://www.govinfo.gov/content/pkg/USCODE-2010-title17/html/USCODE-2010-title17-chap5-sec506.htm</w:t>
        </w:r>
      </w:hyperlink>
    </w:p>
    <w:p w:rsidR="00986D95" w:rsidRPr="00A31929" w:rsidRDefault="00986D95" w:rsidP="005A3DF4">
      <w:pPr>
        <w:pStyle w:val="a9"/>
        <w:widowControl w:val="0"/>
        <w:numPr>
          <w:ilvl w:val="0"/>
          <w:numId w:val="5"/>
        </w:numPr>
        <w:shd w:val="clear" w:color="auto" w:fill="FFFFFF"/>
        <w:tabs>
          <w:tab w:val="left" w:pos="709"/>
          <w:tab w:val="left" w:pos="993"/>
        </w:tabs>
        <w:spacing w:before="0" w:beforeAutospacing="0" w:after="0" w:afterAutospacing="0"/>
        <w:ind w:left="0" w:firstLine="709"/>
        <w:jc w:val="both"/>
        <w:rPr>
          <w:rStyle w:val="a8"/>
          <w:bCs/>
          <w:color w:val="auto"/>
          <w:kern w:val="36"/>
          <w:sz w:val="28"/>
          <w:szCs w:val="28"/>
          <w:u w:val="none"/>
          <w:lang w:val="en-US"/>
        </w:rPr>
      </w:pPr>
      <w:r w:rsidRPr="00A31929">
        <w:rPr>
          <w:sz w:val="28"/>
          <w:szCs w:val="28"/>
          <w:lang w:val="en-US"/>
        </w:rPr>
        <w:t xml:space="preserve">Provisions on Relevant Issues Related to the Trial of Civil Cases involving Disputes over Infringement of the Right of Dissemination through Information Networks  [Electronic resources] // CNIPA: National Intellectual Property Administration, PRC. – URL: </w:t>
      </w:r>
      <w:hyperlink r:id="rId35" w:history="1">
        <w:r w:rsidRPr="00A31929">
          <w:rPr>
            <w:rStyle w:val="a8"/>
            <w:color w:val="auto"/>
            <w:sz w:val="28"/>
            <w:szCs w:val="28"/>
            <w:u w:val="none"/>
            <w:lang w:val="en-US"/>
          </w:rPr>
          <w:t>http://www.sipo.gov.cn/mtjj/2012/201206/t20120614_708736.html</w:t>
        </w:r>
      </w:hyperlink>
    </w:p>
    <w:p w:rsidR="00986D95" w:rsidRPr="00A31929" w:rsidRDefault="00986D95" w:rsidP="005A3DF4">
      <w:pPr>
        <w:pStyle w:val="a7"/>
        <w:widowControl w:val="0"/>
        <w:numPr>
          <w:ilvl w:val="0"/>
          <w:numId w:val="5"/>
        </w:numPr>
        <w:tabs>
          <w:tab w:val="left" w:pos="993"/>
        </w:tabs>
        <w:spacing w:after="0" w:line="240" w:lineRule="auto"/>
        <w:ind w:left="0" w:firstLine="709"/>
        <w:contextualSpacing w:val="0"/>
        <w:jc w:val="both"/>
        <w:rPr>
          <w:rStyle w:val="a8"/>
          <w:rFonts w:ascii="Times New Roman" w:hAnsi="Times New Roman" w:cs="Times New Roman"/>
          <w:color w:val="auto"/>
          <w:sz w:val="28"/>
          <w:szCs w:val="28"/>
          <w:u w:val="none"/>
          <w:lang w:val="en-US"/>
        </w:rPr>
      </w:pPr>
      <w:r w:rsidRPr="00A31929">
        <w:rPr>
          <w:rFonts w:ascii="Times New Roman" w:hAnsi="Times New Roman" w:cs="Times New Roman"/>
          <w:sz w:val="28"/>
          <w:szCs w:val="28"/>
          <w:lang w:val="en-US"/>
        </w:rPr>
        <w:t xml:space="preserve">Enforcement decree of the act on promotion of information and communications network utilization and information protection </w:t>
      </w:r>
      <w:r w:rsidRPr="00A31929">
        <w:rPr>
          <w:rFonts w:ascii="Times New Roman" w:eastAsia="Dotum" w:hAnsi="Times New Roman" w:cs="Times New Roman"/>
          <w:sz w:val="28"/>
          <w:szCs w:val="28"/>
          <w:lang w:val="en-US"/>
        </w:rPr>
        <w:t xml:space="preserve">(Network Act) </w:t>
      </w:r>
      <w:r w:rsidRPr="00A31929">
        <w:rPr>
          <w:rFonts w:ascii="Times New Roman" w:hAnsi="Times New Roman" w:cs="Times New Roman"/>
          <w:bCs/>
          <w:sz w:val="28"/>
          <w:szCs w:val="28"/>
          <w:shd w:val="clear" w:color="auto" w:fill="FFFFFF"/>
          <w:lang w:val="en-US"/>
        </w:rPr>
        <w:t>[</w:t>
      </w:r>
      <w:r w:rsidRPr="00A31929">
        <w:rPr>
          <w:rFonts w:ascii="Times New Roman" w:hAnsi="Times New Roman" w:cs="Times New Roman"/>
          <w:sz w:val="28"/>
          <w:szCs w:val="28"/>
          <w:lang w:val="en-US"/>
        </w:rPr>
        <w:t>Electronic resources</w:t>
      </w:r>
      <w:r w:rsidRPr="00A31929">
        <w:rPr>
          <w:rFonts w:ascii="Times New Roman" w:eastAsia="Times New Roman" w:hAnsi="Times New Roman" w:cs="Times New Roman"/>
          <w:bCs/>
          <w:kern w:val="36"/>
          <w:sz w:val="28"/>
          <w:szCs w:val="28"/>
          <w:lang w:val="en-US" w:eastAsia="ru-RU"/>
        </w:rPr>
        <w:t xml:space="preserve">] // </w:t>
      </w:r>
      <w:r w:rsidRPr="00A31929">
        <w:rPr>
          <w:rFonts w:ascii="Times New Roman" w:hAnsi="Times New Roman" w:cs="Times New Roman"/>
          <w:sz w:val="28"/>
          <w:szCs w:val="28"/>
          <w:lang w:val="en-US"/>
        </w:rPr>
        <w:t>elaw.klri.re.kr.- URL</w:t>
      </w:r>
      <w:r w:rsidRPr="00A31929">
        <w:rPr>
          <w:rFonts w:ascii="Times New Roman" w:eastAsia="Times New Roman" w:hAnsi="Times New Roman" w:cs="Times New Roman"/>
          <w:bCs/>
          <w:kern w:val="36"/>
          <w:sz w:val="28"/>
          <w:szCs w:val="28"/>
          <w:lang w:val="en-US" w:eastAsia="ru-RU"/>
        </w:rPr>
        <w:t>:</w:t>
      </w:r>
      <w:r w:rsidRPr="00A31929">
        <w:rPr>
          <w:rFonts w:ascii="Times New Roman" w:eastAsia="Times New Roman" w:hAnsi="Times New Roman" w:cs="Times New Roman"/>
          <w:kern w:val="36"/>
          <w:sz w:val="28"/>
          <w:szCs w:val="28"/>
          <w:lang w:val="en-US" w:eastAsia="ru-RU"/>
        </w:rPr>
        <w:t>https://elaw.klri.re.kr/kor_mobile/viewer.do?hseq=42587&amp;type=part&amp;key=43</w:t>
      </w:r>
    </w:p>
    <w:p w:rsidR="00986D95" w:rsidRPr="00A31929" w:rsidRDefault="00986D95" w:rsidP="005A3DF4">
      <w:pPr>
        <w:pStyle w:val="a9"/>
        <w:widowControl w:val="0"/>
        <w:numPr>
          <w:ilvl w:val="0"/>
          <w:numId w:val="5"/>
        </w:numPr>
        <w:shd w:val="clear" w:color="auto" w:fill="FFFFFF"/>
        <w:tabs>
          <w:tab w:val="left" w:pos="709"/>
          <w:tab w:val="left" w:pos="993"/>
        </w:tabs>
        <w:spacing w:before="0" w:beforeAutospacing="0" w:after="0" w:afterAutospacing="0"/>
        <w:ind w:left="0" w:firstLine="709"/>
        <w:jc w:val="both"/>
        <w:rPr>
          <w:bCs/>
          <w:kern w:val="36"/>
          <w:sz w:val="28"/>
          <w:szCs w:val="28"/>
          <w:lang w:val="en-US"/>
        </w:rPr>
      </w:pPr>
      <w:r w:rsidRPr="00A31929">
        <w:rPr>
          <w:sz w:val="28"/>
          <w:szCs w:val="28"/>
          <w:lang w:val="en-US"/>
        </w:rPr>
        <w:t xml:space="preserve">Act on the Limitation of Liability for Damage Caused by the Specified Telecommunications Service Suppliers and the right to require disclosure of sender's identification information </w:t>
      </w:r>
      <w:r w:rsidRPr="00A31929">
        <w:rPr>
          <w:bCs/>
          <w:sz w:val="28"/>
          <w:szCs w:val="28"/>
          <w:shd w:val="clear" w:color="auto" w:fill="FFFFFF"/>
          <w:lang w:val="en-US"/>
        </w:rPr>
        <w:t>[</w:t>
      </w:r>
      <w:r w:rsidRPr="00A31929">
        <w:rPr>
          <w:sz w:val="28"/>
          <w:szCs w:val="28"/>
          <w:lang w:val="en-US"/>
        </w:rPr>
        <w:t>Electronic resources</w:t>
      </w:r>
      <w:r w:rsidRPr="00A31929">
        <w:rPr>
          <w:bCs/>
          <w:kern w:val="36"/>
          <w:sz w:val="28"/>
          <w:szCs w:val="28"/>
          <w:lang w:val="en-US"/>
        </w:rPr>
        <w:t xml:space="preserve">] // </w:t>
      </w:r>
      <w:r w:rsidRPr="00A31929">
        <w:rPr>
          <w:kern w:val="36"/>
          <w:sz w:val="28"/>
          <w:szCs w:val="28"/>
          <w:lang w:val="en-US"/>
        </w:rPr>
        <w:t>Japanese Law Translation</w:t>
      </w:r>
      <w:r w:rsidRPr="00A31929">
        <w:rPr>
          <w:sz w:val="28"/>
          <w:szCs w:val="28"/>
          <w:lang w:val="en-US"/>
        </w:rPr>
        <w:t>. - URL</w:t>
      </w:r>
      <w:r w:rsidRPr="00A31929">
        <w:rPr>
          <w:bCs/>
          <w:kern w:val="36"/>
          <w:sz w:val="28"/>
          <w:szCs w:val="28"/>
          <w:lang w:val="en-US"/>
        </w:rPr>
        <w:t xml:space="preserve">: </w:t>
      </w:r>
      <w:hyperlink r:id="rId36" w:history="1">
        <w:r w:rsidRPr="00A31929">
          <w:rPr>
            <w:rStyle w:val="a8"/>
            <w:color w:val="auto"/>
            <w:kern w:val="36"/>
            <w:sz w:val="28"/>
            <w:szCs w:val="28"/>
            <w:u w:val="none"/>
            <w:lang w:val="en-US"/>
          </w:rPr>
          <w:t>http://www.japaneselawtranslation.go.jp/law/detail/?id=2088&amp;vm=04&amp;re=02</w:t>
        </w:r>
      </w:hyperlink>
    </w:p>
    <w:p w:rsidR="00986D95" w:rsidRPr="00467B95" w:rsidRDefault="00986D95" w:rsidP="005A3DF4">
      <w:pPr>
        <w:pStyle w:val="a7"/>
        <w:widowControl w:val="0"/>
        <w:numPr>
          <w:ilvl w:val="0"/>
          <w:numId w:val="5"/>
        </w:numPr>
        <w:tabs>
          <w:tab w:val="left" w:pos="993"/>
        </w:tabs>
        <w:spacing w:after="0" w:line="240" w:lineRule="auto"/>
        <w:ind w:left="0" w:firstLine="709"/>
        <w:contextualSpacing w:val="0"/>
        <w:jc w:val="both"/>
        <w:rPr>
          <w:rFonts w:ascii="Times New Roman" w:eastAsia="Times New Roman" w:hAnsi="Times New Roman" w:cs="Times New Roman"/>
          <w:bCs/>
          <w:kern w:val="36"/>
          <w:sz w:val="28"/>
          <w:szCs w:val="28"/>
          <w:lang w:val="en-US" w:eastAsia="ru-RU"/>
        </w:rPr>
      </w:pPr>
      <w:r w:rsidRPr="00A31929">
        <w:rPr>
          <w:rFonts w:ascii="Times New Roman" w:eastAsia="Times New Roman" w:hAnsi="Times New Roman" w:cs="Times New Roman"/>
          <w:bCs/>
          <w:kern w:val="36"/>
          <w:sz w:val="28"/>
          <w:szCs w:val="28"/>
          <w:lang w:val="en-US" w:eastAsia="ru-RU"/>
        </w:rPr>
        <w:t>Personal Information Protection Act (PIPA) [Electronic resources] // Thales security.</w:t>
      </w:r>
      <w:r w:rsidRPr="00467B95">
        <w:rPr>
          <w:rFonts w:ascii="Times New Roman" w:eastAsia="Times New Roman" w:hAnsi="Times New Roman" w:cs="Times New Roman"/>
          <w:bCs/>
          <w:kern w:val="36"/>
          <w:sz w:val="28"/>
          <w:szCs w:val="28"/>
          <w:lang w:val="en-US" w:eastAsia="ru-RU"/>
        </w:rPr>
        <w:t xml:space="preserve"> –URL: https://www.thalesesecurity.com/solutions/compliance/apac/south-koreas-pipa</w:t>
      </w:r>
    </w:p>
    <w:p w:rsidR="00986D95" w:rsidRPr="00467B95" w:rsidRDefault="00986D95" w:rsidP="005A3DF4">
      <w:pPr>
        <w:pStyle w:val="a9"/>
        <w:widowControl w:val="0"/>
        <w:shd w:val="clear" w:color="auto" w:fill="FFFFFF"/>
        <w:tabs>
          <w:tab w:val="left" w:pos="709"/>
          <w:tab w:val="left" w:pos="993"/>
        </w:tabs>
        <w:spacing w:before="0" w:beforeAutospacing="0" w:after="0" w:afterAutospacing="0"/>
        <w:ind w:firstLine="709"/>
        <w:jc w:val="both"/>
        <w:rPr>
          <w:bCs/>
          <w:kern w:val="36"/>
          <w:sz w:val="28"/>
          <w:szCs w:val="28"/>
          <w:lang w:val="en-US"/>
        </w:rPr>
      </w:pPr>
    </w:p>
    <w:p w:rsidR="00986D95" w:rsidRPr="00467B95" w:rsidRDefault="00986D95"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Законодательство о концессионных соглашениях и соглашениях о государственно-частном партнерстве в России и зарубежных странах</w:t>
      </w:r>
    </w:p>
    <w:p w:rsidR="00986D95" w:rsidRPr="00467B95" w:rsidRDefault="00986D95" w:rsidP="005A3DF4">
      <w:pPr>
        <w:widowControl w:val="0"/>
        <w:spacing w:after="0" w:line="240" w:lineRule="auto"/>
        <w:ind w:firstLine="709"/>
        <w:jc w:val="center"/>
        <w:rPr>
          <w:rFonts w:ascii="Times New Roman" w:hAnsi="Times New Roman"/>
          <w:sz w:val="28"/>
          <w:szCs w:val="28"/>
        </w:rPr>
      </w:pP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Лишута Анастасия Олеговна</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986D95" w:rsidRPr="00467B95" w:rsidRDefault="00986D95"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986D95" w:rsidRPr="00256E28" w:rsidRDefault="00986D95"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 xml:space="preserve">Россия, </w:t>
      </w:r>
      <w:r w:rsidRPr="00256E28">
        <w:rPr>
          <w:rFonts w:ascii="Times New Roman" w:hAnsi="Times New Roman"/>
          <w:i/>
          <w:sz w:val="28"/>
          <w:szCs w:val="28"/>
        </w:rPr>
        <w:t>Владивосток</w:t>
      </w:r>
    </w:p>
    <w:p w:rsidR="00986D95" w:rsidRPr="00256E28" w:rsidRDefault="00986D95" w:rsidP="005A3DF4">
      <w:pPr>
        <w:widowControl w:val="0"/>
        <w:spacing w:after="0" w:line="240" w:lineRule="auto"/>
        <w:ind w:firstLine="709"/>
        <w:jc w:val="center"/>
        <w:rPr>
          <w:rFonts w:ascii="Times New Roman" w:hAnsi="Times New Roman"/>
          <w:sz w:val="28"/>
          <w:szCs w:val="28"/>
        </w:rPr>
      </w:pPr>
      <w:r w:rsidRPr="00256E28">
        <w:rPr>
          <w:rFonts w:ascii="Times New Roman" w:hAnsi="Times New Roman"/>
          <w:sz w:val="28"/>
          <w:szCs w:val="28"/>
          <w:lang w:val="en-US"/>
        </w:rPr>
        <w:t>E</w:t>
      </w:r>
      <w:r w:rsidRPr="00256E28">
        <w:rPr>
          <w:rFonts w:ascii="Times New Roman" w:hAnsi="Times New Roman"/>
          <w:sz w:val="28"/>
          <w:szCs w:val="28"/>
        </w:rPr>
        <w:t>-</w:t>
      </w:r>
      <w:r w:rsidRPr="00256E28">
        <w:rPr>
          <w:rFonts w:ascii="Times New Roman" w:hAnsi="Times New Roman"/>
          <w:sz w:val="28"/>
          <w:szCs w:val="28"/>
          <w:lang w:val="en-US"/>
        </w:rPr>
        <w:t>mail</w:t>
      </w:r>
      <w:r w:rsidRPr="00256E28">
        <w:rPr>
          <w:rFonts w:ascii="Times New Roman" w:hAnsi="Times New Roman"/>
          <w:sz w:val="28"/>
          <w:szCs w:val="28"/>
        </w:rPr>
        <w:t xml:space="preserve">: </w:t>
      </w:r>
      <w:hyperlink r:id="rId37" w:history="1">
        <w:r w:rsidRPr="00256E28">
          <w:rPr>
            <w:rStyle w:val="a8"/>
            <w:rFonts w:ascii="Times New Roman" w:hAnsi="Times New Roman"/>
            <w:color w:val="auto"/>
            <w:sz w:val="28"/>
            <w:szCs w:val="28"/>
            <w:u w:val="none"/>
            <w:lang w:val="en-US"/>
          </w:rPr>
          <w:t>anastasialishuta</w:t>
        </w:r>
        <w:r w:rsidRPr="00256E28">
          <w:rPr>
            <w:rStyle w:val="a8"/>
            <w:rFonts w:ascii="Times New Roman" w:hAnsi="Times New Roman"/>
            <w:color w:val="auto"/>
            <w:sz w:val="28"/>
            <w:szCs w:val="28"/>
            <w:u w:val="none"/>
          </w:rPr>
          <w:t>@</w:t>
        </w:r>
        <w:r w:rsidRPr="00256E28">
          <w:rPr>
            <w:rStyle w:val="a8"/>
            <w:rFonts w:ascii="Times New Roman" w:hAnsi="Times New Roman"/>
            <w:color w:val="auto"/>
            <w:sz w:val="28"/>
            <w:szCs w:val="28"/>
            <w:u w:val="none"/>
            <w:lang w:val="en-US"/>
          </w:rPr>
          <w:t>gmail</w:t>
        </w:r>
        <w:r w:rsidRPr="00256E28">
          <w:rPr>
            <w:rStyle w:val="a8"/>
            <w:rFonts w:ascii="Times New Roman" w:hAnsi="Times New Roman"/>
            <w:color w:val="auto"/>
            <w:sz w:val="28"/>
            <w:szCs w:val="28"/>
            <w:u w:val="none"/>
          </w:rPr>
          <w:t>.</w:t>
        </w:r>
        <w:r w:rsidRPr="00256E28">
          <w:rPr>
            <w:rStyle w:val="a8"/>
            <w:rFonts w:ascii="Times New Roman" w:hAnsi="Times New Roman"/>
            <w:color w:val="auto"/>
            <w:sz w:val="28"/>
            <w:szCs w:val="28"/>
            <w:u w:val="none"/>
            <w:lang w:val="en-US"/>
          </w:rPr>
          <w:t>com</w:t>
        </w:r>
      </w:hyperlink>
      <w:r w:rsidRPr="00256E28">
        <w:rPr>
          <w:rFonts w:ascii="Times New Roman" w:hAnsi="Times New Roman"/>
          <w:sz w:val="28"/>
          <w:szCs w:val="28"/>
        </w:rPr>
        <w:t>; тел.: +79990577522</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256E28">
        <w:rPr>
          <w:rFonts w:ascii="Times New Roman" w:hAnsi="Times New Roman"/>
          <w:sz w:val="28"/>
          <w:szCs w:val="28"/>
        </w:rPr>
        <w:t>ул. Гоголя,</w:t>
      </w:r>
      <w:r w:rsidRPr="00467B95">
        <w:rPr>
          <w:rFonts w:ascii="Times New Roman" w:hAnsi="Times New Roman"/>
          <w:sz w:val="28"/>
          <w:szCs w:val="28"/>
        </w:rPr>
        <w:t xml:space="preserve"> 41, г. Владивосток, Приморский край, Россия, 690014</w:t>
      </w:r>
    </w:p>
    <w:p w:rsidR="00986D95" w:rsidRPr="00467B95" w:rsidRDefault="00986D95" w:rsidP="005A3DF4">
      <w:pPr>
        <w:widowControl w:val="0"/>
        <w:spacing w:after="0" w:line="240" w:lineRule="auto"/>
        <w:ind w:firstLine="709"/>
        <w:jc w:val="both"/>
        <w:rPr>
          <w:rFonts w:ascii="Times New Roman" w:hAnsi="Times New Roman"/>
          <w:sz w:val="28"/>
          <w:szCs w:val="28"/>
        </w:rPr>
      </w:pPr>
    </w:p>
    <w:p w:rsidR="00986D95" w:rsidRPr="00467B95" w:rsidRDefault="00986D95" w:rsidP="005A3DF4">
      <w:pPr>
        <w:widowControl w:val="0"/>
        <w:spacing w:after="0" w:line="240" w:lineRule="auto"/>
        <w:ind w:firstLine="709"/>
        <w:jc w:val="both"/>
        <w:rPr>
          <w:rFonts w:ascii="Times New Roman" w:hAnsi="Times New Roman"/>
          <w:sz w:val="28"/>
          <w:szCs w:val="28"/>
        </w:rPr>
      </w:pPr>
    </w:p>
    <w:p w:rsidR="00986D95" w:rsidRPr="00DA6A8D" w:rsidRDefault="00986D95" w:rsidP="005A3DF4">
      <w:pPr>
        <w:widowControl w:val="0"/>
        <w:spacing w:after="0" w:line="240" w:lineRule="auto"/>
        <w:ind w:firstLine="709"/>
        <w:jc w:val="both"/>
        <w:rPr>
          <w:rFonts w:ascii="Times New Roman" w:hAnsi="Times New Roman"/>
          <w:i/>
          <w:sz w:val="28"/>
          <w:szCs w:val="28"/>
        </w:rPr>
      </w:pPr>
      <w:r w:rsidRPr="00DA6A8D">
        <w:rPr>
          <w:rFonts w:ascii="Times New Roman" w:hAnsi="Times New Roman"/>
          <w:i/>
          <w:sz w:val="28"/>
          <w:szCs w:val="28"/>
        </w:rPr>
        <w:t xml:space="preserve">Государственно-частное партнерство – это правовой институт, который направлен на удовлетворение в равной степени как интересов публичного субъекта, так и интересов частного инвестора. Общая цель данных правоотношений – достижение социально-экономического </w:t>
      </w:r>
      <w:r w:rsidRPr="00DA6A8D">
        <w:rPr>
          <w:rFonts w:ascii="Times New Roman" w:hAnsi="Times New Roman"/>
          <w:i/>
          <w:sz w:val="28"/>
          <w:szCs w:val="28"/>
        </w:rPr>
        <w:lastRenderedPageBreak/>
        <w:t>результата. Однако, до настоящего времени существует множество подходов к правовой природе ГЧП, в мировой практике не сложилось единого порядка реализации ГЧП проектов, в национальных правовых системах по разному трактуют понятие ГЧП. Для эффективной реализации ГЧП проектов, национальное законодательство необходимо привести в соответствие со сложившейся мировой практикой.</w:t>
      </w:r>
    </w:p>
    <w:p w:rsidR="00986D95" w:rsidRPr="00467B95" w:rsidRDefault="00986D95" w:rsidP="005A3DF4">
      <w:pPr>
        <w:widowControl w:val="0"/>
        <w:spacing w:after="0" w:line="240" w:lineRule="auto"/>
        <w:ind w:firstLine="709"/>
        <w:jc w:val="both"/>
        <w:rPr>
          <w:rFonts w:ascii="Times New Roman" w:hAnsi="Times New Roman"/>
          <w:sz w:val="28"/>
          <w:szCs w:val="28"/>
        </w:rPr>
      </w:pPr>
    </w:p>
    <w:p w:rsidR="00986D95" w:rsidRPr="00467B95" w:rsidRDefault="00986D95" w:rsidP="005A3DF4">
      <w:pPr>
        <w:widowControl w:val="0"/>
        <w:spacing w:after="0" w:line="240" w:lineRule="auto"/>
        <w:ind w:firstLine="709"/>
        <w:jc w:val="both"/>
        <w:rPr>
          <w:rFonts w:ascii="Times New Roman" w:hAnsi="Times New Roman"/>
          <w:i/>
          <w:sz w:val="28"/>
          <w:szCs w:val="28"/>
        </w:rPr>
      </w:pPr>
      <w:r w:rsidRPr="00DA6A8D">
        <w:rPr>
          <w:rFonts w:ascii="Times New Roman" w:hAnsi="Times New Roman"/>
          <w:i/>
          <w:sz w:val="28"/>
          <w:szCs w:val="28"/>
        </w:rPr>
        <w:t>Ключевые слова и словосочетания</w:t>
      </w:r>
      <w:r w:rsidRPr="00467B95">
        <w:rPr>
          <w:rFonts w:ascii="Times New Roman" w:hAnsi="Times New Roman"/>
          <w:b/>
          <w:i/>
          <w:sz w:val="28"/>
          <w:szCs w:val="28"/>
        </w:rPr>
        <w:t>:</w:t>
      </w:r>
      <w:r w:rsidRPr="00467B95">
        <w:rPr>
          <w:rFonts w:ascii="Times New Roman" w:hAnsi="Times New Roman"/>
          <w:sz w:val="28"/>
          <w:szCs w:val="28"/>
        </w:rPr>
        <w:t xml:space="preserve"> </w:t>
      </w:r>
      <w:r w:rsidRPr="00467B95">
        <w:rPr>
          <w:rFonts w:ascii="Times New Roman" w:hAnsi="Times New Roman"/>
          <w:i/>
          <w:sz w:val="28"/>
          <w:szCs w:val="28"/>
        </w:rPr>
        <w:t>инвестиции, государственно-частное партнерство, концессии, концессионные соглашения, соглашения о государственно-частном партнерстве, предпринимательство, государственное управление, инвестиционные проекты.</w:t>
      </w:r>
    </w:p>
    <w:p w:rsidR="00986D95" w:rsidRPr="00467B95" w:rsidRDefault="00986D95" w:rsidP="005A3DF4">
      <w:pPr>
        <w:widowControl w:val="0"/>
        <w:spacing w:after="0" w:line="240" w:lineRule="auto"/>
        <w:ind w:firstLine="709"/>
        <w:jc w:val="both"/>
        <w:rPr>
          <w:rFonts w:ascii="Times New Roman" w:hAnsi="Times New Roman"/>
          <w:sz w:val="28"/>
          <w:szCs w:val="28"/>
        </w:rPr>
      </w:pPr>
    </w:p>
    <w:p w:rsidR="00986D95" w:rsidRPr="00467B95" w:rsidRDefault="00986D95" w:rsidP="005A3DF4">
      <w:pPr>
        <w:widowControl w:val="0"/>
        <w:spacing w:after="0" w:line="240" w:lineRule="auto"/>
        <w:ind w:firstLine="709"/>
        <w:jc w:val="center"/>
        <w:rPr>
          <w:rFonts w:ascii="Times New Roman" w:hAnsi="Times New Roman"/>
          <w:b/>
          <w:i/>
          <w:sz w:val="28"/>
          <w:szCs w:val="28"/>
          <w:lang w:val="en-US"/>
        </w:rPr>
      </w:pPr>
      <w:r w:rsidRPr="00467B95">
        <w:rPr>
          <w:rFonts w:ascii="Times New Roman" w:hAnsi="Times New Roman"/>
          <w:b/>
          <w:i/>
          <w:sz w:val="28"/>
          <w:szCs w:val="28"/>
          <w:lang w:val="en-US"/>
        </w:rPr>
        <w:t>Legislation about concession agreements and agreements of public-private partnership in Russia and foreign countries.</w:t>
      </w:r>
    </w:p>
    <w:p w:rsidR="00986D95" w:rsidRPr="00467B95" w:rsidRDefault="00986D95" w:rsidP="005A3DF4">
      <w:pPr>
        <w:widowControl w:val="0"/>
        <w:spacing w:after="0" w:line="240" w:lineRule="auto"/>
        <w:ind w:firstLine="709"/>
        <w:jc w:val="both"/>
        <w:rPr>
          <w:rFonts w:ascii="Times New Roman" w:hAnsi="Times New Roman"/>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A public-private partnership is a legal institution, which aims to satisfy equally the interests of a public entity and the interests of a private investor. The overall goal of these legal relations is to achieve a socio-economic result. However, to date there are many approaches to the legal nature of PPP, in world practice there has not been a single procedure for implementing PPP projects, in national legal systems they interpret the concept of PPP differently. For effective implementation of PPP projects, national legislation must be brought in line with current international practice.</w:t>
      </w: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r w:rsidRPr="00DA6A8D">
        <w:rPr>
          <w:rFonts w:ascii="Times New Roman" w:hAnsi="Times New Roman"/>
          <w:i/>
          <w:sz w:val="28"/>
          <w:szCs w:val="28"/>
          <w:lang w:val="en-US"/>
        </w:rPr>
        <w:t>Key words:</w:t>
      </w:r>
      <w:r w:rsidRPr="00467B95">
        <w:rPr>
          <w:rFonts w:ascii="Times New Roman" w:hAnsi="Times New Roman"/>
          <w:i/>
          <w:sz w:val="28"/>
          <w:szCs w:val="28"/>
          <w:lang w:val="en-US"/>
        </w:rPr>
        <w:t xml:space="preserve"> investment, public-private partnership, concessions, concession agreements, agreements on public-private partnership, entrepreneurship, public administration, investment projects.</w:t>
      </w:r>
    </w:p>
    <w:p w:rsidR="00986D95" w:rsidRPr="00467B95" w:rsidRDefault="00986D95" w:rsidP="005A3DF4">
      <w:pPr>
        <w:widowControl w:val="0"/>
        <w:spacing w:after="0" w:line="240" w:lineRule="auto"/>
        <w:ind w:firstLine="709"/>
        <w:jc w:val="both"/>
        <w:rPr>
          <w:rFonts w:ascii="Times New Roman" w:hAnsi="Times New Roman"/>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Государственно-частное партнерство (далее – ГЧП) – это правовой институт, который направлен на удовлетворение в равной степени как интересов публичного субъекта, так и интересов частного инвестора.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чем сущность государственно-частного партнерства?</w:t>
      </w:r>
      <w:bookmarkStart w:id="4" w:name="_Hlk2431084"/>
      <w:r w:rsidRPr="00467B95">
        <w:rPr>
          <w:rFonts w:ascii="Times New Roman" w:hAnsi="Times New Roman"/>
          <w:sz w:val="28"/>
          <w:szCs w:val="28"/>
        </w:rPr>
        <w:t xml:space="preserve"> Основной целью государственно-частного партнерства является создание баланса интересов публичного и частного партнеров. Так, государство заинтересовано в предоставлении качественных инфраструктурных и социальных услуг. Интересы частного сектора заключаются в получении доходов и высоких прибылей [1, с. 7]. Таким образом, общая цель данных правоотношений – достижение социально-экономического результата. </w:t>
      </w:r>
    </w:p>
    <w:bookmarkEnd w:id="4"/>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Однако, в настоящее время существует множество подходов к правовой природе ГЧП, в мировой практике не сложилось единого порядка реализации ГЧП проектов, в национальных правовых системах по разному трактуют понятие ГЧП.</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Публично-частное партнерство как явление, известное под названием Public Private Partnership (PPP), появилось в Великобритании в начале 90-х </w:t>
      </w:r>
      <w:r w:rsidRPr="00467B95">
        <w:rPr>
          <w:rFonts w:ascii="Times New Roman" w:hAnsi="Times New Roman"/>
          <w:sz w:val="28"/>
          <w:szCs w:val="28"/>
        </w:rPr>
        <w:lastRenderedPageBreak/>
        <w:t>годов прошлого века. Появление и распространение различных форм и видов публично-частного партнерства было связано с кризисом государственного финансирования общественно-значимых инфраструктурных проектов, стремлением государств привлечь частные средства для инвестирования в такие проекты и разделить инвестиционные риски, связанные с реализацией проектов между государством и бизнесом. Использование такой формы сотрудничества государства и бизнеса позволяет экономить значительные бюджетные средства, привлекать частные инвестиции, внедрять технические новшества, имеющиеся у бизнеса, отвлекать государство от непосредственного участия в производстве, концентрируя его усилия на организационных и контрольных функциях [1, с. 5].</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Как отмечают представители Уральской юридической школы, в теории выделяются три подхода к понимаю государственно(публично)-частного партнерства.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Первый подход – это определение государственно частного партнерства в широком смысле. Согласно данному подходу, государственно-частное партнерство – это любые формы взаимодействия государства и бизнеса в целях решения социально-экономических задач [1, с. 6].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Профессор В.Г. Варнавский относит к публично-частному партнерству широкий спектр соглашений: на выполнение работ и оказание общественных услуг; на управление, на поставку продукции для государственных нужд; контракты технической помощи; арендные (лизинговые) отношения, возникающие в связи с передачей государством в аренду частному сектору своей собственности: зданий, сооружений, производственного оборудования; соглашения о разделе продукции (СРП); государственно-частные предприятия; концессии [2].</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Однако при этом, Европейская экономическая комиссия ООН (далее – ЕЭК ООН) разграничивает понятие ГЧП и государственных закупок, поскольку ГЧП является более комплексным, затратным и долгосрочным контрактом, нежели государственные контракты [3, </w:t>
      </w:r>
      <w:r w:rsidRPr="00467B95">
        <w:rPr>
          <w:rFonts w:ascii="Times New Roman" w:hAnsi="Times New Roman"/>
          <w:sz w:val="28"/>
          <w:szCs w:val="28"/>
          <w:lang w:val="en-US"/>
        </w:rPr>
        <w:t>c</w:t>
      </w:r>
      <w:r w:rsidRPr="00467B95">
        <w:rPr>
          <w:rFonts w:ascii="Times New Roman" w:hAnsi="Times New Roman"/>
          <w:sz w:val="28"/>
          <w:szCs w:val="28"/>
        </w:rPr>
        <w:t>. 31].</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Второй подход – более узкий подход, согласно которому публично-частное партнерство представляет собой формализованный институт - конкретное соглашение публичного и частного партнеров [1, с. 6].</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Помимо этого, ученые выделяют третью точку зрения на государственно-частное партнерство, как вид публично-частного партнерства. Согласно указанному подходу, это вид сотрудничества публичных субъектов и частного сектора, при котором возврат инвестиций происходит не за счет потребителя (концессии), а за счет государства или муниципального образования. В этом случае публичный партнер осуществляет периодические платежи за доступность объекта - т.н. availability payments. Такие модели нередко называются также контрактами жизненного цикла (КЖЦ). [1 с. 7].</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Изучив названные выше точки зрения на правовую природу ГЧП, мы сталкиваемся с еще одной неопределенностью – соотношением понятий </w:t>
      </w:r>
      <w:r w:rsidRPr="00467B95">
        <w:rPr>
          <w:rFonts w:ascii="Times New Roman" w:hAnsi="Times New Roman"/>
          <w:sz w:val="28"/>
          <w:szCs w:val="28"/>
        </w:rPr>
        <w:lastRenderedPageBreak/>
        <w:t>«государственно-частное партнерство», «концессии» и «концессионные соглашения», что напрямую вытекает из правовых подходов к понятию ГЧП.</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ряде стран концессии рассматриваются, как отдельный вид соглашения о государственно-частном партнерстве (Республика Корея, Япония) [3, </w:t>
      </w:r>
      <w:r w:rsidRPr="00467B95">
        <w:rPr>
          <w:rFonts w:ascii="Times New Roman" w:hAnsi="Times New Roman"/>
          <w:sz w:val="28"/>
          <w:szCs w:val="28"/>
          <w:lang w:val="en-US"/>
        </w:rPr>
        <w:t>c</w:t>
      </w:r>
      <w:r w:rsidRPr="00467B95">
        <w:rPr>
          <w:rFonts w:ascii="Times New Roman" w:hAnsi="Times New Roman"/>
          <w:sz w:val="28"/>
          <w:szCs w:val="28"/>
        </w:rPr>
        <w:t xml:space="preserve">. 27].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Существует подход, что «концессии» и ГЧП – это взаимозаменяемые понятия (КНР)  [3, </w:t>
      </w:r>
      <w:r w:rsidRPr="00467B95">
        <w:rPr>
          <w:rFonts w:ascii="Times New Roman" w:hAnsi="Times New Roman"/>
          <w:sz w:val="28"/>
          <w:szCs w:val="28"/>
          <w:lang w:val="en-US"/>
        </w:rPr>
        <w:t>c</w:t>
      </w:r>
      <w:r w:rsidRPr="00467B95">
        <w:rPr>
          <w:rFonts w:ascii="Times New Roman" w:hAnsi="Times New Roman"/>
          <w:sz w:val="28"/>
          <w:szCs w:val="28"/>
        </w:rPr>
        <w:t>. 29].</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двух республиках Хорватии и Греческой республике используется наименее распространенный подход о том, что концессия – это право, передаваемое по соглашению о ГЧП [3, </w:t>
      </w:r>
      <w:r w:rsidRPr="00467B95">
        <w:rPr>
          <w:rFonts w:ascii="Times New Roman" w:hAnsi="Times New Roman"/>
          <w:sz w:val="28"/>
          <w:szCs w:val="28"/>
          <w:lang w:val="en-US"/>
        </w:rPr>
        <w:t>c</w:t>
      </w:r>
      <w:r w:rsidRPr="00467B95">
        <w:rPr>
          <w:rFonts w:ascii="Times New Roman" w:hAnsi="Times New Roman"/>
          <w:sz w:val="28"/>
          <w:szCs w:val="28"/>
        </w:rPr>
        <w:t xml:space="preserve">. 26].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Представители Уральской юридической школы разграничивают понятия «концессия» и «ГЧП» в зависимости от порядка возврата вложенных частным партнером в социально значимый проект инвестиций.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«Если риски получения прибыли целиком или в большей степени ложатся на частного партнера, то речь идет о концессионном типе публично-частного партнерства, при котором проект способен генерировать прибыль без участия государства и частному партнеру предоставляется право получать плату за оказываемые услуги непосредственно с потребителей. Таким образом, концессии характеризуются наличием прямой связи между частным партнером и конечным потребителем: частный партнер предоставляет публичную услугу "вместо" государства, но под его контролем.» [1, </w:t>
      </w:r>
      <w:r w:rsidRPr="00467B95">
        <w:rPr>
          <w:rFonts w:ascii="Times New Roman" w:hAnsi="Times New Roman"/>
          <w:sz w:val="28"/>
          <w:szCs w:val="28"/>
          <w:lang w:val="en-US"/>
        </w:rPr>
        <w:t>c</w:t>
      </w:r>
      <w:r w:rsidRPr="00467B95">
        <w:rPr>
          <w:rFonts w:ascii="Times New Roman" w:hAnsi="Times New Roman"/>
          <w:sz w:val="28"/>
          <w:szCs w:val="28"/>
        </w:rPr>
        <w:t>. 27].</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«Если риски возврата инвестиций ложатся на государство, которое обязуется выплачивать частному партнеру вознаграждение, размер которого зависит от достижения ряда показателей, характеризующих качество/уровень оказываемых услуг (так называемая плата за доступность), то мы имеем дело с соглашением о публично-частном партнерстве (соглашение о ГЧП в узком смысле). Частный партнер обеспечивает весь жизненный цикл объекта ГЧП, начиная с его проектирования, строительства до эксплуатации, обслуживания и, наконец, передачи публичному партнеру по истечении срока действия проектного соглашения» [1, </w:t>
      </w:r>
      <w:r w:rsidRPr="00467B95">
        <w:rPr>
          <w:rFonts w:ascii="Times New Roman" w:hAnsi="Times New Roman"/>
          <w:sz w:val="28"/>
          <w:szCs w:val="28"/>
          <w:lang w:val="en-US"/>
        </w:rPr>
        <w:t>c</w:t>
      </w:r>
      <w:r w:rsidRPr="00467B95">
        <w:rPr>
          <w:rFonts w:ascii="Times New Roman" w:hAnsi="Times New Roman"/>
          <w:sz w:val="28"/>
          <w:szCs w:val="28"/>
        </w:rPr>
        <w:t>. 28].</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согласно позиции ученых Уральской юридической школы, в рамках государственно-частного партнерства в широком смысле в зависимости от источника возврата инвестиций частным партнером выделяется два вида соглашений – соглашение о ГЧП в узком смысле (КЖЦ) и концессии (концессионные соглашения).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 этом, ЕЭК ООН разделяет концессионные соглашения и соглашения о ГЧП по тому же критерию. Согласно позиции ЕЭК ООН две основные формы государственно частного партнерства – это концессии, реализующиеся по принципу «платежа от потребителя» и соглашения </w:t>
      </w:r>
      <w:r w:rsidRPr="00467B95">
        <w:rPr>
          <w:rFonts w:ascii="Times New Roman" w:hAnsi="Times New Roman"/>
          <w:sz w:val="28"/>
          <w:szCs w:val="28"/>
          <w:lang w:val="en-US"/>
        </w:rPr>
        <w:t>PFI</w:t>
      </w:r>
      <w:r w:rsidRPr="00467B95">
        <w:rPr>
          <w:rFonts w:ascii="Times New Roman" w:hAnsi="Times New Roman"/>
          <w:sz w:val="28"/>
          <w:szCs w:val="28"/>
        </w:rPr>
        <w:t xml:space="preserve">, действующие по принципу «платежа от публичного партера») [3, </w:t>
      </w:r>
      <w:r w:rsidRPr="00467B95">
        <w:rPr>
          <w:rFonts w:ascii="Times New Roman" w:hAnsi="Times New Roman"/>
          <w:sz w:val="28"/>
          <w:szCs w:val="28"/>
          <w:lang w:val="en-US"/>
        </w:rPr>
        <w:t>c</w:t>
      </w:r>
      <w:r w:rsidRPr="00467B95">
        <w:rPr>
          <w:rFonts w:ascii="Times New Roman" w:hAnsi="Times New Roman"/>
          <w:sz w:val="28"/>
          <w:szCs w:val="28"/>
        </w:rPr>
        <w:t>. 31].</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связи с разнообразием мнений о правовой природе государственно-частного партнерства полагаем целесообразным использовать более интегративный подход. По мнению автора настоящей работы, под государственно-частным партнерством следует понимать любое </w:t>
      </w:r>
      <w:r w:rsidRPr="00467B95">
        <w:rPr>
          <w:rFonts w:ascii="Times New Roman" w:hAnsi="Times New Roman"/>
          <w:sz w:val="28"/>
          <w:szCs w:val="28"/>
        </w:rPr>
        <w:lastRenderedPageBreak/>
        <w:t>сотрудничество публичных партнеров (государства, его субъектов, муниципальных органов, а также организаций, наделенных полномочиями участвовать в данных правоотношениях).</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этом, особыми формами реализации ГЧП являются концессии (путем заключения концессионных соглашений) и КЖЦ (ГЧП в узком смысле, как соглашение о ГЧП), которые отличаются порядком получения прибыли частным инвестором и отвечают следующим признакам:</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Долгосрочность</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Социально-экономический интерес</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Распределении рисков и баланса интересов сторон</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Инвестиции частного партнера, т.е. вложение денежных средств на перспективу.</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Возврат вложенные инвестиций и получение прибыли после создания/реконструкции объекта соглашения.</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реализации ГЧП-проектов, частный партнер может быть наделен следующими полномочиями:</w:t>
      </w:r>
    </w:p>
    <w:p w:rsidR="00986D95" w:rsidRPr="00467B95" w:rsidRDefault="00986D95" w:rsidP="005A3DF4">
      <w:pPr>
        <w:widowControl w:val="0"/>
        <w:spacing w:after="0" w:line="240" w:lineRule="auto"/>
        <w:ind w:firstLine="709"/>
        <w:jc w:val="both"/>
        <w:rPr>
          <w:rFonts w:ascii="Times New Roman" w:hAnsi="Times New Roman"/>
          <w:sz w:val="28"/>
          <w:szCs w:val="28"/>
        </w:rPr>
      </w:pPr>
      <w:bookmarkStart w:id="5" w:name="_Hlk2432541"/>
      <w:r w:rsidRPr="00467B95">
        <w:rPr>
          <w:rFonts w:ascii="Times New Roman" w:hAnsi="Times New Roman"/>
          <w:sz w:val="28"/>
          <w:szCs w:val="28"/>
        </w:rPr>
        <w:t>- проектирование (design);</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строительство (construction или </w:t>
      </w:r>
      <w:bookmarkStart w:id="6" w:name="_Hlk2041846"/>
      <w:r w:rsidRPr="00467B95">
        <w:rPr>
          <w:rFonts w:ascii="Times New Roman" w:hAnsi="Times New Roman"/>
          <w:sz w:val="28"/>
          <w:szCs w:val="28"/>
          <w:lang w:val="en-US"/>
        </w:rPr>
        <w:t>build</w:t>
      </w:r>
      <w:bookmarkEnd w:id="6"/>
      <w:r w:rsidRPr="00467B95">
        <w:rPr>
          <w:rFonts w:ascii="Times New Roman" w:hAnsi="Times New Roman"/>
          <w:sz w:val="28"/>
          <w:szCs w:val="28"/>
        </w:rPr>
        <w:t>);</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реконструкцию (rehabilitation);</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финансирование (financing);</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владение на праве собственности (ownership);</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управление (</w:t>
      </w:r>
      <w:bookmarkStart w:id="7" w:name="_Hlk2041882"/>
      <w:r w:rsidRPr="00467B95">
        <w:rPr>
          <w:rFonts w:ascii="Times New Roman" w:hAnsi="Times New Roman"/>
          <w:sz w:val="28"/>
          <w:szCs w:val="28"/>
        </w:rPr>
        <w:t>management</w:t>
      </w:r>
      <w:bookmarkEnd w:id="7"/>
      <w:r w:rsidRPr="00467B95">
        <w:rPr>
          <w:rFonts w:ascii="Times New Roman" w:hAnsi="Times New Roman"/>
          <w:sz w:val="28"/>
          <w:szCs w:val="28"/>
        </w:rPr>
        <w:t>);</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эксплуатацию (</w:t>
      </w:r>
      <w:bookmarkStart w:id="8" w:name="_Hlk2042197"/>
      <w:r w:rsidRPr="00467B95">
        <w:rPr>
          <w:rFonts w:ascii="Times New Roman" w:hAnsi="Times New Roman"/>
          <w:sz w:val="28"/>
          <w:szCs w:val="28"/>
        </w:rPr>
        <w:t>operation</w:t>
      </w:r>
      <w:bookmarkEnd w:id="8"/>
      <w:r w:rsidRPr="00467B95">
        <w:rPr>
          <w:rFonts w:ascii="Times New Roman" w:hAnsi="Times New Roman"/>
          <w:sz w:val="28"/>
          <w:szCs w:val="28"/>
        </w:rPr>
        <w:t>);</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техническое обслуживание (</w:t>
      </w:r>
      <w:bookmarkStart w:id="9" w:name="_Hlk2042213"/>
      <w:r w:rsidRPr="00467B95">
        <w:rPr>
          <w:rFonts w:ascii="Times New Roman" w:hAnsi="Times New Roman"/>
          <w:sz w:val="28"/>
          <w:szCs w:val="28"/>
        </w:rPr>
        <w:t>maintenance</w:t>
      </w:r>
      <w:bookmarkEnd w:id="9"/>
      <w:r w:rsidRPr="00467B95">
        <w:rPr>
          <w:rFonts w:ascii="Times New Roman" w:hAnsi="Times New Roman"/>
          <w:sz w:val="28"/>
          <w:szCs w:val="28"/>
        </w:rPr>
        <w:t>);</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передачу права владения и пользования (leasing);</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передачу права собственности (transfer) </w:t>
      </w:r>
      <w:bookmarkEnd w:id="5"/>
      <w:r w:rsidRPr="00467B95">
        <w:rPr>
          <w:rFonts w:ascii="Times New Roman" w:hAnsi="Times New Roman"/>
          <w:sz w:val="28"/>
          <w:szCs w:val="28"/>
        </w:rPr>
        <w:t xml:space="preserve">[1, </w:t>
      </w:r>
      <w:r w:rsidRPr="00467B95">
        <w:rPr>
          <w:rFonts w:ascii="Times New Roman" w:hAnsi="Times New Roman"/>
          <w:sz w:val="28"/>
          <w:szCs w:val="28"/>
          <w:lang w:val="en-US"/>
        </w:rPr>
        <w:t>c</w:t>
      </w:r>
      <w:r w:rsidRPr="00467B95">
        <w:rPr>
          <w:rFonts w:ascii="Times New Roman" w:hAnsi="Times New Roman"/>
          <w:sz w:val="28"/>
          <w:szCs w:val="28"/>
        </w:rPr>
        <w:t>. 36].</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зависимости от того, какими полномочиями в конкретном случае наделяется частный партнер и в какой последовательности он их осуществляет, под правоотношения подбирается наиболее удобная модель сотрудничества.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Как отмечалось ранее, в мировой практике существуют две особые формы государственно-частного партнерства: контракты жизненного цикла (соглашения о ГЧП, основанные на принципе «платежей публичного партнера») и концессии (концессионные соглашения, основанные на принципе «платежи потребителя»). Указанные формы реализации ГЧП активно используются и в Великобританции с Францией.</w:t>
      </w:r>
    </w:p>
    <w:p w:rsidR="00986D95" w:rsidRPr="00467B95" w:rsidRDefault="00986D95" w:rsidP="005A3DF4">
      <w:pPr>
        <w:widowControl w:val="0"/>
        <w:spacing w:after="0" w:line="240" w:lineRule="auto"/>
        <w:ind w:firstLine="709"/>
        <w:jc w:val="both"/>
        <w:rPr>
          <w:rFonts w:ascii="Times New Roman" w:hAnsi="Times New Roman"/>
          <w:sz w:val="28"/>
          <w:szCs w:val="28"/>
          <w:lang w:val="en-US"/>
        </w:rPr>
      </w:pPr>
      <w:r w:rsidRPr="00467B95">
        <w:rPr>
          <w:rFonts w:ascii="Times New Roman" w:hAnsi="Times New Roman"/>
          <w:sz w:val="28"/>
          <w:szCs w:val="28"/>
        </w:rPr>
        <w:t xml:space="preserve">Британцы называют контрактами жизненного цикла форму PFI и ее более модернизированную версию </w:t>
      </w:r>
      <w:r w:rsidRPr="00467B95">
        <w:rPr>
          <w:rFonts w:ascii="Times New Roman" w:hAnsi="Times New Roman"/>
          <w:sz w:val="28"/>
          <w:szCs w:val="28"/>
          <w:lang w:val="en-US"/>
        </w:rPr>
        <w:t xml:space="preserve">PFI 2 (private financing initiative), </w:t>
      </w:r>
      <w:r w:rsidRPr="00467B95">
        <w:rPr>
          <w:rFonts w:ascii="Times New Roman" w:hAnsi="Times New Roman"/>
          <w:sz w:val="28"/>
          <w:szCs w:val="28"/>
        </w:rPr>
        <w:t>во</w:t>
      </w:r>
      <w:r w:rsidRPr="00467B95">
        <w:rPr>
          <w:rFonts w:ascii="Times New Roman" w:hAnsi="Times New Roman"/>
          <w:sz w:val="28"/>
          <w:szCs w:val="28"/>
          <w:lang w:val="en-US"/>
        </w:rPr>
        <w:t xml:space="preserve"> </w:t>
      </w:r>
      <w:r w:rsidRPr="00467B95">
        <w:rPr>
          <w:rFonts w:ascii="Times New Roman" w:hAnsi="Times New Roman"/>
          <w:sz w:val="28"/>
          <w:szCs w:val="28"/>
        </w:rPr>
        <w:t>Франции</w:t>
      </w:r>
      <w:r w:rsidRPr="00467B95">
        <w:rPr>
          <w:rFonts w:ascii="Times New Roman" w:hAnsi="Times New Roman"/>
          <w:sz w:val="28"/>
          <w:szCs w:val="28"/>
          <w:lang w:val="en-US"/>
        </w:rPr>
        <w:t xml:space="preserve"> </w:t>
      </w:r>
      <w:r w:rsidRPr="00467B95">
        <w:rPr>
          <w:rFonts w:ascii="Times New Roman" w:hAnsi="Times New Roman"/>
          <w:sz w:val="28"/>
          <w:szCs w:val="28"/>
        </w:rPr>
        <w:t>используется</w:t>
      </w:r>
      <w:r w:rsidRPr="00467B95">
        <w:rPr>
          <w:rFonts w:ascii="Times New Roman" w:hAnsi="Times New Roman"/>
          <w:sz w:val="28"/>
          <w:szCs w:val="28"/>
          <w:lang w:val="en-US"/>
        </w:rPr>
        <w:t xml:space="preserve"> </w:t>
      </w:r>
      <w:r w:rsidRPr="00467B95">
        <w:rPr>
          <w:rFonts w:ascii="Times New Roman" w:hAnsi="Times New Roman"/>
          <w:sz w:val="28"/>
          <w:szCs w:val="28"/>
        </w:rPr>
        <w:t>форма</w:t>
      </w:r>
      <w:r w:rsidRPr="00467B95">
        <w:rPr>
          <w:rFonts w:ascii="Times New Roman" w:hAnsi="Times New Roman"/>
          <w:sz w:val="28"/>
          <w:szCs w:val="28"/>
          <w:lang w:val="en-US"/>
        </w:rPr>
        <w:t xml:space="preserve"> contrat de partenariat.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Для заключения модели PFI проводится конкурс, по результатам которого побеждает один представитель частного сектора. Для реализации подобного проекта частный партнер создает специальную проектную компанию (Special Purpose Vehicle, SPV), которая разрабатывает план мероприятий по реализации ГЧП проекта. В рамках проекта частному </w:t>
      </w:r>
      <w:r w:rsidRPr="00467B95">
        <w:rPr>
          <w:rFonts w:ascii="Times New Roman" w:hAnsi="Times New Roman"/>
          <w:sz w:val="28"/>
          <w:szCs w:val="28"/>
        </w:rPr>
        <w:lastRenderedPageBreak/>
        <w:t>партнеру поручается проектировать (design), строить (build) и финансировать (financing) социально-значимый объект и в дальнейшем управлять им (operate) [4, с. 67]. Данная форма соответствует модели DBFO, являющаяся типичным примером КЖЦ в мировой практике. Design - Build - Finance - Operate - "проектирование - строительство - финансирование -эксплуатация" модель, при которой частный партнер осуществляет проектирование, финансирование, строительство и эксплуатацию нового инфраструктурного объекта, собственником которого может быть как частный, так и публичный партнер. По истечении обозначенного в проектном соглашении срока частный партнер передает указанный объект публичному партнеру [1, с. 40]</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Частный партнер изначально осуществляет инвестирование за счет собственных, либо заемных средств, а возврат вложенных средств осуществляется с началом эксплуатации объекта за счет выплат из бюджета. В связи с этим, собственником объекта, как правило, все же выступает публичный партнер. Продолжительность проекта зависит от того, сколько времени потребуется частному партнеру для возврата инвестиций путем получения дотаций из бюджета. В основном продолжительность подобных проектов 20-25 лет. Размер платежей органа власти может быть сокращен при определенных обстоятельствах, строго оговоренных в контракте, например, если произошла задержка в сроках строительства, объект введен в эксплуатацию не в полном объеме, качество не соответствуют контракту или принятым в стране стандартам и нормам и т.п. [4, </w:t>
      </w:r>
      <w:r w:rsidRPr="00467B95">
        <w:rPr>
          <w:rFonts w:ascii="Times New Roman" w:hAnsi="Times New Roman"/>
          <w:sz w:val="28"/>
          <w:szCs w:val="28"/>
          <w:lang w:val="en-US"/>
        </w:rPr>
        <w:t>c</w:t>
      </w:r>
      <w:r w:rsidRPr="00467B95">
        <w:rPr>
          <w:rFonts w:ascii="Times New Roman" w:hAnsi="Times New Roman"/>
          <w:sz w:val="28"/>
          <w:szCs w:val="28"/>
        </w:rPr>
        <w:t>. 68]</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 такому же принципу осуществляется ГЧП в Германии. Германия действует по принципу форфейтинга – гарантированное осуществление возмещения затрат инвестора. Тем самым государство разделяет риски частного партнера в случае, если проект окажется нерентабельным, будет по каким-то причинам не завершен или приостановлен, что позволяет привлекать под проект дешевые кредиты. При этом государство, в большинстве случаев, сохраняет за собой право собственности на объект инвестиций. Данная позиция обоснована, поскольку является наиболее справедливой – гарантии и поддержка в виде платежей из бюджета за строительство и содержание объекта в обмен на приобретение права собственности на объект [5, ст. 150-151].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настоящее время в Российской Федерации действует два основных закона, позволяющие реализовать ГЧП проекты:</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Федеральный закон "О концессионных соглашениях" от 21.07.2005 № 115-ФЗ (далее – Закон о Концессиях)</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Федеральный закон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от 13.07.2015 № 224-ФЗ. (далее – Закон о ГЧП)</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Нормы ГК РФ распространяют свое действие на все виды соглашений о публично-частном партнерстве, что позволяет в некоторой мере компенсировать недостаточность либо отсутствие специального </w:t>
      </w:r>
      <w:r w:rsidRPr="00467B95">
        <w:rPr>
          <w:rFonts w:ascii="Times New Roman" w:hAnsi="Times New Roman"/>
          <w:sz w:val="28"/>
          <w:szCs w:val="28"/>
        </w:rPr>
        <w:lastRenderedPageBreak/>
        <w:t>регулирования [1, с. 44].</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Закон о ГЧП закрепляет в себе определение государственно-частного партнерства, принципы государственно-частного партнерства, а также отдельно определение соглашения о ГЧП, таким образом, закрепляя в себе несколько подходов к ГЧП.</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Существенные элементы соглашения о ГЧП перечислены в ст. 6 Закона о ГЧП:</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строительство (</w:t>
      </w:r>
      <w:r w:rsidRPr="00467B95">
        <w:rPr>
          <w:rFonts w:ascii="Times New Roman" w:hAnsi="Times New Roman"/>
          <w:sz w:val="28"/>
          <w:szCs w:val="28"/>
          <w:lang w:val="en-US"/>
        </w:rPr>
        <w:t>build</w:t>
      </w:r>
      <w:r w:rsidRPr="00467B95">
        <w:rPr>
          <w:rFonts w:ascii="Times New Roman" w:hAnsi="Times New Roman"/>
          <w:sz w:val="28"/>
          <w:szCs w:val="28"/>
        </w:rPr>
        <w:t>) и (или) реконструкция (rehabilitation) объекта соглашения частным партнером;</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осуществление частным партнером полного или частичного финансирования создания объекта соглашения (financing);</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осуществление частным партнером эксплуатации (</w:t>
      </w:r>
      <w:r w:rsidRPr="00467B95">
        <w:rPr>
          <w:rFonts w:ascii="Times New Roman" w:hAnsi="Times New Roman"/>
          <w:sz w:val="28"/>
          <w:szCs w:val="28"/>
          <w:lang w:val="en-US"/>
        </w:rPr>
        <w:t>operate</w:t>
      </w:r>
      <w:r w:rsidRPr="00467B95">
        <w:rPr>
          <w:rFonts w:ascii="Times New Roman" w:hAnsi="Times New Roman"/>
          <w:sz w:val="28"/>
          <w:szCs w:val="28"/>
        </w:rPr>
        <w:t>) и (или) технического обслуживания объекта соглашения (maintenance);</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возникновение у частного партнера права собственности на объект соглашения при условии обременения объекта соглашения в соответствии с настоящим Федеральным законом (ownership).</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могут быть также включены следующие элементы:</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проектирование частным партнером объекта соглашения (design);</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обеспечение публичным партнером частичного финансирования создания частным партнером объекта соглашения, а также финансирование его эксплуатации и (или) технического обслуживания (принцип КЖЦ);</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наличие у частного партнера обязательства по передаче объекта соглашения в собственность публичного партнера по истечении определенного соглашением срока, но не позднее дня прекращения соглашения (</w:t>
      </w:r>
      <w:r w:rsidRPr="00467B95">
        <w:rPr>
          <w:rFonts w:ascii="Times New Roman" w:hAnsi="Times New Roman"/>
          <w:sz w:val="28"/>
          <w:szCs w:val="28"/>
          <w:lang w:val="en-US"/>
        </w:rPr>
        <w:t>transfer</w:t>
      </w:r>
      <w:r w:rsidRPr="00467B95">
        <w:rPr>
          <w:rFonts w:ascii="Times New Roman" w:hAnsi="Times New Roman"/>
          <w:sz w:val="28"/>
          <w:szCs w:val="28"/>
        </w:rPr>
        <w:t>);</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обеспечение публичным партнером эксплуатации объекта соглашения в случае, если частный партнер осуществляет только техническое обслуживание этого объекта соглашения [6] (принцип «платежа частного партнера» в КЖЦ).</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Как мы видим из определения соглашения о ГЧП, при заключении соглашения дается возможность выбора полномочий сторон, элементов соглашения для конструирования конкретной формы взаимодействия и конкретной модели ГЧП, наиболее подходящей для конкретного проекта.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 этом, одна модель из тех, что существуют в мировой практике в настоящее время, не может быть реализована в рамках соглашений о ГЧП и предусмотрена Законом о Концессиях – модель </w:t>
      </w:r>
      <w:r w:rsidRPr="00467B95">
        <w:rPr>
          <w:rFonts w:ascii="Times New Roman" w:hAnsi="Times New Roman"/>
          <w:sz w:val="28"/>
          <w:szCs w:val="28"/>
          <w:lang w:val="en-US"/>
        </w:rPr>
        <w:t>BTO</w:t>
      </w:r>
      <w:r w:rsidRPr="00467B95">
        <w:rPr>
          <w:rFonts w:ascii="Times New Roman" w:hAnsi="Times New Roman"/>
          <w:sz w:val="28"/>
          <w:szCs w:val="28"/>
        </w:rPr>
        <w:t xml:space="preserve"> (строительство – передача – эксплуатация). При реализации указанной модели ГЧП у частного партнера нет выбора правомочий, их перечень строго оговорен в концессионном соглашении. Особенностью концессионного соглашения является то, что объект принадлежит на праве собственности только публичному партнеру.</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 этом, п. 13 ст. 3 Закона о концессиях предусмотрено, что концедент вправе принимать на себя часть расходов на создание и (или) реконструкцию объекта концессионного соглашения, использование (эксплуатацию) объекта </w:t>
      </w:r>
      <w:r w:rsidRPr="00467B95">
        <w:rPr>
          <w:rFonts w:ascii="Times New Roman" w:hAnsi="Times New Roman"/>
          <w:sz w:val="28"/>
          <w:szCs w:val="28"/>
        </w:rPr>
        <w:lastRenderedPageBreak/>
        <w:t xml:space="preserve">концессионного соглашения, а также осуществлять в пользу концессионера выплаты по концессионному соглашению, если такая плата определена в качестве критерия конкурса [7].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как мы видим из приведенного выше анализа, в Российском законодательстве критерием разделения соглашений о ГЧП и концессионных соглашений является не порядок возврата вложенных частным партнером инвестиций, а передача титула на объект. </w:t>
      </w:r>
    </w:p>
    <w:p w:rsidR="00986D95" w:rsidRPr="00467B95" w:rsidRDefault="00986D95" w:rsidP="005A3DF4">
      <w:pPr>
        <w:widowControl w:val="0"/>
        <w:spacing w:after="0" w:line="240" w:lineRule="auto"/>
        <w:ind w:firstLine="709"/>
        <w:jc w:val="both"/>
        <w:rPr>
          <w:rFonts w:ascii="Times New Roman" w:hAnsi="Times New Roman"/>
          <w:sz w:val="28"/>
          <w:szCs w:val="28"/>
          <w:vertAlign w:val="subscript"/>
        </w:rPr>
      </w:pPr>
      <w:r w:rsidRPr="00467B95">
        <w:rPr>
          <w:rFonts w:ascii="Times New Roman" w:hAnsi="Times New Roman"/>
          <w:sz w:val="28"/>
          <w:szCs w:val="28"/>
        </w:rPr>
        <w:t xml:space="preserve">Несмотря на наличие двух самостоятельных законов и регулирование ими различных моделей реализации ГЧП, полагаем, что концессионные соглашения, закрепленные в Законе о концессиях, являются способом реализации ГЧП, особой моделью ГЧП, которая подробно регламентируется в отдельном федеральном законе. </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Такое же обоснование представляет Национальный центр Государственно-частного партнерства. В руководстве по применению соглашений о ГЧП указано, что с юридической точки зрения соглашения о ГЧП и концессионные соглашения являются самостоятельными правовыми институтами, рассмотрение, заключение и реализация которых регулируются отдельными законами. Однако, фактически, концессионные соглашения следует рассматривать, как одну из организационно-правовых форм ГЧП [12, с. 4].</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 исключено, что каждый новый взгляд на правовую природу ГЧП является поводом для модернизации данного института, а любое видоизменение понимания сущности ГЧП происходит в результате влияния особенностей на данный институт каждой национальной правовой системы и особенностей государственного управления. Однако полагаем, что понимание природы ГЧП и концессионных соглашений должно быть единым для всех государств, использующих данный правовой институт и необходимо гармонизация законодательства о ГЧП как на международном, так и на национальном уровнях. При этом, закрепления и реализация новых моделей ГЧП, исходя из устоявшихся правомочий частного партнера, должно поощряться.</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связи с этим полагаем, что Российское законодательство о ГЧП требует реформации следующим образом:</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Принятие единого нормативного правового акта, который будет закреплять признаки и принципы ГЧП, полномочия частного и публичного партнера, порядок распределения рисков, возврата инвестиций. В дальнейшем стороны соглашения будут самостоятельно комбинировать полномочия, которые наиболее удобные для реализации конкретного проекта.</w:t>
      </w:r>
    </w:p>
    <w:p w:rsidR="00986D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Разделения ГЧП и концессий по принципу возврата партнером вложенных инвестиций, как это сложилось в мировой практике, а не по принадлежности титула на объект.</w:t>
      </w:r>
    </w:p>
    <w:p w:rsidR="00986D95" w:rsidRPr="00856C5E" w:rsidRDefault="00986D95" w:rsidP="005A3DF4">
      <w:pPr>
        <w:widowControl w:val="0"/>
        <w:spacing w:after="0" w:line="240" w:lineRule="auto"/>
        <w:ind w:firstLine="709"/>
        <w:jc w:val="center"/>
        <w:rPr>
          <w:rFonts w:ascii="Times New Roman" w:hAnsi="Times New Roman"/>
          <w:sz w:val="28"/>
          <w:szCs w:val="28"/>
        </w:rPr>
      </w:pPr>
      <w:r w:rsidRPr="00856C5E">
        <w:rPr>
          <w:rFonts w:ascii="Times New Roman" w:hAnsi="Times New Roman"/>
          <w:sz w:val="28"/>
          <w:szCs w:val="28"/>
        </w:rPr>
        <w:t>Список использованных источников</w:t>
      </w:r>
    </w:p>
    <w:p w:rsidR="00986D95" w:rsidRPr="00856C5E" w:rsidRDefault="00986D95" w:rsidP="005A3DF4">
      <w:pPr>
        <w:widowControl w:val="0"/>
        <w:spacing w:after="0" w:line="240" w:lineRule="auto"/>
        <w:ind w:firstLine="709"/>
        <w:jc w:val="both"/>
        <w:rPr>
          <w:rFonts w:ascii="Times New Roman" w:hAnsi="Times New Roman"/>
          <w:sz w:val="28"/>
          <w:szCs w:val="28"/>
        </w:rPr>
      </w:pPr>
      <w:r w:rsidRPr="00856C5E">
        <w:rPr>
          <w:rFonts w:ascii="Times New Roman" w:hAnsi="Times New Roman"/>
          <w:sz w:val="28"/>
          <w:szCs w:val="28"/>
        </w:rPr>
        <w:t xml:space="preserve">1 В.Ф. Попондопуло, Н.А. Шевелева. Публично-частное партнерство в России и зарубежных странах: правовые аспекты. М.: Интропик Медиа. 2015. </w:t>
      </w:r>
      <w:r w:rsidRPr="00856C5E">
        <w:rPr>
          <w:rFonts w:ascii="Times New Roman" w:hAnsi="Times New Roman"/>
          <w:sz w:val="28"/>
          <w:szCs w:val="28"/>
        </w:rPr>
        <w:lastRenderedPageBreak/>
        <w:t>301 с.</w:t>
      </w:r>
    </w:p>
    <w:p w:rsidR="00986D95" w:rsidRPr="00856C5E" w:rsidRDefault="00986D95" w:rsidP="005A3DF4">
      <w:pPr>
        <w:widowControl w:val="0"/>
        <w:spacing w:after="0" w:line="240" w:lineRule="auto"/>
        <w:ind w:firstLine="709"/>
        <w:jc w:val="both"/>
        <w:rPr>
          <w:rFonts w:ascii="Times New Roman" w:hAnsi="Times New Roman"/>
          <w:sz w:val="28"/>
          <w:szCs w:val="28"/>
        </w:rPr>
      </w:pPr>
      <w:r w:rsidRPr="00856C5E">
        <w:rPr>
          <w:rFonts w:ascii="Times New Roman" w:hAnsi="Times New Roman"/>
          <w:sz w:val="28"/>
          <w:szCs w:val="28"/>
        </w:rPr>
        <w:t xml:space="preserve">2 Варнавский В.Г. Государственно-частное партнерство в России: проблемы становления [Электронный ресурс] – Режим доступа: </w:t>
      </w:r>
      <w:hyperlink r:id="rId38" w:history="1">
        <w:r w:rsidRPr="00856C5E">
          <w:rPr>
            <w:rFonts w:ascii="Times New Roman" w:hAnsi="Times New Roman"/>
            <w:sz w:val="28"/>
            <w:szCs w:val="28"/>
          </w:rPr>
          <w:t>http://www.strana-oz.ru/2004/6/gosudarstvenno-chastnoe-partnerstvo-v-rossii-problemy-stanovleniya</w:t>
        </w:r>
      </w:hyperlink>
    </w:p>
    <w:p w:rsidR="00986D95" w:rsidRPr="00856C5E" w:rsidRDefault="00986D95" w:rsidP="005A3DF4">
      <w:pPr>
        <w:widowControl w:val="0"/>
        <w:spacing w:after="0" w:line="240" w:lineRule="auto"/>
        <w:ind w:firstLine="709"/>
        <w:jc w:val="both"/>
        <w:rPr>
          <w:rFonts w:ascii="Times New Roman" w:hAnsi="Times New Roman"/>
          <w:sz w:val="28"/>
          <w:szCs w:val="28"/>
        </w:rPr>
      </w:pPr>
      <w:r w:rsidRPr="00856C5E">
        <w:rPr>
          <w:rFonts w:ascii="Times New Roman" w:hAnsi="Times New Roman"/>
          <w:sz w:val="28"/>
          <w:szCs w:val="28"/>
        </w:rPr>
        <w:t xml:space="preserve">3 Ю.Е. Туктаров, С.В. Дубинчина. Концессионные соглашения: правовая природа, сфера применения, порядок заключения и исполнения. М.: Статут. 2016. 318 с. </w:t>
      </w:r>
    </w:p>
    <w:p w:rsidR="00986D95" w:rsidRPr="00856C5E" w:rsidRDefault="00986D95" w:rsidP="005A3DF4">
      <w:pPr>
        <w:widowControl w:val="0"/>
        <w:spacing w:after="0" w:line="240" w:lineRule="auto"/>
        <w:ind w:firstLine="709"/>
        <w:jc w:val="both"/>
        <w:rPr>
          <w:rFonts w:ascii="Times New Roman" w:hAnsi="Times New Roman"/>
          <w:sz w:val="28"/>
          <w:szCs w:val="28"/>
        </w:rPr>
      </w:pPr>
      <w:r w:rsidRPr="00856C5E">
        <w:rPr>
          <w:rFonts w:ascii="Times New Roman" w:hAnsi="Times New Roman"/>
          <w:sz w:val="28"/>
          <w:szCs w:val="28"/>
        </w:rPr>
        <w:t xml:space="preserve">4 Варнавский В.Г. Новая концепция государственно-частного партнерства в Великобритании [Электронный ресурс]: Мировая экономика и международные отношения. 2014. № 8. </w:t>
      </w:r>
      <w:r w:rsidRPr="00856C5E">
        <w:rPr>
          <w:rFonts w:ascii="Times New Roman" w:hAnsi="Times New Roman"/>
          <w:sz w:val="28"/>
          <w:szCs w:val="28"/>
          <w:lang w:val="en-US"/>
        </w:rPr>
        <w:t>URL</w:t>
      </w:r>
      <w:r w:rsidRPr="00856C5E">
        <w:rPr>
          <w:rFonts w:ascii="Times New Roman" w:hAnsi="Times New Roman"/>
          <w:sz w:val="28"/>
          <w:szCs w:val="28"/>
        </w:rPr>
        <w:t xml:space="preserve">: </w:t>
      </w:r>
      <w:hyperlink r:id="rId39" w:history="1">
        <w:r w:rsidRPr="00856C5E">
          <w:rPr>
            <w:rStyle w:val="a8"/>
            <w:rFonts w:ascii="Times New Roman" w:hAnsi="Times New Roman"/>
            <w:color w:val="auto"/>
            <w:sz w:val="28"/>
            <w:szCs w:val="28"/>
            <w:u w:val="none"/>
            <w:lang w:val="en-US"/>
          </w:rPr>
          <w:t>https</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www</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imemo</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ru</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files</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File</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ru</w:t>
        </w:r>
        <w:r w:rsidRPr="00856C5E">
          <w:rPr>
            <w:rStyle w:val="a8"/>
            <w:rFonts w:ascii="Times New Roman" w:hAnsi="Times New Roman"/>
            <w:color w:val="auto"/>
            <w:sz w:val="28"/>
            <w:szCs w:val="28"/>
            <w:u w:val="none"/>
          </w:rPr>
          <w:t>/</w:t>
        </w:r>
        <w:r w:rsidRPr="00856C5E">
          <w:rPr>
            <w:rStyle w:val="a8"/>
            <w:rFonts w:ascii="Times New Roman" w:hAnsi="Times New Roman"/>
            <w:color w:val="auto"/>
            <w:sz w:val="28"/>
            <w:szCs w:val="28"/>
            <w:u w:val="none"/>
            <w:lang w:val="en-US"/>
          </w:rPr>
          <w:t>publ</w:t>
        </w:r>
        <w:r w:rsidRPr="00856C5E">
          <w:rPr>
            <w:rStyle w:val="a8"/>
            <w:rFonts w:ascii="Times New Roman" w:hAnsi="Times New Roman"/>
            <w:color w:val="auto"/>
            <w:sz w:val="28"/>
            <w:szCs w:val="28"/>
            <w:u w:val="none"/>
          </w:rPr>
          <w:t>/2014/2014_022</w:t>
        </w:r>
      </w:hyperlink>
      <w:r w:rsidRPr="00856C5E">
        <w:rPr>
          <w:rFonts w:ascii="Times New Roman" w:hAnsi="Times New Roman"/>
          <w:sz w:val="28"/>
          <w:szCs w:val="28"/>
        </w:rPr>
        <w:t>.</w:t>
      </w:r>
      <w:r w:rsidRPr="00856C5E">
        <w:rPr>
          <w:rFonts w:ascii="Times New Roman" w:hAnsi="Times New Roman"/>
          <w:sz w:val="28"/>
          <w:szCs w:val="28"/>
          <w:lang w:val="en-US"/>
        </w:rPr>
        <w:t>Pdf</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856C5E">
        <w:rPr>
          <w:rFonts w:ascii="Times New Roman" w:hAnsi="Times New Roman"/>
          <w:sz w:val="28"/>
          <w:szCs w:val="28"/>
        </w:rPr>
        <w:t>5 Казаренко К.О. Анализ зарубежного опыта формирования</w:t>
      </w:r>
      <w:r w:rsidRPr="00467B95">
        <w:rPr>
          <w:rFonts w:ascii="Times New Roman" w:hAnsi="Times New Roman"/>
          <w:sz w:val="28"/>
          <w:szCs w:val="28"/>
        </w:rPr>
        <w:t xml:space="preserve"> системы управления проектами государственно-частного партнерства // Учет и статистика. </w:t>
      </w:r>
      <w:r w:rsidRPr="00467B95">
        <w:rPr>
          <w:rFonts w:ascii="Times New Roman" w:hAnsi="Times New Roman"/>
          <w:sz w:val="28"/>
          <w:szCs w:val="28"/>
        </w:rPr>
        <w:softHyphen/>
      </w:r>
      <w:r w:rsidRPr="00467B95">
        <w:rPr>
          <w:rFonts w:ascii="Times New Roman" w:hAnsi="Times New Roman"/>
          <w:sz w:val="28"/>
          <w:szCs w:val="28"/>
        </w:rPr>
        <w:softHyphen/>
        <w:t xml:space="preserve">2017. </w:t>
      </w:r>
      <w:r w:rsidRPr="00467B95">
        <w:rPr>
          <w:rFonts w:ascii="Times New Roman" w:hAnsi="Times New Roman"/>
          <w:sz w:val="28"/>
          <w:szCs w:val="28"/>
        </w:rPr>
        <w:softHyphen/>
      </w:r>
      <w:r w:rsidRPr="00467B95">
        <w:rPr>
          <w:rFonts w:ascii="Times New Roman" w:hAnsi="Times New Roman"/>
          <w:sz w:val="28"/>
          <w:szCs w:val="28"/>
        </w:rPr>
        <w:softHyphen/>
        <w:t>№ 2 (46). С. 146-152</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[Электронный ресурс]: федеральный закон от 13.07.2015 № 224-ФЗ (ред. от 29.07.2018). Доступ из справ.-правовой системы «КонсультантПлюс»</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О концессионных соглашениях [Электронный ресурс]: федеральный закон от 21.07.2005 № 115-ФЗ (ред. от 27.12.2018). Доступ из справ.-правовой системы «КонсультантПлюс»</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8 Закон о государственно-частном партнерстве: руководство по применению [Электронный ресурс] // Национальный центр государственно-частного партнерства: [сайт]. [2019]. </w:t>
      </w:r>
      <w:r w:rsidRPr="00467B95">
        <w:rPr>
          <w:rFonts w:ascii="Times New Roman" w:hAnsi="Times New Roman"/>
          <w:sz w:val="28"/>
          <w:szCs w:val="28"/>
          <w:lang w:val="en-US"/>
        </w:rPr>
        <w:t>URL</w:t>
      </w:r>
      <w:r w:rsidRPr="00467B95">
        <w:rPr>
          <w:rFonts w:ascii="Times New Roman" w:hAnsi="Times New Roman"/>
          <w:sz w:val="28"/>
          <w:szCs w:val="28"/>
        </w:rPr>
        <w:t xml:space="preserve">: </w:t>
      </w:r>
      <w:r w:rsidRPr="00467B95">
        <w:rPr>
          <w:rFonts w:ascii="Times New Roman" w:hAnsi="Times New Roman"/>
          <w:sz w:val="28"/>
          <w:szCs w:val="28"/>
          <w:lang w:val="en-US"/>
        </w:rPr>
        <w:t>http</w:t>
      </w:r>
      <w:r w:rsidRPr="00467B95">
        <w:rPr>
          <w:rFonts w:ascii="Times New Roman" w:hAnsi="Times New Roman"/>
          <w:sz w:val="28"/>
          <w:szCs w:val="28"/>
        </w:rPr>
        <w:t>://</w:t>
      </w:r>
      <w:r w:rsidRPr="00467B95">
        <w:rPr>
          <w:rFonts w:ascii="Times New Roman" w:hAnsi="Times New Roman"/>
          <w:sz w:val="28"/>
          <w:szCs w:val="28"/>
          <w:lang w:val="en-US"/>
        </w:rPr>
        <w:t>pppcenter</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w:t>
      </w:r>
      <w:r w:rsidRPr="00467B95">
        <w:rPr>
          <w:rFonts w:ascii="Times New Roman" w:hAnsi="Times New Roman"/>
          <w:sz w:val="28"/>
          <w:szCs w:val="28"/>
          <w:lang w:val="en-US"/>
        </w:rPr>
        <w:t>assets</w:t>
      </w:r>
      <w:r w:rsidRPr="00467B95">
        <w:rPr>
          <w:rFonts w:ascii="Times New Roman" w:hAnsi="Times New Roman"/>
          <w:sz w:val="28"/>
          <w:szCs w:val="28"/>
        </w:rPr>
        <w:t>/</w:t>
      </w:r>
      <w:r w:rsidRPr="00467B95">
        <w:rPr>
          <w:rFonts w:ascii="Times New Roman" w:hAnsi="Times New Roman"/>
          <w:sz w:val="28"/>
          <w:szCs w:val="28"/>
          <w:lang w:val="en-US"/>
        </w:rPr>
        <w:t>docs</w:t>
      </w:r>
      <w:r w:rsidRPr="00467B95">
        <w:rPr>
          <w:rFonts w:ascii="Times New Roman" w:hAnsi="Times New Roman"/>
          <w:sz w:val="28"/>
          <w:szCs w:val="28"/>
        </w:rPr>
        <w:t>/</w:t>
      </w:r>
      <w:r w:rsidRPr="00467B95">
        <w:rPr>
          <w:rFonts w:ascii="Times New Roman" w:hAnsi="Times New Roman"/>
          <w:sz w:val="28"/>
          <w:szCs w:val="28"/>
          <w:lang w:val="en-US"/>
        </w:rPr>
        <w:t>Zakon</w:t>
      </w:r>
      <w:r w:rsidRPr="00467B95">
        <w:rPr>
          <w:rFonts w:ascii="Times New Roman" w:hAnsi="Times New Roman"/>
          <w:sz w:val="28"/>
          <w:szCs w:val="28"/>
        </w:rPr>
        <w:t>-</w:t>
      </w:r>
      <w:r w:rsidRPr="00467B95">
        <w:rPr>
          <w:rFonts w:ascii="Times New Roman" w:hAnsi="Times New Roman"/>
          <w:sz w:val="28"/>
          <w:szCs w:val="28"/>
          <w:lang w:val="en-US"/>
        </w:rPr>
        <w:t>Block</w:t>
      </w:r>
      <w:r w:rsidRPr="00467B95">
        <w:rPr>
          <w:rFonts w:ascii="Times New Roman" w:hAnsi="Times New Roman"/>
          <w:sz w:val="28"/>
          <w:szCs w:val="28"/>
        </w:rPr>
        <w:t>_28-09-2015_</w:t>
      </w:r>
      <w:r w:rsidRPr="00467B95">
        <w:rPr>
          <w:rFonts w:ascii="Times New Roman" w:hAnsi="Times New Roman"/>
          <w:sz w:val="28"/>
          <w:szCs w:val="28"/>
          <w:lang w:val="en-US"/>
        </w:rPr>
        <w:t>v</w:t>
      </w:r>
      <w:r w:rsidRPr="00467B95">
        <w:rPr>
          <w:rFonts w:ascii="Times New Roman" w:hAnsi="Times New Roman"/>
          <w:sz w:val="28"/>
          <w:szCs w:val="28"/>
        </w:rPr>
        <w:t>01.</w:t>
      </w:r>
      <w:r w:rsidRPr="00467B95">
        <w:rPr>
          <w:rFonts w:ascii="Times New Roman" w:hAnsi="Times New Roman"/>
          <w:sz w:val="28"/>
          <w:szCs w:val="28"/>
          <w:lang w:val="en-US"/>
        </w:rPr>
        <w:t>pdf</w:t>
      </w:r>
    </w:p>
    <w:p w:rsidR="00986D95" w:rsidRPr="00467B95" w:rsidRDefault="00986D95" w:rsidP="005A3DF4">
      <w:pPr>
        <w:widowControl w:val="0"/>
        <w:spacing w:after="0" w:line="240" w:lineRule="auto"/>
        <w:ind w:firstLine="709"/>
        <w:rPr>
          <w:rFonts w:ascii="Times New Roman" w:hAnsi="Times New Roman"/>
          <w:sz w:val="28"/>
          <w:szCs w:val="28"/>
        </w:rPr>
      </w:pPr>
    </w:p>
    <w:p w:rsidR="00986D95" w:rsidRPr="00467B95" w:rsidRDefault="00986D95"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Реторсии и репрессалии в международном частном праве</w:t>
      </w:r>
    </w:p>
    <w:p w:rsidR="00986D95" w:rsidRPr="00467B95" w:rsidRDefault="00986D95" w:rsidP="005A3DF4">
      <w:pPr>
        <w:widowControl w:val="0"/>
        <w:spacing w:after="0" w:line="240" w:lineRule="auto"/>
        <w:ind w:firstLine="709"/>
        <w:jc w:val="center"/>
        <w:rPr>
          <w:rFonts w:ascii="Times New Roman" w:hAnsi="Times New Roman"/>
          <w:sz w:val="28"/>
          <w:szCs w:val="28"/>
          <w:lang w:eastAsia="ru-RU"/>
        </w:rPr>
      </w:pPr>
    </w:p>
    <w:p w:rsidR="00986D95" w:rsidRPr="00467B95" w:rsidRDefault="00986D95" w:rsidP="005A3DF4">
      <w:pPr>
        <w:widowControl w:val="0"/>
        <w:spacing w:after="0" w:line="240" w:lineRule="auto"/>
        <w:ind w:firstLine="709"/>
        <w:jc w:val="center"/>
        <w:rPr>
          <w:rFonts w:ascii="Times New Roman" w:hAnsi="Times New Roman"/>
          <w:sz w:val="28"/>
          <w:szCs w:val="28"/>
          <w:lang w:eastAsia="ru-RU"/>
        </w:rPr>
      </w:pPr>
      <w:r w:rsidRPr="00467B95">
        <w:rPr>
          <w:rFonts w:ascii="Times New Roman" w:hAnsi="Times New Roman"/>
          <w:sz w:val="28"/>
          <w:szCs w:val="28"/>
          <w:lang w:eastAsia="ru-RU"/>
        </w:rPr>
        <w:t>Лазарев Вячеслав Андреевич</w:t>
      </w:r>
    </w:p>
    <w:p w:rsidR="00986D95" w:rsidRPr="00467B95" w:rsidRDefault="00986D95" w:rsidP="005A3DF4">
      <w:pPr>
        <w:widowControl w:val="0"/>
        <w:spacing w:after="0" w:line="240" w:lineRule="auto"/>
        <w:ind w:firstLine="709"/>
        <w:jc w:val="center"/>
        <w:rPr>
          <w:rFonts w:ascii="Times New Roman" w:hAnsi="Times New Roman"/>
          <w:sz w:val="28"/>
          <w:szCs w:val="28"/>
          <w:lang w:eastAsia="ru-RU"/>
        </w:rPr>
      </w:pPr>
      <w:r w:rsidRPr="00467B95">
        <w:rPr>
          <w:rFonts w:ascii="Times New Roman" w:hAnsi="Times New Roman"/>
          <w:sz w:val="28"/>
          <w:szCs w:val="28"/>
          <w:lang w:eastAsia="ru-RU"/>
        </w:rPr>
        <w:t>Студент</w:t>
      </w:r>
    </w:p>
    <w:p w:rsidR="00986D95" w:rsidRPr="00856C5E" w:rsidRDefault="00DC1F7E" w:rsidP="005A3DF4">
      <w:pPr>
        <w:widowControl w:val="0"/>
        <w:spacing w:after="0" w:line="240" w:lineRule="auto"/>
        <w:ind w:firstLine="709"/>
        <w:jc w:val="center"/>
        <w:rPr>
          <w:rFonts w:ascii="Times New Roman" w:hAnsi="Times New Roman"/>
          <w:sz w:val="28"/>
          <w:szCs w:val="28"/>
          <w:lang w:eastAsia="ru-RU"/>
        </w:rPr>
      </w:pPr>
      <w:hyperlink r:id="rId40" w:history="1">
        <w:r w:rsidR="00986D95" w:rsidRPr="00856C5E">
          <w:rPr>
            <w:rStyle w:val="a8"/>
            <w:rFonts w:ascii="Times New Roman" w:hAnsi="Times New Roman"/>
            <w:color w:val="auto"/>
            <w:sz w:val="28"/>
            <w:szCs w:val="28"/>
            <w:u w:val="none"/>
            <w:lang w:val="en-US" w:eastAsia="ru-RU"/>
          </w:rPr>
          <w:t>vlazarevph</w:t>
        </w:r>
        <w:r w:rsidR="00986D95" w:rsidRPr="00856C5E">
          <w:rPr>
            <w:rStyle w:val="a8"/>
            <w:rFonts w:ascii="Times New Roman" w:hAnsi="Times New Roman"/>
            <w:color w:val="auto"/>
            <w:sz w:val="28"/>
            <w:szCs w:val="28"/>
            <w:u w:val="none"/>
            <w:lang w:eastAsia="ru-RU"/>
          </w:rPr>
          <w:t>@</w:t>
        </w:r>
        <w:r w:rsidR="00986D95" w:rsidRPr="00856C5E">
          <w:rPr>
            <w:rStyle w:val="a8"/>
            <w:rFonts w:ascii="Times New Roman" w:hAnsi="Times New Roman"/>
            <w:color w:val="auto"/>
            <w:sz w:val="28"/>
            <w:szCs w:val="28"/>
            <w:u w:val="none"/>
            <w:lang w:val="en-US" w:eastAsia="ru-RU"/>
          </w:rPr>
          <w:t>gmail</w:t>
        </w:r>
        <w:r w:rsidR="00986D95" w:rsidRPr="00856C5E">
          <w:rPr>
            <w:rStyle w:val="a8"/>
            <w:rFonts w:ascii="Times New Roman" w:hAnsi="Times New Roman"/>
            <w:color w:val="auto"/>
            <w:sz w:val="28"/>
            <w:szCs w:val="28"/>
            <w:u w:val="none"/>
            <w:lang w:eastAsia="ru-RU"/>
          </w:rPr>
          <w:t>.</w:t>
        </w:r>
        <w:r w:rsidR="00986D95" w:rsidRPr="00856C5E">
          <w:rPr>
            <w:rStyle w:val="a8"/>
            <w:rFonts w:ascii="Times New Roman" w:hAnsi="Times New Roman"/>
            <w:color w:val="auto"/>
            <w:sz w:val="28"/>
            <w:szCs w:val="28"/>
            <w:u w:val="none"/>
            <w:lang w:val="en-US" w:eastAsia="ru-RU"/>
          </w:rPr>
          <w:t>com</w:t>
        </w:r>
      </w:hyperlink>
    </w:p>
    <w:p w:rsidR="00986D95" w:rsidRPr="00856C5E" w:rsidRDefault="00986D95" w:rsidP="005A3DF4">
      <w:pPr>
        <w:widowControl w:val="0"/>
        <w:spacing w:after="0" w:line="240" w:lineRule="auto"/>
        <w:ind w:firstLine="709"/>
        <w:jc w:val="center"/>
        <w:rPr>
          <w:rFonts w:ascii="Times New Roman" w:hAnsi="Times New Roman"/>
          <w:sz w:val="28"/>
          <w:szCs w:val="28"/>
          <w:lang w:eastAsia="ru-RU"/>
        </w:rPr>
      </w:pPr>
      <w:r w:rsidRPr="00856C5E">
        <w:rPr>
          <w:rFonts w:ascii="Times New Roman" w:hAnsi="Times New Roman"/>
          <w:sz w:val="28"/>
          <w:szCs w:val="28"/>
          <w:lang w:eastAsia="ru-RU"/>
        </w:rPr>
        <w:t>+7(963)940-96-79</w:t>
      </w:r>
    </w:p>
    <w:p w:rsidR="00986D95" w:rsidRPr="00467B95" w:rsidRDefault="00986D95" w:rsidP="005A3DF4">
      <w:pPr>
        <w:widowControl w:val="0"/>
        <w:spacing w:after="0" w:line="240" w:lineRule="auto"/>
        <w:ind w:firstLine="709"/>
        <w:jc w:val="center"/>
        <w:rPr>
          <w:rFonts w:ascii="Times New Roman" w:hAnsi="Times New Roman"/>
          <w:sz w:val="28"/>
          <w:szCs w:val="28"/>
          <w:lang w:eastAsia="ru-RU"/>
        </w:rPr>
      </w:pPr>
      <w:r w:rsidRPr="00856C5E">
        <w:rPr>
          <w:rFonts w:ascii="Times New Roman" w:hAnsi="Times New Roman"/>
          <w:sz w:val="28"/>
          <w:szCs w:val="28"/>
          <w:lang w:eastAsia="ru-RU"/>
        </w:rPr>
        <w:t>ФГБОУ ВО «Владивостокский Г</w:t>
      </w:r>
      <w:r w:rsidRPr="00467B95">
        <w:rPr>
          <w:rFonts w:ascii="Times New Roman" w:hAnsi="Times New Roman"/>
          <w:sz w:val="28"/>
          <w:szCs w:val="28"/>
          <w:lang w:eastAsia="ru-RU"/>
        </w:rPr>
        <w:t>осударственный Университет Экономики и Сервиса»</w:t>
      </w:r>
    </w:p>
    <w:p w:rsidR="00986D95" w:rsidRPr="00467B95" w:rsidRDefault="00986D95" w:rsidP="005A3DF4">
      <w:pPr>
        <w:widowControl w:val="0"/>
        <w:spacing w:after="0" w:line="240" w:lineRule="auto"/>
        <w:ind w:firstLine="709"/>
        <w:jc w:val="right"/>
        <w:rPr>
          <w:rFonts w:ascii="Times New Roman" w:hAnsi="Times New Roman"/>
          <w:sz w:val="28"/>
          <w:szCs w:val="28"/>
          <w:lang w:eastAsia="ru-RU"/>
        </w:rPr>
      </w:pPr>
    </w:p>
    <w:p w:rsidR="00986D95" w:rsidRPr="00856C5E" w:rsidRDefault="00986D95" w:rsidP="005A3DF4">
      <w:pPr>
        <w:widowControl w:val="0"/>
        <w:spacing w:after="0" w:line="240" w:lineRule="auto"/>
        <w:ind w:firstLine="709"/>
        <w:jc w:val="both"/>
        <w:rPr>
          <w:rFonts w:ascii="Times New Roman" w:hAnsi="Times New Roman"/>
          <w:i/>
          <w:sz w:val="28"/>
          <w:szCs w:val="28"/>
          <w:lang w:eastAsia="ru-RU"/>
        </w:rPr>
      </w:pPr>
      <w:r w:rsidRPr="00856C5E">
        <w:rPr>
          <w:rFonts w:ascii="Times New Roman" w:hAnsi="Times New Roman"/>
          <w:i/>
          <w:sz w:val="28"/>
          <w:szCs w:val="28"/>
          <w:lang w:eastAsia="ru-RU"/>
        </w:rPr>
        <w:t>Аннотация:</w:t>
      </w:r>
      <w:r w:rsidRPr="00856C5E">
        <w:rPr>
          <w:rFonts w:ascii="Times New Roman" w:hAnsi="Times New Roman"/>
          <w:b/>
          <w:i/>
          <w:sz w:val="28"/>
          <w:szCs w:val="28"/>
          <w:lang w:eastAsia="ru-RU"/>
        </w:rPr>
        <w:t xml:space="preserve"> </w:t>
      </w:r>
      <w:r w:rsidRPr="00856C5E">
        <w:rPr>
          <w:rFonts w:ascii="Times New Roman" w:hAnsi="Times New Roman"/>
          <w:i/>
          <w:sz w:val="28"/>
          <w:szCs w:val="28"/>
          <w:lang w:eastAsia="ru-RU"/>
        </w:rPr>
        <w:t xml:space="preserve">В данной работе автором проведено исследование термином «реторсия» и «репрессалия», а также проведено их разграничение и рассмотрена практика их применения. Актуальность данной работы обосновывается современными условиями, напрямую связанными с политической деятельностью государств и их внешнеэкономической деятельностью. В силу сближения государств в политических и экономических отношениях нередко происходят экономические споры, а </w:t>
      </w:r>
      <w:r w:rsidRPr="00856C5E">
        <w:rPr>
          <w:rFonts w:ascii="Times New Roman" w:hAnsi="Times New Roman"/>
          <w:i/>
          <w:sz w:val="28"/>
          <w:szCs w:val="28"/>
          <w:lang w:eastAsia="ru-RU"/>
        </w:rPr>
        <w:lastRenderedPageBreak/>
        <w:t>также политические конфликты, которые, в свою очередь, способствуют ограничению гражданских прав граждан на территории иностранных государств. В правовой и научной литературе не содержится разграничение данных терминов, а также понятия «репрессалий», поэтому для проведения исследования было произведено изучение международных документов. Методологическую основу исследования составили: формально-логический и сравнительно-правовой методы. В данной работе был изучен термин «гражданские права», способы и основания ограничения гражданских прав иностранных граждан, понятия «реторсия», «репрессалий» и «контрмеры». После чего был проведет сравнительно-правовой анализ реторсий и репрессалий, посредством чего было произведено их разграничение, что позволило рассмотреть правоприменительную практику. В качестве вывода автором было сделано заключение, что данные меры имеют широкий характер применения и являются актуальными в настоящее время, в следствие чего является необходимым разграничение данных мер на правовом уровне.</w:t>
      </w:r>
    </w:p>
    <w:p w:rsidR="00986D95" w:rsidRPr="00856C5E" w:rsidRDefault="00986D95" w:rsidP="005A3DF4">
      <w:pPr>
        <w:widowControl w:val="0"/>
        <w:spacing w:after="0" w:line="240" w:lineRule="auto"/>
        <w:ind w:firstLine="709"/>
        <w:jc w:val="both"/>
        <w:rPr>
          <w:rFonts w:ascii="Times New Roman" w:hAnsi="Times New Roman"/>
          <w:i/>
          <w:sz w:val="28"/>
          <w:szCs w:val="28"/>
          <w:lang w:eastAsia="ru-RU"/>
        </w:rPr>
      </w:pPr>
      <w:r w:rsidRPr="00856C5E">
        <w:rPr>
          <w:rFonts w:ascii="Times New Roman" w:hAnsi="Times New Roman"/>
          <w:i/>
          <w:sz w:val="28"/>
          <w:szCs w:val="28"/>
          <w:lang w:eastAsia="ru-RU"/>
        </w:rPr>
        <w:t>Ключевые слова:</w:t>
      </w:r>
      <w:r w:rsidRPr="00856C5E">
        <w:rPr>
          <w:rFonts w:ascii="Times New Roman" w:hAnsi="Times New Roman"/>
          <w:b/>
          <w:i/>
          <w:sz w:val="28"/>
          <w:szCs w:val="28"/>
          <w:lang w:eastAsia="ru-RU"/>
        </w:rPr>
        <w:t xml:space="preserve"> </w:t>
      </w:r>
      <w:r w:rsidRPr="00856C5E">
        <w:rPr>
          <w:rFonts w:ascii="Times New Roman" w:hAnsi="Times New Roman"/>
          <w:i/>
          <w:sz w:val="28"/>
          <w:szCs w:val="28"/>
          <w:lang w:eastAsia="ru-RU"/>
        </w:rPr>
        <w:t>реторсии, репрессалии, контрмеры, ограничение гражданских прав, иностранные граждане.</w:t>
      </w:r>
    </w:p>
    <w:p w:rsidR="00986D95" w:rsidRPr="00856C5E" w:rsidRDefault="00986D95" w:rsidP="005A3DF4">
      <w:pPr>
        <w:widowControl w:val="0"/>
        <w:spacing w:after="0" w:line="240" w:lineRule="auto"/>
        <w:ind w:firstLine="709"/>
        <w:jc w:val="both"/>
        <w:rPr>
          <w:rFonts w:ascii="Times New Roman" w:hAnsi="Times New Roman"/>
          <w:b/>
          <w:i/>
          <w:sz w:val="28"/>
          <w:szCs w:val="28"/>
          <w:lang w:eastAsia="ru-RU"/>
        </w:rPr>
      </w:pPr>
    </w:p>
    <w:p w:rsidR="00986D95" w:rsidRPr="00856C5E" w:rsidRDefault="00986D95" w:rsidP="005A3DF4">
      <w:pPr>
        <w:widowControl w:val="0"/>
        <w:spacing w:after="0" w:line="240" w:lineRule="auto"/>
        <w:ind w:firstLine="709"/>
        <w:jc w:val="center"/>
        <w:rPr>
          <w:rFonts w:ascii="Times New Roman" w:hAnsi="Times New Roman"/>
          <w:b/>
          <w:i/>
          <w:sz w:val="28"/>
          <w:szCs w:val="28"/>
          <w:lang w:val="en-US" w:eastAsia="ru-RU"/>
        </w:rPr>
      </w:pPr>
      <w:r w:rsidRPr="00856C5E">
        <w:rPr>
          <w:rFonts w:ascii="Times New Roman" w:hAnsi="Times New Roman"/>
          <w:b/>
          <w:i/>
          <w:sz w:val="28"/>
          <w:szCs w:val="28"/>
          <w:lang w:val="en-US" w:eastAsia="ru-RU"/>
        </w:rPr>
        <w:t>Retortions and retaliations in a private international law</w:t>
      </w:r>
    </w:p>
    <w:p w:rsidR="00986D95" w:rsidRPr="005542CD" w:rsidRDefault="00986D95" w:rsidP="005A3DF4">
      <w:pPr>
        <w:widowControl w:val="0"/>
        <w:spacing w:after="0" w:line="240" w:lineRule="auto"/>
        <w:ind w:firstLine="709"/>
        <w:jc w:val="center"/>
        <w:rPr>
          <w:rFonts w:ascii="Times New Roman" w:hAnsi="Times New Roman"/>
          <w:b/>
          <w:i/>
          <w:sz w:val="28"/>
          <w:szCs w:val="28"/>
          <w:lang w:val="en-US" w:eastAsia="ru-RU"/>
        </w:rPr>
      </w:pPr>
    </w:p>
    <w:p w:rsidR="00986D95" w:rsidRPr="00856C5E" w:rsidRDefault="00986D95" w:rsidP="005A3DF4">
      <w:pPr>
        <w:widowControl w:val="0"/>
        <w:spacing w:after="0" w:line="240" w:lineRule="auto"/>
        <w:ind w:firstLine="709"/>
        <w:jc w:val="center"/>
        <w:rPr>
          <w:rFonts w:ascii="Times New Roman" w:hAnsi="Times New Roman"/>
          <w:i/>
          <w:sz w:val="28"/>
          <w:szCs w:val="28"/>
          <w:lang w:val="en-US" w:eastAsia="ru-RU"/>
        </w:rPr>
      </w:pPr>
      <w:r w:rsidRPr="00856C5E">
        <w:rPr>
          <w:rFonts w:ascii="Times New Roman" w:hAnsi="Times New Roman"/>
          <w:i/>
          <w:sz w:val="28"/>
          <w:szCs w:val="28"/>
          <w:lang w:val="en-US" w:eastAsia="ru-RU"/>
        </w:rPr>
        <w:t>Lazarev Vyacheslav Andreevich</w:t>
      </w:r>
    </w:p>
    <w:p w:rsidR="00986D95" w:rsidRPr="00856C5E" w:rsidRDefault="00986D95" w:rsidP="005A3DF4">
      <w:pPr>
        <w:widowControl w:val="0"/>
        <w:spacing w:after="0" w:line="240" w:lineRule="auto"/>
        <w:ind w:firstLine="709"/>
        <w:jc w:val="right"/>
        <w:rPr>
          <w:rFonts w:ascii="Times New Roman" w:hAnsi="Times New Roman"/>
          <w:i/>
          <w:sz w:val="28"/>
          <w:szCs w:val="28"/>
          <w:lang w:val="en-US" w:eastAsia="ru-RU"/>
        </w:rPr>
      </w:pPr>
    </w:p>
    <w:p w:rsidR="00986D95" w:rsidRPr="00856C5E" w:rsidRDefault="00986D95" w:rsidP="005A3DF4">
      <w:pPr>
        <w:widowControl w:val="0"/>
        <w:spacing w:after="0" w:line="240" w:lineRule="auto"/>
        <w:ind w:firstLine="709"/>
        <w:jc w:val="both"/>
        <w:rPr>
          <w:rFonts w:ascii="Times New Roman" w:hAnsi="Times New Roman"/>
          <w:i/>
          <w:sz w:val="28"/>
          <w:szCs w:val="28"/>
          <w:lang w:val="en-US" w:eastAsia="ru-RU"/>
        </w:rPr>
      </w:pPr>
      <w:r w:rsidRPr="00856C5E">
        <w:rPr>
          <w:rFonts w:ascii="Times New Roman" w:hAnsi="Times New Roman"/>
          <w:i/>
          <w:sz w:val="28"/>
          <w:szCs w:val="28"/>
          <w:lang w:val="en-US" w:eastAsia="ru-RU"/>
        </w:rPr>
        <w:t>Abstract:</w:t>
      </w:r>
      <w:r w:rsidRPr="00856C5E">
        <w:rPr>
          <w:rFonts w:ascii="Times New Roman" w:hAnsi="Times New Roman"/>
          <w:b/>
          <w:i/>
          <w:sz w:val="28"/>
          <w:szCs w:val="28"/>
          <w:lang w:val="en-US" w:eastAsia="ru-RU"/>
        </w:rPr>
        <w:t xml:space="preserve"> </w:t>
      </w:r>
      <w:r w:rsidRPr="00856C5E">
        <w:rPr>
          <w:rFonts w:ascii="Times New Roman" w:hAnsi="Times New Roman"/>
          <w:i/>
          <w:sz w:val="28"/>
          <w:szCs w:val="28"/>
          <w:lang w:val="en-US" w:eastAsia="ru-RU"/>
        </w:rPr>
        <w:t>In this work, the author of the study, the term "retaliation" and "reprisal", and carried out their distribution, and considered their practical application. The relevance of this work is justified by modern conditions directly related to the political activities of States and their foreign economic activity. Due to the rapprochement of States in political and economic relations, economic disputes and political conflicts often occur, which in turn contribute to the restriction of civil rights of citizens in the territory of foreign States. In the legal and scientific literature does not contain a distinction between these terms, as well as the concept of "reprisals", so for the study was made the study of international instruments. The methodological basis of the study was: formal-logical and comparative legal methods. In this paper we studied the term "civil rights", methods and grounds for limiting the civil rights of foreign citizens, the concept of "retorsion", "reprisals" and "countermeasures". After that, a comparative legal analysis of retorts and reprisals was carried out, by means of which their differentiation was made, which made it possible to consider law enforcement practice. As a conclusion, the author concluded that these measures have a wide scope of application and are relevant at the present time, which is why it is necessary to distinguish these measures at the legal level.</w:t>
      </w:r>
    </w:p>
    <w:p w:rsidR="00986D95" w:rsidRPr="00856C5E" w:rsidRDefault="00986D95" w:rsidP="005A3DF4">
      <w:pPr>
        <w:widowControl w:val="0"/>
        <w:spacing w:after="0" w:line="240" w:lineRule="auto"/>
        <w:ind w:firstLine="709"/>
        <w:jc w:val="both"/>
        <w:rPr>
          <w:rFonts w:ascii="Times New Roman" w:hAnsi="Times New Roman"/>
          <w:i/>
          <w:sz w:val="28"/>
          <w:szCs w:val="28"/>
          <w:lang w:val="en-US" w:eastAsia="ru-RU"/>
        </w:rPr>
      </w:pPr>
      <w:r w:rsidRPr="00856C5E">
        <w:rPr>
          <w:rFonts w:ascii="Times New Roman" w:hAnsi="Times New Roman"/>
          <w:i/>
          <w:sz w:val="28"/>
          <w:szCs w:val="28"/>
          <w:lang w:val="en-US" w:eastAsia="ru-RU"/>
        </w:rPr>
        <w:t>Key words: retortions, retaliations, counter-measures, restriction of the civil rights, foreign citizens.</w:t>
      </w:r>
    </w:p>
    <w:p w:rsidR="00986D95" w:rsidRPr="005542CD" w:rsidRDefault="00986D95" w:rsidP="005A3DF4">
      <w:pPr>
        <w:widowControl w:val="0"/>
        <w:spacing w:after="0" w:line="240" w:lineRule="auto"/>
        <w:ind w:firstLine="709"/>
        <w:jc w:val="both"/>
        <w:rPr>
          <w:rFonts w:ascii="Times New Roman" w:hAnsi="Times New Roman"/>
          <w:sz w:val="28"/>
          <w:szCs w:val="28"/>
          <w:lang w:val="en-US" w:eastAsia="ru-RU"/>
        </w:rPr>
      </w:pPr>
      <w:r w:rsidRPr="00467B95">
        <w:rPr>
          <w:rFonts w:ascii="Times New Roman" w:hAnsi="Times New Roman"/>
          <w:sz w:val="28"/>
          <w:szCs w:val="28"/>
          <w:lang w:val="en-US" w:eastAsia="ru-RU"/>
        </w:rPr>
        <w:tab/>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lastRenderedPageBreak/>
        <w:t>Актуальность данной работы обосновывается современными условиями, напрямую связанными с политической деятельностью государств и их внешнеэкономической деятельностью. В силу сближения государств в политических и экономических отношениях нередко происходят экономические споры, а также политические конфликты, которые, в свою очередь, способствуют ограничению гражданских прав граждан на территории иностранных государств.</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Целью работы является рассмотрение терминов «реторсии» и «репрессалии» в международном частном праве, а также практику их применения.</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Для достижения указанной цели необходимо решить следующие задачи: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дать понятие гражданских прав и иностранных граждан;</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определить основания и способы ограничения гражданских прав;</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дать характеристику реторсий и репрессалий в международном частном праве;</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раскрыть содержание терминов «реторсии» и «репрессалии», а также провести сравнительно-правовой анализ;</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привести примеры реторсий и репрессалий в международном частном праве.</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Предмет рассмотрения работы составляют правовые акты, ограничивающие гражданские права российских и иностранных граждан, а также нормативно-правовые акты в сфере применения ответных мер в международном частном праве.</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Методологическую основу исследования составили: формально-логический и сравнительно-правовой методы.</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Для дальнейшего рассмотрения терминов «реторсии» и «репрессалии» требуется обратиться к термину «контрмеры». Следует проанализировать этот термин, встречающийся в международном документах, национальном законодательстве Российской Федерации и научной литературе.</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Термин «контрмеры» является общим и включает в себя термины «реторсии» и «репрессалии», поэтому рассмотрение данного термина является необходимым для дальнейшего изучения реторсий и репрессалий.</w:t>
      </w:r>
    </w:p>
    <w:p w:rsidR="00986D95" w:rsidRPr="007D372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В Резолюции Генеральной Ассамблеи ООН от 12 декабря 2001 года № 56/83 «Ответственность государств за международно-противоправные деяния» сказано: «Потерпевшее государство может принимать контрмеры против государства, ответственного за международно-противоправное деяние, </w:t>
      </w:r>
      <w:r w:rsidRPr="007D3725">
        <w:rPr>
          <w:rFonts w:ascii="Times New Roman" w:hAnsi="Times New Roman"/>
          <w:sz w:val="28"/>
          <w:szCs w:val="28"/>
          <w:lang w:eastAsia="ru-RU"/>
        </w:rPr>
        <w:t>только с целью побудить это государство выполнить его обязательства» [</w:t>
      </w:r>
      <w:r w:rsidRPr="007D3725">
        <w:rPr>
          <w:rStyle w:val="a8"/>
          <w:rFonts w:ascii="Times New Roman" w:hAnsi="Times New Roman"/>
          <w:color w:val="auto"/>
          <w:sz w:val="28"/>
          <w:szCs w:val="28"/>
          <w:u w:val="none"/>
          <w:lang w:eastAsia="ru-RU"/>
        </w:rPr>
        <w:t>7</w:t>
      </w:r>
      <w:r w:rsidRPr="007D3725">
        <w:rPr>
          <w:rFonts w:ascii="Times New Roman" w:hAnsi="Times New Roman"/>
          <w:sz w:val="28"/>
          <w:szCs w:val="28"/>
          <w:lang w:eastAsia="ru-RU"/>
        </w:rPr>
        <w:t>].</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Исходя из содержания этого документа можно выделить признаки контрмер:</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1) контрмеры применяет потерпевшее государство;</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2) контрмеры применяются в отношении другого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3) контрмеры применяются за совершение международно-правового </w:t>
      </w:r>
      <w:r w:rsidRPr="00467B95">
        <w:rPr>
          <w:rFonts w:ascii="Times New Roman" w:hAnsi="Times New Roman"/>
          <w:sz w:val="28"/>
          <w:szCs w:val="28"/>
          <w:lang w:eastAsia="ru-RU"/>
        </w:rPr>
        <w:lastRenderedPageBreak/>
        <w:t>деяния;</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4) контрмеры применяются в качестве меры ответственности;</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5) контрмеры применяются с целью восстановления нарушенного права.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Исходя из данной формулировки можно выяснить, что данные меры применяются потерпевшим государством в отношении государства, совершившего международно-правовые деяния, с целью восстановления нарушенного права.</w:t>
      </w:r>
    </w:p>
    <w:p w:rsidR="00986D95" w:rsidRPr="007D372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Также в статье 22 вышеупомянутой резолюции закреплено: «Противоправность деяния государства, не соответствующего международно-правовому обязательству этого государства в отношении другого государства, исключается, если в той мере, в какой это деяние является контрмерой, принятой против последнего государства» [</w:t>
      </w:r>
      <w:r w:rsidRPr="00467B95">
        <w:rPr>
          <w:rStyle w:val="a8"/>
          <w:rFonts w:ascii="Times New Roman" w:hAnsi="Times New Roman"/>
          <w:sz w:val="28"/>
          <w:szCs w:val="28"/>
          <w:lang w:eastAsia="ru-RU"/>
        </w:rPr>
        <w:t>7</w:t>
      </w:r>
      <w:r w:rsidRPr="00467B95">
        <w:rPr>
          <w:rFonts w:ascii="Times New Roman" w:hAnsi="Times New Roman"/>
          <w:sz w:val="28"/>
          <w:szCs w:val="28"/>
          <w:lang w:eastAsia="ru-RU"/>
        </w:rPr>
        <w:t xml:space="preserve">], а также в статье 51 резолюции закреплено: «Контрмеры должны быть соразмерны причиненному вреду с учетом тяжести международно-противоправного деяния и затронутых </w:t>
      </w:r>
      <w:r w:rsidRPr="00856C5E">
        <w:rPr>
          <w:rFonts w:ascii="Times New Roman" w:hAnsi="Times New Roman"/>
          <w:sz w:val="28"/>
          <w:szCs w:val="28"/>
          <w:lang w:eastAsia="ru-RU"/>
        </w:rPr>
        <w:t>прав</w:t>
      </w:r>
      <w:r w:rsidRPr="007D3725">
        <w:rPr>
          <w:rFonts w:ascii="Times New Roman" w:hAnsi="Times New Roman"/>
          <w:sz w:val="28"/>
          <w:szCs w:val="28"/>
          <w:lang w:eastAsia="ru-RU"/>
        </w:rPr>
        <w:t>» [</w:t>
      </w:r>
      <w:r w:rsidRPr="007D3725">
        <w:rPr>
          <w:rStyle w:val="a8"/>
          <w:rFonts w:ascii="Times New Roman" w:hAnsi="Times New Roman"/>
          <w:color w:val="auto"/>
          <w:sz w:val="28"/>
          <w:szCs w:val="28"/>
          <w:u w:val="none"/>
          <w:lang w:eastAsia="ru-RU"/>
        </w:rPr>
        <w:t>7</w:t>
      </w:r>
      <w:r w:rsidRPr="007D3725">
        <w:rPr>
          <w:rFonts w:ascii="Times New Roman" w:hAnsi="Times New Roman"/>
          <w:sz w:val="28"/>
          <w:szCs w:val="28"/>
          <w:lang w:eastAsia="ru-RU"/>
        </w:rPr>
        <w:t>].</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Исходя из этого можно выделить следующие признаки:</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1) контрмеры применяются за совершения противоправного деяния;</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2) противоправность деяния заключается в нарушении международно-правового обязательства в отношении другого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3) исключается международно-правовая ответственность государства за деяния, являющиеся контрмерой;</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4) контрмеры должны нести соразмерный характер.</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Исходя из положений данной статьи можно выделить, что контрмеры применяются в ответ на противоправные деяния со стороны другого государства, выражающиеся в нарушении международно-правового обязательства, и должны нести соразмерный характер.</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Также И.И. Лукащук</w:t>
      </w:r>
      <w:r w:rsidRPr="00467B95">
        <w:rPr>
          <w:rStyle w:val="af"/>
          <w:rFonts w:ascii="Times New Roman" w:hAnsi="Times New Roman"/>
          <w:sz w:val="28"/>
          <w:szCs w:val="28"/>
        </w:rPr>
        <w:t xml:space="preserve"> в</w:t>
      </w:r>
      <w:r w:rsidRPr="00467B95">
        <w:rPr>
          <w:rFonts w:ascii="Times New Roman" w:hAnsi="Times New Roman"/>
          <w:sz w:val="28"/>
          <w:szCs w:val="28"/>
          <w:lang w:eastAsia="ru-RU"/>
        </w:rPr>
        <w:t xml:space="preserve"> своей работе «Право международной ответственности» рассматривает термин «санкции». Автор указывает следующее: «Традиционный термин «санкции» довольно длительное время использовался и Комиссией международного права ООН в ходе работы над темой об ответственности. Лишь на завершающем этапе было решено заменить его более соответствующим природе международного права термином «контрмеры»» [6]. </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Также автор отмечает: «Мы приходим к выводу, что в прошлом понятием «санкции» охватывались все меры принуждения в отношении правонарушителя. Ныне утверждается понятие санкций как принудительных мер, предпринимаемых к правонарушителю в целях побуждения его к выполнению обязательств, вытекающих из правоотношения ответственности» [6].</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И.И. Лукашук выделил следующие признаки контрмер:</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1) контрмеры применяются в ответ на нарушение международно-правовых обязательств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2) контрмеры применяются с целью принуждения выполнения </w:t>
      </w:r>
      <w:r w:rsidRPr="00467B95">
        <w:rPr>
          <w:rFonts w:ascii="Times New Roman" w:hAnsi="Times New Roman"/>
          <w:sz w:val="28"/>
          <w:szCs w:val="28"/>
          <w:lang w:eastAsia="ru-RU"/>
        </w:rPr>
        <w:lastRenderedPageBreak/>
        <w:t>обязательств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3) контрмеры несут в себе принудительный характер.</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Исходя из суждений вышеуказанного автора можно сделать вывод, что термин «санкции» был заменен на «контрмеры», так как данные меры являются мерой реагирования на нарушение международно-правовых обязательств государства, а также применяются с целью принуждения выполнения обязательств последнего.</w:t>
      </w:r>
    </w:p>
    <w:p w:rsidR="00986D95" w:rsidRPr="00467B95" w:rsidRDefault="00986D95" w:rsidP="005A3DF4">
      <w:pPr>
        <w:widowControl w:val="0"/>
        <w:spacing w:after="0" w:line="240" w:lineRule="auto"/>
        <w:ind w:firstLine="709"/>
        <w:jc w:val="both"/>
        <w:rPr>
          <w:rFonts w:ascii="Times New Roman" w:hAnsi="Times New Roman"/>
          <w:color w:val="FF0000"/>
          <w:sz w:val="28"/>
          <w:szCs w:val="28"/>
          <w:shd w:val="clear" w:color="auto" w:fill="FFFFFF"/>
        </w:rPr>
      </w:pPr>
      <w:r w:rsidRPr="00467B95">
        <w:rPr>
          <w:rFonts w:ascii="Times New Roman" w:hAnsi="Times New Roman"/>
          <w:sz w:val="28"/>
          <w:szCs w:val="28"/>
        </w:rPr>
        <w:t>Легальное понятие реторсии дано в Гражданском кодексе Российской Федерации в статье 1194: «</w:t>
      </w:r>
      <w:r w:rsidRPr="00467B95">
        <w:rPr>
          <w:rFonts w:ascii="Times New Roman" w:hAnsi="Times New Roman"/>
          <w:sz w:val="28"/>
          <w:szCs w:val="28"/>
          <w:shd w:val="clear" w:color="auto" w:fill="FFFFFF"/>
        </w:rPr>
        <w:t>Правительством Российской Федерации могут быть установлены ответные ограничения (реторсии) в отношении имущественных и личных неимущественных прав граждан и юридических лиц тех государств, в которых имеются специальные ограничения имущественных и личных неимущественных прав российских граждан и юридических лиц» [4].</w:t>
      </w:r>
    </w:p>
    <w:p w:rsidR="00986D95" w:rsidRPr="00467B95" w:rsidRDefault="00986D95"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Исходя из данного определения можно выделить следующие признаки реторсий:</w:t>
      </w:r>
    </w:p>
    <w:p w:rsidR="00986D95" w:rsidRPr="00467B95" w:rsidRDefault="00986D95"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1) реторсии устанавливаются Правительством Российской Федерации;</w:t>
      </w:r>
    </w:p>
    <w:p w:rsidR="00986D95" w:rsidRPr="00467B95" w:rsidRDefault="00986D95"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2) реторсии являются ограничениями имущественных и личных неимущественных прав граждан и юридических лиц другого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3) реторсии применяются в ответ на ограничение гражданских прав российских граждан и юридических лиц, установленных другим государством.</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Следует упомянуть, что в международном праве, в качестве ответных мер государства, используется термин «контрмеры», примером чему служит Резолюция Генеральной</w:t>
      </w:r>
      <w:r w:rsidRPr="00467B95">
        <w:rPr>
          <w:rStyle w:val="af"/>
          <w:rFonts w:ascii="Times New Roman" w:hAnsi="Times New Roman"/>
          <w:sz w:val="28"/>
          <w:szCs w:val="28"/>
        </w:rPr>
        <w:t xml:space="preserve"> А</w:t>
      </w:r>
      <w:r w:rsidRPr="00467B95">
        <w:rPr>
          <w:rFonts w:ascii="Times New Roman" w:eastAsia="Times New Roman" w:hAnsi="Times New Roman"/>
          <w:bCs/>
          <w:kern w:val="36"/>
          <w:sz w:val="28"/>
          <w:szCs w:val="28"/>
          <w:lang w:eastAsia="ru-RU"/>
        </w:rPr>
        <w:t>ссамблеи ООН от 12 декабря 2001 года № 56/83 «Ответственность государств за международно-противоправные деяния» [</w:t>
      </w:r>
      <w:r w:rsidRPr="00467B95">
        <w:rPr>
          <w:rStyle w:val="a8"/>
          <w:rFonts w:ascii="Times New Roman" w:hAnsi="Times New Roman"/>
          <w:sz w:val="28"/>
          <w:szCs w:val="28"/>
          <w:lang w:eastAsia="ru-RU"/>
        </w:rPr>
        <w:t>7</w:t>
      </w:r>
      <w:r w:rsidRPr="00467B95">
        <w:rPr>
          <w:rFonts w:ascii="Times New Roman" w:eastAsia="Times New Roman" w:hAnsi="Times New Roman"/>
          <w:bCs/>
          <w:kern w:val="36"/>
          <w:sz w:val="28"/>
          <w:szCs w:val="28"/>
          <w:lang w:eastAsia="ru-RU"/>
        </w:rPr>
        <w:t>]. Благодаря ранее проведенному исследованию, можно сделать вывод, что реторсия имеет те же признаки, что и контрмеры.</w:t>
      </w:r>
    </w:p>
    <w:p w:rsidR="00986D95" w:rsidRPr="00467B95" w:rsidRDefault="00986D95"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Исходя из вышесказанного можно сделать вывод о том, что реторсии должны иметь адекватный и соразмерный характер, так как данные меры являются «зеркальным» ответом на уже имеющееся ограничение со стороны другого государства.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И.В. Гетьман-Павлова и Е.В. Постникова в своем учебнике «Международное право 3-е изд.» раскрывают понятие реторсий, как «принудительные меры в ответ на международное правонарушение, то есть на ущемление интересов, незащищенных международным правом» [</w:t>
      </w:r>
      <w:r w:rsidRPr="00467B95">
        <w:rPr>
          <w:rFonts w:ascii="Times New Roman" w:hAnsi="Times New Roman"/>
          <w:sz w:val="28"/>
          <w:szCs w:val="28"/>
          <w:lang w:eastAsia="ru-RU"/>
        </w:rPr>
        <w:t>3</w:t>
      </w:r>
      <w:r w:rsidRPr="00467B95">
        <w:rPr>
          <w:rFonts w:ascii="Times New Roman" w:eastAsia="Times New Roman" w:hAnsi="Times New Roman"/>
          <w:bCs/>
          <w:kern w:val="36"/>
          <w:sz w:val="28"/>
          <w:szCs w:val="28"/>
          <w:lang w:eastAsia="ru-RU"/>
        </w:rPr>
        <w:t>].</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Л.П. Ануфриева в своем учебнике «Международное право. Особенная часть», в свою очередь, определяет данное понятие, как «ограничения в правах физических и юридических лиц другого государства или иные мероприятия, возникшие в качестве ответа на действия первого государства» [</w:t>
      </w:r>
      <w:r w:rsidRPr="00467B95">
        <w:rPr>
          <w:rFonts w:ascii="Times New Roman" w:hAnsi="Times New Roman"/>
          <w:sz w:val="28"/>
          <w:szCs w:val="28"/>
          <w:lang w:eastAsia="ru-RU"/>
        </w:rPr>
        <w:t>2</w:t>
      </w:r>
      <w:r w:rsidRPr="00467B95">
        <w:rPr>
          <w:rFonts w:ascii="Times New Roman" w:eastAsia="Times New Roman" w:hAnsi="Times New Roman"/>
          <w:bCs/>
          <w:kern w:val="36"/>
          <w:sz w:val="28"/>
          <w:szCs w:val="28"/>
          <w:lang w:eastAsia="ru-RU"/>
        </w:rPr>
        <w:t>].</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Можно заметить, что в научной литературе не оспаривается легальный термин реторсий.</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 xml:space="preserve">Для определения структуры «реторсии» следует определить субъектов, </w:t>
      </w:r>
      <w:r w:rsidRPr="00467B95">
        <w:rPr>
          <w:rFonts w:ascii="Times New Roman" w:eastAsia="Times New Roman" w:hAnsi="Times New Roman"/>
          <w:bCs/>
          <w:kern w:val="36"/>
          <w:sz w:val="28"/>
          <w:szCs w:val="28"/>
          <w:lang w:eastAsia="ru-RU"/>
        </w:rPr>
        <w:lastRenderedPageBreak/>
        <w:t>объект и содержание.</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Субъектами, исходя из вышесказанного, являются государства.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Объектом является ограничение гражданских прав граждан и юридических лиц иностранного государства.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Содержанием является применение ответных мер на ограничение гражданских прав российских граждан и юридических лиц со стороны другого государства.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Таким образом, под понятием «реторсии» можно понимать законные ответные ограничения в отношении юридических и физических лиц государства, установившего ограничения имущественных и неимущественных прав российских граждан и юридических лиц, которые устанавливаются Правительством Российской Федерации.</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В российском законодательстве не содержится легального определения термина «репрессалии», поэтому следует обратится к научной литературе и международным документам.</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Так, в докладе Комиссии Генеральной Ассамблее о работе ее пятьдесят третье сессии сказано: «Термин «контрмеры» охватывает ту часть понятия репрессалий, которая не связана с вооруженным конфликтом» [5].</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Таким образом, можно сделать вывод, что репрессалиями являются контрмеры, не связанные с вооруженным конфликтом.</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 xml:space="preserve">Также в вышеуказанном докладе было сказано: «Такие меры принимаются потерпевшим государством, чтобы побудить ответственное государство выполнить свои обязательства» [5]. </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Можно выделить следующие признаки репрессалий:</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1) репрессалии являются ответными мерами;</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2) репрессалии применяются с целью побудить другое государство выполнить международно-правовые обязательства;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3) репрессалии имеют принудительный характер.</w:t>
      </w:r>
    </w:p>
    <w:p w:rsidR="00986D95" w:rsidRPr="00467B95" w:rsidRDefault="00986D95" w:rsidP="005A3DF4">
      <w:pPr>
        <w:widowControl w:val="0"/>
        <w:spacing w:after="0" w:line="240" w:lineRule="auto"/>
        <w:ind w:firstLine="709"/>
        <w:jc w:val="both"/>
        <w:rPr>
          <w:rFonts w:ascii="Times New Roman" w:eastAsia="Times New Roman" w:hAnsi="Times New Roman"/>
          <w:bCs/>
          <w:color w:val="FF0000"/>
          <w:kern w:val="36"/>
          <w:sz w:val="28"/>
          <w:szCs w:val="28"/>
          <w:lang w:eastAsia="ru-RU"/>
        </w:rPr>
      </w:pPr>
      <w:r w:rsidRPr="00467B95">
        <w:rPr>
          <w:rFonts w:ascii="Times New Roman" w:eastAsia="Times New Roman" w:hAnsi="Times New Roman"/>
          <w:bCs/>
          <w:kern w:val="36"/>
          <w:sz w:val="28"/>
          <w:szCs w:val="28"/>
          <w:lang w:eastAsia="ru-RU"/>
        </w:rPr>
        <w:t>По мнению И.В. Гетьман-Павловой и Е.В. Постниковой: «репрессалии – это принудительные меры, ограничивающие законные права государства» [</w:t>
      </w:r>
      <w:r w:rsidRPr="00467B95">
        <w:rPr>
          <w:rFonts w:ascii="Times New Roman" w:hAnsi="Times New Roman"/>
          <w:sz w:val="28"/>
          <w:szCs w:val="28"/>
          <w:lang w:eastAsia="ru-RU"/>
        </w:rPr>
        <w:t>3</w:t>
      </w:r>
      <w:r w:rsidRPr="00467B95">
        <w:rPr>
          <w:rFonts w:ascii="Times New Roman" w:eastAsia="Times New Roman" w:hAnsi="Times New Roman"/>
          <w:bCs/>
          <w:kern w:val="36"/>
          <w:sz w:val="28"/>
          <w:szCs w:val="28"/>
          <w:lang w:eastAsia="ru-RU"/>
        </w:rPr>
        <w:t>].</w:t>
      </w:r>
      <w:r w:rsidRPr="00467B95">
        <w:rPr>
          <w:rFonts w:ascii="Times New Roman" w:eastAsia="Times New Roman" w:hAnsi="Times New Roman"/>
          <w:bCs/>
          <w:color w:val="FF0000"/>
          <w:kern w:val="36"/>
          <w:sz w:val="28"/>
          <w:szCs w:val="28"/>
          <w:lang w:eastAsia="ru-RU"/>
        </w:rPr>
        <w:t xml:space="preserve"> </w:t>
      </w:r>
      <w:r w:rsidRPr="00467B95">
        <w:rPr>
          <w:rFonts w:ascii="Times New Roman" w:eastAsia="Times New Roman" w:hAnsi="Times New Roman"/>
          <w:bCs/>
          <w:kern w:val="36"/>
          <w:sz w:val="28"/>
          <w:szCs w:val="28"/>
          <w:lang w:eastAsia="ru-RU"/>
        </w:rPr>
        <w:t>Таким образом, они выделяют два признака: принудительный и ограничительный характер таких мер.</w:t>
      </w:r>
    </w:p>
    <w:p w:rsidR="00986D95" w:rsidRPr="007D372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eastAsia="Times New Roman" w:hAnsi="Times New Roman"/>
          <w:bCs/>
          <w:kern w:val="36"/>
          <w:sz w:val="28"/>
          <w:szCs w:val="28"/>
          <w:lang w:eastAsia="ru-RU"/>
        </w:rPr>
        <w:t xml:space="preserve">М.И. </w:t>
      </w:r>
      <w:r w:rsidRPr="00856C5E">
        <w:rPr>
          <w:rFonts w:ascii="Times New Roman" w:eastAsia="Times New Roman" w:hAnsi="Times New Roman"/>
          <w:bCs/>
          <w:kern w:val="36"/>
          <w:sz w:val="28"/>
          <w:szCs w:val="28"/>
          <w:lang w:eastAsia="ru-RU"/>
        </w:rPr>
        <w:t>Абдулаев в учебнике «Теория государства и права: учебник для высших учебных заведений» раскрывает данный термин, как «</w:t>
      </w:r>
      <w:r w:rsidRPr="00856C5E">
        <w:rPr>
          <w:rFonts w:ascii="Times New Roman" w:hAnsi="Times New Roman"/>
          <w:sz w:val="28"/>
          <w:szCs w:val="28"/>
        </w:rPr>
        <w:t xml:space="preserve">правомерные </w:t>
      </w:r>
      <w:r w:rsidRPr="007D3725">
        <w:rPr>
          <w:rFonts w:ascii="Times New Roman" w:hAnsi="Times New Roman"/>
          <w:sz w:val="28"/>
          <w:szCs w:val="28"/>
        </w:rPr>
        <w:t>принудительные действия одного государства против другого государства» [</w:t>
      </w:r>
      <w:hyperlink r:id="rId41" w:history="1">
        <w:r w:rsidRPr="007D3725">
          <w:rPr>
            <w:rStyle w:val="a8"/>
            <w:rFonts w:ascii="Times New Roman" w:hAnsi="Times New Roman"/>
            <w:color w:val="auto"/>
            <w:sz w:val="28"/>
            <w:szCs w:val="28"/>
            <w:u w:val="none"/>
          </w:rPr>
          <w:t>1</w:t>
        </w:r>
      </w:hyperlink>
      <w:r w:rsidRPr="007D3725">
        <w:rPr>
          <w:rFonts w:ascii="Times New Roman" w:hAnsi="Times New Roman"/>
          <w:sz w:val="28"/>
          <w:szCs w:val="28"/>
        </w:rPr>
        <w:t>]. Также автор подмечает следующее: «Репрессалии применяются в ответ на неправомерные действия другого государства с целью восстановления нарушенного права» [</w:t>
      </w:r>
      <w:hyperlink r:id="rId42" w:history="1">
        <w:r w:rsidRPr="007D3725">
          <w:rPr>
            <w:rStyle w:val="a8"/>
            <w:rFonts w:ascii="Times New Roman" w:hAnsi="Times New Roman"/>
            <w:color w:val="auto"/>
            <w:sz w:val="28"/>
            <w:szCs w:val="28"/>
            <w:u w:val="none"/>
          </w:rPr>
          <w:t>1</w:t>
        </w:r>
      </w:hyperlink>
      <w:r w:rsidRPr="007D3725">
        <w:rPr>
          <w:rFonts w:ascii="Times New Roman" w:hAnsi="Times New Roman"/>
          <w:sz w:val="28"/>
          <w:szCs w:val="28"/>
        </w:rPr>
        <w:t>].</w:t>
      </w:r>
    </w:p>
    <w:p w:rsidR="00986D95" w:rsidRPr="00856C5E" w:rsidRDefault="00986D95" w:rsidP="005A3DF4">
      <w:pPr>
        <w:widowControl w:val="0"/>
        <w:spacing w:after="0" w:line="240" w:lineRule="auto"/>
        <w:ind w:firstLine="709"/>
        <w:jc w:val="both"/>
        <w:rPr>
          <w:rFonts w:ascii="Times New Roman" w:hAnsi="Times New Roman"/>
          <w:sz w:val="28"/>
          <w:szCs w:val="28"/>
        </w:rPr>
      </w:pPr>
      <w:r w:rsidRPr="00856C5E">
        <w:rPr>
          <w:rFonts w:ascii="Times New Roman" w:hAnsi="Times New Roman"/>
          <w:sz w:val="28"/>
          <w:szCs w:val="28"/>
        </w:rPr>
        <w:t>Исходя из данного определения можно выделить следующие признаки репрессалий:</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репрессалии являются правомерными;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репрессалии имеют принудительный характер;</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репрессалии устанавливаются в ответ на неправомерные действия другого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4) репрессалии устанавливаются против другого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репрессалии устанавливаются с целью восстановления нарушенного права.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hAnsi="Times New Roman"/>
          <w:sz w:val="28"/>
          <w:szCs w:val="28"/>
        </w:rPr>
        <w:t>Также в работе вышеупомянутого автора И.В. Гетьман-Павловой можно найти некую уточняющую информацию. В ней автор подмечает, что «если нет правонарушения, то подобные меры сами представляют собой противоправный акт» [</w:t>
      </w:r>
      <w:r w:rsidRPr="00467B95">
        <w:rPr>
          <w:rFonts w:ascii="Times New Roman" w:hAnsi="Times New Roman"/>
          <w:sz w:val="28"/>
          <w:szCs w:val="28"/>
          <w:lang w:eastAsia="ru-RU"/>
        </w:rPr>
        <w:t>3</w:t>
      </w:r>
      <w:r w:rsidRPr="00467B95">
        <w:rPr>
          <w:rFonts w:ascii="Times New Roman" w:eastAsia="Times New Roman" w:hAnsi="Times New Roman"/>
          <w:bCs/>
          <w:kern w:val="36"/>
          <w:sz w:val="28"/>
          <w:szCs w:val="28"/>
          <w:lang w:eastAsia="ru-RU"/>
        </w:rPr>
        <w:t>].</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Исходя из этого можно сделать вывод, что данные меры имеют правомерный характер в случае, если они являются ответом на неправомерные действия другого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Стоит подметить, что хоть применение контрмер в ответ на действия другого государства исключает ответственность при правомерном применении, не исключаются спорные ситуации относительно оснований для применения ответных мер. Таким образом, от юридической оценки действий государств зависит правомерность применения ответных мер.</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eastAsia="Times New Roman" w:hAnsi="Times New Roman"/>
          <w:bCs/>
          <w:kern w:val="36"/>
          <w:sz w:val="28"/>
          <w:szCs w:val="28"/>
          <w:lang w:eastAsia="ru-RU"/>
        </w:rPr>
        <w:t>Также следует брать во внимание следующее – «</w:t>
      </w:r>
      <w:r w:rsidRPr="00467B95">
        <w:rPr>
          <w:rFonts w:ascii="Times New Roman" w:hAnsi="Times New Roman"/>
          <w:sz w:val="28"/>
          <w:szCs w:val="28"/>
        </w:rPr>
        <w:t xml:space="preserve">Применительно к действиям, предпринятым против какого-либо государства группой государств или предписанным международной организацией, в качестве эквивалентного термина часто используется термин «санкции». Однако он неточен: в главе VII Устава Организации Объединенных Наций упоминается лишь о «мерах», хотя эти меры включают в себя весьма широкий круг действий, включая применение вооруженной силы» </w:t>
      </w:r>
      <w:r w:rsidRPr="00467B95">
        <w:rPr>
          <w:rFonts w:ascii="Times New Roman" w:eastAsia="Times New Roman" w:hAnsi="Times New Roman"/>
          <w:bCs/>
          <w:kern w:val="36"/>
          <w:sz w:val="28"/>
          <w:szCs w:val="28"/>
          <w:lang w:eastAsia="ru-RU"/>
        </w:rPr>
        <w:t>[5].</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Исходя из этого можно сделать вывод, что в настоящее время под термином «ответные санкции» можно понимать «репрессалии».</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следует рассмотреть структуру репрессалий.</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Субъектами репрессалий являются государства.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Объектом репрессалий является ограничение гражданских прав иностранных граждан и юридических лиц иностранного государства.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Содержанием репрессалий является применение ответных мер на неправомерные действия другого государства с целью восстановления нарушенного права.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Таким образом, под понятием «репрессалии» можно понимать ответные меры на неправомерные действия другого государства с целью побудить другое государство выполнить международно-правовые обязательства.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Как было выявлено ранее, данные меры являются контрмерами и берут свое начало в международном праве, но в международных документах не происходит их разделение на реторсии и репрессалии, поэтому следует провести их сравнительно-правовой анализ и выявить как общие черты, так и различия для явного разграничения данных мер.</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hAnsi="Times New Roman"/>
          <w:sz w:val="28"/>
          <w:szCs w:val="28"/>
          <w:lang w:eastAsia="ru-RU"/>
        </w:rPr>
        <w:t>Под</w:t>
      </w:r>
      <w:r w:rsidRPr="00467B95">
        <w:rPr>
          <w:rFonts w:ascii="Times New Roman" w:eastAsia="Times New Roman" w:hAnsi="Times New Roman"/>
          <w:bCs/>
          <w:kern w:val="36"/>
          <w:sz w:val="28"/>
          <w:szCs w:val="28"/>
          <w:lang w:eastAsia="ru-RU"/>
        </w:rPr>
        <w:t xml:space="preserve"> понятием «реторсии» можно понимать законные ответные ограничения в отношении юридических и физических лиц государства, установившего ограничения имущественных и неимущественных прав российских граждан и юридических лиц, которые устанавливаются Правительством Российской Федерации.</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lastRenderedPageBreak/>
        <w:t>Под понятием «репрессалии» можно понимать правомерные принудительные меры одного государства в ответ на неправомерные действия другого государства с целью восстановления нарушенного права.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 xml:space="preserve">Ранее сделанные выводы позволили узнать, что реторсии и репрессалии являются видами контрмер. </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Таким образом, исходя из выявленных особенностей данных мер, можно выделить их общие черты, такие как:</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1) данные меры применяются в ответ на действия другого государства;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2) данные меры применяются с целью восстановления нарушенного права;</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3) данные меры имеют принудительный характер;</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4) данные меры являются правомерными;</w:t>
      </w:r>
    </w:p>
    <w:p w:rsidR="00986D95" w:rsidRPr="00467B95" w:rsidRDefault="00986D95"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5) данные меры носят временный характер.</w:t>
      </w:r>
    </w:p>
    <w:p w:rsidR="00986D95" w:rsidRPr="00467B95"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благодаря ранее проведенному изучению данных терминов, можно сделать вывод, что данные меры совпадают, но имеют отличия по содержанию.</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hAnsi="Times New Roman"/>
          <w:sz w:val="28"/>
          <w:szCs w:val="28"/>
        </w:rPr>
        <w:t xml:space="preserve">Так, </w:t>
      </w:r>
      <w:r w:rsidRPr="00467B95">
        <w:rPr>
          <w:rFonts w:ascii="Times New Roman" w:eastAsia="Times New Roman" w:hAnsi="Times New Roman"/>
          <w:bCs/>
          <w:kern w:val="36"/>
          <w:sz w:val="28"/>
          <w:szCs w:val="28"/>
          <w:lang w:eastAsia="ru-RU"/>
        </w:rPr>
        <w:t>содержанием реторсии является применение ответных мер на ограничение гражданских прав российских граждан и юридических лиц со стороны другого государства.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Содержанием репрессалий является применение ответных мер на неправомерные действия другого государства с целью восстановления нарушенного права.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Таким образом, можно заметить, что реторсии являются «зеркальным» ответом на установленное ограничение гражданских прав, а репрессалии являются мерой реагирования на нарушении иностранным государством международно-правового обязательства.</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Ответные действия в виде репрессалий могут выражаться в иных или аналогичных ограничениях на действия иностранного государства, но стоит учесть, что запрещается применение вооруженной силы. Таким образом, при нарушении международного обязательства иностранным государством, Российская Федерация может ввести меры, отличающиеся от последних, что будет являться репрессалией.</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 xml:space="preserve">Исходя из ранее сделанных выводов, можно отметить, что нормативно-правовым актом, устанавливающим реторсии, является постановление Правительства Российской Федерации. </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Так как основаниями для ограничения гражданских прав являются федеральные законы Российской Федерации, указы Президента Российской Федерации и постановления Правительства Российской Федерации, можно сделать вывод, что актами, устанавливающими репрессалии, являются федеральные законы Российской Федерации и указы Президента Российской Федерации.</w:t>
      </w:r>
    </w:p>
    <w:p w:rsidR="00986D95" w:rsidRPr="00467B95"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467B95">
        <w:rPr>
          <w:rFonts w:ascii="Times New Roman" w:eastAsia="Times New Roman" w:hAnsi="Times New Roman"/>
          <w:bCs/>
          <w:kern w:val="36"/>
          <w:sz w:val="28"/>
          <w:szCs w:val="28"/>
          <w:lang w:eastAsia="ru-RU"/>
        </w:rPr>
        <w:t>Таким образом, был проведен сравнительно-правовой анализ реторсий и репрессалий, где данные термины были разграничены.</w:t>
      </w:r>
    </w:p>
    <w:p w:rsidR="00986D95" w:rsidRPr="00856C5E" w:rsidRDefault="00986D9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Проделанная работа позволила сделать вывод, что на международно-</w:t>
      </w:r>
      <w:r w:rsidRPr="00467B95">
        <w:rPr>
          <w:rFonts w:ascii="Times New Roman" w:hAnsi="Times New Roman"/>
          <w:sz w:val="28"/>
          <w:szCs w:val="28"/>
        </w:rPr>
        <w:lastRenderedPageBreak/>
        <w:t xml:space="preserve">правовом уровне государства могут совершать международно-противоправные деяния и устанавливать ограничения гражданских прав российских граждан и юридических лиц. В целях мирного урегулирования данных ситуаций и защиты имущественных и неимущественных прав граждан и юридических лиц могут устанавливаться ответные ограничения, применение которых широко </w:t>
      </w:r>
      <w:r w:rsidRPr="00856C5E">
        <w:rPr>
          <w:rFonts w:ascii="Times New Roman" w:hAnsi="Times New Roman"/>
          <w:sz w:val="28"/>
          <w:szCs w:val="28"/>
        </w:rPr>
        <w:t>распространено на практике.</w:t>
      </w:r>
    </w:p>
    <w:p w:rsidR="00986D95" w:rsidRPr="00856C5E" w:rsidRDefault="00986D95" w:rsidP="005A3DF4">
      <w:pPr>
        <w:widowControl w:val="0"/>
        <w:spacing w:after="0" w:line="240" w:lineRule="auto"/>
        <w:ind w:firstLine="709"/>
        <w:contextualSpacing/>
        <w:jc w:val="center"/>
        <w:rPr>
          <w:rFonts w:ascii="Times New Roman" w:eastAsia="Times New Roman" w:hAnsi="Times New Roman"/>
          <w:sz w:val="28"/>
          <w:szCs w:val="28"/>
          <w:lang w:eastAsia="ru-RU"/>
        </w:rPr>
      </w:pPr>
      <w:r w:rsidRPr="00856C5E">
        <w:rPr>
          <w:rFonts w:ascii="Times New Roman" w:eastAsia="Times New Roman" w:hAnsi="Times New Roman"/>
          <w:sz w:val="28"/>
          <w:szCs w:val="28"/>
          <w:lang w:eastAsia="ru-RU"/>
        </w:rPr>
        <w:t>Список использованных источников</w:t>
      </w:r>
    </w:p>
    <w:p w:rsidR="00986D95" w:rsidRPr="00856C5E" w:rsidRDefault="00986D95" w:rsidP="005A3DF4">
      <w:pPr>
        <w:widowControl w:val="0"/>
        <w:spacing w:after="0" w:line="240" w:lineRule="auto"/>
        <w:ind w:firstLine="709"/>
        <w:jc w:val="both"/>
        <w:rPr>
          <w:rStyle w:val="a8"/>
          <w:rFonts w:ascii="Times New Roman" w:hAnsi="Times New Roman"/>
          <w:color w:val="auto"/>
          <w:sz w:val="28"/>
          <w:szCs w:val="28"/>
          <w:u w:val="none"/>
        </w:rPr>
      </w:pPr>
      <w:r w:rsidRPr="00856C5E">
        <w:rPr>
          <w:rFonts w:ascii="Times New Roman" w:hAnsi="Times New Roman"/>
          <w:sz w:val="28"/>
          <w:szCs w:val="28"/>
          <w:lang w:eastAsia="ru-RU"/>
        </w:rPr>
        <w:t xml:space="preserve">1 </w:t>
      </w:r>
      <w:r w:rsidRPr="00856C5E">
        <w:rPr>
          <w:rFonts w:ascii="Times New Roman" w:hAnsi="Times New Roman"/>
          <w:sz w:val="28"/>
          <w:szCs w:val="28"/>
        </w:rPr>
        <w:t>Абдулаев М.И. Теория государства и права: учебник для высших учебных заведений / М.И. Абдулаев [Электронный ресурс] // М. — 2004. // Режим доступа:</w:t>
      </w:r>
      <w:r w:rsidRPr="00856C5E">
        <w:rPr>
          <w:rFonts w:ascii="Times New Roman" w:hAnsi="Times New Roman"/>
          <w:sz w:val="28"/>
          <w:szCs w:val="28"/>
          <w:lang w:eastAsia="ru-RU"/>
        </w:rPr>
        <w:t xml:space="preserve"> </w:t>
      </w:r>
      <w:hyperlink r:id="rId43" w:history="1">
        <w:r w:rsidRPr="00856C5E">
          <w:rPr>
            <w:rStyle w:val="a8"/>
            <w:rFonts w:ascii="Times New Roman" w:hAnsi="Times New Roman"/>
            <w:color w:val="auto"/>
            <w:sz w:val="28"/>
            <w:szCs w:val="28"/>
            <w:u w:val="none"/>
          </w:rPr>
          <w:t>https://pravo.studio/gosudarstva-prava_1066-teoriya/otvetstvennost-mejdunarodnom-prave-79642.html</w:t>
        </w:r>
      </w:hyperlink>
    </w:p>
    <w:p w:rsidR="00986D95" w:rsidRPr="00856C5E" w:rsidRDefault="00986D95" w:rsidP="005A3DF4">
      <w:pPr>
        <w:widowControl w:val="0"/>
        <w:spacing w:after="0" w:line="240" w:lineRule="auto"/>
        <w:ind w:firstLine="709"/>
        <w:jc w:val="both"/>
        <w:rPr>
          <w:rFonts w:ascii="Times New Roman" w:hAnsi="Times New Roman"/>
          <w:sz w:val="28"/>
          <w:szCs w:val="28"/>
          <w:lang w:eastAsia="ru-RU"/>
        </w:rPr>
      </w:pPr>
      <w:r w:rsidRPr="00856C5E">
        <w:rPr>
          <w:rFonts w:ascii="Times New Roman" w:hAnsi="Times New Roman"/>
          <w:sz w:val="28"/>
          <w:szCs w:val="28"/>
          <w:lang w:eastAsia="ru-RU"/>
        </w:rPr>
        <w:t xml:space="preserve">2 Ануфриева Л.П. Международное частное право / Л.П. Ануфриева [Электронный ресурс] // БЕК. — 2002. // </w:t>
      </w:r>
      <w:r w:rsidRPr="00856C5E">
        <w:rPr>
          <w:rFonts w:ascii="Times New Roman" w:hAnsi="Times New Roman"/>
          <w:sz w:val="28"/>
          <w:szCs w:val="28"/>
          <w:shd w:val="clear" w:color="auto" w:fill="FFFFFF"/>
        </w:rPr>
        <w:t xml:space="preserve">Режим доступа: </w:t>
      </w:r>
      <w:r w:rsidRPr="00856C5E">
        <w:rPr>
          <w:rFonts w:ascii="Times New Roman" w:hAnsi="Times New Roman"/>
          <w:sz w:val="28"/>
          <w:szCs w:val="28"/>
          <w:lang w:eastAsia="ru-RU"/>
        </w:rPr>
        <w:t xml:space="preserve">http://www.pseudology.org/legis/MezhdunarodnoeChastnoePravo_1.pdf  </w:t>
      </w:r>
    </w:p>
    <w:p w:rsidR="00986D95" w:rsidRPr="00856C5E" w:rsidRDefault="00986D95" w:rsidP="005A3DF4">
      <w:pPr>
        <w:widowControl w:val="0"/>
        <w:spacing w:after="0" w:line="240" w:lineRule="auto"/>
        <w:ind w:firstLine="709"/>
        <w:jc w:val="both"/>
        <w:rPr>
          <w:rFonts w:ascii="Times New Roman" w:hAnsi="Times New Roman"/>
          <w:sz w:val="28"/>
          <w:szCs w:val="28"/>
          <w:lang w:eastAsia="ru-RU"/>
        </w:rPr>
      </w:pPr>
      <w:r w:rsidRPr="00856C5E">
        <w:rPr>
          <w:rFonts w:ascii="Times New Roman" w:hAnsi="Times New Roman"/>
          <w:sz w:val="28"/>
          <w:szCs w:val="28"/>
          <w:lang w:eastAsia="ru-RU"/>
        </w:rPr>
        <w:t xml:space="preserve">3 </w:t>
      </w:r>
      <w:r w:rsidRPr="00856C5E">
        <w:rPr>
          <w:rFonts w:ascii="Times New Roman" w:hAnsi="Times New Roman"/>
          <w:sz w:val="28"/>
          <w:szCs w:val="28"/>
          <w:shd w:val="clear" w:color="auto" w:fill="FFFFFF"/>
        </w:rPr>
        <w:t xml:space="preserve">Гетьман-Павлова И.В. Международное право: учебник для академического бакалавриата / И.В. Гетьман-Павлова, Е.В. Постникова [Электронный ресурс] // Юрайт. </w:t>
      </w:r>
      <w:r w:rsidRPr="00856C5E">
        <w:rPr>
          <w:rFonts w:ascii="Times New Roman" w:hAnsi="Times New Roman"/>
          <w:sz w:val="28"/>
          <w:szCs w:val="28"/>
          <w:lang w:eastAsia="ru-RU"/>
        </w:rPr>
        <w:t>—</w:t>
      </w:r>
      <w:r w:rsidRPr="00856C5E">
        <w:rPr>
          <w:rFonts w:ascii="Times New Roman" w:hAnsi="Times New Roman"/>
          <w:sz w:val="28"/>
          <w:szCs w:val="28"/>
          <w:shd w:val="clear" w:color="auto" w:fill="FFFFFF"/>
        </w:rPr>
        <w:t xml:space="preserve"> 2016. // Режим доступа: </w:t>
      </w:r>
      <w:r w:rsidRPr="00856C5E">
        <w:rPr>
          <w:rFonts w:ascii="Times New Roman" w:hAnsi="Times New Roman"/>
          <w:sz w:val="28"/>
          <w:szCs w:val="28"/>
          <w:lang w:val="en-US" w:eastAsia="ru-RU"/>
        </w:rPr>
        <w:t>https</w:t>
      </w:r>
      <w:r w:rsidRPr="00856C5E">
        <w:rPr>
          <w:rFonts w:ascii="Times New Roman" w:hAnsi="Times New Roman"/>
          <w:sz w:val="28"/>
          <w:szCs w:val="28"/>
          <w:lang w:eastAsia="ru-RU"/>
        </w:rPr>
        <w:t>://</w:t>
      </w:r>
      <w:r w:rsidRPr="00856C5E">
        <w:rPr>
          <w:rFonts w:ascii="Times New Roman" w:hAnsi="Times New Roman"/>
          <w:sz w:val="28"/>
          <w:szCs w:val="28"/>
          <w:lang w:val="en-US" w:eastAsia="ru-RU"/>
        </w:rPr>
        <w:t>biblio</w:t>
      </w:r>
      <w:r w:rsidRPr="00856C5E">
        <w:rPr>
          <w:rFonts w:ascii="Times New Roman" w:hAnsi="Times New Roman"/>
          <w:sz w:val="28"/>
          <w:szCs w:val="28"/>
          <w:lang w:eastAsia="ru-RU"/>
        </w:rPr>
        <w:t>-</w:t>
      </w:r>
      <w:r w:rsidRPr="00856C5E">
        <w:rPr>
          <w:rFonts w:ascii="Times New Roman" w:hAnsi="Times New Roman"/>
          <w:sz w:val="28"/>
          <w:szCs w:val="28"/>
          <w:lang w:val="en-US" w:eastAsia="ru-RU"/>
        </w:rPr>
        <w:t>online</w:t>
      </w:r>
      <w:r w:rsidRPr="00856C5E">
        <w:rPr>
          <w:rFonts w:ascii="Times New Roman" w:hAnsi="Times New Roman"/>
          <w:sz w:val="28"/>
          <w:szCs w:val="28"/>
          <w:lang w:eastAsia="ru-RU"/>
        </w:rPr>
        <w:t>.</w:t>
      </w:r>
      <w:r w:rsidRPr="00856C5E">
        <w:rPr>
          <w:rFonts w:ascii="Times New Roman" w:hAnsi="Times New Roman"/>
          <w:sz w:val="28"/>
          <w:szCs w:val="28"/>
          <w:lang w:val="en-US" w:eastAsia="ru-RU"/>
        </w:rPr>
        <w:t>ru</w:t>
      </w:r>
      <w:r w:rsidRPr="00856C5E">
        <w:rPr>
          <w:rFonts w:ascii="Times New Roman" w:hAnsi="Times New Roman"/>
          <w:sz w:val="28"/>
          <w:szCs w:val="28"/>
          <w:lang w:eastAsia="ru-RU"/>
        </w:rPr>
        <w:t>/</w:t>
      </w:r>
      <w:r w:rsidRPr="00856C5E">
        <w:rPr>
          <w:rFonts w:ascii="Times New Roman" w:hAnsi="Times New Roman"/>
          <w:sz w:val="28"/>
          <w:szCs w:val="28"/>
          <w:lang w:val="en-US" w:eastAsia="ru-RU"/>
        </w:rPr>
        <w:t>viewer</w:t>
      </w:r>
      <w:r w:rsidRPr="00856C5E">
        <w:rPr>
          <w:rFonts w:ascii="Times New Roman" w:hAnsi="Times New Roman"/>
          <w:sz w:val="28"/>
          <w:szCs w:val="28"/>
          <w:lang w:eastAsia="ru-RU"/>
        </w:rPr>
        <w:t>/</w:t>
      </w:r>
      <w:r w:rsidRPr="00856C5E">
        <w:rPr>
          <w:rFonts w:ascii="Times New Roman" w:hAnsi="Times New Roman"/>
          <w:sz w:val="28"/>
          <w:szCs w:val="28"/>
          <w:lang w:val="en-US" w:eastAsia="ru-RU"/>
        </w:rPr>
        <w:t>mezhdunarodnoe</w:t>
      </w:r>
      <w:r w:rsidRPr="00856C5E">
        <w:rPr>
          <w:rFonts w:ascii="Times New Roman" w:hAnsi="Times New Roman"/>
          <w:sz w:val="28"/>
          <w:szCs w:val="28"/>
          <w:lang w:eastAsia="ru-RU"/>
        </w:rPr>
        <w:t>-</w:t>
      </w:r>
      <w:r w:rsidRPr="00856C5E">
        <w:rPr>
          <w:rFonts w:ascii="Times New Roman" w:hAnsi="Times New Roman"/>
          <w:sz w:val="28"/>
          <w:szCs w:val="28"/>
          <w:lang w:val="en-US" w:eastAsia="ru-RU"/>
        </w:rPr>
        <w:t>pravo</w:t>
      </w:r>
      <w:r w:rsidRPr="00856C5E">
        <w:rPr>
          <w:rFonts w:ascii="Times New Roman" w:hAnsi="Times New Roman"/>
          <w:sz w:val="28"/>
          <w:szCs w:val="28"/>
          <w:lang w:eastAsia="ru-RU"/>
        </w:rPr>
        <w:t>-431845#</w:t>
      </w:r>
      <w:r w:rsidRPr="00856C5E">
        <w:rPr>
          <w:rFonts w:ascii="Times New Roman" w:hAnsi="Times New Roman"/>
          <w:sz w:val="28"/>
          <w:szCs w:val="28"/>
          <w:lang w:val="en-US" w:eastAsia="ru-RU"/>
        </w:rPr>
        <w:t>page</w:t>
      </w:r>
      <w:r w:rsidRPr="00856C5E">
        <w:rPr>
          <w:rFonts w:ascii="Times New Roman" w:hAnsi="Times New Roman"/>
          <w:sz w:val="28"/>
          <w:szCs w:val="28"/>
          <w:lang w:eastAsia="ru-RU"/>
        </w:rPr>
        <w:t>/137</w:t>
      </w:r>
    </w:p>
    <w:p w:rsidR="00986D95" w:rsidRPr="00856C5E" w:rsidRDefault="00986D95" w:rsidP="005A3DF4">
      <w:pPr>
        <w:widowControl w:val="0"/>
        <w:spacing w:after="0" w:line="240" w:lineRule="auto"/>
        <w:ind w:firstLine="709"/>
        <w:jc w:val="both"/>
        <w:rPr>
          <w:rFonts w:ascii="Times New Roman" w:hAnsi="Times New Roman"/>
          <w:sz w:val="28"/>
          <w:szCs w:val="28"/>
          <w:shd w:val="clear" w:color="auto" w:fill="FFFFFF"/>
        </w:rPr>
      </w:pPr>
      <w:r w:rsidRPr="00856C5E">
        <w:rPr>
          <w:rFonts w:ascii="Times New Roman" w:hAnsi="Times New Roman"/>
          <w:sz w:val="28"/>
          <w:szCs w:val="28"/>
          <w:lang w:eastAsia="ru-RU"/>
        </w:rPr>
        <w:t xml:space="preserve">4 </w:t>
      </w:r>
      <w:r w:rsidRPr="00856C5E">
        <w:rPr>
          <w:rFonts w:ascii="Times New Roman" w:hAnsi="Times New Roman"/>
          <w:sz w:val="28"/>
          <w:szCs w:val="28"/>
        </w:rPr>
        <w:t xml:space="preserve">Гражданский кодекс Российской Федерации. Часть третья: федеральный закон от 26.11.2001 № 146-ФЗ (ред. от 03.08.2018) [Электронный ресурс] // </w:t>
      </w:r>
      <w:r w:rsidRPr="00856C5E">
        <w:rPr>
          <w:rFonts w:ascii="Times New Roman" w:hAnsi="Times New Roman"/>
          <w:sz w:val="28"/>
          <w:szCs w:val="28"/>
          <w:lang w:eastAsia="ru-RU"/>
        </w:rPr>
        <w:t>СПС «Консультант плюс». — Режим доступа:</w:t>
      </w:r>
      <w:r w:rsidRPr="00856C5E">
        <w:rPr>
          <w:rFonts w:ascii="Times New Roman" w:hAnsi="Times New Roman"/>
          <w:sz w:val="28"/>
          <w:szCs w:val="28"/>
          <w:shd w:val="clear" w:color="auto" w:fill="FFFFFF"/>
        </w:rPr>
        <w:t xml:space="preserve"> </w:t>
      </w:r>
      <w:hyperlink r:id="rId44" w:history="1">
        <w:r w:rsidRPr="00856C5E">
          <w:rPr>
            <w:rStyle w:val="a8"/>
            <w:rFonts w:ascii="Times New Roman" w:hAnsi="Times New Roman"/>
            <w:color w:val="auto"/>
            <w:sz w:val="28"/>
            <w:szCs w:val="28"/>
            <w:u w:val="none"/>
            <w:shd w:val="clear" w:color="auto" w:fill="FFFFFF"/>
          </w:rPr>
          <w:t>http://www.consultant.ru/document/cons_doc_LAW_34154/ddc04c8d5183f11e651ef4286f0a0c82aa1c98a8/</w:t>
        </w:r>
      </w:hyperlink>
    </w:p>
    <w:p w:rsidR="00986D95" w:rsidRPr="00856C5E" w:rsidRDefault="00986D95" w:rsidP="005A3DF4">
      <w:pPr>
        <w:widowControl w:val="0"/>
        <w:spacing w:after="0" w:line="240" w:lineRule="auto"/>
        <w:ind w:firstLine="709"/>
        <w:jc w:val="both"/>
        <w:rPr>
          <w:rFonts w:ascii="Times New Roman" w:eastAsia="Times New Roman" w:hAnsi="Times New Roman"/>
          <w:bCs/>
          <w:kern w:val="36"/>
          <w:sz w:val="28"/>
          <w:szCs w:val="28"/>
          <w:lang w:eastAsia="ru-RU"/>
        </w:rPr>
      </w:pPr>
      <w:r w:rsidRPr="00856C5E">
        <w:rPr>
          <w:rFonts w:ascii="Times New Roman" w:eastAsia="Times New Roman" w:hAnsi="Times New Roman"/>
          <w:bCs/>
          <w:kern w:val="36"/>
          <w:sz w:val="28"/>
          <w:szCs w:val="28"/>
          <w:lang w:eastAsia="ru-RU"/>
        </w:rPr>
        <w:t xml:space="preserve">5 Ежегодник комиссии международного права ООН 2001 г. Часть вторая. [Электронный ресурс] / Режим доступа: </w:t>
      </w:r>
      <w:hyperlink r:id="rId45" w:history="1">
        <w:r w:rsidRPr="00856C5E">
          <w:rPr>
            <w:rStyle w:val="a8"/>
            <w:rFonts w:ascii="Times New Roman" w:eastAsia="Times New Roman" w:hAnsi="Times New Roman"/>
            <w:bCs/>
            <w:color w:val="auto"/>
            <w:kern w:val="36"/>
            <w:sz w:val="28"/>
            <w:szCs w:val="28"/>
            <w:u w:val="none"/>
            <w:lang w:eastAsia="ru-RU"/>
          </w:rPr>
          <w:t>http://legal.un.org/ilc/publications/yearbooks/russian/ilc_2001_v2_p2.pdf</w:t>
        </w:r>
      </w:hyperlink>
    </w:p>
    <w:p w:rsidR="00986D95" w:rsidRPr="00856C5E" w:rsidRDefault="00986D95" w:rsidP="005A3DF4">
      <w:pPr>
        <w:widowControl w:val="0"/>
        <w:spacing w:after="0" w:line="240" w:lineRule="auto"/>
        <w:ind w:firstLine="709"/>
        <w:jc w:val="both"/>
        <w:rPr>
          <w:rFonts w:ascii="Times New Roman" w:hAnsi="Times New Roman"/>
          <w:sz w:val="28"/>
          <w:szCs w:val="28"/>
          <w:lang w:eastAsia="ru-RU"/>
        </w:rPr>
      </w:pPr>
      <w:r w:rsidRPr="00856C5E">
        <w:rPr>
          <w:rFonts w:ascii="Times New Roman" w:hAnsi="Times New Roman"/>
          <w:sz w:val="28"/>
          <w:szCs w:val="28"/>
          <w:lang w:eastAsia="ru-RU"/>
        </w:rPr>
        <w:t xml:space="preserve">6 Лукашук И.И. Право международной ответственности </w:t>
      </w:r>
      <w:r w:rsidRPr="00856C5E">
        <w:rPr>
          <w:rFonts w:ascii="Times New Roman" w:hAnsi="Times New Roman"/>
          <w:sz w:val="28"/>
          <w:szCs w:val="28"/>
        </w:rPr>
        <w:t>[Электронный ресурс]</w:t>
      </w:r>
      <w:r w:rsidRPr="00856C5E">
        <w:rPr>
          <w:rFonts w:ascii="Times New Roman" w:hAnsi="Times New Roman"/>
          <w:sz w:val="28"/>
          <w:szCs w:val="28"/>
          <w:lang w:eastAsia="ru-RU"/>
        </w:rPr>
        <w:t xml:space="preserve"> / Лукашук И.И. – Режим доступа: http://зачётка.рф/book/6131/265512/Глава%20II.%20Контрмеры%20и%20санкции.html</w:t>
      </w:r>
    </w:p>
    <w:p w:rsidR="00986D95" w:rsidRPr="00856C5E" w:rsidRDefault="00986D95" w:rsidP="005A3DF4">
      <w:pPr>
        <w:widowControl w:val="0"/>
        <w:spacing w:after="0" w:line="240" w:lineRule="auto"/>
        <w:ind w:firstLine="709"/>
        <w:jc w:val="both"/>
        <w:rPr>
          <w:rFonts w:ascii="Times New Roman" w:hAnsi="Times New Roman"/>
          <w:sz w:val="28"/>
          <w:szCs w:val="28"/>
          <w:lang w:eastAsia="ru-RU"/>
        </w:rPr>
      </w:pPr>
      <w:r w:rsidRPr="00856C5E">
        <w:rPr>
          <w:rFonts w:ascii="Times New Roman" w:hAnsi="Times New Roman"/>
          <w:sz w:val="28"/>
          <w:szCs w:val="28"/>
          <w:lang w:eastAsia="ru-RU"/>
        </w:rPr>
        <w:t xml:space="preserve">7 </w:t>
      </w:r>
      <w:r w:rsidRPr="00856C5E">
        <w:rPr>
          <w:rFonts w:ascii="Times New Roman" w:hAnsi="Times New Roman"/>
          <w:sz w:val="28"/>
          <w:szCs w:val="28"/>
        </w:rPr>
        <w:t xml:space="preserve">Ответственность государств за международно-противоправные деяния. Часть первая: Резолюция Генеральной Ассамблеи ООН от 12.12.2001 г. № 56/83 [Электронный ресурс] // </w:t>
      </w:r>
      <w:r w:rsidRPr="00856C5E">
        <w:rPr>
          <w:rFonts w:ascii="Times New Roman" w:hAnsi="Times New Roman"/>
          <w:sz w:val="28"/>
          <w:szCs w:val="28"/>
          <w:lang w:eastAsia="ru-RU"/>
        </w:rPr>
        <w:t xml:space="preserve">Электронный фонд правовой и нормативно-технической документации. — Режим доступа: </w:t>
      </w:r>
      <w:r w:rsidRPr="00856C5E">
        <w:rPr>
          <w:rStyle w:val="a8"/>
          <w:rFonts w:ascii="Times New Roman" w:hAnsi="Times New Roman"/>
          <w:color w:val="auto"/>
          <w:sz w:val="28"/>
          <w:szCs w:val="28"/>
          <w:u w:val="none"/>
          <w:lang w:eastAsia="ru-RU"/>
        </w:rPr>
        <w:t>http://docs.cntd.ru/document/901941379</w:t>
      </w:r>
    </w:p>
    <w:p w:rsidR="00986D95" w:rsidRPr="00856C5E" w:rsidRDefault="00986D95" w:rsidP="005A3DF4">
      <w:pPr>
        <w:widowControl w:val="0"/>
        <w:spacing w:after="0" w:line="240" w:lineRule="auto"/>
        <w:ind w:firstLine="709"/>
        <w:rPr>
          <w:rFonts w:ascii="Times New Roman" w:eastAsia="Times New Roman" w:hAnsi="Times New Roman"/>
          <w:b/>
          <w:sz w:val="28"/>
          <w:szCs w:val="28"/>
        </w:rPr>
      </w:pPr>
    </w:p>
    <w:p w:rsidR="00986D95" w:rsidRPr="00467B95" w:rsidRDefault="00986D95" w:rsidP="005A3DF4">
      <w:pPr>
        <w:widowControl w:val="0"/>
        <w:spacing w:after="0" w:line="240" w:lineRule="auto"/>
        <w:ind w:firstLine="709"/>
        <w:contextualSpacing/>
        <w:jc w:val="center"/>
        <w:rPr>
          <w:rFonts w:ascii="Times New Roman" w:hAnsi="Times New Roman"/>
          <w:b/>
          <w:sz w:val="28"/>
          <w:szCs w:val="28"/>
        </w:rPr>
      </w:pPr>
      <w:r w:rsidRPr="00467B95">
        <w:rPr>
          <w:rFonts w:ascii="Times New Roman" w:hAnsi="Times New Roman"/>
          <w:b/>
          <w:color w:val="000000"/>
          <w:sz w:val="28"/>
          <w:szCs w:val="28"/>
        </w:rPr>
        <w:t>Юридическая сущность и значение самовольной постройки как правовой категории: анализ российского и зарубежного законодательства</w:t>
      </w:r>
      <w:r w:rsidRPr="00467B95">
        <w:rPr>
          <w:rFonts w:ascii="Times New Roman" w:hAnsi="Times New Roman"/>
          <w:b/>
          <w:sz w:val="28"/>
          <w:szCs w:val="28"/>
        </w:rPr>
        <w:t xml:space="preserve"> </w:t>
      </w:r>
    </w:p>
    <w:p w:rsidR="00986D95" w:rsidRPr="00467B95" w:rsidRDefault="00986D95" w:rsidP="005A3DF4">
      <w:pPr>
        <w:widowControl w:val="0"/>
        <w:spacing w:after="0" w:line="240" w:lineRule="auto"/>
        <w:ind w:firstLine="709"/>
        <w:contextualSpacing/>
        <w:jc w:val="center"/>
        <w:rPr>
          <w:rFonts w:ascii="Times New Roman" w:hAnsi="Times New Roman"/>
          <w:b/>
          <w:sz w:val="28"/>
          <w:szCs w:val="28"/>
        </w:rPr>
      </w:pPr>
    </w:p>
    <w:p w:rsidR="00986D95" w:rsidRPr="00467B95" w:rsidRDefault="00986D95"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Никитенок Диана Юрьевна,</w:t>
      </w:r>
    </w:p>
    <w:p w:rsidR="00986D95" w:rsidRPr="00467B95" w:rsidRDefault="00986D95"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бакалавр</w:t>
      </w:r>
    </w:p>
    <w:p w:rsidR="00986D95" w:rsidRPr="00467B95" w:rsidRDefault="00986D95"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 xml:space="preserve">Владивостокский государственный университет экономики и сервиса </w:t>
      </w:r>
    </w:p>
    <w:p w:rsidR="00986D95" w:rsidRPr="00467B95" w:rsidRDefault="00986D95"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Россия. Владивосток</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lastRenderedPageBreak/>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dianka</w:t>
      </w:r>
      <w:r w:rsidRPr="00467B95">
        <w:rPr>
          <w:rFonts w:ascii="Times New Roman" w:hAnsi="Times New Roman"/>
          <w:sz w:val="28"/>
          <w:szCs w:val="28"/>
        </w:rPr>
        <w:t>-</w:t>
      </w:r>
      <w:r w:rsidRPr="00467B95">
        <w:rPr>
          <w:rFonts w:ascii="Times New Roman" w:hAnsi="Times New Roman"/>
          <w:sz w:val="28"/>
          <w:szCs w:val="28"/>
          <w:lang w:val="en-US"/>
        </w:rPr>
        <w:t>live</w:t>
      </w:r>
      <w:r w:rsidRPr="00467B95">
        <w:rPr>
          <w:rFonts w:ascii="Times New Roman" w:hAnsi="Times New Roman"/>
          <w:sz w:val="28"/>
          <w:szCs w:val="28"/>
        </w:rPr>
        <w:t>@</w:t>
      </w:r>
      <w:r w:rsidRPr="00467B95">
        <w:rPr>
          <w:rFonts w:ascii="Times New Roman" w:hAnsi="Times New Roman"/>
          <w:sz w:val="28"/>
          <w:szCs w:val="28"/>
          <w:lang w:val="en-US"/>
        </w:rPr>
        <w:t>list</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xml:space="preserve">; тел: +7 (914) 666-37-33 </w:t>
      </w:r>
    </w:p>
    <w:p w:rsidR="00986D95" w:rsidRPr="00467B95" w:rsidRDefault="00986D95"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986D95" w:rsidRPr="00467B95" w:rsidRDefault="00986D95" w:rsidP="005A3DF4">
      <w:pPr>
        <w:widowControl w:val="0"/>
        <w:spacing w:after="0" w:line="240" w:lineRule="auto"/>
        <w:ind w:firstLine="709"/>
        <w:jc w:val="center"/>
        <w:rPr>
          <w:rFonts w:ascii="Times New Roman" w:hAnsi="Times New Roman"/>
          <w:sz w:val="28"/>
          <w:szCs w:val="28"/>
        </w:rPr>
      </w:pPr>
    </w:p>
    <w:p w:rsidR="00986D95" w:rsidRPr="00467B95" w:rsidRDefault="00986D95"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 xml:space="preserve">В настоящей статье проведено исследование юридического статуса института самовольной постройки на примере Российской Федерации и стран Северо-Восточной Азии. Определены схожие и отличные черты правового регулирования самовольного строительства, предложены пути совершенствования законодательства. </w:t>
      </w:r>
    </w:p>
    <w:p w:rsidR="00986D95" w:rsidRPr="00467B95" w:rsidRDefault="00986D95" w:rsidP="005A3DF4">
      <w:pPr>
        <w:widowControl w:val="0"/>
        <w:spacing w:after="0" w:line="240" w:lineRule="auto"/>
        <w:ind w:firstLine="709"/>
        <w:jc w:val="both"/>
        <w:rPr>
          <w:rFonts w:ascii="Times New Roman" w:hAnsi="Times New Roman"/>
          <w:i/>
          <w:sz w:val="28"/>
          <w:szCs w:val="28"/>
        </w:rPr>
      </w:pPr>
    </w:p>
    <w:p w:rsidR="00986D95" w:rsidRPr="00467B95" w:rsidRDefault="00986D95" w:rsidP="005A3DF4">
      <w:pPr>
        <w:widowControl w:val="0"/>
        <w:spacing w:after="0" w:line="240" w:lineRule="auto"/>
        <w:ind w:firstLine="709"/>
        <w:jc w:val="both"/>
        <w:rPr>
          <w:rFonts w:ascii="Times New Roman" w:hAnsi="Times New Roman"/>
          <w:i/>
          <w:sz w:val="28"/>
          <w:szCs w:val="28"/>
        </w:rPr>
      </w:pPr>
      <w:r w:rsidRPr="00F1532C">
        <w:rPr>
          <w:rFonts w:ascii="Times New Roman" w:hAnsi="Times New Roman"/>
          <w:i/>
          <w:sz w:val="28"/>
          <w:szCs w:val="28"/>
        </w:rPr>
        <w:t>Ключевые слова и словосочетания</w:t>
      </w:r>
      <w:r w:rsidRPr="00467B95">
        <w:rPr>
          <w:rFonts w:ascii="Times New Roman" w:hAnsi="Times New Roman"/>
          <w:i/>
          <w:sz w:val="28"/>
          <w:szCs w:val="28"/>
        </w:rPr>
        <w:t xml:space="preserve">: самовольная постройка, самовольное строительство, недвижимое имущество, снос самовольных построек, признание права собственности </w:t>
      </w:r>
    </w:p>
    <w:p w:rsidR="00986D95" w:rsidRPr="00467B95" w:rsidRDefault="00986D95" w:rsidP="005A3DF4">
      <w:pPr>
        <w:widowControl w:val="0"/>
        <w:spacing w:after="0" w:line="240" w:lineRule="auto"/>
        <w:ind w:firstLine="709"/>
        <w:jc w:val="both"/>
        <w:rPr>
          <w:rFonts w:ascii="Times New Roman" w:hAnsi="Times New Roman"/>
          <w:b/>
          <w:i/>
          <w:sz w:val="28"/>
          <w:szCs w:val="28"/>
        </w:rPr>
      </w:pPr>
    </w:p>
    <w:p w:rsidR="00986D95" w:rsidRPr="00467B95" w:rsidRDefault="00986D95"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Legal essence and importance of unauthorized construction as a legal category: analysis of Russian and foreign legislation</w:t>
      </w:r>
    </w:p>
    <w:p w:rsidR="00986D95" w:rsidRPr="00467B95" w:rsidRDefault="00986D95" w:rsidP="005A3DF4">
      <w:pPr>
        <w:widowControl w:val="0"/>
        <w:spacing w:after="0" w:line="240" w:lineRule="auto"/>
        <w:ind w:firstLine="709"/>
        <w:jc w:val="center"/>
        <w:rPr>
          <w:rFonts w:ascii="Times New Roman" w:hAnsi="Times New Roman"/>
          <w:b/>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In this article the studied of the legal status of the institution of unauthorized construction on the example of the Russian Federation and the countries of North-East Asia. Similar and different features of legal regulation of unauthorized construction are defined, ways of improvement of the legislation are offered.</w:t>
      </w:r>
    </w:p>
    <w:p w:rsidR="00986D95" w:rsidRPr="00467B95" w:rsidRDefault="00986D95" w:rsidP="005A3DF4">
      <w:pPr>
        <w:widowControl w:val="0"/>
        <w:spacing w:after="0" w:line="240" w:lineRule="auto"/>
        <w:ind w:firstLine="709"/>
        <w:jc w:val="both"/>
        <w:rPr>
          <w:rFonts w:ascii="Times New Roman" w:hAnsi="Times New Roman"/>
          <w:b/>
          <w:i/>
          <w:sz w:val="28"/>
          <w:szCs w:val="28"/>
          <w:lang w:val="en-US"/>
        </w:rPr>
      </w:pP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r w:rsidRPr="00F1532C">
        <w:rPr>
          <w:rFonts w:ascii="Times New Roman" w:hAnsi="Times New Roman"/>
          <w:i/>
          <w:sz w:val="28"/>
          <w:szCs w:val="28"/>
          <w:lang w:val="en-US"/>
        </w:rPr>
        <w:t>Keywords:</w:t>
      </w:r>
      <w:r w:rsidRPr="00467B95">
        <w:rPr>
          <w:rFonts w:ascii="Times New Roman" w:hAnsi="Times New Roman"/>
          <w:b/>
          <w:i/>
          <w:sz w:val="28"/>
          <w:szCs w:val="28"/>
          <w:lang w:val="en-US"/>
        </w:rPr>
        <w:t xml:space="preserve"> </w:t>
      </w:r>
      <w:r w:rsidRPr="00467B95">
        <w:rPr>
          <w:rFonts w:ascii="Times New Roman" w:hAnsi="Times New Roman"/>
          <w:i/>
          <w:sz w:val="28"/>
          <w:szCs w:val="28"/>
          <w:lang w:val="en-US"/>
        </w:rPr>
        <w:t>unauthorized construction, real estate, demolition of unauthorized buildings, recognition of ownership</w:t>
      </w:r>
    </w:p>
    <w:p w:rsidR="00986D95" w:rsidRPr="00467B95" w:rsidRDefault="00986D95" w:rsidP="005A3DF4">
      <w:pPr>
        <w:widowControl w:val="0"/>
        <w:spacing w:after="0" w:line="240" w:lineRule="auto"/>
        <w:ind w:firstLine="709"/>
        <w:jc w:val="both"/>
        <w:rPr>
          <w:rFonts w:ascii="Times New Roman" w:hAnsi="Times New Roman"/>
          <w:i/>
          <w:sz w:val="28"/>
          <w:szCs w:val="28"/>
          <w:lang w:val="en-US"/>
        </w:rPr>
      </w:pP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Одним из проблемных вопросов современного российского общества является самовольное строительство. Исходная норма регулирования отношений, возникающих при осуществлении самовольных строительных работ закреплена в статье 222  Гражданского кодекса Российской Федерации. Последняя устанавливает определение понятия «самовольная постройка», закрепляет основания для признания постройки самовольной, указывает на юридические последствия самовольного строительства [1]. В контексте анализа диспозиции ст.222 ГК РФ становится очевидным ее двойственный характер: законодателем дается отрицательная оценка рассматриваемому явлению путем введения запрета на совершение сделок с самовольной постройкой, закрепления обязанности по ее сносу, и одновременно с этим, положения ст.222 ГК РФ закрепляют возможность признания права собственности на самовольную постройку.</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Указанная противоречивость целеполагания законодателя в части узаконивания самовольных построек, неопределенность юридической сущности самовольной постройки как категории гражданского права, критериев отнесения объектов строительства к категории самовольных, а также иные теоретические и практические проблемы и предопределили необходимость рассмотрения отдельных аспектов самовольного строительства. Изучение законодательства зарубежных стран, его сравнение с </w:t>
      </w:r>
      <w:r w:rsidRPr="00467B95">
        <w:rPr>
          <w:rFonts w:ascii="Times New Roman" w:hAnsi="Times New Roman" w:cs="Times New Roman"/>
          <w:sz w:val="28"/>
          <w:szCs w:val="28"/>
        </w:rPr>
        <w:lastRenderedPageBreak/>
        <w:t>положениями национального законодательства, выведение на этой основе схожих и отличных черт может оказать огромную роль, в том числе, при выявлении пробелов в отечественном законодательном регулировании, а также служить ориентиром при совершенствовании положений российского законодательства.</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Российской Федерации регулирование института самовольного строительства осуществляется посредством норм, закрепленных в следующих отраслях законодательства –градостроительном, земельном. Исходным же положением считается статья 222 ГК РФ. В силу указанной нормы самовольной постройкой, прежде всего, признается здание, сооружение или другое строение.</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ГК РФ не раскрывает значение указанных понятий, не содержит указание на их существенные признаки. Определение категорий «здание», «сооружение» закреплено </w:t>
      </w:r>
      <w:r w:rsidRPr="00467B95">
        <w:rPr>
          <w:rFonts w:ascii="Times New Roman" w:hAnsi="Times New Roman" w:cs="Times New Roman"/>
          <w:bCs/>
          <w:kern w:val="36"/>
          <w:sz w:val="28"/>
          <w:szCs w:val="28"/>
        </w:rPr>
        <w:t xml:space="preserve">Федеральным законом от 30.12.2009 № 384-ФЗ «Технический регламент о безопасности зданий и сооружений». Согласно последнему, здание представляет собой «результат строительства, </w:t>
      </w:r>
      <w:r w:rsidRPr="00467B95">
        <w:rPr>
          <w:rFonts w:ascii="Times New Roman" w:hAnsi="Times New Roman" w:cs="Times New Roman"/>
          <w:sz w:val="28"/>
          <w:szCs w:val="28"/>
        </w:rPr>
        <w:t>&lt;…&gt;, предназначенный для проживания и (или) деятельности людей», строением в силу пункта 23 признается «</w:t>
      </w:r>
      <w:r w:rsidRPr="00467B95">
        <w:rPr>
          <w:rFonts w:ascii="Times New Roman" w:hAnsi="Times New Roman" w:cs="Times New Roman"/>
          <w:bCs/>
          <w:kern w:val="36"/>
          <w:sz w:val="28"/>
          <w:szCs w:val="28"/>
        </w:rPr>
        <w:t xml:space="preserve">результат строительства, </w:t>
      </w:r>
      <w:r w:rsidRPr="00467B95">
        <w:rPr>
          <w:rFonts w:ascii="Times New Roman" w:hAnsi="Times New Roman" w:cs="Times New Roman"/>
          <w:sz w:val="28"/>
          <w:szCs w:val="28"/>
        </w:rPr>
        <w:t>&lt;…&gt;, предназначенный для выполнения производственных процессов, а вместе с тем и временного пребывания людей» [2]. Отличительными чертами рассматриваемых понятий, как можно заметить, является их итоговое назначение. Вместе с тем, понятие «строение» не получило законодательного закрепления. Трубачев Е.О. в своей работе отмечает, что под строением понимается «отдельно стоящий завершенный строительством правомерно возведенный объект, перемещение которого невозможно без несоразмерного ущерба его назначению, &lt;…&gt;» [3, с. 8]. Таким образом можно сделать вывод, что если объект подпадает под указанные признаки, то он может быть отнесен к категории самовольных.</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Вместе с тем, одним из спорных вопросов, возникающих как в теории, так и на практике, является отнесение объектов самовольного строительства к категории недвижимых вещей. Комплексное рассмотрение указанного вопроса позволит провести более полный анализ понятия «самовольная постройка», сделать соответствующие выводы.</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Прежде всего, необходимо отметить, что Федеральный закон от 13.07.2015 № 258-ФЗ «О внесении изменений в статью 222 части первой Гражданского кодекса Российской Федерации и Федеральный закон «О введение в действие части первой Гражданского кодекса Российской Федерации» (далее по тексту – Закон о внесении изменений) содержал указание на исключение словосочетания «или иное недвижимое имущество» из дефиниции «самовольная постройка» [4]. Чиконова Л.В. в своей работе указывает на следующее: «Законодатель не случайно исключил из легального определения автоматическое причисление их к объектам недвижимости, поскольку по правовой природе до постановки на кадастровый учет и регистрации прав объект строительной деятельности не может существовать в качестве недвижимости» [5, с. 107]. По мнению автора данной работы, </w:t>
      </w:r>
      <w:r w:rsidRPr="00467B95">
        <w:rPr>
          <w:rFonts w:ascii="Times New Roman" w:hAnsi="Times New Roman" w:cs="Times New Roman"/>
          <w:sz w:val="28"/>
          <w:szCs w:val="28"/>
        </w:rPr>
        <w:lastRenderedPageBreak/>
        <w:t>исключение указанной привязки из законодательно закрепленного определения может породить существенные разногласия между членами общества и соответствующими юрисдикционными органами, привести к принятию противоречащих закону судебных решений, их затяжному оспариванию в суде апелляционной инстанции.</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Статья 130 ГК РФ здания и сооружения, а также объекты незавершенного строительства относит к категории недвижимого имущества [1]. Таким образом можно утверждать, что каждый самовольно возведенный объект признается недвижимостью. Кроме того, сторонники такого подхода указывают: «Самовольная постройка относится к недвижимости &lt;…&gt;, представляя собой, по сути, особую разновидность недвижимых вещей, &lt;…&gt;, правовой режим которых имеет существенные отличия от иных объектов недвижимости» [6, с. 79]. Лескова Ю.Г. утверждает: «Самовольную постройку необходимо относить к недвижимому имуществу, в силу того, что в статье 130 ГК РФ среди квалифицирующих признаков объекта недвижимого имущества государственная регистрация не упоминается» [7, с. 33].</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Невозможность такого отнесения обосновывает в своей работе Суханов Е.А. Так, последний указывает: «&lt;…&gt;, объект не становится недвижимостью, ибо не подлежит государственной регистрации по причине допущенных при его строительстве нарушений. Речь здесь может идти лишь о совокупности стройматериалов, которые их собственник вправе забрать, осуществив за свой счет снос такой постройки» [8, с. 520]. </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Таким образом, отсутствует единый подход к отнесению объектов самовольного строительства к категории недвижимых вещей. По мнению автора данной работы, законодательно закрепленные признаки недвижимых вещей и являются ориентиром для возможности отнесения к ним самовольно возведенных объектов. То есть, здание, сооружение, иное строение являются объектами недвижимости только при установлении их прочной связи с землей. Без проведения комплексных мероприятий по установлению указанной связи отнесение самовольно возведенных объектов к категории недвижимого имущества невозможно.</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Дискуссионным в юридической литературе является и вопрос по поводу отнесения самовольно возведенных объектов к категории объектов незавершенного строительства. Так, приверженец подхода, согласно которому последние могут быть отнесены к категории самовольных Терещенко А.Н. в обоснование своих доводов положил неточность законодательного определения понятия «самовольная постройка» указывая при этом: «В новой редакции ст. 222 ГК РФ отсутствует упоминание об иных объектах имущества, кроме перечисленных в статье. В связи с этим возникла проблема с отнесением объекта незавершенного строительства к самовольным постройкам. Представляется, что объект незавершенного строительства может быть отнесен к строению, и при наличии признаков самовольной постройки уже в отношении незавершенного строения может </w:t>
      </w:r>
      <w:r w:rsidRPr="00467B95">
        <w:rPr>
          <w:rFonts w:ascii="Times New Roman" w:hAnsi="Times New Roman" w:cs="Times New Roman"/>
          <w:sz w:val="28"/>
          <w:szCs w:val="28"/>
        </w:rPr>
        <w:lastRenderedPageBreak/>
        <w:t>быть принято решение о сносе самовольной постройки» [9, с. 92].</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lang w:val="en-US"/>
        </w:rPr>
        <w:t>C</w:t>
      </w:r>
      <w:r w:rsidRPr="00467B95">
        <w:rPr>
          <w:rFonts w:ascii="Times New Roman" w:hAnsi="Times New Roman" w:cs="Times New Roman"/>
          <w:sz w:val="28"/>
          <w:szCs w:val="28"/>
        </w:rPr>
        <w:t xml:space="preserve">торонник противоположной позиции – Мананников О. аргументирует следующим: «Все нарушения строительных и градостроительных правил могут быть устранены к моменту окончания строительства. То же самое относится и к предоставлению земельного участка и получению разрешения на строительство» [10]. </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Автору данной работы последняя точка зрения представляется наиболее верной, ведь объекты незавершенного строительства находятся в динамическом, а не статическом состоянии. Выводы о том, что рассматриваемые объекты автоматически являются самовольными постройками могут привести к нарушению прав субъектов, в том числе, на возведение зданий на принадлежащих им земельных участках. Только по завершении строительных работ можно делать вывод о соответствии здания, сооружения или строения требованиям законодательства.</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Кроме того, что самовольными являются, прежде всего, здание, сооружение или другое строение, исходной нормой закреплены также иные признаки рассматриваемых объектов. К ним относится - возведение или создание последних на землях, которые не были предоставлены в предусмотренном порядке, либо разрешенное использование которых не допускает строительства. </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Представляется необходимым отметить, что названный признак находится в тесном взаимодействии с земельным законодательством. Ведь в силу статьи 39.2 Земельного кодекса Российской Федерации (далее по тексту – ЗК РФ), 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 положениями земельного законодательства [11]. Следовательно, нарушение порядка предоставления земельного участка автоматически влечет отнесение возведенного объекта к категории самовольных. </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Следующим признаком, обозначенным законодателем в качестве критерия отнесения возведенных объектов к категории самовольных является возведение или создание последних без получения на это необходимых в силу закона согласований, разрешений или с нарушением градостроительных и строительных норм и правил.</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ГрК РФ закреплена императивная норма, согласно которой строительство объектов капитального строительства, по общему правилу, осуществляется на основании разрешения на строительство. В силу статьи 55 итоговым документом, который подтверждает проведение строительных работ в полном объеме, а также их соответствие закрепленным требованиям признается разрешение на ввод объекта в эксплуатацию [12]. При этом, как указано в  Постановлении Пленума Верховного Суда РФ и Высшего Арбитражного Суда РФ от 29.04.2010 № 10/22 «О некоторых вопросах, возникающих в судебной практике при разрешении споров, связанных с </w:t>
      </w:r>
      <w:r w:rsidRPr="00467B95">
        <w:rPr>
          <w:rFonts w:ascii="Times New Roman" w:hAnsi="Times New Roman" w:cs="Times New Roman"/>
          <w:sz w:val="28"/>
          <w:szCs w:val="28"/>
        </w:rPr>
        <w:lastRenderedPageBreak/>
        <w:t>защитой права собственности и других вещных прав» (далее по тексту – Постановление Пленумов ВС РФ и ВАС РФ № 10/22): «При рассмотрении дел о признании права собственности на самовольную постройку суд должен установить, принимались ли лицом, силами которого возведен объект самовольного строительства надлежащие меры к его легализации, законен ли был отказ уполномоченных органов в выдаче соответствующих документов, а также не нарушает ли самовольная постройка права и законные интересы третьих лиц, не создает ли угрозу их жизнь и здоровью. При установлении указанных фактов суд вправе признать право собственности на самовольно возведенный объект» [13].</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При этом, Постановление Пленумов ВС РФ и ВАС РФ № 10/22 указывает на то, что допущенные отклонения от установленных норм должны быть существенными. Последними признаются только те, которые могут повлечь уничтожение постройки, причинение вреда жизни, здоровью человека, повреждение или уничтожение имущества других лиц [14].</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Автор данной работы придерживается позиции законодателя в отношении установленных признаков самовольных построек. Ведь в том числе неправомерное использование земельных участков  нарушает права Российской Федерации, входящих в ее состав субъектов, муниципальных образований и отдельных лиц, влечет причинение имущественного ущерба указанным субъектам, а последующий снос самовольно возведенного объекта может причинить ущерб окружающей среде.</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Анализ законодательства зарубежных стран показал, что законодательство Республики Корея и Японии не содержит норм, регулирующих отношения, складывающихся в сфере самовольного строительства. Как указывает в своей работе Бибиков А.И.: «Если обратиться к зарубежному гражданскому законодательству (кроме стран СНГ), то нигде подобных норм в действующем там законодательстве мы не обнаружим. Во-первых, любая застройка трактуется как элемент особого права – права на преобразование земли, которое является не только мощным стимулом для приобретения права собственности на земельные участки, но и фактором постоянного прирастания стоимости этих участков. Однако строительство никогда не рассматривается как внутреннее дело земельного собственника, поэтому неизбежно используется система как централизованного, так и децентрализованного регулирования. &lt;…&gt;. Такая двухуровневая система является в этих странах причиной, с одной стороны, ограниченности природных ресурсов, с другой, подчинения субъективного права суверенитету государства» [15, с. 105].</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Интересным представляется рассмотрение правового регулирования на примере Китая. Как и законодательство Республики Корея, так и Японии, законодательство Китая не содержит норм, определяющих правовой статус объектов самовольного строительства. При этом в государстве действует 2 закона, представляющих интерес для автора данной работы. </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Так, в целях защиты основ экономического строя, определения </w:t>
      </w:r>
      <w:r w:rsidRPr="00467B95">
        <w:rPr>
          <w:rFonts w:ascii="Times New Roman" w:hAnsi="Times New Roman" w:cs="Times New Roman"/>
          <w:sz w:val="28"/>
          <w:szCs w:val="28"/>
        </w:rPr>
        <w:lastRenderedPageBreak/>
        <w:t xml:space="preserve">принадлежности собственности принят Закон «О вещных правах», одна из глав которого посвящена праву использования земли под строительство. Так, согласно последней, указанное право предполагает возможность использования земельных ресурсов для строительства объектов, а также извлечение выгоды. Вместе с тем установлена обязанность по рациональному использованию земельного участка, введен запрет на невозможность изменения их назначения. По общему правилу собственником возведенных объектов является обладатель права, если не доказано иное [16]. Иных положений, которые бы устанавливали ответственность за самовольное строительство, содержали бы указание на иные последствия возведения объектов без оформления соответствующих прав указанный акт не содержит. </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Для повышения качества и безопасности строительных объектов, обеспечения полного порядка в строительной сфере в Китае принят Закон «О строительстве» [17]. Сфера действия указанного акта распространяется на все виды домов, зданий и их пристроек. Законом урегулированы действия строительных организаций, следовательно, осуществление строительства частными лицами будет регулироваться Законом «О вещных правах», рассмотренным ранее.</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Интересным представляется положение, закрепляющее требования, предъявляемые к строительным организациям. К последним, в частности, относят владение зарегистрированным капиталом, наличие квалифицированного персонала и оборудования. Необходимо отметить, что закрепление подобных норм положительно бы сказалось на ситуации, сложившейся вокруг самовольного строительства в Российской Федерации. Ведь под категорию самовольно возведенных объектов подпадают не только небольшие строения, которые возвел собственник земельного участка, но и полноразмерные многоэтажные здания. Заимствование положений в рассматриваемой части снизит процент недобросовестных «крупных» застройщиков, сократит случаи введения населения в заблуждение.</w:t>
      </w:r>
    </w:p>
    <w:p w:rsidR="00986D95" w:rsidRPr="00467B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 Изначально закрепляется, что какое бы то ни было строительство должно сопровождаться исчерпывающим соблюдением требований законодательства, невозможностью нарушения общественных интересов, интересов третьих лиц. Основанием для начала осуществления строительных работ является получение в установленном порядке и в уполномоченном органе лицензии на строительство. Затем для проводимого анализа интересной представляется глава 12 Закона «О строительстве», которая посвящена юридической ответственности. Так, в силу статьи 64 начало строительства без соответствующих разрешений влечет получение приказа по исправлению, в то же время, несоответствие строительного проекта требованиям, которые позволяют начать работы, влечет получение приказа об остановке осуществления строительных работ, наложение штрафа.</w:t>
      </w:r>
    </w:p>
    <w:p w:rsidR="00986D95" w:rsidRDefault="00986D95"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Таким образом построено правовое регулирование института самовольной постройки в Китае. Законодателем предъявляются серьезные требования к осуществлению строительных работ организациями – </w:t>
      </w:r>
      <w:r w:rsidRPr="00467B95">
        <w:rPr>
          <w:rFonts w:ascii="Times New Roman" w:hAnsi="Times New Roman" w:cs="Times New Roman"/>
          <w:sz w:val="28"/>
          <w:szCs w:val="28"/>
        </w:rPr>
        <w:lastRenderedPageBreak/>
        <w:t>установлен порядок получения лицензий, закреплены требования, которым должна соответствовать организация, регламентированы вопросы заключения договоров на строительные проекты, установлен соответствующий контроль и надзор, предусмотрены меры ответственности. Вместе с тем, законодательство имеет пробелы в части регулирования строительства, которое осуществляют частные лица. Так, не ясно, какие виды объектов разрешается строить, а на какие установлен запрет, не определены юридические последствия возведения зданий без получения права на строительство, не урегулированы иные вопросы.</w:t>
      </w:r>
    </w:p>
    <w:p w:rsidR="00986D95" w:rsidRPr="00467B95" w:rsidRDefault="00986D9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Style w:val="a8"/>
          <w:rFonts w:ascii="Times New Roman" w:hAnsi="Times New Roman" w:cs="Times New Roman"/>
          <w:bCs/>
          <w:color w:val="auto"/>
          <w:sz w:val="28"/>
          <w:szCs w:val="28"/>
          <w:u w:val="none"/>
        </w:rPr>
      </w:pPr>
      <w:r w:rsidRPr="00F1532C">
        <w:rPr>
          <w:rStyle w:val="a8"/>
          <w:rFonts w:ascii="Times New Roman" w:hAnsi="Times New Roman" w:cs="Times New Roman"/>
          <w:bCs/>
          <w:color w:val="auto"/>
          <w:sz w:val="28"/>
          <w:szCs w:val="28"/>
          <w:u w:val="none"/>
        </w:rPr>
        <w:t xml:space="preserve">Гражданский кодекс Российской Федерации: федеральный закон от </w:t>
      </w:r>
      <w:r w:rsidRPr="00F1532C">
        <w:rPr>
          <w:rFonts w:ascii="Times New Roman" w:hAnsi="Times New Roman"/>
          <w:sz w:val="28"/>
          <w:szCs w:val="28"/>
        </w:rPr>
        <w:t>30</w:t>
      </w:r>
      <w:r w:rsidRPr="00F1532C">
        <w:rPr>
          <w:rStyle w:val="nobr"/>
          <w:rFonts w:ascii="Times New Roman" w:hAnsi="Times New Roman" w:cs="Times New Roman"/>
          <w:sz w:val="28"/>
          <w:szCs w:val="28"/>
        </w:rPr>
        <w:t>.11.</w:t>
      </w:r>
      <w:r w:rsidRPr="00F1532C">
        <w:rPr>
          <w:rFonts w:ascii="Times New Roman" w:hAnsi="Times New Roman"/>
          <w:sz w:val="28"/>
          <w:szCs w:val="28"/>
        </w:rPr>
        <w:t>1994</w:t>
      </w:r>
      <w:r w:rsidRPr="00F1532C">
        <w:rPr>
          <w:rStyle w:val="nobr"/>
          <w:rFonts w:ascii="Times New Roman" w:hAnsi="Times New Roman" w:cs="Times New Roman"/>
          <w:sz w:val="28"/>
          <w:szCs w:val="28"/>
        </w:rPr>
        <w:t> </w:t>
      </w:r>
      <w:r w:rsidRPr="00F1532C">
        <w:rPr>
          <w:rFonts w:ascii="Times New Roman" w:hAnsi="Times New Roman"/>
          <w:sz w:val="28"/>
          <w:szCs w:val="28"/>
        </w:rPr>
        <w:t>№</w:t>
      </w:r>
      <w:r w:rsidRPr="00F1532C">
        <w:rPr>
          <w:rStyle w:val="nobr"/>
          <w:rFonts w:ascii="Times New Roman" w:hAnsi="Times New Roman" w:cs="Times New Roman"/>
          <w:sz w:val="28"/>
          <w:szCs w:val="28"/>
        </w:rPr>
        <w:t> </w:t>
      </w:r>
      <w:r w:rsidRPr="00F1532C">
        <w:rPr>
          <w:rFonts w:ascii="Times New Roman" w:hAnsi="Times New Roman"/>
          <w:sz w:val="28"/>
          <w:szCs w:val="28"/>
        </w:rPr>
        <w:t xml:space="preserve">51-ФЗ (ред. от 03.08.2018) </w:t>
      </w:r>
      <w:r w:rsidRPr="00F1532C">
        <w:rPr>
          <w:rFonts w:ascii="Times New Roman" w:hAnsi="Times New Roman"/>
          <w:bCs/>
          <w:sz w:val="28"/>
          <w:szCs w:val="28"/>
        </w:rPr>
        <w:t>[</w:t>
      </w:r>
      <w:r w:rsidRPr="00F1532C">
        <w:rPr>
          <w:rFonts w:ascii="Times New Roman" w:hAnsi="Times New Roman"/>
          <w:sz w:val="28"/>
          <w:szCs w:val="28"/>
        </w:rPr>
        <w:t xml:space="preserve">Электронный ресурс] </w:t>
      </w:r>
      <w:r w:rsidRPr="00F1532C">
        <w:rPr>
          <w:rFonts w:ascii="Times New Roman" w:eastAsia="Calibri" w:hAnsi="Times New Roman"/>
          <w:sz w:val="28"/>
          <w:szCs w:val="28"/>
        </w:rPr>
        <w:t xml:space="preserve">// СПС «КонсультантПлюс». – Режим доступа: </w:t>
      </w:r>
      <w:hyperlink r:id="rId46" w:history="1">
        <w:r w:rsidRPr="00F1532C">
          <w:rPr>
            <w:rStyle w:val="a8"/>
            <w:rFonts w:ascii="Times New Roman" w:eastAsia="Calibri" w:hAnsi="Times New Roman" w:cs="Times New Roman"/>
            <w:color w:val="auto"/>
            <w:sz w:val="28"/>
            <w:szCs w:val="28"/>
            <w:u w:val="none"/>
          </w:rPr>
          <w:t>http://www.consultant.ru/document/cons_doc_LAW_5142/#dst0</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hAnsi="Times New Roman" w:cs="Times New Roman"/>
          <w:bCs/>
          <w:kern w:val="36"/>
          <w:sz w:val="28"/>
          <w:szCs w:val="28"/>
        </w:rPr>
        <w:t xml:space="preserve">Технический регламент о безопасности зданий и сооружений: федеральный закон от 30.12.2009 № 384-ФЗ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xml:space="preserve">// СПС «КонсультантПлюс». – Режим доступа: </w:t>
      </w:r>
      <w:hyperlink r:id="rId47" w:history="1">
        <w:r w:rsidRPr="00F1532C">
          <w:rPr>
            <w:rStyle w:val="a8"/>
            <w:rFonts w:ascii="Times New Roman" w:eastAsia="Calibri" w:hAnsi="Times New Roman" w:cs="Times New Roman"/>
            <w:color w:val="auto"/>
            <w:sz w:val="28"/>
            <w:szCs w:val="28"/>
            <w:u w:val="none"/>
          </w:rPr>
          <w:t>http://www.consultant.ru/document/cons_doc_LAW_95720/</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Style w:val="a8"/>
          <w:rFonts w:ascii="Times New Roman" w:hAnsi="Times New Roman" w:cs="Times New Roman"/>
          <w:bCs/>
          <w:color w:val="auto"/>
          <w:sz w:val="28"/>
          <w:szCs w:val="28"/>
          <w:u w:val="none"/>
        </w:rPr>
        <w:t>Трубачев Е.О. Нежилые помещения как объекты недвижимости (гражданско-правовой аспект): автореф. дис. … канд. юрид. наук: 12.00.03 /                                              Трубачев Евгений Олегович</w:t>
      </w:r>
      <w:r w:rsidRPr="00F1532C">
        <w:rPr>
          <w:rFonts w:ascii="Times New Roman" w:eastAsia="Calibri" w:hAnsi="Times New Roman" w:cs="Times New Roman"/>
          <w:sz w:val="28"/>
          <w:szCs w:val="28"/>
        </w:rPr>
        <w:t>. – Томск., 2009. – 31 с.</w:t>
      </w:r>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hAnsi="Times New Roman" w:cs="Times New Roman"/>
          <w:sz w:val="28"/>
          <w:szCs w:val="28"/>
        </w:rPr>
        <w:t xml:space="preserve">О внесении изменений в статью 222 части первой Гражданского кодекса Российской Федерации и Федеральный закон «О введение в действие части первой Гражданского кодекса Российской Федерации: федеральный закон от 13.07.2015 № 258-ФЗ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xml:space="preserve">// СПС «КонсультантПлюс». – Режим доступа: </w:t>
      </w:r>
      <w:hyperlink r:id="rId48" w:history="1">
        <w:r w:rsidRPr="00F1532C">
          <w:rPr>
            <w:rStyle w:val="a8"/>
            <w:rFonts w:ascii="Times New Roman" w:eastAsia="Calibri" w:hAnsi="Times New Roman" w:cs="Times New Roman"/>
            <w:color w:val="auto"/>
            <w:sz w:val="28"/>
            <w:szCs w:val="28"/>
            <w:u w:val="none"/>
          </w:rPr>
          <w:t>http://www.consultant.ru/document/cons_doc_LAW_182649/</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eastAsia="Calibri" w:hAnsi="Times New Roman" w:cs="Times New Roman"/>
          <w:sz w:val="28"/>
          <w:szCs w:val="28"/>
        </w:rPr>
        <w:t xml:space="preserve">Чиконова Л.В. Некоторые проблемы применения дефиниции «самовольная постройка»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xml:space="preserve">/ Л.В. Чиконова // </w:t>
      </w:r>
      <w:r w:rsidRPr="00F1532C">
        <w:rPr>
          <w:rFonts w:ascii="Times New Roman" w:hAnsi="Times New Roman" w:cs="Times New Roman"/>
          <w:bCs/>
          <w:kern w:val="36"/>
          <w:sz w:val="28"/>
          <w:szCs w:val="28"/>
        </w:rPr>
        <w:t>Научная электронная библиотека КиберЛенинка</w:t>
      </w:r>
      <w:r w:rsidRPr="00F1532C">
        <w:rPr>
          <w:rFonts w:ascii="Times New Roman" w:eastAsia="Calibri" w:hAnsi="Times New Roman" w:cs="Times New Roman"/>
          <w:sz w:val="28"/>
          <w:szCs w:val="28"/>
        </w:rPr>
        <w:t xml:space="preserve">. - Режим доступа: </w:t>
      </w:r>
      <w:hyperlink r:id="rId49" w:history="1">
        <w:r w:rsidRPr="00F1532C">
          <w:rPr>
            <w:rStyle w:val="a8"/>
            <w:rFonts w:ascii="Times New Roman" w:eastAsia="Calibri" w:hAnsi="Times New Roman" w:cs="Times New Roman"/>
            <w:color w:val="auto"/>
            <w:sz w:val="28"/>
            <w:szCs w:val="28"/>
            <w:u w:val="none"/>
          </w:rPr>
          <w:t>https://cyberleninka.ru/article/v/nekotorye-problemy-primeneniya-definitsii-samovolnaya-postroyka</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Style w:val="a8"/>
          <w:rFonts w:ascii="Times New Roman" w:hAnsi="Times New Roman" w:cs="Times New Roman"/>
          <w:bCs/>
          <w:color w:val="auto"/>
          <w:kern w:val="36"/>
          <w:sz w:val="28"/>
          <w:szCs w:val="28"/>
          <w:u w:val="none"/>
        </w:rPr>
      </w:pPr>
      <w:r w:rsidRPr="00F1532C">
        <w:rPr>
          <w:rStyle w:val="a8"/>
          <w:rFonts w:ascii="Times New Roman" w:hAnsi="Times New Roman" w:cs="Times New Roman"/>
          <w:bCs/>
          <w:color w:val="auto"/>
          <w:sz w:val="28"/>
          <w:szCs w:val="28"/>
          <w:u w:val="none"/>
        </w:rPr>
        <w:t>Бетхер В.А. Самовольное создание и (или) изменение объектов недвижимости в Российской Федерации (гражданско-правовой аспект): дис…канд. юрид. наук: 12.00.03</w:t>
      </w:r>
      <w:r w:rsidRPr="00F1532C">
        <w:rPr>
          <w:rFonts w:ascii="Times New Roman" w:hAnsi="Times New Roman" w:cs="Times New Roman"/>
          <w:sz w:val="28"/>
          <w:szCs w:val="28"/>
        </w:rPr>
        <w:t xml:space="preserve"> </w:t>
      </w:r>
      <w:r w:rsidRPr="00F1532C">
        <w:rPr>
          <w:rStyle w:val="a8"/>
          <w:rFonts w:ascii="Times New Roman" w:hAnsi="Times New Roman" w:cs="Times New Roman"/>
          <w:bCs/>
          <w:color w:val="auto"/>
          <w:sz w:val="28"/>
          <w:szCs w:val="28"/>
          <w:u w:val="none"/>
        </w:rPr>
        <w:t xml:space="preserve">/ Бетхер Вера Андреевна. </w:t>
      </w:r>
      <w:r w:rsidRPr="00F1532C">
        <w:rPr>
          <w:rFonts w:ascii="Times New Roman" w:eastAsia="Calibri" w:hAnsi="Times New Roman" w:cs="Times New Roman"/>
          <w:sz w:val="28"/>
          <w:szCs w:val="28"/>
        </w:rPr>
        <w:t>–</w:t>
      </w:r>
      <w:r w:rsidRPr="00F1532C">
        <w:rPr>
          <w:rStyle w:val="a8"/>
          <w:rFonts w:ascii="Times New Roman" w:hAnsi="Times New Roman" w:cs="Times New Roman"/>
          <w:bCs/>
          <w:color w:val="auto"/>
          <w:sz w:val="28"/>
          <w:szCs w:val="28"/>
          <w:u w:val="none"/>
        </w:rPr>
        <w:t xml:space="preserve"> Омск, 2016. </w:t>
      </w:r>
      <w:r w:rsidRPr="00F1532C">
        <w:rPr>
          <w:rFonts w:ascii="Times New Roman" w:eastAsia="Calibri" w:hAnsi="Times New Roman" w:cs="Times New Roman"/>
          <w:sz w:val="28"/>
          <w:szCs w:val="28"/>
        </w:rPr>
        <w:t>–</w:t>
      </w:r>
      <w:r w:rsidRPr="00F1532C">
        <w:rPr>
          <w:rStyle w:val="a8"/>
          <w:rFonts w:ascii="Times New Roman" w:hAnsi="Times New Roman" w:cs="Times New Roman"/>
          <w:bCs/>
          <w:color w:val="auto"/>
          <w:sz w:val="28"/>
          <w:szCs w:val="28"/>
          <w:u w:val="none"/>
        </w:rPr>
        <w:t xml:space="preserve"> 280 с.</w:t>
      </w:r>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bCs/>
          <w:kern w:val="36"/>
          <w:sz w:val="28"/>
          <w:szCs w:val="28"/>
        </w:rPr>
      </w:pPr>
      <w:r w:rsidRPr="00F1532C">
        <w:rPr>
          <w:rFonts w:ascii="Times New Roman" w:hAnsi="Times New Roman" w:cs="Times New Roman"/>
          <w:bCs/>
          <w:kern w:val="36"/>
          <w:sz w:val="28"/>
          <w:szCs w:val="28"/>
        </w:rPr>
        <w:t xml:space="preserve">Лескова Ю.Г. Самовольная постройка в системе объектов гражданских правоотношений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hAnsi="Times New Roman" w:cs="Times New Roman"/>
          <w:bCs/>
          <w:kern w:val="36"/>
          <w:sz w:val="28"/>
          <w:szCs w:val="28"/>
        </w:rPr>
        <w:t xml:space="preserve">/ Ю.Г. Лескова, Н.Д. Кобылинский // Научная электронная библиотека Елайбрари. - </w:t>
      </w:r>
      <w:r w:rsidRPr="00F1532C">
        <w:rPr>
          <w:rFonts w:ascii="Times New Roman" w:eastAsia="Calibri" w:hAnsi="Times New Roman" w:cs="Times New Roman"/>
          <w:sz w:val="28"/>
          <w:szCs w:val="28"/>
        </w:rPr>
        <w:t xml:space="preserve">Режим доступа: </w:t>
      </w:r>
      <w:hyperlink r:id="rId50" w:history="1">
        <w:r w:rsidRPr="00F1532C">
          <w:rPr>
            <w:rStyle w:val="a8"/>
            <w:rFonts w:ascii="Times New Roman" w:hAnsi="Times New Roman" w:cs="Times New Roman"/>
            <w:color w:val="auto"/>
            <w:sz w:val="28"/>
            <w:szCs w:val="28"/>
            <w:u w:val="none"/>
          </w:rPr>
          <w:t>https://elibrary.ru/download/elibrary_27158291_98538491.pdf</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bCs/>
          <w:kern w:val="36"/>
          <w:sz w:val="28"/>
          <w:szCs w:val="28"/>
        </w:rPr>
      </w:pPr>
      <w:r w:rsidRPr="00F1532C">
        <w:rPr>
          <w:rFonts w:ascii="Times New Roman" w:hAnsi="Times New Roman" w:cs="Times New Roman"/>
          <w:bCs/>
          <w:kern w:val="36"/>
          <w:sz w:val="28"/>
          <w:szCs w:val="28"/>
        </w:rPr>
        <w:t>Суханов Е.А. Российское гражданское право: учебник / Е.А. Суханов.- М.: Статут, 2011. – 958 с.</w:t>
      </w:r>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hAnsi="Times New Roman" w:cs="Times New Roman"/>
          <w:bCs/>
          <w:kern w:val="36"/>
          <w:sz w:val="28"/>
          <w:szCs w:val="28"/>
        </w:rPr>
        <w:t xml:space="preserve">Терещенко А.Н. Понятие и признаки самовольной постройки в новой редакции статьи 222 Гражданского кодекса Российской Федерации </w:t>
      </w:r>
      <w:r w:rsidRPr="00F1532C">
        <w:rPr>
          <w:rFonts w:ascii="Times New Roman" w:hAnsi="Times New Roman" w:cs="Times New Roman"/>
          <w:bCs/>
          <w:sz w:val="28"/>
          <w:szCs w:val="28"/>
        </w:rPr>
        <w:lastRenderedPageBreak/>
        <w:t>[</w:t>
      </w:r>
      <w:r w:rsidRPr="00F1532C">
        <w:rPr>
          <w:rFonts w:ascii="Times New Roman" w:hAnsi="Times New Roman" w:cs="Times New Roman"/>
          <w:sz w:val="28"/>
          <w:szCs w:val="28"/>
        </w:rPr>
        <w:t>Электронный ресурс]</w:t>
      </w:r>
      <w:r w:rsidRPr="00F1532C">
        <w:rPr>
          <w:rFonts w:ascii="Times New Roman" w:hAnsi="Times New Roman" w:cs="Times New Roman"/>
          <w:bCs/>
          <w:kern w:val="36"/>
          <w:sz w:val="28"/>
          <w:szCs w:val="28"/>
        </w:rPr>
        <w:t xml:space="preserve"> /                             А.Н. Терещенко // Научная электронная библиотека Елайбрари. - </w:t>
      </w:r>
      <w:r w:rsidRPr="00F1532C">
        <w:rPr>
          <w:rFonts w:ascii="Times New Roman" w:eastAsia="Calibri" w:hAnsi="Times New Roman" w:cs="Times New Roman"/>
          <w:sz w:val="28"/>
          <w:szCs w:val="28"/>
        </w:rPr>
        <w:t xml:space="preserve">Режим доступа: </w:t>
      </w:r>
      <w:hyperlink r:id="rId51" w:history="1">
        <w:r w:rsidRPr="00F1532C">
          <w:rPr>
            <w:rStyle w:val="a8"/>
            <w:rFonts w:ascii="Times New Roman" w:hAnsi="Times New Roman" w:cs="Times New Roman"/>
            <w:color w:val="auto"/>
            <w:sz w:val="28"/>
            <w:szCs w:val="28"/>
            <w:u w:val="none"/>
          </w:rPr>
          <w:t>https://elibrary.ru/download/elibrary_30735416_59245889.pdf</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hAnsi="Times New Roman" w:cs="Times New Roman"/>
          <w:bCs/>
          <w:kern w:val="36"/>
          <w:sz w:val="28"/>
          <w:szCs w:val="28"/>
        </w:rPr>
        <w:t xml:space="preserve">Мананников О. Домоклов меч самовольного строительства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hAnsi="Times New Roman" w:cs="Times New Roman"/>
          <w:bCs/>
          <w:kern w:val="36"/>
          <w:sz w:val="28"/>
          <w:szCs w:val="28"/>
        </w:rPr>
        <w:t xml:space="preserve">/ О. Мананников // Сейчас.ру. – Режим доступа: </w:t>
      </w:r>
      <w:hyperlink r:id="rId52" w:history="1">
        <w:r w:rsidRPr="00F1532C">
          <w:rPr>
            <w:rStyle w:val="a8"/>
            <w:rFonts w:ascii="Times New Roman" w:hAnsi="Times New Roman" w:cs="Times New Roman"/>
            <w:bCs/>
            <w:color w:val="auto"/>
            <w:kern w:val="36"/>
            <w:sz w:val="28"/>
            <w:szCs w:val="28"/>
            <w:u w:val="none"/>
          </w:rPr>
          <w:t>https://www.lawmix.ru/comm/2565</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hAnsi="Times New Roman" w:cs="Times New Roman"/>
          <w:bCs/>
          <w:kern w:val="36"/>
          <w:sz w:val="28"/>
          <w:szCs w:val="28"/>
        </w:rPr>
        <w:t xml:space="preserve">Земельный кодекс Российской Федерации: федеральный закон от 25.10.2001 № 136-ФЗ (ред. от 25.12.2018)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xml:space="preserve">// СПС «КонсультантПлюс». – Режим доступа: </w:t>
      </w:r>
      <w:hyperlink r:id="rId53" w:history="1">
        <w:r w:rsidRPr="00F1532C">
          <w:rPr>
            <w:rStyle w:val="a8"/>
            <w:rFonts w:ascii="Times New Roman" w:eastAsia="Calibri" w:hAnsi="Times New Roman" w:cs="Times New Roman"/>
            <w:color w:val="auto"/>
            <w:sz w:val="28"/>
            <w:szCs w:val="28"/>
            <w:u w:val="none"/>
          </w:rPr>
          <w:t>http://www.consultant.ru/document/cons_doc_LAW_33773/</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hAnsi="Times New Roman" w:cs="Times New Roman"/>
          <w:bCs/>
          <w:kern w:val="36"/>
          <w:sz w:val="28"/>
          <w:szCs w:val="28"/>
        </w:rPr>
        <w:t>Градостроительный кодекс Российской Федерации: федеральный закон от</w:t>
      </w:r>
      <w:r w:rsidRPr="00F1532C">
        <w:rPr>
          <w:rStyle w:val="a8"/>
          <w:rFonts w:ascii="Times New Roman" w:hAnsi="Times New Roman" w:cs="Times New Roman"/>
          <w:bCs/>
          <w:color w:val="auto"/>
          <w:sz w:val="28"/>
          <w:szCs w:val="28"/>
          <w:u w:val="none"/>
        </w:rPr>
        <w:t xml:space="preserve"> </w:t>
      </w:r>
      <w:r w:rsidRPr="00F1532C">
        <w:rPr>
          <w:rFonts w:ascii="Times New Roman" w:hAnsi="Times New Roman" w:cs="Times New Roman"/>
          <w:bCs/>
          <w:kern w:val="36"/>
          <w:sz w:val="28"/>
          <w:szCs w:val="28"/>
        </w:rPr>
        <w:t xml:space="preserve">29.12.2004 № 190-ФЗ (ред. от 25.12.2018)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xml:space="preserve">// СПС «КонсультантПлюс». – Режим доступа: </w:t>
      </w:r>
      <w:hyperlink r:id="rId54" w:history="1">
        <w:r w:rsidRPr="00F1532C">
          <w:rPr>
            <w:rStyle w:val="a8"/>
            <w:rFonts w:ascii="Times New Roman" w:eastAsia="Calibri" w:hAnsi="Times New Roman" w:cs="Times New Roman"/>
            <w:color w:val="auto"/>
            <w:sz w:val="28"/>
            <w:szCs w:val="28"/>
            <w:u w:val="none"/>
          </w:rPr>
          <w:t>http://www.consultant.ru/document/cons_doc_LAW_51040/</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Fonts w:ascii="Times New Roman" w:hAnsi="Times New Roman" w:cs="Times New Roman"/>
          <w:sz w:val="28"/>
          <w:szCs w:val="28"/>
        </w:rPr>
        <w:t xml:space="preserve">О некоторых вопросах, возникающих в судебной практике при разрешении споров, связанных с защитой права собственности и других вещных прав: </w:t>
      </w:r>
      <w:r w:rsidRPr="00F1532C">
        <w:rPr>
          <w:rFonts w:ascii="Times New Roman" w:hAnsi="Times New Roman" w:cs="Times New Roman"/>
          <w:bCs/>
          <w:sz w:val="28"/>
          <w:szCs w:val="28"/>
        </w:rPr>
        <w:t>Постановление Пленума Верховного Суда РФ № 10, Пленума ВАС РФ № 22 от 29.04.2010 (ред. от 23.06.2015) [</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xml:space="preserve">// СПС «КонсультантПлюс». – Режим доступа: </w:t>
      </w:r>
      <w:hyperlink r:id="rId55" w:history="1">
        <w:r w:rsidRPr="00F1532C">
          <w:rPr>
            <w:rStyle w:val="a8"/>
            <w:rFonts w:ascii="Times New Roman" w:eastAsia="Calibri" w:hAnsi="Times New Roman" w:cs="Times New Roman"/>
            <w:color w:val="auto"/>
            <w:sz w:val="28"/>
            <w:szCs w:val="28"/>
            <w:u w:val="none"/>
          </w:rPr>
          <w:t>http://www.consultant.ru/document/cons_doc_LAW_100466/</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Style w:val="a8"/>
          <w:rFonts w:ascii="Times New Roman" w:hAnsi="Times New Roman" w:cs="Times New Roman"/>
          <w:bCs/>
          <w:color w:val="auto"/>
          <w:sz w:val="28"/>
          <w:szCs w:val="28"/>
          <w:u w:val="none"/>
        </w:rPr>
      </w:pPr>
      <w:r w:rsidRPr="00F1532C">
        <w:rPr>
          <w:rFonts w:ascii="Times New Roman" w:hAnsi="Times New Roman" w:cs="Times New Roman"/>
          <w:bCs/>
          <w:sz w:val="28"/>
          <w:szCs w:val="28"/>
        </w:rPr>
        <w:t>Обзор судебной практики по делам, связанным с самовольным строительством: утвержден Президиумом Верховного Суда РФ 19.03.2014 [</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СПС «КонсультантПлюс». – Режим доступа:</w:t>
      </w:r>
      <w:r w:rsidRPr="00F1532C">
        <w:rPr>
          <w:rFonts w:ascii="Times New Roman" w:hAnsi="Times New Roman" w:cs="Times New Roman"/>
          <w:sz w:val="28"/>
          <w:szCs w:val="28"/>
        </w:rPr>
        <w:t xml:space="preserve"> </w:t>
      </w:r>
      <w:hyperlink r:id="rId56" w:history="1">
        <w:r w:rsidRPr="00F1532C">
          <w:rPr>
            <w:rStyle w:val="a8"/>
            <w:rFonts w:ascii="Times New Roman" w:eastAsia="Calibri" w:hAnsi="Times New Roman" w:cs="Times New Roman"/>
            <w:color w:val="auto"/>
            <w:sz w:val="28"/>
            <w:szCs w:val="28"/>
            <w:u w:val="none"/>
          </w:rPr>
          <w:t>http://www.consultant.ru/document/cons_doc_LAW_160427/</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Style w:val="a8"/>
          <w:rFonts w:ascii="Times New Roman" w:hAnsi="Times New Roman" w:cs="Times New Roman"/>
          <w:bCs/>
          <w:color w:val="auto"/>
          <w:sz w:val="28"/>
          <w:szCs w:val="28"/>
          <w:u w:val="none"/>
        </w:rPr>
        <w:t xml:space="preserve">Бибиков А.И. </w:t>
      </w:r>
      <w:r w:rsidRPr="00F1532C">
        <w:rPr>
          <w:rStyle w:val="bigtext"/>
          <w:rFonts w:ascii="Times New Roman" w:hAnsi="Times New Roman" w:cs="Times New Roman"/>
          <w:sz w:val="28"/>
          <w:szCs w:val="28"/>
        </w:rPr>
        <w:t xml:space="preserve">Самовольная постройка в контексте частно-правовых и публично-правовых ценностей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 А.И. Бибиков // </w:t>
      </w:r>
      <w:r w:rsidRPr="00F1532C">
        <w:rPr>
          <w:rFonts w:ascii="Times New Roman" w:hAnsi="Times New Roman" w:cs="Times New Roman"/>
          <w:bCs/>
          <w:kern w:val="36"/>
          <w:sz w:val="28"/>
          <w:szCs w:val="28"/>
        </w:rPr>
        <w:t xml:space="preserve">Научная электронная библиотека Елайбрари. - </w:t>
      </w:r>
      <w:r w:rsidRPr="00F1532C">
        <w:rPr>
          <w:rFonts w:ascii="Times New Roman" w:eastAsia="Calibri" w:hAnsi="Times New Roman" w:cs="Times New Roman"/>
          <w:sz w:val="28"/>
          <w:szCs w:val="28"/>
        </w:rPr>
        <w:t xml:space="preserve">Режим доступа: </w:t>
      </w:r>
      <w:hyperlink r:id="rId57" w:history="1">
        <w:r w:rsidRPr="00F1532C">
          <w:rPr>
            <w:rStyle w:val="a8"/>
            <w:rFonts w:ascii="Times New Roman" w:hAnsi="Times New Roman" w:cs="Times New Roman"/>
            <w:color w:val="auto"/>
            <w:sz w:val="28"/>
            <w:szCs w:val="28"/>
            <w:u w:val="none"/>
          </w:rPr>
          <w:t>https://elibrary.ru/download/elibrary_22003762_57003304.pdf</w:t>
        </w:r>
      </w:hyperlink>
    </w:p>
    <w:p w:rsidR="00986D95" w:rsidRPr="00F1532C" w:rsidRDefault="00986D95" w:rsidP="007F4EC1">
      <w:pPr>
        <w:pStyle w:val="a7"/>
        <w:widowControl w:val="0"/>
        <w:numPr>
          <w:ilvl w:val="0"/>
          <w:numId w:val="16"/>
        </w:numPr>
        <w:tabs>
          <w:tab w:val="left" w:pos="1134"/>
        </w:tabs>
        <w:spacing w:after="0" w:line="240" w:lineRule="auto"/>
        <w:ind w:left="0" w:firstLine="709"/>
        <w:contextualSpacing w:val="0"/>
        <w:jc w:val="both"/>
        <w:rPr>
          <w:rFonts w:ascii="Times New Roman" w:hAnsi="Times New Roman" w:cs="Times New Roman"/>
          <w:sz w:val="28"/>
          <w:szCs w:val="28"/>
        </w:rPr>
      </w:pPr>
      <w:r w:rsidRPr="00F1532C">
        <w:rPr>
          <w:rStyle w:val="a8"/>
          <w:rFonts w:ascii="Times New Roman" w:hAnsi="Times New Roman" w:cs="Times New Roman"/>
          <w:bCs/>
          <w:color w:val="auto"/>
          <w:sz w:val="28"/>
          <w:szCs w:val="28"/>
          <w:u w:val="none"/>
        </w:rPr>
        <w:t xml:space="preserve">О вещных правах: закон КНР от 16.03.2007 </w:t>
      </w:r>
      <w:r w:rsidRPr="00F1532C">
        <w:rPr>
          <w:rFonts w:ascii="Times New Roman" w:hAnsi="Times New Roman" w:cs="Times New Roman"/>
          <w:bCs/>
          <w:sz w:val="28"/>
          <w:szCs w:val="28"/>
        </w:rPr>
        <w:t>[</w:t>
      </w:r>
      <w:r w:rsidRPr="00F1532C">
        <w:rPr>
          <w:rFonts w:ascii="Times New Roman" w:hAnsi="Times New Roman" w:cs="Times New Roman"/>
          <w:sz w:val="28"/>
          <w:szCs w:val="28"/>
        </w:rPr>
        <w:t xml:space="preserve">Электронный ресурс] </w:t>
      </w:r>
      <w:r w:rsidRPr="00F1532C">
        <w:rPr>
          <w:rFonts w:ascii="Times New Roman" w:eastAsia="Calibri" w:hAnsi="Times New Roman" w:cs="Times New Roman"/>
          <w:sz w:val="28"/>
          <w:szCs w:val="28"/>
        </w:rPr>
        <w:t xml:space="preserve">// Законодательство Китая – Режим доступа: </w:t>
      </w:r>
      <w:hyperlink r:id="rId58" w:history="1">
        <w:r w:rsidRPr="00F1532C">
          <w:rPr>
            <w:rStyle w:val="a8"/>
            <w:rFonts w:ascii="Times New Roman" w:eastAsia="Calibri" w:hAnsi="Times New Roman" w:cs="Times New Roman"/>
            <w:color w:val="auto"/>
            <w:sz w:val="28"/>
            <w:szCs w:val="28"/>
            <w:u w:val="none"/>
          </w:rPr>
          <w:t>http://chinalawinfo.ru/civil_law/law_real_right</w:t>
        </w:r>
      </w:hyperlink>
    </w:p>
    <w:p w:rsidR="00986D95" w:rsidRDefault="00986D95" w:rsidP="005A3DF4">
      <w:pPr>
        <w:widowControl w:val="0"/>
        <w:spacing w:after="0" w:line="240" w:lineRule="auto"/>
        <w:ind w:firstLine="709"/>
        <w:rPr>
          <w:rFonts w:ascii="Times New Roman" w:hAnsi="Times New Roman"/>
          <w:sz w:val="28"/>
          <w:szCs w:val="28"/>
        </w:rPr>
      </w:pPr>
      <w:r w:rsidRPr="00F1532C">
        <w:rPr>
          <w:rStyle w:val="a8"/>
          <w:rFonts w:ascii="Times New Roman" w:hAnsi="Times New Roman"/>
          <w:bCs/>
          <w:color w:val="auto"/>
          <w:sz w:val="28"/>
          <w:szCs w:val="28"/>
          <w:u w:val="none"/>
        </w:rPr>
        <w:t xml:space="preserve">О строительстве: закон КНР от 01.10.1997 </w:t>
      </w:r>
      <w:r w:rsidRPr="00F1532C">
        <w:rPr>
          <w:rFonts w:ascii="Times New Roman" w:hAnsi="Times New Roman"/>
          <w:bCs/>
          <w:sz w:val="28"/>
          <w:szCs w:val="28"/>
        </w:rPr>
        <w:t>[</w:t>
      </w:r>
      <w:r w:rsidRPr="00F1532C">
        <w:rPr>
          <w:rFonts w:ascii="Times New Roman" w:hAnsi="Times New Roman"/>
          <w:sz w:val="28"/>
          <w:szCs w:val="28"/>
        </w:rPr>
        <w:t xml:space="preserve">Электронный ресурс] // Бизнес в Китае. – Режим доступа: </w:t>
      </w:r>
      <w:hyperlink r:id="rId59" w:history="1">
        <w:r w:rsidRPr="00F1532C">
          <w:rPr>
            <w:rStyle w:val="a8"/>
            <w:rFonts w:ascii="Times New Roman" w:hAnsi="Times New Roman"/>
            <w:color w:val="auto"/>
            <w:sz w:val="28"/>
            <w:szCs w:val="28"/>
            <w:u w:val="none"/>
          </w:rPr>
          <w:t>https://asia-business.ru/law/law3/building/</w:t>
        </w:r>
      </w:hyperlink>
    </w:p>
    <w:p w:rsidR="00DB1198" w:rsidRDefault="00DB1198" w:rsidP="005A3DF4">
      <w:pPr>
        <w:widowControl w:val="0"/>
        <w:spacing w:after="0" w:line="240" w:lineRule="auto"/>
        <w:ind w:firstLine="709"/>
        <w:jc w:val="center"/>
        <w:rPr>
          <w:rFonts w:ascii="Times New Roman" w:hAnsi="Times New Roman"/>
          <w:b/>
          <w:sz w:val="28"/>
          <w:szCs w:val="28"/>
        </w:rPr>
      </w:pPr>
    </w:p>
    <w:p w:rsidR="0000108B" w:rsidRPr="00467B95" w:rsidRDefault="0000108B"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Коллизии коллизий международного семейного права стран Северо-Восточной Азии</w:t>
      </w:r>
    </w:p>
    <w:p w:rsidR="00E361B5" w:rsidRDefault="00E361B5" w:rsidP="005A3DF4">
      <w:pPr>
        <w:widowControl w:val="0"/>
        <w:spacing w:after="0" w:line="240" w:lineRule="auto"/>
        <w:ind w:firstLine="709"/>
        <w:jc w:val="center"/>
        <w:rPr>
          <w:rFonts w:ascii="Times New Roman" w:hAnsi="Times New Roman"/>
          <w:sz w:val="28"/>
          <w:szCs w:val="28"/>
        </w:rPr>
      </w:pPr>
    </w:p>
    <w:p w:rsidR="0000108B" w:rsidRPr="00467B95" w:rsidRDefault="0000108B"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sz w:val="28"/>
          <w:szCs w:val="28"/>
        </w:rPr>
        <w:t>Оленева Елена Сергеевна,</w:t>
      </w:r>
    </w:p>
    <w:p w:rsidR="0000108B" w:rsidRPr="00467B95" w:rsidRDefault="0000108B" w:rsidP="005A3DF4">
      <w:pPr>
        <w:widowControl w:val="0"/>
        <w:tabs>
          <w:tab w:val="left" w:pos="2977"/>
        </w:tabs>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00108B" w:rsidRPr="00467B95" w:rsidRDefault="0000108B" w:rsidP="005A3DF4">
      <w:pPr>
        <w:widowControl w:val="0"/>
        <w:tabs>
          <w:tab w:val="left" w:pos="2977"/>
        </w:tabs>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00108B" w:rsidRPr="00467B95" w:rsidRDefault="0000108B" w:rsidP="005A3DF4">
      <w:pPr>
        <w:widowControl w:val="0"/>
        <w:tabs>
          <w:tab w:val="left" w:pos="2977"/>
        </w:tabs>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olenevael</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тел. +79243255984</w:t>
      </w:r>
    </w:p>
    <w:p w:rsidR="0000108B" w:rsidRPr="00467B95" w:rsidRDefault="0000108B" w:rsidP="005A3DF4">
      <w:pPr>
        <w:widowControl w:val="0"/>
        <w:tabs>
          <w:tab w:val="left" w:pos="2977"/>
        </w:tabs>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E361B5" w:rsidRDefault="0000108B" w:rsidP="005A3DF4">
      <w:pPr>
        <w:widowControl w:val="0"/>
        <w:tabs>
          <w:tab w:val="left" w:pos="2977"/>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w:t>
      </w:r>
    </w:p>
    <w:p w:rsidR="0000108B" w:rsidRPr="00467B95" w:rsidRDefault="0000108B" w:rsidP="005A3DF4">
      <w:pPr>
        <w:widowControl w:val="0"/>
        <w:tabs>
          <w:tab w:val="left" w:pos="2977"/>
        </w:tabs>
        <w:spacing w:after="0" w:line="240" w:lineRule="auto"/>
        <w:ind w:firstLine="709"/>
        <w:jc w:val="both"/>
        <w:rPr>
          <w:rFonts w:ascii="Times New Roman" w:hAnsi="Times New Roman"/>
          <w:i/>
          <w:sz w:val="28"/>
          <w:szCs w:val="28"/>
        </w:rPr>
      </w:pPr>
      <w:r w:rsidRPr="00467B95">
        <w:rPr>
          <w:rFonts w:ascii="Times New Roman" w:hAnsi="Times New Roman"/>
          <w:i/>
          <w:sz w:val="28"/>
          <w:szCs w:val="28"/>
        </w:rPr>
        <w:t xml:space="preserve"> Каждая страна имеет свою систему, взгляды на то, каким должно </w:t>
      </w:r>
      <w:r w:rsidRPr="00467B95">
        <w:rPr>
          <w:rFonts w:ascii="Times New Roman" w:hAnsi="Times New Roman"/>
          <w:i/>
          <w:sz w:val="28"/>
          <w:szCs w:val="28"/>
        </w:rPr>
        <w:lastRenderedPageBreak/>
        <w:t>быть законодательство на сегодняшний день. На примере одной страны мы не можем судить, как будут урегулированы подобные отношения в другой. Причиной этого являются коллизии коллизий законодательства, преобладающие в международных отношениях семейно-правового характера. Данная проблематика не обошла стороной страны Северо-Восточной Азии.</w:t>
      </w:r>
    </w:p>
    <w:p w:rsidR="00E361B5" w:rsidRDefault="00E361B5" w:rsidP="005A3DF4">
      <w:pPr>
        <w:widowControl w:val="0"/>
        <w:spacing w:after="0" w:line="240" w:lineRule="auto"/>
        <w:ind w:firstLine="709"/>
        <w:jc w:val="both"/>
        <w:rPr>
          <w:rFonts w:ascii="Times New Roman" w:hAnsi="Times New Roman"/>
          <w:b/>
          <w:i/>
          <w:sz w:val="28"/>
          <w:szCs w:val="28"/>
        </w:rPr>
      </w:pPr>
    </w:p>
    <w:p w:rsidR="0000108B" w:rsidRPr="00467B95" w:rsidRDefault="0000108B" w:rsidP="005A3DF4">
      <w:pPr>
        <w:widowControl w:val="0"/>
        <w:spacing w:after="0" w:line="240" w:lineRule="auto"/>
        <w:ind w:firstLine="709"/>
        <w:jc w:val="both"/>
        <w:rPr>
          <w:rFonts w:ascii="Times New Roman" w:hAnsi="Times New Roman"/>
          <w:i/>
          <w:sz w:val="28"/>
          <w:szCs w:val="28"/>
        </w:rPr>
      </w:pPr>
      <w:r w:rsidRPr="00F732A2">
        <w:rPr>
          <w:rFonts w:ascii="Times New Roman" w:hAnsi="Times New Roman"/>
          <w:i/>
          <w:sz w:val="28"/>
          <w:szCs w:val="28"/>
        </w:rPr>
        <w:t>Ключевые слова и словосочетания:</w:t>
      </w:r>
      <w:r w:rsidRPr="00467B95">
        <w:rPr>
          <w:rFonts w:ascii="Times New Roman" w:hAnsi="Times New Roman"/>
          <w:b/>
          <w:i/>
          <w:sz w:val="28"/>
          <w:szCs w:val="28"/>
        </w:rPr>
        <w:t xml:space="preserve"> </w:t>
      </w:r>
      <w:r w:rsidRPr="00467B95">
        <w:rPr>
          <w:rFonts w:ascii="Times New Roman" w:hAnsi="Times New Roman"/>
          <w:i/>
          <w:sz w:val="28"/>
          <w:szCs w:val="28"/>
        </w:rPr>
        <w:t>коллизия коллизий, международное семейное право, страны Северо-Восточной Азии, отношения частно-правового характера, институты семейного права.</w:t>
      </w:r>
    </w:p>
    <w:p w:rsidR="00E361B5" w:rsidRDefault="00E361B5" w:rsidP="005A3DF4">
      <w:pPr>
        <w:widowControl w:val="0"/>
        <w:spacing w:after="0" w:line="240" w:lineRule="auto"/>
        <w:ind w:firstLine="709"/>
        <w:jc w:val="center"/>
        <w:rPr>
          <w:rFonts w:ascii="Times New Roman" w:hAnsi="Times New Roman"/>
          <w:b/>
          <w:sz w:val="28"/>
          <w:szCs w:val="28"/>
        </w:rPr>
      </w:pPr>
    </w:p>
    <w:p w:rsidR="0000108B" w:rsidRPr="00467B95" w:rsidRDefault="0000108B"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Conflicts of international family law in North-East Asia</w:t>
      </w:r>
    </w:p>
    <w:p w:rsidR="0000108B" w:rsidRPr="00467B95" w:rsidRDefault="0000108B"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Each country has its own system, views on what legislation should be today. On the example of one country, we cannot judge how such relations will be resolved in another. The reason for this is the conflict of laws that prevails in international relations of family law. This issue has not spared the countries of North-East Asia.</w:t>
      </w:r>
    </w:p>
    <w:p w:rsidR="00E361B5" w:rsidRPr="005542CD" w:rsidRDefault="00E361B5" w:rsidP="005A3DF4">
      <w:pPr>
        <w:widowControl w:val="0"/>
        <w:spacing w:after="0" w:line="240" w:lineRule="auto"/>
        <w:ind w:firstLine="709"/>
        <w:jc w:val="both"/>
        <w:rPr>
          <w:rFonts w:ascii="Times New Roman" w:hAnsi="Times New Roman"/>
          <w:b/>
          <w:i/>
          <w:sz w:val="28"/>
          <w:szCs w:val="28"/>
          <w:lang w:val="en-US"/>
        </w:rPr>
      </w:pPr>
    </w:p>
    <w:p w:rsidR="0000108B" w:rsidRPr="00467B95" w:rsidRDefault="0000108B" w:rsidP="005A3DF4">
      <w:pPr>
        <w:widowControl w:val="0"/>
        <w:spacing w:after="0" w:line="240" w:lineRule="auto"/>
        <w:ind w:firstLine="709"/>
        <w:jc w:val="both"/>
        <w:rPr>
          <w:rFonts w:ascii="Times New Roman" w:hAnsi="Times New Roman"/>
          <w:i/>
          <w:sz w:val="28"/>
          <w:szCs w:val="28"/>
          <w:lang w:val="en-US"/>
        </w:rPr>
      </w:pPr>
      <w:r w:rsidRPr="00F732A2">
        <w:rPr>
          <w:rFonts w:ascii="Times New Roman" w:hAnsi="Times New Roman"/>
          <w:i/>
          <w:sz w:val="28"/>
          <w:szCs w:val="28"/>
          <w:lang w:val="en-US"/>
        </w:rPr>
        <w:t>Keywords:</w:t>
      </w:r>
      <w:r w:rsidRPr="00467B95">
        <w:rPr>
          <w:rFonts w:ascii="Times New Roman" w:hAnsi="Times New Roman"/>
          <w:b/>
          <w:i/>
          <w:sz w:val="28"/>
          <w:szCs w:val="28"/>
          <w:lang w:val="en-US"/>
        </w:rPr>
        <w:t xml:space="preserve"> </w:t>
      </w:r>
      <w:r w:rsidRPr="00467B95">
        <w:rPr>
          <w:rFonts w:ascii="Times New Roman" w:hAnsi="Times New Roman"/>
          <w:i/>
          <w:sz w:val="28"/>
          <w:szCs w:val="28"/>
          <w:lang w:val="en-US"/>
        </w:rPr>
        <w:t>conflict of conflicts, international family law, North-East Asian countries, private law relations, institutions of family law.</w:t>
      </w:r>
    </w:p>
    <w:p w:rsidR="00E361B5" w:rsidRPr="005542CD" w:rsidRDefault="00E361B5" w:rsidP="005A3DF4">
      <w:pPr>
        <w:widowControl w:val="0"/>
        <w:spacing w:after="0" w:line="240" w:lineRule="auto"/>
        <w:ind w:firstLine="709"/>
        <w:jc w:val="both"/>
        <w:rPr>
          <w:rFonts w:ascii="Times New Roman" w:hAnsi="Times New Roman"/>
          <w:sz w:val="28"/>
          <w:szCs w:val="28"/>
          <w:lang w:val="en-US"/>
        </w:rPr>
      </w:pP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Основным методом регулирования международных семейных отношений является коллизионно-правовой способ преодоления коллизий, поскольку международное частное право предназначено для регулирования отношений частно-правового характера, связанных с правом нескольких государств, а для правильного разрешения спора, касающегося иностранного права, большое значение имеет выбор права, так как точное решение этого вопроса облегчит признание и принудительное исполнение зарубежных решений суда. Данный метод в свою очередь порождает явление коллизий коллизий.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семейном праве коллизии коллизий наблюдаются, в частности, в вопросах:</w:t>
      </w:r>
    </w:p>
    <w:p w:rsidR="0000108B" w:rsidRPr="00467B95" w:rsidRDefault="0000108B" w:rsidP="005A3DF4">
      <w:pPr>
        <w:pStyle w:val="a7"/>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заключения и расторжения брака;</w:t>
      </w:r>
    </w:p>
    <w:p w:rsidR="0000108B" w:rsidRPr="00467B95" w:rsidRDefault="0000108B" w:rsidP="005A3DF4">
      <w:pPr>
        <w:pStyle w:val="a7"/>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личных неимущественных и имущественных правах и обязанностях супругов;</w:t>
      </w:r>
    </w:p>
    <w:p w:rsidR="0000108B" w:rsidRPr="00467B95" w:rsidRDefault="0000108B" w:rsidP="005A3DF4">
      <w:pPr>
        <w:pStyle w:val="a7"/>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установления и оспаривания отцовства;</w:t>
      </w:r>
    </w:p>
    <w:p w:rsidR="0000108B" w:rsidRPr="00467B95" w:rsidRDefault="0000108B" w:rsidP="005A3DF4">
      <w:pPr>
        <w:pStyle w:val="a7"/>
        <w:widowControl w:val="0"/>
        <w:numPr>
          <w:ilvl w:val="0"/>
          <w:numId w:val="8"/>
        </w:numPr>
        <w:tabs>
          <w:tab w:val="left" w:pos="1134"/>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опеки и попечительства и других семейно-правовых вопросах.</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Актуальность работы обусловлена возникновением частых брачных и родственных отношений между гражданами нашей страны и стран Северо-Восточной Азии. Кроме того, коллизии коллизий могут повлечь такое явление как «хромающие отношения» - самому опасному виду коллизий в международном частном праве, которые могут повлечь негативные последствия для физических лиц.</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Цель работы заключается в комплексном анализе тонкостей </w:t>
      </w:r>
      <w:r w:rsidRPr="00467B95">
        <w:rPr>
          <w:rFonts w:ascii="Times New Roman" w:hAnsi="Times New Roman"/>
          <w:sz w:val="28"/>
          <w:szCs w:val="28"/>
        </w:rPr>
        <w:lastRenderedPageBreak/>
        <w:t xml:space="preserve">коллизионных проблем в области международного семейного права и предложение путей их разрешения.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Для достижения данной цели нами предполагается решить следующие задачи: </w:t>
      </w:r>
    </w:p>
    <w:p w:rsidR="0000108B" w:rsidRPr="00467B95" w:rsidRDefault="0000108B" w:rsidP="005A3DF4">
      <w:pPr>
        <w:pStyle w:val="a7"/>
        <w:widowControl w:val="0"/>
        <w:numPr>
          <w:ilvl w:val="0"/>
          <w:numId w:val="6"/>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определение природы правового явления «коллизия коллизий»: причин его возникновения и последствий;</w:t>
      </w:r>
    </w:p>
    <w:p w:rsidR="0000108B" w:rsidRPr="00467B95" w:rsidRDefault="0000108B" w:rsidP="005A3DF4">
      <w:pPr>
        <w:pStyle w:val="a7"/>
        <w:widowControl w:val="0"/>
        <w:numPr>
          <w:ilvl w:val="0"/>
          <w:numId w:val="6"/>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на основе сравнения коллизионных правовых норм стран Северо-Восточной Азии выявить ситуации «коллизий коллизий» и определить возможные их последствия;</w:t>
      </w:r>
    </w:p>
    <w:p w:rsidR="0000108B" w:rsidRPr="00467B95" w:rsidRDefault="0000108B" w:rsidP="005A3DF4">
      <w:pPr>
        <w:pStyle w:val="a7"/>
        <w:widowControl w:val="0"/>
        <w:numPr>
          <w:ilvl w:val="0"/>
          <w:numId w:val="6"/>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определить тенденции использования отдельных видов привязок.</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Объектом исследования выступает явление «коллизия коллизий», предметом взяты источники права, регламентирующие брачно-семейные отношения.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написании работы были использованы следующие методы: формально-логический, анализ, сравнительно-правовой.</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наш взгляд под «коллизией коллизией» следует понимать один из нескольких вариантов коллизий в международном частном праве, а также столкновение коллизионных норм разных государств в части вопроса использовании различных привязок. Исходя из этого делаем вывод, что когда коллизионные нормы национального законодательства не совпадают по содержанию, имеет место быть коллизия коллизий.</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Например, личный закон физического лица в странах романо-германской правовой семьи, в том числе Российской Федерации (ч. 1 ст. 1195 ГК РФ), определяется гражданством, а в странах социалистической правовой семьи (Китайской Народной Республики) – местом жительства гражданина (§ 15 Закона КНР о применении права).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Поскольку в наше время для людей не существует никаких границ в виде религиозных, расовых, исторических или политических предрассудков, что приводит не только к общению и взаимодействию многонационального народа, но и к бракам граждан разных стран [1, с. 43]. От заключения брачного союза отношения перейдут к обязательственным началам имущественного и неимущественного характера, воспитанию и содержанию детей, а в дальнейшем это может вылиться в развод и выплату алиментов. Таким образом семейные отношения с иностранцами попадают в интерес международного частного права.</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Под брачно-семейными отношениями будем рассматривать «комплексные отношения личного неимущественного и имущественного характера, которые основываются на родственных связях и регулируются нормами гражданского (в широком смысле слова) права». Точнее говоря следует считать, что семейное право регулирует отношения между членами семьи.</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Стоит отметить факт, что как в России, так и в странах Северо-Восточной Азии, признается брак зарегистрированный только в органах записи актов гражданского состояния – ч. 2 ст. 1 СК РФ [2], ст. 11 СК КНДР </w:t>
      </w:r>
      <w:r w:rsidRPr="00467B95">
        <w:rPr>
          <w:rFonts w:ascii="Times New Roman" w:hAnsi="Times New Roman"/>
          <w:sz w:val="28"/>
          <w:szCs w:val="28"/>
        </w:rPr>
        <w:lastRenderedPageBreak/>
        <w:t xml:space="preserve">[3], ст. 8 Закона КНР «О браке» [4], поскольку зарегистрированный брак в органах государственной власти носит непосредственное юридическое значение и порождает права и обязанности, а незарегистрированный - никаких [5, с. 195]. </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Отличия проявляются в условиях заключения брака или определении брачного возраста. Например, Условия заключения брака определяются для каждого из лиц, вступающих в брак по закону Российской Федерации ч. 2 ст. 156 Семейного кодекса «законодательством государства, гражданином которого лицо является в момент заключения брака» [2], в то время как в Китайской Народной Республике в § 21 Закона о применении права обозначено «право общего обычного местопребывания сторон» [6], в Монголии руководствуются только Законом Монголии «О семье», если международными соглашениями Монголии не предусмотрено иначе (ст. 6.3 Закона Монголии «О семье») [7], а в Японии правом его или ее гражданства или правом места заключения брака, но также будут действительны условия заключения брака, которые удовлетворяют требованиям национального права каждой из сторон, кроме случаев, когда брак был совершен в Японии или одна из сторон является гражданином Японии (ст. 24 Закона Японии о применении законов) [8].</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Самой распространенной проблемой при вступлении в брак является установленный брачный возраст, который во всех странах отличается. Так, если в России и Монголии устанавливается единый возраст, при котором девушке и юноше разрешается вступать в брак - 18 лет, то в Южной Кореи это 19 лет, а в Японии – 20. В то время как в Северной Кореи юношам необходимо достичь 18 лет, девушкам – 17, а в Китае юношам -22 лет, девушкам – 20 лет.</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В России супруги по своему желанию сохраняют добрачные фамилии или берут одну из их в качестве общей (ч. 1 ст. 32 СК РФ), а по закону Северной Кореи супруги сохраняют свои имена и фамилии в своем первостепенном виде (ст. 17 СК КНДР).</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Расторжение брака (развод), под которым следует понимать юридическое действие, направленное на прекращения брака между живыми супругами, на территории России и Монголии осуществляется в соответствии с национальным законодательством, согласно ч. 1 ст. 160 Семейного кодекса Российской Федерации и ст. 12.3 Закона Монголии «О семье» соответственно [2], [7]. В Кореи (ст. 37 и 39 Закона 1962 г.), как и в Японии (ст. 25 Закона Японии о применении законов), существуют альтернативы привязок, а в Китае в случае расторжения брака через суд, при отсутствии обоюдного согласия супругов расторгнуть брак, будет применяться исключительно lex fori (закон суда) (§ 27 Закона КНР о применении права), кроме того, в Китае, если один из супругов находится на воинской службе и совершил проступок, его согласие на расторжение брака не требуется (ст. 33 Закона КНР «О браке»).</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 сегодняшний день в Семейном кодексе Российской Федерации мы </w:t>
      </w:r>
      <w:r w:rsidRPr="00467B95">
        <w:rPr>
          <w:rFonts w:ascii="Times New Roman" w:hAnsi="Times New Roman"/>
          <w:sz w:val="28"/>
          <w:szCs w:val="28"/>
        </w:rPr>
        <w:lastRenderedPageBreak/>
        <w:t>не встретим такого основания для прекращения брака как супружеская измена. Так в России брак прекращается вследствие смерти или вследствие объявления судом одного из супругов умершим (ч. 1 ст. 16 СК РФ) [2], а в Северной Кореи в случае серьезной измены одного из супругов, а также при невозможности продолжать супружескую жизнь по другим причинам (ст. 21 СК КНДР) [3].</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в Китае муж не имеет права без согласия жены возбуждать дело о расторжении брака в период беременности жены, в течение 1 года после рождения ребенка или 6 месяцев после прекращения беременности (ст. 34 Закона КНР «О браке») [4], в России же законодателем не предусмотрено основание запрета для расторжения брака после прекращения беременности (ст. 17 СК РФ) [2].</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части алиментных обязательств, под которыми понимается материальное законное обеспечение несовершеннолетних или нетрудоспособных родственников, привязки законодательства Российской Федерации и Республики Корея схожи, поскольку по требованию истца к алиментным обязательствам и к другим отношениям между родителями и детьми может быть применено законодательство постоянного места жительства получателя алиментов (ст. 163 СК РФ) [2], (ч. 1 ст. 46 Закона 1962 г.) [9].</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Норма, касающаяся соглашения об уплате алиментов, тоже имеет расхождения. Под данным соглашением подразумевается двухсторонний договор между стороной, которая обязана выплачивать алименты и стороной, которая непосредственно будет именоваться получателем алиментов. В соглашении должны быть указаны размер, срок и порядок получения, но при отсутствии соглашения об уплате алиментов алименты на несовершеннолетних детей взыскиваются судом с их родителей в России - ежемесячно в размере: на одного ребенка - одной четверти, на двух детей - одной трети, на трех и более детей - половины заработка и (или) иного дохода родителей (ч. 1 ст. 81 СК РФ), а в Северной Кореи - Суд определяет сумму алиментов в размере от 10 до 30% месячного дохода в зависимости от количества детей (ст. 23 СК КНДР).</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Различны привязки и по поводу объема нормы в части опеки и попечительства над несовершеннолетними, которые устанавливаются для защиты прав и интересов полностью или частично недееспособных граждан. В России (ч. 1 ст. 1199 ГК РФ) и Корее (ч. 1 ст. 48 Закона 1962 г.) применяют личный закон лица, в отношении которого складываются правоотношения [10], [9], в то время как в Японии (ст. 35 Закона Японии о применении законов) видят все иначе, говоря о регулировании национальным законодательством права опекуна [8], а Китай вовсе предоставляет сторонам возможность выбора права опеки (§ 17 Закона КНР О применении права) [6].</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Смоделируем ситуацию, в которой на территории Российской Федерации зарегистрировать брак изъявили желание гражданине разных государств, один из которых имеет российский паспорт. Форма заключения </w:t>
      </w:r>
      <w:r w:rsidRPr="00467B95">
        <w:rPr>
          <w:rFonts w:ascii="Times New Roman" w:hAnsi="Times New Roman"/>
          <w:sz w:val="28"/>
          <w:szCs w:val="28"/>
        </w:rPr>
        <w:lastRenderedPageBreak/>
        <w:t xml:space="preserve">брака будет определяться, согласно ч. 1 ст. 156 Семейного кодекса Российской Федерации, законодательством страны, в которой брак регистрируется, в данном случае России. Условия заключения брака будут определяться законодательством государства, гражданином которого лицо является в момент заключения брака (ч. 2 ст. 156 СК РФ), например более высокий брачный возраст или обязательное согласие родителей или компетентных органов. В том случае, когда по законодательству иностранного государства требуется специальное соглашение, сотрудники органов ЗАГС обязаны предупредить лиц вступающих в брак, что при отсутствии такого соглашения, их брак на территории Российской Федерации может быть зарегистрирован, в то время, как в стране, гражданство которого имеет один из супругов, брак будет не признаваться.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изучив законы, касающиеся семейных правоотношений в Северо-Восточной Азии, можно наблюдать отличия в части привязок, имеющих одинаковый объем, что вызвано, как было сказано ранее, различными взглядами народа исходя из исторического прошлого, религиозных предпочтений и политических взглядов.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сегодняшний день законодательство стран разнится, исходя из чего не возможно создание единого правового режима в семейных правоотношениях [11, с. 147].</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Семейные правоотношения являются одной из составных частей международного частного права и, безусловно, законодательство каждой страны предусмотрело в своем законодательстве место не только для иностранных, но и смешенных браков. </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Решение о том, какое все-таки право применять имеет особенно важное значение, так как от этого зависит исход применения права того или иного государства.</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Как правило, коллизионные нормы семейного права различных стран помещаются в:</w:t>
      </w:r>
    </w:p>
    <w:p w:rsidR="0000108B" w:rsidRPr="00467B95" w:rsidRDefault="0000108B" w:rsidP="005A3DF4">
      <w:pPr>
        <w:pStyle w:val="a7"/>
        <w:widowControl w:val="0"/>
        <w:numPr>
          <w:ilvl w:val="0"/>
          <w:numId w:val="7"/>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специальные законы (Китай, Республика Корея, Монголия);</w:t>
      </w:r>
    </w:p>
    <w:p w:rsidR="0000108B" w:rsidRPr="00467B95" w:rsidRDefault="0000108B" w:rsidP="005A3DF4">
      <w:pPr>
        <w:pStyle w:val="a7"/>
        <w:widowControl w:val="0"/>
        <w:numPr>
          <w:ilvl w:val="0"/>
          <w:numId w:val="7"/>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отраслевые акты (Россия).</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Невозможно ко всем сложившимся семейным правоотношениям применять лишь отечественное право, ведь тогда это вызовет противоречие среди участников отношений.</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Проблему возникновения коллизий коллизий, на наш взгляд, можно решить несколькими способами:</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w:t>
      </w:r>
      <w:r w:rsidRPr="00467B95">
        <w:rPr>
          <w:rFonts w:ascii="Times New Roman" w:hAnsi="Times New Roman" w:cs="Times New Roman"/>
          <w:sz w:val="28"/>
          <w:szCs w:val="28"/>
        </w:rPr>
        <w:tab/>
        <w:t>использование права «автономии воли» сторон или международных соглашений;</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2) при принятии обратной отсылки;</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3) путем закрепления принципа наиболее благоприятного права;</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4) унификация коллизионных норм на основе международных договоров;</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5) создание единого коллизионного права для всех государств.</w:t>
      </w:r>
    </w:p>
    <w:p w:rsidR="0000108B" w:rsidRPr="00467B95" w:rsidRDefault="0000108B"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Но поскольку, в свободной доступе ресурса «Интернет» отсутствуют </w:t>
      </w:r>
      <w:r w:rsidRPr="00467B95">
        <w:rPr>
          <w:rFonts w:ascii="Times New Roman" w:hAnsi="Times New Roman" w:cs="Times New Roman"/>
          <w:sz w:val="28"/>
          <w:szCs w:val="28"/>
        </w:rPr>
        <w:lastRenderedPageBreak/>
        <w:t xml:space="preserve">многие законодательные акты зарубежных стран или их полное содержание с переводом на русский или английские языки, сложно сделать комплексный анализ семейного международного права в области коллизий коллизий. </w:t>
      </w:r>
    </w:p>
    <w:p w:rsidR="00AD7E64" w:rsidRPr="00467B95" w:rsidRDefault="00AD7E64"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Ищенко О. А. Проблемы применения коллизионных норм в семейном праве // Современная наука. – 2016. - № 1. – С. 43-45</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Семейный кодекс Российской Федерации " от 29.12.1995 № 223-ФЗ (ред. от 03.08.2018) [Электронный ресурс] // СПС «КонсультантПлюс» - Режим доступа: http://www.consultant.ru/document/cons_doc_LAW_8982/</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3 Семейный кодекс Корейской Народно-Демократической Республики от 24.10.1990 (ред. от 15.12.2009) [Электронный ресурс] // DocPlayer – Режим доступа: https://docplayer.ru/47947558-Semeynyy-kodeks-koreyskoy-narodno-demokraticheskoy-respubliki.html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4 О браке: закон КНР от 10.09.1980 (ред. от 28.04.2001) [Электронный ресурс] // Консалтинговая группа «Окно в Китай» - Режим доступа: http://chinalawinfo.ru/civil_law/law_marriage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5 Жила Е. А. Брачно-семейные отношения в России в сравнении с нормами международного частного права (социально-правовые и психологические аспекты) // Вестник Иркутского государственного технического университета. – 2014. - № 7 (90). С. 194-200 </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О применении права к транснациональным гражданско-правовым отношениям: закон Китайской Народной Республики от 28.10.2010 (ред. от 28.10.2010) [Электронный ресурс] // НИУ ВШЭ – Режим доступа: https://pravo.hse.ru/data/2015/11/16/1081085258/%D0%9A%D0%B8%D1%82%D0%B0%D0%B9%202010.pdf</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О семье: закон Монголии от 11.06.1999 (ред. 11.06.1999) [Электронный ресурс] // НИУ ВШЭ – Режим доступа: https://pravo.hse.ru/data/2015/11/16/1081085340/%D0%9C%D0%BE%D0%BD%D0%B3%D0%BE%D0%BB%D0%B8%D1%8F%20%D0%9C%D0%A7%D0%9F.pdf</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8 Об общих правилах применения законов: закон Японии от 1898 № 10 (ред. от 21.06.2006) [Электронный ресурс] // НИУ ВШЭ – Режим доступа: https://pravo.hse.ru/data/2016/04/05/1126270706/%D0%AF%D0%BF%D0%BE%D0%BD%D0%B8%D1%8F.pdf</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9 О коллизиях законов: закон Республики Корея от 1962 (ред. от 2001) [Электронный ресурс] // StudyLib – Режим доступа: https://studylib.ru/doc/2244511/zakon-respubliki-koreya-o-kolliziyah-zakonov-1962-g</w:t>
      </w:r>
    </w:p>
    <w:p w:rsidR="0000108B" w:rsidRPr="00467B95" w:rsidRDefault="0000108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10 Гражданский кодекс Российской Федерации (часть третья) от 26.11.2001 № 146-ФЗ (ред. от 03.08.2018) [Электронный ресурс] // СПС «КонсультантПлюс» - Режим доступа: http://www.consultant.ru/document/cons_doc_LAW_34154/</w:t>
      </w:r>
    </w:p>
    <w:p w:rsidR="00DC5630" w:rsidRDefault="0000108B" w:rsidP="005A3DF4">
      <w:pPr>
        <w:widowControl w:val="0"/>
        <w:spacing w:after="0" w:line="240" w:lineRule="auto"/>
        <w:ind w:firstLine="709"/>
        <w:contextualSpacing/>
        <w:jc w:val="both"/>
        <w:rPr>
          <w:rFonts w:ascii="Times New Roman" w:hAnsi="Times New Roman"/>
          <w:b/>
          <w:sz w:val="28"/>
          <w:szCs w:val="28"/>
        </w:rPr>
      </w:pPr>
      <w:r w:rsidRPr="00467B95">
        <w:rPr>
          <w:rFonts w:ascii="Times New Roman" w:hAnsi="Times New Roman"/>
          <w:iCs/>
          <w:sz w:val="28"/>
          <w:szCs w:val="28"/>
        </w:rPr>
        <w:t xml:space="preserve">11 Урунова С. В. К вопросу о правовом регулировании семейных отношений, осложненных иностранным элементом // Вестник Таджикского </w:t>
      </w:r>
      <w:r w:rsidRPr="00467B95">
        <w:rPr>
          <w:rFonts w:ascii="Times New Roman" w:hAnsi="Times New Roman"/>
          <w:iCs/>
          <w:sz w:val="28"/>
          <w:szCs w:val="28"/>
        </w:rPr>
        <w:lastRenderedPageBreak/>
        <w:t>государственного университета права, бизнеса и политики. Серия общественных наук. – 2016. – С. 145-150</w:t>
      </w:r>
      <w:r w:rsidR="00B83E8D" w:rsidRPr="00B83E8D">
        <w:rPr>
          <w:rFonts w:ascii="Times New Roman" w:hAnsi="Times New Roman"/>
          <w:b/>
          <w:sz w:val="28"/>
          <w:szCs w:val="28"/>
        </w:rPr>
        <w:t xml:space="preserve"> </w:t>
      </w:r>
    </w:p>
    <w:p w:rsidR="00DC5630" w:rsidRDefault="00DC5630" w:rsidP="005A3DF4">
      <w:pPr>
        <w:widowControl w:val="0"/>
        <w:spacing w:after="0" w:line="240" w:lineRule="auto"/>
        <w:ind w:firstLine="709"/>
        <w:contextualSpacing/>
        <w:jc w:val="both"/>
        <w:rPr>
          <w:rFonts w:ascii="Times New Roman" w:hAnsi="Times New Roman"/>
          <w:b/>
          <w:sz w:val="28"/>
          <w:szCs w:val="28"/>
        </w:rPr>
      </w:pPr>
    </w:p>
    <w:p w:rsidR="00547DA7" w:rsidRPr="00547DA7" w:rsidRDefault="00547DA7" w:rsidP="005A3DF4">
      <w:pPr>
        <w:widowControl w:val="0"/>
        <w:shd w:val="clear" w:color="auto" w:fill="FFFFFF"/>
        <w:spacing w:after="0" w:line="240" w:lineRule="auto"/>
        <w:jc w:val="center"/>
        <w:rPr>
          <w:rFonts w:ascii="Times New Roman" w:eastAsia="Times New Roman" w:hAnsi="Times New Roman"/>
          <w:b/>
          <w:kern w:val="36"/>
          <w:sz w:val="28"/>
          <w:szCs w:val="28"/>
          <w:lang w:eastAsia="ru-RU"/>
        </w:rPr>
      </w:pPr>
      <w:r w:rsidRPr="00547DA7">
        <w:rPr>
          <w:rFonts w:ascii="Times New Roman" w:eastAsia="Times New Roman" w:hAnsi="Times New Roman"/>
          <w:b/>
          <w:kern w:val="36"/>
          <w:sz w:val="28"/>
          <w:szCs w:val="28"/>
          <w:lang w:eastAsia="ru-RU"/>
        </w:rPr>
        <w:t>Прекращение брака: сравнительный анализ законодательства Российской Федерации и Японии</w:t>
      </w:r>
    </w:p>
    <w:p w:rsidR="00547DA7" w:rsidRPr="00547DA7" w:rsidRDefault="00547DA7" w:rsidP="005A3DF4">
      <w:pPr>
        <w:widowControl w:val="0"/>
        <w:shd w:val="clear" w:color="auto" w:fill="FFFFFF"/>
        <w:spacing w:after="0" w:line="240" w:lineRule="auto"/>
        <w:jc w:val="center"/>
        <w:rPr>
          <w:rFonts w:ascii="Times New Roman" w:eastAsia="Times New Roman" w:hAnsi="Times New Roman"/>
          <w:kern w:val="36"/>
          <w:sz w:val="28"/>
          <w:szCs w:val="28"/>
          <w:lang w:eastAsia="ru-RU"/>
        </w:rPr>
      </w:pPr>
    </w:p>
    <w:p w:rsidR="00547DA7" w:rsidRPr="00547DA7" w:rsidRDefault="00547DA7" w:rsidP="005A3DF4">
      <w:pPr>
        <w:widowControl w:val="0"/>
        <w:shd w:val="clear" w:color="auto" w:fill="FFFFFF"/>
        <w:spacing w:after="0" w:line="240" w:lineRule="auto"/>
        <w:jc w:val="center"/>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Овчинникова Анастасия Леонидовна</w:t>
      </w:r>
    </w:p>
    <w:p w:rsidR="00547DA7" w:rsidRPr="00547DA7" w:rsidRDefault="00547DA7" w:rsidP="005A3DF4">
      <w:pPr>
        <w:widowControl w:val="0"/>
        <w:shd w:val="clear" w:color="auto" w:fill="FFFFFF"/>
        <w:spacing w:after="0" w:line="240" w:lineRule="auto"/>
        <w:jc w:val="center"/>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группы БЮП-15-03, 4 курса Институт права</w:t>
      </w:r>
    </w:p>
    <w:p w:rsidR="00547DA7" w:rsidRPr="00547DA7" w:rsidRDefault="00547DA7" w:rsidP="005A3DF4">
      <w:pPr>
        <w:widowControl w:val="0"/>
        <w:shd w:val="clear" w:color="auto" w:fill="FFFFFF"/>
        <w:spacing w:after="0" w:line="240" w:lineRule="auto"/>
        <w:jc w:val="center"/>
        <w:rPr>
          <w:rFonts w:ascii="Times New Roman" w:eastAsia="Times New Roman" w:hAnsi="Times New Roman"/>
          <w:i/>
          <w:kern w:val="36"/>
          <w:sz w:val="28"/>
          <w:szCs w:val="28"/>
          <w:lang w:eastAsia="ru-RU"/>
        </w:rPr>
      </w:pPr>
      <w:r w:rsidRPr="00547DA7">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547DA7" w:rsidRPr="00547DA7" w:rsidRDefault="00547DA7" w:rsidP="005A3DF4">
      <w:pPr>
        <w:widowControl w:val="0"/>
        <w:shd w:val="clear" w:color="auto" w:fill="FFFFFF"/>
        <w:spacing w:after="0" w:line="240" w:lineRule="auto"/>
        <w:jc w:val="center"/>
        <w:rPr>
          <w:rFonts w:ascii="Times New Roman" w:eastAsia="Times New Roman" w:hAnsi="Times New Roman"/>
          <w:i/>
          <w:kern w:val="36"/>
          <w:sz w:val="28"/>
          <w:szCs w:val="28"/>
          <w:lang w:eastAsia="ru-RU"/>
        </w:rPr>
      </w:pPr>
      <w:r w:rsidRPr="00547DA7">
        <w:rPr>
          <w:rFonts w:ascii="Times New Roman" w:eastAsia="Times New Roman" w:hAnsi="Times New Roman"/>
          <w:i/>
          <w:kern w:val="36"/>
          <w:sz w:val="28"/>
          <w:szCs w:val="28"/>
          <w:lang w:eastAsia="ru-RU"/>
        </w:rPr>
        <w:t>Россия. Владивосток</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r w:rsidRPr="00547DA7">
        <w:rPr>
          <w:rFonts w:ascii="Times New Roman" w:eastAsia="Times New Roman" w:hAnsi="Times New Roman"/>
          <w:i/>
          <w:kern w:val="36"/>
          <w:sz w:val="28"/>
          <w:szCs w:val="28"/>
          <w:lang w:eastAsia="ru-RU"/>
        </w:rPr>
        <w:t>Статья посвящена сравнительному анализу процедуры прекращения брака по законодательству Российской Федерации и Японии.</w:t>
      </w:r>
      <w:r w:rsidRPr="00547DA7">
        <w:rPr>
          <w:rFonts w:ascii="Times New Roman" w:hAnsi="Times New Roman"/>
          <w:sz w:val="28"/>
          <w:szCs w:val="28"/>
        </w:rPr>
        <w:t xml:space="preserve"> </w:t>
      </w:r>
      <w:r w:rsidRPr="00547DA7">
        <w:rPr>
          <w:rFonts w:ascii="Times New Roman" w:eastAsia="Times New Roman" w:hAnsi="Times New Roman"/>
          <w:i/>
          <w:kern w:val="36"/>
          <w:sz w:val="28"/>
          <w:szCs w:val="28"/>
          <w:lang w:eastAsia="ru-RU"/>
        </w:rPr>
        <w:t>На сегодняшний день количество разводов превышает количество заключенных браков. Как и в России, так и в Японии это связано с психологическими, социальными и экономическими проблемами. Поэтому одними из важных вопросов в брачно-семейных взаимоотношениях являются вопросы по расторжению браков в органах ЗАГСа, в судебном порядке и органах местного муниципалитета, а также расторжение брака в одностороннем порядке или по взаимному согласию супругов и другие проблемные аспекты.</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r w:rsidRPr="00547DA7">
        <w:rPr>
          <w:rFonts w:ascii="Times New Roman" w:eastAsia="Times New Roman" w:hAnsi="Times New Roman"/>
          <w:i/>
          <w:kern w:val="36"/>
          <w:sz w:val="28"/>
          <w:szCs w:val="28"/>
          <w:lang w:eastAsia="ru-RU"/>
        </w:rPr>
        <w:t>Ключевые слова и словосочетания: институт расторжения брака, супруги, основания прекращения брака, права супругов, юрисдикционная и неюрисдикционная формы расторжения брака.</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547DA7">
        <w:rPr>
          <w:rFonts w:ascii="Times New Roman" w:eastAsia="Times New Roman" w:hAnsi="Times New Roman"/>
          <w:kern w:val="36"/>
          <w:sz w:val="28"/>
          <w:szCs w:val="28"/>
          <w:lang w:val="en-US" w:eastAsia="ru-RU"/>
        </w:rPr>
        <w:t>Termination of marriage: a comparative analysis of the legislation of the Russian Federation and Japan</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547DA7">
        <w:rPr>
          <w:rFonts w:ascii="Times New Roman" w:eastAsia="Times New Roman" w:hAnsi="Times New Roman"/>
          <w:kern w:val="36"/>
          <w:sz w:val="28"/>
          <w:szCs w:val="28"/>
          <w:lang w:val="en-US" w:eastAsia="ru-RU"/>
        </w:rPr>
        <w:t>Ovchinnikova Anastasia Leonidovna</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547DA7">
        <w:rPr>
          <w:rFonts w:ascii="Times New Roman" w:eastAsia="Times New Roman" w:hAnsi="Times New Roman"/>
          <w:kern w:val="36"/>
          <w:sz w:val="28"/>
          <w:szCs w:val="28"/>
          <w:lang w:val="en-US" w:eastAsia="ru-RU"/>
        </w:rPr>
        <w:t>BIP-15-03 group, 4 course, Institute of law</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547DA7">
        <w:rPr>
          <w:rFonts w:ascii="Times New Roman" w:eastAsia="Times New Roman" w:hAnsi="Times New Roman"/>
          <w:i/>
          <w:kern w:val="36"/>
          <w:sz w:val="28"/>
          <w:szCs w:val="28"/>
          <w:lang w:val="en-US" w:eastAsia="ru-RU"/>
        </w:rPr>
        <w:t>Vladivostok State University of Economics and Service</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547DA7">
        <w:rPr>
          <w:rFonts w:ascii="Times New Roman" w:eastAsia="Times New Roman" w:hAnsi="Times New Roman"/>
          <w:i/>
          <w:kern w:val="36"/>
          <w:sz w:val="28"/>
          <w:szCs w:val="28"/>
          <w:lang w:val="en-US" w:eastAsia="ru-RU"/>
        </w:rPr>
        <w:t>Vladivostok, Russia</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sz w:val="28"/>
          <w:szCs w:val="28"/>
          <w:lang w:val="en-US" w:eastAsia="ru-RU"/>
        </w:rPr>
      </w:pPr>
      <w:r w:rsidRPr="00547DA7">
        <w:rPr>
          <w:rFonts w:ascii="Times New Roman" w:eastAsia="Times New Roman" w:hAnsi="Times New Roman"/>
          <w:i/>
          <w:sz w:val="28"/>
          <w:szCs w:val="28"/>
          <w:lang w:val="en-US" w:eastAsia="ru-RU"/>
        </w:rPr>
        <w:t>The article is devoted to the comparative analysis of the procedure of termination of marriage under the law of the Russian Federation and Japan. To date, the number of divorces exceeds the number of marriages. As in Russia, so in Japan it is connected with psychological, social and economic problems. Therefore, one of the important issues in marriage and family relations are the issues of divorce in the registry Office, in court and in the local municipality, as well as the dissolution of marriage unilaterally or by mutual consent of the spouses and other problematic aspects.</w:t>
      </w:r>
    </w:p>
    <w:p w:rsidR="00547DA7" w:rsidRPr="00547DA7" w:rsidRDefault="00547DA7" w:rsidP="005A3DF4">
      <w:pPr>
        <w:widowControl w:val="0"/>
        <w:shd w:val="clear" w:color="auto" w:fill="FFFFFF"/>
        <w:spacing w:after="0" w:line="240" w:lineRule="auto"/>
        <w:ind w:firstLine="709"/>
        <w:jc w:val="both"/>
        <w:rPr>
          <w:rFonts w:ascii="Times New Roman" w:hAnsi="Times New Roman"/>
          <w:i/>
          <w:iCs/>
          <w:kern w:val="36"/>
          <w:sz w:val="28"/>
          <w:szCs w:val="28"/>
          <w:lang w:val="en-US"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val="en-US" w:eastAsia="ru-RU"/>
        </w:rPr>
      </w:pPr>
      <w:r w:rsidRPr="00547DA7">
        <w:rPr>
          <w:rFonts w:ascii="Times New Roman" w:eastAsia="Times New Roman" w:hAnsi="Times New Roman"/>
          <w:i/>
          <w:kern w:val="36"/>
          <w:sz w:val="28"/>
          <w:szCs w:val="28"/>
          <w:lang w:val="en-US" w:eastAsia="ru-RU"/>
        </w:rPr>
        <w:t>Keywords and phrases:</w:t>
      </w:r>
      <w:r w:rsidRPr="00547DA7">
        <w:rPr>
          <w:rFonts w:ascii="Times New Roman" w:hAnsi="Times New Roman"/>
          <w:sz w:val="28"/>
          <w:szCs w:val="28"/>
          <w:lang w:val="en-US"/>
        </w:rPr>
        <w:t xml:space="preserve"> </w:t>
      </w:r>
      <w:r w:rsidRPr="00547DA7">
        <w:rPr>
          <w:rFonts w:ascii="Times New Roman" w:eastAsia="Times New Roman" w:hAnsi="Times New Roman"/>
          <w:i/>
          <w:kern w:val="36"/>
          <w:sz w:val="28"/>
          <w:szCs w:val="28"/>
          <w:lang w:val="en-US" w:eastAsia="ru-RU"/>
        </w:rPr>
        <w:t xml:space="preserve">Institute of divorce, spouses, grounds for termination of marriage, rights of spouses, jurisdictional and non-jurisdictional forms of </w:t>
      </w:r>
      <w:r w:rsidRPr="00547DA7">
        <w:rPr>
          <w:rFonts w:ascii="Times New Roman" w:eastAsia="Times New Roman" w:hAnsi="Times New Roman"/>
          <w:i/>
          <w:kern w:val="36"/>
          <w:sz w:val="28"/>
          <w:szCs w:val="28"/>
          <w:lang w:val="en-US" w:eastAsia="ru-RU"/>
        </w:rPr>
        <w:lastRenderedPageBreak/>
        <w:t>divorce.</w:t>
      </w:r>
    </w:p>
    <w:p w:rsidR="00547DA7" w:rsidRPr="005A19CB"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val="en-US" w:eastAsia="ru-RU"/>
        </w:rPr>
      </w:pP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Сравнительный анализ института расторжения брака по российскому и японскому законодательству требует детального рассмотрения, так как в данных странах процедура бракоразводного процесса весьма отличается.</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Так, отличительной чертой в Японии является создание специализированного государственного органа власти – Семейного суда, который решает вопросы исключительно по спорам и конфликтам внутри семьи. При вынесении решений Семейный суд опирается на Гражданский кодекс Японии и Закон о семейном регистре. Это единственные положения, регулирующие семейные проблемы. В Российской Федерации такие задачи решаются судами общей юрисдикции и дела рассматриваются в зависимости от подведомственности.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Такое деление значительно облегчает нагрузку судов и несомненно является плюсом при быстром и качественном рассмотрении споров.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В российском праве институт расторжения брака регулируется Конституцией Российской Федерации [1], Семейным кодексом Российской Федерации [2], Федеральным законом «Об актах гражданского состояния» [3]. Системой японского права является только Гражданский кодекс Японии [4] и это не способствует детальному рассмотрению семейных вопросов, что является огромным минусом. Целесообразно было бы в Японии обособить семейное право от гражданского, так как оно охватывает достаточно большой круг вопросов: имущественные отношения, усыновление, опеку, алиментные обязательства, заключение и расторжение брака и создать специальные законы, которые регулировали бы больший объем положений, касающихся процедуры развода, опеки и алиментных обязательств.</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В Российской Федерации разводом заканчивается более 50% браков. В 2018 году было заключено 49005 браков и зарегистрировано 48807 разводов [5].</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hAnsi="Times New Roman"/>
          <w:sz w:val="28"/>
          <w:szCs w:val="28"/>
        </w:rPr>
      </w:pPr>
      <w:r w:rsidRPr="00547DA7">
        <w:rPr>
          <w:rFonts w:ascii="Times New Roman" w:hAnsi="Times New Roman"/>
          <w:sz w:val="28"/>
          <w:szCs w:val="28"/>
        </w:rPr>
        <w:t>По официальным данным Росстата в 2018 году количество браков составило 84,8% от процента предыдущего года. Такая статистика указывает на ухудшение показателей заключения браков. По данным 2018 года количество разводов составило 61,7% от общего количества заключенных браков [6].</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hAnsi="Times New Roman"/>
          <w:sz w:val="28"/>
          <w:szCs w:val="28"/>
        </w:rPr>
      </w:pPr>
      <w:r w:rsidRPr="00547DA7">
        <w:rPr>
          <w:rFonts w:ascii="Times New Roman" w:hAnsi="Times New Roman"/>
          <w:sz w:val="28"/>
          <w:szCs w:val="28"/>
        </w:rPr>
        <w:t>Аналогичная ситуация прослеживается и в Японии. В этой стране на каждый третий зарегистрированный брак приходится один развод, причем это происходит на втором или третьем году совместной жизни [7].</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По мнению социолога Дэвида Попеноэ, современные японские семьи утратили семейные ценности [8]. Многие направляют все свои усилия на построение собственной благополучной жизни. В первую очередь, японцы хотят построить успешную карьеру и приобрести дорогую недвижимость, поэтому необходимость сохранения брака пропадает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В российском законодательстве отличительной чертой является следующее правило: в соответствии со ст.17 СК РФ муж не имеет права без </w:t>
      </w:r>
      <w:r w:rsidRPr="00547DA7">
        <w:rPr>
          <w:rFonts w:ascii="Times New Roman" w:eastAsia="Times New Roman" w:hAnsi="Times New Roman"/>
          <w:kern w:val="36"/>
          <w:sz w:val="28"/>
          <w:szCs w:val="28"/>
          <w:lang w:eastAsia="ru-RU"/>
        </w:rPr>
        <w:lastRenderedPageBreak/>
        <w:t>согласия жены возбуждать дело о расторжении брака во время беременности жены и в течение года после рождения ребенка. Такая норма объясняется необходимостью усилить правовую охрану материнства и детства в период, когда от состояния женщины матери напрямую зависит здоровье ее ребенка. Это положение распространяется и на случаи, когда ребенок родился мертвым или умер до достижения им возраста одного года.</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В Японии же никаких ограничений для развода законодатель не предусматривает. Немаловажным было бы закрепить положения, касающиеся ограничения прав мужа на развод. Это обеспечит сохранение психологического здоровья женщины и ребенка и будет своеобразным толчком к расширению и изменению защиты прав женщин.</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По мнению Пчелинцевой Л.М. «в российском законодательстве, независимо от кого исходит инициатива расторжения брака, предусматриваются следующие виды развода:</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1) расторжение брака в судебном порядке;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2) расторжение брака в органах ЗАГСа.</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При этом государственная регистрация расторжения брака производится только в органах записи актов гражданского состояния по месту жительства супругов или одного из них либо по месту государственной регистрации заключения брака» [9].</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В японском семейном праве процедура расторжения брака также проходит в административном или судебном порядке. Однако административная процедура не урегулирована ГК Японии и для получения необходимой информации следует обращаться к слугам адвоката или интернету. Следовательно, внесудебный порядок расторжения брака также следует прописать в Гражданском кодексе или специальном Законе для получения правовой информации из достоверного источника.</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 Россия и Япония одни из тех стран, где действует система разделения компетенции суда и ЗАГСа. Например, в Швеции, Франции и Бельгии бракоразводный процесс осуществляется в любом случае судом.</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Необходимо обратить внимание на установление момента прекращения брака при его расторжении.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Если брак расторгается в органах ЗАГСа, он считается прекращенным со дня государственной регистрации расторжения брака в книге регистрации актов гражданского состояния. Если брак расторгается в судебном порядке, он прекращается со дня вступления решения суда в законную силу. Момент прекращения брака имеет очень важное правовое значение, поскольку именно с этого момента между супругами прекращаются личные и имущественные правоотношения и возникают новые обязательства.</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eastAsia="Times New Roman" w:hAnsi="Times New Roman"/>
          <w:kern w:val="36"/>
          <w:sz w:val="28"/>
          <w:szCs w:val="28"/>
          <w:lang w:eastAsia="ru-RU"/>
        </w:rPr>
        <w:t xml:space="preserve"> </w:t>
      </w:r>
      <w:r w:rsidRPr="00547DA7">
        <w:rPr>
          <w:rFonts w:ascii="Times New Roman" w:hAnsi="Times New Roman"/>
          <w:bCs/>
          <w:sz w:val="28"/>
          <w:szCs w:val="28"/>
        </w:rPr>
        <w:t>Документом, подтверждающим расторжение брака на территории Японии</w:t>
      </w:r>
      <w:r w:rsidRPr="00547DA7">
        <w:rPr>
          <w:rFonts w:ascii="Times New Roman" w:hAnsi="Times New Roman"/>
          <w:sz w:val="28"/>
          <w:szCs w:val="28"/>
        </w:rPr>
        <w:t>, будет являться японское свидетельство о разводе. Каждой из сторон выдается один экземпляр. В документе обязательно должно быть наличие печатей и росписей бывших супругов [10].</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Брак считается расторгнутым после получения свидетельства о разводе </w:t>
      </w:r>
      <w:r w:rsidRPr="00547DA7">
        <w:rPr>
          <w:rFonts w:ascii="Times New Roman" w:eastAsia="Times New Roman" w:hAnsi="Times New Roman"/>
          <w:kern w:val="36"/>
          <w:sz w:val="28"/>
          <w:szCs w:val="28"/>
          <w:lang w:eastAsia="ru-RU"/>
        </w:rPr>
        <w:lastRenderedPageBreak/>
        <w:t>или вступления в законную силу решения суда</w:t>
      </w:r>
      <w:r w:rsidRPr="00547DA7">
        <w:rPr>
          <w:rFonts w:ascii="Times New Roman" w:hAnsi="Times New Roman"/>
          <w:sz w:val="28"/>
          <w:szCs w:val="28"/>
        </w:rPr>
        <w:t xml:space="preserve"> [11].</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В Российское законодательство целесообразно было бы добавить положение, согласно которому после смерти супруга, второму супругу выдавалось бы свидетельство о расторжении брака (по аналогии с Японским законодательством) и закрепить нормы о фактическом браке, так как такой брак является очень распространенным при совместном проживании (например, в течении какого срока брак считается фактическим, является ли имущество общей собственность и т.д).</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Несмотря на разницу порядка расторжения брака, имеется один сходный принцип: назначение примирительных процедур для супругов до трех месяцев, смена или оставление фамилии после развода.</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Правовые последствия расторжения брака в РФ состоят в прекращении личных и имущественных отношений, существовавших между супругами во время брака. По общему правилу правоотношения между супругами прекращаются сразу после вступления в силу законного решения суда, либо со дня государственной регистрации расторжения брака в книге регистрации актов гражданского состояния. Но некоторые правоотношения могут быть сохранены по желанию супруга (например, сохранение брачной фамилии), либо в силу прямого установления закона, либо согласно брачному договору.</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Говоря о законном режиме имущества супругов, следует обратить внимание на следующий факт: если супруги не разделили общее имущество по соглашению или в судебном заседании, то после развода оно продолжает оставаться общим с соответствующим правовым режимом, так как было нажито во время брака.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В Японии после прекращения брака прекращаются все правоотношения между супругами, между родителем и ребенком. Еще одной своеобразной отличительной чертой в Японии является оформление опеки над ребенком после прекращения брака. Так, ГК Японии не предусматривает норм для совместной опеки над ребенком после развода, что приводит к негативным последствиям при формировании личности ребенка. Было бы правильно оставлять родительские права за обоими супругами и не лишать родителя возможности участвовать в становлении и развитии ребенка. Поэтому в Японское законодательство требуется внести нормы об опеке над ребенком после развода. Стоит обратить внимание на то, что процедура медиации при расторжении брака в Японии является обязательной. Медиатором является судья по семейным делам. В дальнейшем это может повлиять на заинтересованность суда в исходе дела, что является недопустимым принципом судебной власти [12].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Суд по семейным делам вызывает стороны для заслушивания мнений, опрашивает заинтересованных лиц, то есть медиатор предоставляет юридическую или консультационную помощь и продлевает срок рассмотрения дела по существу. Желательно было бы сделать данную процедуру не обязательной и назначить на роль медиатора специально обученное лицо, достигшее совершеннолетия и имеющее высшее </w:t>
      </w:r>
      <w:r w:rsidRPr="00547DA7">
        <w:rPr>
          <w:rFonts w:ascii="Times New Roman" w:eastAsia="Times New Roman" w:hAnsi="Times New Roman"/>
          <w:kern w:val="36"/>
          <w:sz w:val="28"/>
          <w:szCs w:val="28"/>
          <w:lang w:eastAsia="ru-RU"/>
        </w:rPr>
        <w:lastRenderedPageBreak/>
        <w:t>образование по вопросам применения процедуры медиации.</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Помимо этого, в России, при наличии общих несовершеннолетних детей, расторжение брака производится через суд, даже если супруги пришли к взаимному согласию о разводе и определили место жительство ребенка. В Японии же, данная ситуация разрешается путем подачи заявлений в органы местного муниципалитета. Такой подход значительно упрощает нагрузку суда и экономит время разводящихся супругов, так как им не приходится присутствовать на судебных разбирательствах. Целесообразно было бы применить такую норму и в российском праве. А в суд обращаться лишь в случае, если не удастся определить место жительство ребенка.</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47DA7">
        <w:rPr>
          <w:rFonts w:ascii="Times New Roman" w:eastAsia="Times New Roman" w:hAnsi="Times New Roman"/>
          <w:sz w:val="28"/>
          <w:szCs w:val="28"/>
          <w:lang w:eastAsia="ru-RU"/>
        </w:rPr>
        <w:t>Подводя итог всему вышесказанному, хочется сказать, что немаловажным аспектом является возраст вступления в брак в Японии. В Японии мужчины могут жениться в 18 лет, женщины в 16 лет, однако совершеннолетие наступает лишь по достижении 21-летнего возраста. Разумно было бы опустить возраст совершеннолетия до 18 лет и установить брачный возраст для мужчин и женщин – 18 лет.</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В довершение всего, рассмотрим основания для расторжения брака в суде в одностороннем порядке. В Японии таких оснований четыре:</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а) Нарушение супружеской верности (ст. 770 ГК Японии).</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б) Недобросовестное оставление. Данное понятие означает отказ без надлежащих причин от выполнения обязанности по совместному проживанию, сотрудничеству и помощи (ст. 752 ГК Японии).</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в) Отсутствие сведений о супруге в течение 3х и более лет. При данном основании причины отсутствия сведений о супруге не имеют значения, и трехлетний срок исчисляется с момента получения последних сведений о нем. (п. 3 ст. 770 ГК Японии).</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 xml:space="preserve">г) Неизлечимая душевная болезнь тяжелой степени (п. 4 ст. 770 ГК Японии). Данное основание требует, чтобы душевная болезнь была тяжелой и неизлечимой, поэтому временная или душевная болезнь в легкой форме не является основанием для развода. Определение о тяжести болезни определяется врачом. </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В Российской Федерации основания и вовсе не прописаны в СК РФ, поэтому следует восполнить пробел введением новых норм в действующее законодательство.</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47DA7">
        <w:rPr>
          <w:rFonts w:ascii="Times New Roman" w:eastAsia="Times New Roman" w:hAnsi="Times New Roman"/>
          <w:sz w:val="28"/>
          <w:szCs w:val="28"/>
          <w:lang w:eastAsia="ru-RU"/>
        </w:rPr>
        <w:t xml:space="preserve">Исходя из анализа японского права, можно сделать вывод, что в </w:t>
      </w:r>
      <w:r w:rsidRPr="00547DA7">
        <w:rPr>
          <w:rFonts w:ascii="Times New Roman" w:eastAsia="Times New Roman" w:hAnsi="Times New Roman"/>
          <w:bCs/>
          <w:sz w:val="28"/>
          <w:szCs w:val="28"/>
          <w:lang w:eastAsia="ru-RU"/>
        </w:rPr>
        <w:t>соответствии с гражданским законодательством Японии</w:t>
      </w:r>
      <w:r w:rsidRPr="00547DA7">
        <w:rPr>
          <w:rFonts w:ascii="Times New Roman" w:eastAsia="Times New Roman" w:hAnsi="Times New Roman"/>
          <w:sz w:val="28"/>
          <w:szCs w:val="28"/>
          <w:lang w:eastAsia="ru-RU"/>
        </w:rPr>
        <w:t> вопросы, связанные с расторжением брака не раскрыты в полном объеме. Отсутствуют нормы, предусматривающие деление совместно нажитого долга супругами после прекращения брака. Отсутствует урегулирование следующих вопросов: «На ком будет лежать бремя доказывания?», «Каким судом будет разрешаться спор?», «Что должно относиться к данному понятию?».</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47DA7">
        <w:rPr>
          <w:rFonts w:ascii="Times New Roman" w:eastAsia="Times New Roman" w:hAnsi="Times New Roman"/>
          <w:sz w:val="28"/>
          <w:szCs w:val="28"/>
          <w:lang w:eastAsia="ru-RU"/>
        </w:rPr>
        <w:t xml:space="preserve">После расторжения брака появляется много вопросов, касающихся дальнейшего существования семьи, в том числе и материального обеспечения, а именно – </w:t>
      </w:r>
      <w:hyperlink r:id="rId60" w:history="1">
        <w:r w:rsidRPr="00547DA7">
          <w:rPr>
            <w:rStyle w:val="a8"/>
            <w:rFonts w:ascii="Times New Roman" w:eastAsia="Times New Roman" w:hAnsi="Times New Roman"/>
            <w:color w:val="auto"/>
            <w:sz w:val="28"/>
            <w:szCs w:val="28"/>
            <w:u w:val="none"/>
            <w:lang w:eastAsia="ru-RU"/>
          </w:rPr>
          <w:t>начисление алиментов</w:t>
        </w:r>
      </w:hyperlink>
      <w:r w:rsidRPr="00547DA7">
        <w:rPr>
          <w:rFonts w:ascii="Times New Roman" w:eastAsia="Times New Roman" w:hAnsi="Times New Roman"/>
          <w:sz w:val="28"/>
          <w:szCs w:val="28"/>
          <w:lang w:eastAsia="ru-RU"/>
        </w:rPr>
        <w:t xml:space="preserve">. Здесь появляется множество </w:t>
      </w:r>
      <w:r w:rsidRPr="00547DA7">
        <w:rPr>
          <w:rFonts w:ascii="Times New Roman" w:eastAsia="Times New Roman" w:hAnsi="Times New Roman"/>
          <w:sz w:val="28"/>
          <w:szCs w:val="28"/>
          <w:lang w:eastAsia="ru-RU"/>
        </w:rPr>
        <w:lastRenderedPageBreak/>
        <w:t>нюансов. «Существуют ли сроки исковой давности?», «Возможно ли подать на алименты после развода?», «Как происходит расчет алиментов?» – данные вопросы необходимо урегулировать в Гражданском кодексе Японии.</w:t>
      </w:r>
    </w:p>
    <w:p w:rsidR="00547DA7" w:rsidRPr="00547DA7" w:rsidRDefault="00547DA7"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547DA7">
        <w:rPr>
          <w:rFonts w:ascii="Times New Roman" w:eastAsia="Times New Roman" w:hAnsi="Times New Roman"/>
          <w:sz w:val="28"/>
          <w:szCs w:val="28"/>
          <w:lang w:eastAsia="ru-RU"/>
        </w:rPr>
        <w:t>Необходимо закрепить положения о разрешении данного спора в судебном порядке, прописать все требования для подачи искового заявления в размере выплат.</w:t>
      </w:r>
    </w:p>
    <w:p w:rsidR="00547DA7" w:rsidRPr="00547DA7" w:rsidRDefault="00547DA7" w:rsidP="005A3DF4">
      <w:pPr>
        <w:widowControl w:val="0"/>
        <w:spacing w:after="0" w:line="240" w:lineRule="auto"/>
        <w:ind w:firstLine="709"/>
        <w:jc w:val="center"/>
        <w:rPr>
          <w:rFonts w:ascii="Times New Roman" w:hAnsi="Times New Roman"/>
          <w:sz w:val="28"/>
          <w:szCs w:val="28"/>
        </w:rPr>
      </w:pPr>
      <w:r w:rsidRPr="00547DA7">
        <w:rPr>
          <w:rFonts w:ascii="Times New Roman" w:hAnsi="Times New Roman"/>
          <w:sz w:val="28"/>
          <w:szCs w:val="28"/>
        </w:rPr>
        <w:t>Список использованных источников</w:t>
      </w:r>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rPr>
      </w:pPr>
      <w:r w:rsidRPr="00547DA7">
        <w:rPr>
          <w:rFonts w:ascii="Times New Roman" w:hAnsi="Times New Roman" w:cs="Times New Roman"/>
          <w:sz w:val="28"/>
          <w:szCs w:val="28"/>
        </w:rPr>
        <w:t xml:space="preserve">Конституция Российской Федерации: закон от 12.12.1993 (ред. от 21.07.2014) [Электронный ресурс] – Режим доступа: </w:t>
      </w:r>
      <w:hyperlink r:id="rId61" w:history="1">
        <w:r w:rsidRPr="00547DA7">
          <w:rPr>
            <w:rStyle w:val="a8"/>
            <w:rFonts w:ascii="Times New Roman" w:hAnsi="Times New Roman" w:cs="Times New Roman"/>
            <w:color w:val="auto"/>
            <w:sz w:val="28"/>
            <w:szCs w:val="28"/>
            <w:u w:val="none"/>
          </w:rPr>
          <w:t>http://www.consultant.ru/document/cons_doc_LAW_28399/</w:t>
        </w:r>
      </w:hyperlink>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rPr>
      </w:pPr>
      <w:r w:rsidRPr="00547DA7">
        <w:rPr>
          <w:rFonts w:ascii="Times New Roman" w:hAnsi="Times New Roman" w:cs="Times New Roman"/>
          <w:sz w:val="28"/>
          <w:szCs w:val="28"/>
        </w:rPr>
        <w:t xml:space="preserve">Семейный кодекс Российской Федерации: федеральный закон от 29.12.1995 № 223-ФЗ (ред. от 18.03.2019) [Электронный ресурс] – Режим доступа: </w:t>
      </w:r>
      <w:hyperlink r:id="rId62" w:history="1">
        <w:r w:rsidRPr="00547DA7">
          <w:rPr>
            <w:rStyle w:val="a8"/>
            <w:rFonts w:ascii="Times New Roman" w:hAnsi="Times New Roman" w:cs="Times New Roman"/>
            <w:color w:val="auto"/>
            <w:sz w:val="28"/>
            <w:szCs w:val="28"/>
            <w:u w:val="none"/>
          </w:rPr>
          <w:t>http://www.consultant.ru/document/cons_doc_LAW_8982/</w:t>
        </w:r>
      </w:hyperlink>
      <w:r w:rsidRPr="00547DA7">
        <w:rPr>
          <w:rFonts w:ascii="Times New Roman" w:hAnsi="Times New Roman" w:cs="Times New Roman"/>
          <w:sz w:val="28"/>
          <w:szCs w:val="28"/>
        </w:rPr>
        <w:t>.</w:t>
      </w:r>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rPr>
      </w:pPr>
      <w:r w:rsidRPr="00547DA7">
        <w:rPr>
          <w:rFonts w:ascii="Times New Roman" w:eastAsia="Calibri" w:hAnsi="Times New Roman" w:cs="Times New Roman"/>
          <w:bCs/>
          <w:sz w:val="28"/>
          <w:szCs w:val="28"/>
        </w:rPr>
        <w:t>Об актах гражданского состояния</w:t>
      </w:r>
      <w:r w:rsidRPr="00547DA7">
        <w:rPr>
          <w:rFonts w:ascii="Times New Roman" w:hAnsi="Times New Roman" w:cs="Times New Roman"/>
          <w:bCs/>
          <w:sz w:val="28"/>
          <w:szCs w:val="28"/>
        </w:rPr>
        <w:t>: федеральный закон от 15.11.1997 №</w:t>
      </w:r>
      <w:r w:rsidRPr="00547DA7">
        <w:rPr>
          <w:rFonts w:ascii="Times New Roman" w:eastAsia="Calibri" w:hAnsi="Times New Roman" w:cs="Times New Roman"/>
          <w:bCs/>
          <w:sz w:val="28"/>
          <w:szCs w:val="28"/>
        </w:rPr>
        <w:t xml:space="preserve"> 143-ФЗ (</w:t>
      </w:r>
      <w:r w:rsidRPr="00547DA7">
        <w:rPr>
          <w:rFonts w:ascii="Times New Roman" w:hAnsi="Times New Roman" w:cs="Times New Roman"/>
          <w:bCs/>
          <w:sz w:val="28"/>
          <w:szCs w:val="28"/>
        </w:rPr>
        <w:t>ред. от 27.12.2018</w:t>
      </w:r>
      <w:r w:rsidRPr="00547DA7">
        <w:rPr>
          <w:rFonts w:ascii="Times New Roman" w:eastAsia="Calibri" w:hAnsi="Times New Roman" w:cs="Times New Roman"/>
          <w:bCs/>
          <w:sz w:val="28"/>
          <w:szCs w:val="28"/>
        </w:rPr>
        <w:t>)</w:t>
      </w:r>
      <w:r w:rsidRPr="00547DA7">
        <w:rPr>
          <w:rFonts w:ascii="Times New Roman" w:hAnsi="Times New Roman" w:cs="Times New Roman"/>
          <w:sz w:val="28"/>
          <w:szCs w:val="28"/>
        </w:rPr>
        <w:t xml:space="preserve"> [Электронный ресурс] – Режим доступа: </w:t>
      </w:r>
      <w:hyperlink r:id="rId63" w:history="1">
        <w:r w:rsidRPr="00547DA7">
          <w:rPr>
            <w:rStyle w:val="a8"/>
            <w:rFonts w:ascii="Times New Roman" w:hAnsi="Times New Roman" w:cs="Times New Roman"/>
            <w:color w:val="auto"/>
            <w:sz w:val="28"/>
            <w:szCs w:val="28"/>
            <w:u w:val="none"/>
          </w:rPr>
          <w:t>http://www.consultant.ru/document/cons_doc_LAW_16758/</w:t>
        </w:r>
      </w:hyperlink>
      <w:r w:rsidRPr="00547DA7">
        <w:rPr>
          <w:rFonts w:ascii="Times New Roman" w:hAnsi="Times New Roman" w:cs="Times New Roman"/>
          <w:sz w:val="28"/>
          <w:szCs w:val="28"/>
        </w:rPr>
        <w:t xml:space="preserve"> </w:t>
      </w:r>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lang w:val="en-US"/>
        </w:rPr>
      </w:pPr>
      <w:r w:rsidRPr="00547DA7">
        <w:rPr>
          <w:rFonts w:ascii="Times New Roman" w:hAnsi="Times New Roman" w:cs="Times New Roman"/>
          <w:bCs/>
          <w:sz w:val="28"/>
          <w:szCs w:val="28"/>
          <w:lang w:val="en-US"/>
        </w:rPr>
        <w:t xml:space="preserve">Japanese Civil Code. Part IV and Part V. Art. 725-1044. (Tentative translation) </w:t>
      </w:r>
      <w:r w:rsidRPr="00547DA7">
        <w:rPr>
          <w:rFonts w:ascii="Times New Roman" w:hAnsi="Times New Roman" w:cs="Times New Roman"/>
          <w:sz w:val="28"/>
          <w:szCs w:val="28"/>
          <w:lang w:val="en-US"/>
        </w:rPr>
        <w:t>[Electronic resource]</w:t>
      </w:r>
      <w:r w:rsidRPr="00547DA7">
        <w:rPr>
          <w:rFonts w:ascii="Times New Roman" w:hAnsi="Times New Roman" w:cs="Times New Roman"/>
          <w:bCs/>
          <w:sz w:val="28"/>
          <w:szCs w:val="28"/>
          <w:lang w:val="en-US"/>
        </w:rPr>
        <w:t xml:space="preserve"> // Japanese Law Translation. – </w:t>
      </w:r>
      <w:r w:rsidRPr="00547DA7">
        <w:rPr>
          <w:rStyle w:val="a8"/>
          <w:rFonts w:ascii="Times New Roman" w:hAnsi="Times New Roman" w:cs="Times New Roman"/>
          <w:color w:val="auto"/>
          <w:sz w:val="28"/>
          <w:szCs w:val="28"/>
          <w:u w:val="none"/>
          <w:lang w:val="en-US"/>
        </w:rPr>
        <w:t>URL</w:t>
      </w:r>
      <w:r w:rsidRPr="00547DA7">
        <w:rPr>
          <w:rFonts w:ascii="Times New Roman" w:hAnsi="Times New Roman" w:cs="Times New Roman"/>
          <w:bCs/>
          <w:sz w:val="28"/>
          <w:szCs w:val="28"/>
          <w:lang w:val="en-US"/>
        </w:rPr>
        <w:t>: </w:t>
      </w:r>
      <w:hyperlink r:id="rId64" w:history="1">
        <w:r w:rsidRPr="00547DA7">
          <w:rPr>
            <w:rStyle w:val="a8"/>
            <w:rFonts w:ascii="Times New Roman" w:hAnsi="Times New Roman" w:cs="Times New Roman"/>
            <w:bCs/>
            <w:color w:val="auto"/>
            <w:sz w:val="28"/>
            <w:szCs w:val="28"/>
            <w:u w:val="none"/>
            <w:lang w:val="en-US"/>
          </w:rPr>
          <w:t>http://www.japaneselawtranslation.go.jp/law/detail/?id=2252&amp;vm=04&amp;re=01</w:t>
        </w:r>
      </w:hyperlink>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Style w:val="a8"/>
          <w:rFonts w:ascii="Times New Roman" w:hAnsi="Times New Roman" w:cs="Times New Roman"/>
          <w:color w:val="auto"/>
          <w:sz w:val="28"/>
          <w:szCs w:val="28"/>
          <w:u w:val="none"/>
        </w:rPr>
      </w:pPr>
      <w:r w:rsidRPr="00547DA7">
        <w:rPr>
          <w:rFonts w:ascii="Times New Roman" w:hAnsi="Times New Roman" w:cs="Times New Roman"/>
          <w:sz w:val="28"/>
          <w:szCs w:val="28"/>
        </w:rPr>
        <w:t xml:space="preserve">Число разводов в РФ в начале 2019 резко сократилось [Электронный ресурс] // Маяк. – Режим доступа:  </w:t>
      </w:r>
      <w:hyperlink r:id="rId65" w:history="1">
        <w:r w:rsidRPr="00547DA7">
          <w:rPr>
            <w:rStyle w:val="a8"/>
            <w:rFonts w:ascii="Times New Roman" w:hAnsi="Times New Roman" w:cs="Times New Roman"/>
            <w:color w:val="auto"/>
            <w:sz w:val="28"/>
            <w:szCs w:val="28"/>
            <w:u w:val="none"/>
          </w:rPr>
          <w:t>http://mayaksbor.ru/news/society/chislo_razvodov_v_rf_v_nachale_2019_goda_rezko_sokratilos/</w:t>
        </w:r>
      </w:hyperlink>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rPr>
      </w:pPr>
      <w:r w:rsidRPr="00547DA7">
        <w:rPr>
          <w:rStyle w:val="a8"/>
          <w:rFonts w:ascii="Times New Roman" w:hAnsi="Times New Roman" w:cs="Times New Roman"/>
          <w:color w:val="auto"/>
          <w:sz w:val="28"/>
          <w:szCs w:val="28"/>
          <w:u w:val="none"/>
        </w:rPr>
        <w:t xml:space="preserve"> </w:t>
      </w:r>
      <w:r w:rsidRPr="00547DA7">
        <w:rPr>
          <w:rFonts w:ascii="Times New Roman" w:hAnsi="Times New Roman" w:cs="Times New Roman"/>
          <w:sz w:val="28"/>
          <w:szCs w:val="28"/>
        </w:rPr>
        <w:t>Статистика разводов в 2019 [Электронный ресурс] // Сайт юристов.ру. – Режим доступа: https://pravovojrezultat.ru/drugoe/statistika-razvodov-v-rossii-2019.html</w:t>
      </w:r>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rPr>
      </w:pPr>
      <w:r w:rsidRPr="00547DA7">
        <w:rPr>
          <w:rFonts w:ascii="Times New Roman" w:eastAsia="MS Gothic" w:hAnsi="MS Gothic" w:cs="Times New Roman"/>
          <w:bCs/>
          <w:iCs/>
          <w:sz w:val="28"/>
          <w:szCs w:val="28"/>
        </w:rPr>
        <w:t>離婚とは</w:t>
      </w:r>
      <w:r w:rsidRPr="00547DA7">
        <w:rPr>
          <w:rFonts w:ascii="Times New Roman" w:hAnsi="Times New Roman" w:cs="Times New Roman"/>
          <w:bCs/>
          <w:iCs/>
          <w:sz w:val="28"/>
          <w:szCs w:val="28"/>
        </w:rPr>
        <w:t>[</w:t>
      </w:r>
      <w:r w:rsidRPr="00547DA7">
        <w:rPr>
          <w:rStyle w:val="a8"/>
          <w:rFonts w:ascii="Times New Roman" w:hAnsi="Times New Roman" w:cs="Times New Roman"/>
          <w:color w:val="auto"/>
          <w:sz w:val="28"/>
          <w:szCs w:val="28"/>
          <w:u w:val="none"/>
          <w:lang w:val="en-US"/>
        </w:rPr>
        <w:t>Electronic</w:t>
      </w:r>
      <w:r w:rsidRPr="00547DA7">
        <w:rPr>
          <w:rStyle w:val="a8"/>
          <w:rFonts w:ascii="Times New Roman" w:hAnsi="Times New Roman" w:cs="Times New Roman"/>
          <w:color w:val="auto"/>
          <w:sz w:val="28"/>
          <w:szCs w:val="28"/>
          <w:u w:val="none"/>
        </w:rPr>
        <w:t xml:space="preserve"> </w:t>
      </w:r>
      <w:r w:rsidRPr="00547DA7">
        <w:rPr>
          <w:rStyle w:val="a8"/>
          <w:rFonts w:ascii="Times New Roman" w:hAnsi="Times New Roman" w:cs="Times New Roman"/>
          <w:color w:val="auto"/>
          <w:sz w:val="28"/>
          <w:szCs w:val="28"/>
          <w:u w:val="none"/>
          <w:lang w:val="en-US"/>
        </w:rPr>
        <w:t>resourse</w:t>
      </w:r>
      <w:r w:rsidRPr="00547DA7">
        <w:rPr>
          <w:rFonts w:ascii="Times New Roman" w:hAnsi="Times New Roman" w:cs="Times New Roman"/>
          <w:bCs/>
          <w:iCs/>
          <w:sz w:val="28"/>
          <w:szCs w:val="28"/>
        </w:rPr>
        <w:t xml:space="preserve">] // </w:t>
      </w:r>
      <w:hyperlink r:id="rId66" w:history="1">
        <w:r w:rsidRPr="00547DA7">
          <w:rPr>
            <w:rStyle w:val="a8"/>
            <w:rFonts w:ascii="Times New Roman" w:hAnsi="Times New Roman" w:cs="Times New Roman"/>
            <w:bCs/>
            <w:iCs/>
            <w:color w:val="auto"/>
            <w:sz w:val="28"/>
            <w:szCs w:val="28"/>
            <w:u w:val="none"/>
          </w:rPr>
          <w:t>3</w:t>
        </w:r>
        <w:r w:rsidRPr="00547DA7">
          <w:rPr>
            <w:rStyle w:val="a8"/>
            <w:rFonts w:ascii="Times New Roman" w:eastAsia="MS Gothic" w:hAnsi="MS Gothic" w:cs="Times New Roman"/>
            <w:bCs/>
            <w:iCs/>
            <w:color w:val="auto"/>
            <w:sz w:val="28"/>
            <w:szCs w:val="28"/>
            <w:u w:val="none"/>
          </w:rPr>
          <w:t>組に</w:t>
        </w:r>
        <w:r w:rsidRPr="00547DA7">
          <w:rPr>
            <w:rStyle w:val="a8"/>
            <w:rFonts w:ascii="Times New Roman" w:hAnsi="Times New Roman" w:cs="Times New Roman"/>
            <w:bCs/>
            <w:iCs/>
            <w:color w:val="auto"/>
            <w:sz w:val="28"/>
            <w:szCs w:val="28"/>
            <w:u w:val="none"/>
          </w:rPr>
          <w:t>1</w:t>
        </w:r>
        <w:r w:rsidRPr="00547DA7">
          <w:rPr>
            <w:rStyle w:val="a8"/>
            <w:rFonts w:ascii="Times New Roman" w:eastAsia="MS Gothic" w:hAnsi="MS Gothic" w:cs="Times New Roman"/>
            <w:bCs/>
            <w:iCs/>
            <w:color w:val="auto"/>
            <w:sz w:val="28"/>
            <w:szCs w:val="28"/>
            <w:u w:val="none"/>
          </w:rPr>
          <w:t>組のカップルは離婚している？日本って離婚率高いんだね</w:t>
        </w:r>
      </w:hyperlink>
      <w:r w:rsidRPr="00547DA7">
        <w:rPr>
          <w:rFonts w:ascii="Times New Roman" w:hAnsi="Times New Roman" w:cs="Times New Roman"/>
          <w:bCs/>
          <w:iCs/>
          <w:sz w:val="28"/>
          <w:szCs w:val="28"/>
        </w:rPr>
        <w:t xml:space="preserve"> – </w:t>
      </w:r>
      <w:r w:rsidRPr="00547DA7">
        <w:rPr>
          <w:rStyle w:val="a8"/>
          <w:rFonts w:ascii="Times New Roman" w:hAnsi="Times New Roman" w:cs="Times New Roman"/>
          <w:color w:val="auto"/>
          <w:sz w:val="28"/>
          <w:szCs w:val="28"/>
          <w:u w:val="none"/>
          <w:lang w:val="en-US"/>
        </w:rPr>
        <w:t>URL</w:t>
      </w:r>
      <w:r w:rsidRPr="00547DA7">
        <w:rPr>
          <w:rFonts w:ascii="Times New Roman" w:hAnsi="Times New Roman" w:cs="Times New Roman"/>
          <w:bCs/>
          <w:iCs/>
          <w:sz w:val="28"/>
          <w:szCs w:val="28"/>
        </w:rPr>
        <w:t xml:space="preserve">: http://matome.naver.jp/odai/2135934983301998101 </w:t>
      </w:r>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rPr>
      </w:pPr>
      <w:r w:rsidRPr="00547DA7">
        <w:rPr>
          <w:rFonts w:ascii="Times New Roman" w:hAnsi="Times New Roman" w:cs="Times New Roman"/>
          <w:sz w:val="28"/>
          <w:szCs w:val="28"/>
        </w:rPr>
        <w:t xml:space="preserve">Воркина К.С. Особенности развода в современной Японии [Электронный ресурс] / К.С Воркина // Международный научно-исследовательский журнал. – 2017. – № 12. – Режим доступа: </w:t>
      </w:r>
      <w:hyperlink r:id="rId67" w:history="1">
        <w:r w:rsidRPr="00547DA7">
          <w:rPr>
            <w:rStyle w:val="a8"/>
            <w:rFonts w:ascii="Times New Roman" w:hAnsi="Times New Roman" w:cs="Times New Roman"/>
            <w:color w:val="auto"/>
            <w:sz w:val="28"/>
            <w:szCs w:val="28"/>
            <w:u w:val="none"/>
          </w:rPr>
          <w:t>https://research-journal.org/culture/osobennosti-razvoda-v-sovremennoj-yaponii</w:t>
        </w:r>
      </w:hyperlink>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Style w:val="a8"/>
          <w:rFonts w:ascii="Times New Roman" w:hAnsi="Times New Roman" w:cs="Times New Roman"/>
          <w:color w:val="auto"/>
          <w:sz w:val="28"/>
          <w:szCs w:val="28"/>
          <w:u w:val="none"/>
        </w:rPr>
      </w:pPr>
      <w:r w:rsidRPr="00547DA7">
        <w:rPr>
          <w:rFonts w:ascii="Times New Roman" w:hAnsi="Times New Roman" w:cs="Times New Roman"/>
          <w:sz w:val="28"/>
          <w:szCs w:val="28"/>
        </w:rPr>
        <w:t xml:space="preserve">Пчелинцева Л.М. Семейное право России [Электронный ресурс] / Л.М. Пчелинцева // </w:t>
      </w:r>
      <w:r w:rsidRPr="00547DA7">
        <w:rPr>
          <w:rFonts w:ascii="Times New Roman" w:hAnsi="Times New Roman" w:cs="Times New Roman"/>
          <w:sz w:val="28"/>
          <w:szCs w:val="28"/>
          <w:lang w:val="en-US"/>
        </w:rPr>
        <w:t>uristinfo</w:t>
      </w:r>
      <w:r w:rsidRPr="00547DA7">
        <w:rPr>
          <w:rFonts w:ascii="Times New Roman" w:hAnsi="Times New Roman" w:cs="Times New Roman"/>
          <w:sz w:val="28"/>
          <w:szCs w:val="28"/>
        </w:rPr>
        <w:t>.</w:t>
      </w:r>
      <w:r w:rsidRPr="00547DA7">
        <w:rPr>
          <w:rFonts w:ascii="Times New Roman" w:hAnsi="Times New Roman" w:cs="Times New Roman"/>
          <w:sz w:val="28"/>
          <w:szCs w:val="28"/>
          <w:lang w:val="en-US"/>
        </w:rPr>
        <w:t>net</w:t>
      </w:r>
      <w:r w:rsidRPr="00547DA7">
        <w:rPr>
          <w:rFonts w:ascii="Times New Roman" w:hAnsi="Times New Roman" w:cs="Times New Roman"/>
          <w:sz w:val="28"/>
          <w:szCs w:val="28"/>
        </w:rPr>
        <w:t xml:space="preserve">: Семейное право России. – Режим доступа: </w:t>
      </w:r>
      <w:hyperlink r:id="rId68" w:history="1">
        <w:r w:rsidRPr="00547DA7">
          <w:rPr>
            <w:rStyle w:val="a8"/>
            <w:rFonts w:ascii="Times New Roman" w:hAnsi="Times New Roman" w:cs="Times New Roman"/>
            <w:color w:val="auto"/>
            <w:sz w:val="28"/>
            <w:szCs w:val="28"/>
            <w:u w:val="none"/>
          </w:rPr>
          <w:t>http://uristinfo.net/semejnoe-pravo/213-semejnoe-pravo-rossii-lm-pchelintseva.html</w:t>
        </w:r>
      </w:hyperlink>
    </w:p>
    <w:p w:rsidR="00547DA7" w:rsidRPr="00653BCC" w:rsidRDefault="00653BCC" w:rsidP="007F4EC1">
      <w:pPr>
        <w:pStyle w:val="a7"/>
        <w:widowControl w:val="0"/>
        <w:numPr>
          <w:ilvl w:val="0"/>
          <w:numId w:val="46"/>
        </w:numPr>
        <w:tabs>
          <w:tab w:val="left" w:pos="993"/>
        </w:tabs>
        <w:spacing w:after="0" w:line="240" w:lineRule="auto"/>
        <w:ind w:left="0" w:firstLine="709"/>
        <w:contextualSpacing w:val="0"/>
        <w:jc w:val="both"/>
        <w:rPr>
          <w:rStyle w:val="a8"/>
          <w:rFonts w:ascii="Times New Roman" w:hAnsi="Times New Roman" w:cs="Times New Roman"/>
          <w:bCs/>
          <w:iCs/>
          <w:color w:val="auto"/>
          <w:sz w:val="28"/>
          <w:szCs w:val="28"/>
          <w:u w:val="none"/>
          <w:lang w:val="en-US"/>
        </w:rPr>
      </w:pPr>
      <w:r w:rsidRPr="005A19CB">
        <w:rPr>
          <w:rFonts w:ascii="Times New Roman" w:hAnsi="Times New Roman" w:cs="Times New Roman"/>
          <w:bCs/>
          <w:iCs/>
          <w:sz w:val="28"/>
          <w:szCs w:val="28"/>
        </w:rPr>
        <w:t xml:space="preserve"> </w:t>
      </w:r>
      <w:r w:rsidR="00547DA7" w:rsidRPr="00547DA7">
        <w:rPr>
          <w:rFonts w:ascii="Times New Roman" w:hAnsi="Times New Roman" w:cs="Times New Roman"/>
          <w:bCs/>
          <w:iCs/>
          <w:sz w:val="28"/>
          <w:szCs w:val="28"/>
          <w:lang w:val="en-US"/>
        </w:rPr>
        <w:t xml:space="preserve">Types of Divorce in </w:t>
      </w:r>
      <w:r w:rsidR="00547DA7" w:rsidRPr="00653BCC">
        <w:rPr>
          <w:rFonts w:ascii="Times New Roman" w:hAnsi="Times New Roman" w:cs="Times New Roman"/>
          <w:bCs/>
          <w:iCs/>
          <w:sz w:val="28"/>
          <w:szCs w:val="28"/>
          <w:lang w:val="en-US"/>
        </w:rPr>
        <w:t>Japan [</w:t>
      </w:r>
      <w:r w:rsidR="00547DA7" w:rsidRPr="00653BCC">
        <w:rPr>
          <w:rStyle w:val="a8"/>
          <w:rFonts w:ascii="Times New Roman" w:hAnsi="Times New Roman" w:cs="Times New Roman"/>
          <w:color w:val="auto"/>
          <w:sz w:val="28"/>
          <w:szCs w:val="28"/>
          <w:u w:val="none"/>
          <w:lang w:val="en-US"/>
        </w:rPr>
        <w:t>Electronic resourse</w:t>
      </w:r>
      <w:r w:rsidR="00547DA7" w:rsidRPr="00653BCC">
        <w:rPr>
          <w:rFonts w:ascii="Times New Roman" w:hAnsi="Times New Roman" w:cs="Times New Roman"/>
          <w:bCs/>
          <w:iCs/>
          <w:sz w:val="28"/>
          <w:szCs w:val="28"/>
          <w:lang w:val="en-US"/>
        </w:rPr>
        <w:t xml:space="preserve">] // Japan Children’s Rigth Network. – </w:t>
      </w:r>
      <w:r w:rsidR="00547DA7" w:rsidRPr="00653BCC">
        <w:rPr>
          <w:rStyle w:val="a8"/>
          <w:rFonts w:ascii="Times New Roman" w:hAnsi="Times New Roman" w:cs="Times New Roman"/>
          <w:color w:val="auto"/>
          <w:sz w:val="28"/>
          <w:szCs w:val="28"/>
          <w:u w:val="none"/>
          <w:lang w:val="en-US"/>
        </w:rPr>
        <w:t>URL</w:t>
      </w:r>
      <w:r w:rsidR="00547DA7" w:rsidRPr="00653BCC">
        <w:rPr>
          <w:rFonts w:ascii="Times New Roman" w:hAnsi="Times New Roman" w:cs="Times New Roman"/>
          <w:bCs/>
          <w:iCs/>
          <w:sz w:val="28"/>
          <w:szCs w:val="28"/>
          <w:lang w:val="en-US"/>
        </w:rPr>
        <w:t xml:space="preserve">: </w:t>
      </w:r>
      <w:hyperlink r:id="rId69" w:history="1">
        <w:r w:rsidRPr="00653BCC">
          <w:rPr>
            <w:rStyle w:val="a8"/>
            <w:rFonts w:ascii="Times New Roman" w:hAnsi="Times New Roman" w:cs="Times New Roman"/>
            <w:bCs/>
            <w:iCs/>
            <w:color w:val="auto"/>
            <w:sz w:val="28"/>
            <w:szCs w:val="28"/>
            <w:u w:val="none"/>
            <w:lang w:val="en-US"/>
          </w:rPr>
          <w:t>http://www.crnjapan.net/The_Japan_Childrens_ Rights_Network/div-types.html</w:t>
        </w:r>
      </w:hyperlink>
    </w:p>
    <w:p w:rsidR="00547DA7" w:rsidRPr="00547DA7" w:rsidRDefault="00547DA7"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bCs/>
          <w:iCs/>
          <w:sz w:val="28"/>
          <w:szCs w:val="28"/>
          <w:lang w:val="en-US"/>
        </w:rPr>
      </w:pPr>
      <w:r w:rsidRPr="00653BCC">
        <w:rPr>
          <w:rFonts w:ascii="Times New Roman" w:hAnsi="Times New Roman" w:cs="Times New Roman"/>
          <w:bCs/>
          <w:iCs/>
          <w:sz w:val="28"/>
          <w:szCs w:val="28"/>
          <w:lang w:val="en-US"/>
        </w:rPr>
        <w:t xml:space="preserve"> Summary dissolution of marriage</w:t>
      </w:r>
      <w:r w:rsidRPr="00547DA7">
        <w:rPr>
          <w:rFonts w:ascii="Times New Roman" w:hAnsi="Times New Roman" w:cs="Times New Roman"/>
          <w:bCs/>
          <w:iCs/>
          <w:sz w:val="28"/>
          <w:szCs w:val="28"/>
          <w:lang w:val="en-US"/>
        </w:rPr>
        <w:t xml:space="preserve"> in Ohio: The simple devorce </w:t>
      </w:r>
      <w:r w:rsidRPr="00547DA7">
        <w:rPr>
          <w:rStyle w:val="a8"/>
          <w:rFonts w:ascii="Times New Roman" w:hAnsi="Times New Roman" w:cs="Times New Roman"/>
          <w:color w:val="auto"/>
          <w:sz w:val="28"/>
          <w:szCs w:val="28"/>
          <w:u w:val="none"/>
          <w:lang w:val="en-US"/>
        </w:rPr>
        <w:t>Electronic resourse</w:t>
      </w:r>
      <w:r w:rsidRPr="00547DA7">
        <w:rPr>
          <w:rFonts w:ascii="Times New Roman" w:hAnsi="Times New Roman" w:cs="Times New Roman"/>
          <w:bCs/>
          <w:iCs/>
          <w:sz w:val="28"/>
          <w:szCs w:val="28"/>
          <w:lang w:val="en-US"/>
        </w:rPr>
        <w:t xml:space="preserve">] // DevorceNet. – </w:t>
      </w:r>
      <w:r w:rsidRPr="00547DA7">
        <w:rPr>
          <w:rStyle w:val="a8"/>
          <w:rFonts w:ascii="Times New Roman" w:hAnsi="Times New Roman" w:cs="Times New Roman"/>
          <w:color w:val="auto"/>
          <w:sz w:val="28"/>
          <w:szCs w:val="28"/>
          <w:u w:val="none"/>
          <w:lang w:val="en-US"/>
        </w:rPr>
        <w:t>URL</w:t>
      </w:r>
      <w:r w:rsidRPr="00547DA7">
        <w:rPr>
          <w:rFonts w:ascii="Times New Roman" w:hAnsi="Times New Roman" w:cs="Times New Roman"/>
          <w:bCs/>
          <w:iCs/>
          <w:sz w:val="28"/>
          <w:szCs w:val="28"/>
          <w:lang w:val="en-US"/>
        </w:rPr>
        <w:t>: http://www.devorcenet/states/ohio/ohart04</w:t>
      </w:r>
    </w:p>
    <w:p w:rsidR="00547DA7" w:rsidRPr="00547DA7" w:rsidRDefault="00653BCC" w:rsidP="007F4EC1">
      <w:pPr>
        <w:pStyle w:val="a7"/>
        <w:widowControl w:val="0"/>
        <w:numPr>
          <w:ilvl w:val="0"/>
          <w:numId w:val="46"/>
        </w:numPr>
        <w:tabs>
          <w:tab w:val="left" w:pos="993"/>
        </w:tabs>
        <w:spacing w:after="0" w:line="240" w:lineRule="auto"/>
        <w:ind w:left="0" w:firstLine="709"/>
        <w:contextualSpacing w:val="0"/>
        <w:jc w:val="both"/>
        <w:rPr>
          <w:rFonts w:ascii="Times New Roman" w:hAnsi="Times New Roman" w:cs="Times New Roman"/>
          <w:sz w:val="28"/>
          <w:szCs w:val="28"/>
          <w:lang w:val="en-US"/>
        </w:rPr>
      </w:pPr>
      <w:r w:rsidRPr="00653BCC">
        <w:rPr>
          <w:rFonts w:ascii="Times New Roman" w:hAnsi="Times New Roman" w:cs="Times New Roman"/>
          <w:bCs/>
          <w:iCs/>
          <w:sz w:val="28"/>
          <w:szCs w:val="28"/>
          <w:lang w:val="en-US"/>
        </w:rPr>
        <w:t xml:space="preserve"> </w:t>
      </w:r>
      <w:r w:rsidR="00547DA7" w:rsidRPr="00547DA7">
        <w:rPr>
          <w:rFonts w:ascii="Times New Roman" w:hAnsi="Times New Roman" w:cs="Times New Roman"/>
          <w:bCs/>
          <w:iCs/>
          <w:sz w:val="28"/>
          <w:szCs w:val="28"/>
          <w:lang w:val="en-US"/>
        </w:rPr>
        <w:t>Japanese family courts [</w:t>
      </w:r>
      <w:r w:rsidR="00547DA7" w:rsidRPr="00547DA7">
        <w:rPr>
          <w:rStyle w:val="a8"/>
          <w:rFonts w:ascii="Times New Roman" w:hAnsi="Times New Roman" w:cs="Times New Roman"/>
          <w:color w:val="auto"/>
          <w:sz w:val="28"/>
          <w:szCs w:val="28"/>
          <w:u w:val="none"/>
          <w:lang w:val="en-US"/>
        </w:rPr>
        <w:t>Electronic resourse</w:t>
      </w:r>
      <w:r w:rsidR="00547DA7" w:rsidRPr="00547DA7">
        <w:rPr>
          <w:rFonts w:ascii="Times New Roman" w:hAnsi="Times New Roman" w:cs="Times New Roman"/>
          <w:bCs/>
          <w:iCs/>
          <w:sz w:val="28"/>
          <w:szCs w:val="28"/>
          <w:lang w:val="en-US"/>
        </w:rPr>
        <w:t xml:space="preserve">] // The law office of Jeremy </w:t>
      </w:r>
      <w:r w:rsidR="00547DA7" w:rsidRPr="00547DA7">
        <w:rPr>
          <w:rFonts w:ascii="Times New Roman" w:hAnsi="Times New Roman" w:cs="Times New Roman"/>
          <w:bCs/>
          <w:iCs/>
          <w:sz w:val="28"/>
          <w:szCs w:val="28"/>
          <w:lang w:val="en-US"/>
        </w:rPr>
        <w:lastRenderedPageBreak/>
        <w:t xml:space="preserve">D. Morley </w:t>
      </w:r>
      <w:r w:rsidR="00547DA7" w:rsidRPr="00547DA7">
        <w:rPr>
          <w:rFonts w:ascii="Times New Roman" w:hAnsi="Times New Roman" w:cs="Times New Roman"/>
          <w:sz w:val="28"/>
          <w:szCs w:val="28"/>
          <w:lang w:val="en-US"/>
        </w:rPr>
        <w:t xml:space="preserve">– </w:t>
      </w:r>
      <w:r w:rsidR="00547DA7" w:rsidRPr="00547DA7">
        <w:rPr>
          <w:rStyle w:val="a8"/>
          <w:rFonts w:ascii="Times New Roman" w:hAnsi="Times New Roman" w:cs="Times New Roman"/>
          <w:color w:val="auto"/>
          <w:sz w:val="28"/>
          <w:szCs w:val="28"/>
          <w:u w:val="none"/>
          <w:lang w:val="en-US"/>
        </w:rPr>
        <w:t>URL</w:t>
      </w:r>
      <w:r w:rsidR="00547DA7" w:rsidRPr="00547DA7">
        <w:rPr>
          <w:rFonts w:ascii="Times New Roman" w:hAnsi="Times New Roman" w:cs="Times New Roman"/>
          <w:sz w:val="28"/>
          <w:szCs w:val="28"/>
          <w:lang w:val="en-US"/>
        </w:rPr>
        <w:t xml:space="preserve">: </w:t>
      </w:r>
      <w:hyperlink r:id="rId70" w:history="1">
        <w:r w:rsidR="00547DA7" w:rsidRPr="00547DA7">
          <w:rPr>
            <w:rStyle w:val="a8"/>
            <w:rFonts w:ascii="Times New Roman" w:hAnsi="Times New Roman" w:cs="Times New Roman"/>
            <w:color w:val="auto"/>
            <w:sz w:val="28"/>
            <w:szCs w:val="28"/>
            <w:u w:val="none"/>
            <w:lang w:val="en-US"/>
          </w:rPr>
          <w:t>https://www.international-divorce.com/japan_family_courts.htm</w:t>
        </w:r>
      </w:hyperlink>
    </w:p>
    <w:p w:rsidR="00547DA7" w:rsidRPr="00547DA7" w:rsidRDefault="00547DA7" w:rsidP="005A3DF4">
      <w:pPr>
        <w:widowControl w:val="0"/>
        <w:spacing w:after="0" w:line="240" w:lineRule="auto"/>
        <w:ind w:firstLine="709"/>
        <w:jc w:val="both"/>
        <w:rPr>
          <w:rFonts w:ascii="Times New Roman" w:eastAsia="Times New Roman" w:hAnsi="Times New Roman"/>
          <w:sz w:val="28"/>
          <w:szCs w:val="28"/>
          <w:lang w:val="en-US" w:eastAsia="ru-RU"/>
        </w:rPr>
      </w:pP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eastAsia="ru-RU"/>
        </w:rPr>
      </w:pPr>
      <w:r w:rsidRPr="00547DA7">
        <w:rPr>
          <w:rFonts w:ascii="Times New Roman" w:eastAsia="Times New Roman" w:hAnsi="Times New Roman"/>
          <w:b/>
          <w:kern w:val="36"/>
          <w:sz w:val="28"/>
          <w:szCs w:val="28"/>
          <w:lang w:eastAsia="ru-RU"/>
        </w:rPr>
        <w:t>Формы устройства детей, оставшихся без попечения родителей: сравнительный анализ законодательства РФ и Японии</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Петрова Анна Игоревна</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r w:rsidRPr="00547DA7">
        <w:rPr>
          <w:rFonts w:ascii="Times New Roman" w:eastAsia="Times New Roman" w:hAnsi="Times New Roman"/>
          <w:kern w:val="36"/>
          <w:sz w:val="28"/>
          <w:szCs w:val="28"/>
          <w:lang w:eastAsia="ru-RU"/>
        </w:rPr>
        <w:t>группы БЮП-15-03, 4 курса Институт права</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eastAsia="ru-RU"/>
        </w:rPr>
      </w:pPr>
      <w:r w:rsidRPr="00547DA7">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eastAsia="ru-RU"/>
        </w:rPr>
      </w:pPr>
      <w:r w:rsidRPr="00547DA7">
        <w:rPr>
          <w:rFonts w:ascii="Times New Roman" w:eastAsia="Times New Roman" w:hAnsi="Times New Roman"/>
          <w:i/>
          <w:kern w:val="36"/>
          <w:sz w:val="28"/>
          <w:szCs w:val="28"/>
          <w:lang w:eastAsia="ru-RU"/>
        </w:rPr>
        <w:t>Россия. Владивосток</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r w:rsidRPr="00547DA7">
        <w:rPr>
          <w:rFonts w:ascii="Times New Roman" w:eastAsia="Times New Roman" w:hAnsi="Times New Roman"/>
          <w:i/>
          <w:kern w:val="36"/>
          <w:sz w:val="28"/>
          <w:szCs w:val="28"/>
          <w:lang w:eastAsia="ru-RU"/>
        </w:rPr>
        <w:t>Статья посвящена сравнительному анализу форм устройства детей, оставшихся без попечения родителей, по законодательству Российской Федерации и Японии.</w:t>
      </w:r>
      <w:r w:rsidRPr="00547DA7">
        <w:rPr>
          <w:rFonts w:ascii="Times New Roman" w:hAnsi="Times New Roman"/>
          <w:sz w:val="28"/>
          <w:szCs w:val="28"/>
        </w:rPr>
        <w:t xml:space="preserve"> </w:t>
      </w:r>
      <w:r w:rsidRPr="00547DA7">
        <w:rPr>
          <w:rFonts w:ascii="Times New Roman" w:hAnsi="Times New Roman"/>
          <w:i/>
          <w:sz w:val="28"/>
          <w:szCs w:val="28"/>
        </w:rPr>
        <w:t xml:space="preserve">На сегодняшний день </w:t>
      </w:r>
      <w:r w:rsidRPr="00547DA7">
        <w:rPr>
          <w:rFonts w:ascii="Times New Roman" w:eastAsia="Times New Roman" w:hAnsi="Times New Roman"/>
          <w:i/>
          <w:kern w:val="36"/>
          <w:sz w:val="28"/>
          <w:szCs w:val="28"/>
          <w:lang w:eastAsia="ru-RU"/>
        </w:rPr>
        <w:t>дети и в России, и в Японии остаются без попечения родителей по разным причинам и как следствие среди категорий населения, нуждающихся в особой общественно-государственной заботе, они занимают наиболее важное место. Перед государством состоит очень важная задача: воспитать из них полноценных здоровых граждан, привить им все социальные навыки, необходимые для дальнейшей социальной адаптации.</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r w:rsidRPr="00653BCC">
        <w:rPr>
          <w:rFonts w:ascii="Times New Roman" w:eastAsia="Times New Roman" w:hAnsi="Times New Roman"/>
          <w:i/>
          <w:kern w:val="36"/>
          <w:sz w:val="28"/>
          <w:szCs w:val="28"/>
          <w:lang w:eastAsia="ru-RU"/>
        </w:rPr>
        <w:t>Ключевые слова и словосочетания:</w:t>
      </w:r>
      <w:r w:rsidRPr="00547DA7">
        <w:rPr>
          <w:rFonts w:ascii="Times New Roman" w:eastAsia="Times New Roman" w:hAnsi="Times New Roman"/>
          <w:i/>
          <w:kern w:val="36"/>
          <w:sz w:val="28"/>
          <w:szCs w:val="28"/>
          <w:lang w:eastAsia="ru-RU"/>
        </w:rPr>
        <w:t xml:space="preserve"> институт усыновления, опека, приемная семья, органы опеки и попечительства, детский дом, расторжение усыновления.</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547DA7">
        <w:rPr>
          <w:rFonts w:ascii="Times New Roman" w:eastAsia="Times New Roman" w:hAnsi="Times New Roman"/>
          <w:kern w:val="36"/>
          <w:sz w:val="28"/>
          <w:szCs w:val="28"/>
          <w:lang w:val="en-US" w:eastAsia="ru-RU"/>
        </w:rPr>
        <w:t>Forms of organization of children left without parental care: a comparative analysis of the legislation of the Russian Federation and Japan</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547DA7">
        <w:rPr>
          <w:rFonts w:ascii="Times New Roman" w:eastAsia="Times New Roman" w:hAnsi="Times New Roman"/>
          <w:kern w:val="36"/>
          <w:sz w:val="28"/>
          <w:szCs w:val="28"/>
          <w:lang w:val="en-US" w:eastAsia="ru-RU"/>
        </w:rPr>
        <w:t>Petrova Anna Igorevna</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547DA7">
        <w:rPr>
          <w:rFonts w:ascii="Times New Roman" w:eastAsia="Times New Roman" w:hAnsi="Times New Roman"/>
          <w:kern w:val="36"/>
          <w:sz w:val="28"/>
          <w:szCs w:val="28"/>
          <w:lang w:val="en-US" w:eastAsia="ru-RU"/>
        </w:rPr>
        <w:t>BIP-15-03 group, 4 course, Institute of law</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547DA7">
        <w:rPr>
          <w:rFonts w:ascii="Times New Roman" w:eastAsia="Times New Roman" w:hAnsi="Times New Roman"/>
          <w:i/>
          <w:kern w:val="36"/>
          <w:sz w:val="28"/>
          <w:szCs w:val="28"/>
          <w:lang w:val="en-US" w:eastAsia="ru-RU"/>
        </w:rPr>
        <w:t>Vladivostok State University of Economics and Service</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547DA7">
        <w:rPr>
          <w:rFonts w:ascii="Times New Roman" w:eastAsia="Times New Roman" w:hAnsi="Times New Roman"/>
          <w:i/>
          <w:kern w:val="36"/>
          <w:sz w:val="28"/>
          <w:szCs w:val="28"/>
          <w:lang w:val="en-US" w:eastAsia="ru-RU"/>
        </w:rPr>
        <w:t>Vladivostok, Russia</w:t>
      </w:r>
    </w:p>
    <w:p w:rsidR="00547DA7" w:rsidRPr="00547DA7" w:rsidRDefault="00547DA7"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sz w:val="28"/>
          <w:szCs w:val="28"/>
          <w:lang w:val="en-US" w:eastAsia="ru-RU"/>
        </w:rPr>
      </w:pPr>
      <w:r w:rsidRPr="00547DA7">
        <w:rPr>
          <w:rFonts w:ascii="Times New Roman" w:eastAsia="Times New Roman" w:hAnsi="Times New Roman"/>
          <w:i/>
          <w:sz w:val="28"/>
          <w:szCs w:val="28"/>
          <w:lang w:val="en-US" w:eastAsia="ru-RU"/>
        </w:rPr>
        <w:t>The article is devoted to a comparative analysis of the forms of organization of children left without parental care, according to the legislation of the Russian Federation and Japan. Today, children in both Russia and Japan are left without parental care for various reasons and as a result, among the categories of the population in need of special social and state care, they occupy the most important place. The state is facing a very important task: to educate one of them full-fledged healthy citizens, to instill in them all the social skills necessary for further social adaptation.</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sz w:val="28"/>
          <w:szCs w:val="28"/>
          <w:lang w:val="en-US" w:eastAsia="ru-RU"/>
        </w:rPr>
      </w:pP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i/>
          <w:sz w:val="28"/>
          <w:szCs w:val="28"/>
          <w:lang w:val="en-US" w:eastAsia="ru-RU"/>
        </w:rPr>
      </w:pPr>
      <w:r w:rsidRPr="00653BCC">
        <w:rPr>
          <w:rFonts w:ascii="Times New Roman" w:eastAsia="Times New Roman" w:hAnsi="Times New Roman"/>
          <w:i/>
          <w:sz w:val="28"/>
          <w:szCs w:val="28"/>
          <w:lang w:val="en-US" w:eastAsia="ru-RU"/>
        </w:rPr>
        <w:t>Key words and phrases: institution</w:t>
      </w:r>
      <w:r w:rsidRPr="00547DA7">
        <w:rPr>
          <w:rFonts w:ascii="Times New Roman" w:eastAsia="Times New Roman" w:hAnsi="Times New Roman"/>
          <w:i/>
          <w:sz w:val="28"/>
          <w:szCs w:val="28"/>
          <w:lang w:val="en-US" w:eastAsia="ru-RU"/>
        </w:rPr>
        <w:t xml:space="preserve"> of adoption, guardianship, foster family, guardianship and custody agencies, orphanage, termination of adoption.</w:t>
      </w:r>
    </w:p>
    <w:p w:rsidR="00547DA7" w:rsidRPr="00547DA7" w:rsidRDefault="00547DA7" w:rsidP="005A3DF4">
      <w:pPr>
        <w:widowControl w:val="0"/>
        <w:shd w:val="clear" w:color="auto" w:fill="FFFFFF"/>
        <w:spacing w:after="0" w:line="240" w:lineRule="auto"/>
        <w:ind w:firstLine="709"/>
        <w:jc w:val="both"/>
        <w:rPr>
          <w:rFonts w:ascii="Times New Roman" w:eastAsia="Times New Roman" w:hAnsi="Times New Roman"/>
          <w:kern w:val="36"/>
          <w:sz w:val="28"/>
          <w:szCs w:val="28"/>
          <w:lang w:val="en-US" w:eastAsia="ru-RU"/>
        </w:rPr>
      </w:pPr>
    </w:p>
    <w:p w:rsidR="00547DA7" w:rsidRPr="00547DA7" w:rsidRDefault="00547DA7" w:rsidP="005A3DF4">
      <w:pPr>
        <w:pStyle w:val="ac"/>
        <w:widowControl w:val="0"/>
        <w:ind w:firstLine="709"/>
        <w:jc w:val="both"/>
        <w:rPr>
          <w:rFonts w:ascii="Times New Roman" w:hAnsi="Times New Roman" w:cs="Times New Roman"/>
          <w:color w:val="000000"/>
          <w:sz w:val="28"/>
          <w:szCs w:val="28"/>
          <w:shd w:val="clear" w:color="auto" w:fill="FFFFFF"/>
        </w:rPr>
      </w:pPr>
      <w:r w:rsidRPr="00547DA7">
        <w:rPr>
          <w:rFonts w:ascii="Times New Roman" w:hAnsi="Times New Roman" w:cs="Times New Roman"/>
          <w:sz w:val="28"/>
          <w:szCs w:val="28"/>
          <w:shd w:val="clear" w:color="auto" w:fill="FFFFFF"/>
        </w:rPr>
        <w:t>В настоящее время дети во всем мире остаются без попечения</w:t>
      </w:r>
      <w:r w:rsidRPr="00547DA7">
        <w:rPr>
          <w:rFonts w:ascii="Times New Roman" w:hAnsi="Times New Roman" w:cs="Times New Roman"/>
          <w:color w:val="000000"/>
          <w:sz w:val="28"/>
          <w:szCs w:val="28"/>
          <w:shd w:val="clear" w:color="auto" w:fill="FFFFFF"/>
        </w:rPr>
        <w:t xml:space="preserve"> </w:t>
      </w:r>
      <w:r w:rsidRPr="00547DA7">
        <w:rPr>
          <w:rFonts w:ascii="Times New Roman" w:hAnsi="Times New Roman" w:cs="Times New Roman"/>
          <w:color w:val="000000"/>
          <w:sz w:val="28"/>
          <w:szCs w:val="28"/>
          <w:shd w:val="clear" w:color="auto" w:fill="FFFFFF"/>
        </w:rPr>
        <w:lastRenderedPageBreak/>
        <w:t>родителей по разным причинам и как следствие среди категорий населения, нуждающихся в особой общественно-государственной заботе, они занимают наиболее важное место. Перед государством состоит очень важная задача: воспитать из них полноценных здоровых граждан, привить им все социальные навыки, необходимые для дальнейшей социальной адаптации.</w:t>
      </w:r>
    </w:p>
    <w:p w:rsidR="00547DA7" w:rsidRPr="00547DA7" w:rsidRDefault="00547DA7" w:rsidP="005A3DF4">
      <w:pPr>
        <w:pStyle w:val="ac"/>
        <w:widowControl w:val="0"/>
        <w:ind w:firstLine="709"/>
        <w:jc w:val="both"/>
        <w:rPr>
          <w:rFonts w:ascii="Times New Roman" w:hAnsi="Times New Roman" w:cs="Times New Roman"/>
          <w:color w:val="000000"/>
          <w:sz w:val="28"/>
          <w:szCs w:val="28"/>
          <w:shd w:val="clear" w:color="auto" w:fill="FFFFFF"/>
        </w:rPr>
      </w:pPr>
      <w:r w:rsidRPr="00547DA7">
        <w:rPr>
          <w:rFonts w:ascii="Times New Roman" w:hAnsi="Times New Roman" w:cs="Times New Roman"/>
          <w:color w:val="000000"/>
          <w:sz w:val="28"/>
          <w:szCs w:val="28"/>
          <w:shd w:val="clear" w:color="auto" w:fill="FFFFFF"/>
        </w:rPr>
        <w:t>Япония – это страна, которая последовательно реализует принципы стабильного развития на всех уровнях: национальном, местном и международном. Один из наиболее важных факторов стабильного социального развития Японии – эффективная система социальной защиты. Главной целью которой является гарантия минимально необходимого уровня жизни гражданам и стабильность их образа жизни путем действий, контролируемых национальным правительством [1].</w:t>
      </w:r>
    </w:p>
    <w:p w:rsidR="00547DA7" w:rsidRPr="00547DA7" w:rsidRDefault="00547DA7" w:rsidP="005A3DF4">
      <w:pPr>
        <w:pStyle w:val="ac"/>
        <w:widowControl w:val="0"/>
        <w:ind w:firstLine="709"/>
        <w:jc w:val="both"/>
        <w:rPr>
          <w:rFonts w:ascii="Times New Roman" w:hAnsi="Times New Roman" w:cs="Times New Roman"/>
          <w:color w:val="000000"/>
          <w:sz w:val="28"/>
          <w:szCs w:val="28"/>
          <w:shd w:val="clear" w:color="auto" w:fill="FFFFFF"/>
        </w:rPr>
      </w:pPr>
      <w:r w:rsidRPr="00547DA7">
        <w:rPr>
          <w:rFonts w:ascii="Times New Roman" w:hAnsi="Times New Roman" w:cs="Times New Roman"/>
          <w:color w:val="000000"/>
          <w:sz w:val="28"/>
          <w:szCs w:val="28"/>
          <w:shd w:val="clear" w:color="auto" w:fill="FFFFFF"/>
        </w:rPr>
        <w:t>А.В. Веретенников в своей работе отмечает: «В России сегодня много внимания уделяется повышению уровня жизни детей, обеспечению их правовой защищенности. Государство еще в середине 90-х годов XX в. определило в качестве одного из основных направлений в своей деятельности укрепление правовой защиты детей. Россия признает общей целью государственной социальной политики улучшение положения детей, стабилизацию их положения и создание реальных предпосылок положительной дальнейшей динамики процессов их жизнеобеспечения» [2].</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Во всех случаях, когда ребенок, по тем или иным причинам остается без родителей, заботу о нем обязано взять на себя государство. </w:t>
      </w:r>
      <w:r w:rsidRPr="00547DA7">
        <w:rPr>
          <w:rFonts w:ascii="Times New Roman" w:hAnsi="Times New Roman"/>
          <w:sz w:val="28"/>
          <w:szCs w:val="28"/>
          <w:lang w:eastAsia="ru-RU"/>
        </w:rPr>
        <w:t xml:space="preserve">Защита прав детей провозглашена в качестве главного принципа почти во всех развитых странах. Поэтому, </w:t>
      </w:r>
      <w:r w:rsidRPr="00547DA7">
        <w:rPr>
          <w:rFonts w:ascii="Times New Roman" w:hAnsi="Times New Roman"/>
          <w:sz w:val="28"/>
          <w:szCs w:val="28"/>
        </w:rPr>
        <w:t>сравнительный анализ следует начать с органов, которые занимаются выявлением и учетом детей, оставшихся без попечения родителей. В Российской Федерации этим занимаются государственные органы, а именно, органы опеки и попечительства. Их задачи и полномочия перечислены в Федеральном законе «Об опеке и попечительстве»[3].</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В Японии же эти органы формируются из, так называемых, волонтеров. Согласно Закону о благосостоянии детей [4] муниципальное управление набирает персонал волонтеров по охране детства. Сотрудник по охране детства является должностным лицом, назначаемым в качестве вспомогательного органа для губернатора префектуры. Кроме того, в Японии деятельность этих органов регулируется Законом о благосостоянии детей, но этого недостаточно, а отдельный нормативный акт, регулирующий их деятельность, отсутствует. К волонтерам предъявляются требования, почти не отличающиеся от требований к должностным лицам органов опеки и попечительства в России.</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Стоит обратить внимание на тот факт, что и в Японии, и в России уполномоченным органам оказывают содействие иные организации. Например, учебные заведения, медицинские учреждения, правоохранительные органы и другие.</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Если из школы, медицинского учреждения или полиции поступил сигнал о жестоком обращении с ребенком, сотрудники детских центров в </w:t>
      </w:r>
      <w:r w:rsidRPr="00547DA7">
        <w:rPr>
          <w:rFonts w:ascii="Times New Roman" w:hAnsi="Times New Roman"/>
          <w:sz w:val="28"/>
          <w:szCs w:val="28"/>
        </w:rPr>
        <w:lastRenderedPageBreak/>
        <w:t>Японии или органов опеки и попечительства в России, проводят расследование, обеспечивают безопасность ребенку и планируют его поддержку в дальнейшем, но когда проблему решить не удается, директор детского центра или уполномоченный сотрудник органа опеки и попечительства принимает решение изъять ребенка на временное попечение.</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В России процесс учета детей, оставшихся без попечения родителей регламентирован достаточно детально, существуют отдельные нормативные акты, такие как, ФЗ «О государственном банке данных о детях, оставшихся без попечения родителей» [5], Порядок формирования, ведения и использования государственного банка данных о детях, оставшихся без попечения родителей, утвержденные приказом Министерства образования и науки [6], а в Японии отсутствует регламентация этого процесса. Но не смотря на это, анализ судебной практики показывает, что достаточно большое количество детей по тем или иным причинам не ставят на учет. Это, безусловно, ущемляет их права, т.к. некоторые дети лишаются возможности воспитываться в семье, а кроме того, лишаются права на получение жилого помещения и иных льгот. В законодательстве  же существует лишь несколько положений, которые содержатся в Законе о благосостоянии детей. Разумеется, этого недостаточно, стоит отделить семейное право от гражданского, издать отдельный акт, в котором детально регламентировать процесс выявления и учета детей, оставшихся без попечения родителей, четко выразить права и обязанности уполномоченных органов.</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Далее стоит обратить внимание на формы устройства детей, оставшихся без попечения родителей. Существует несколько одинаковых форм в Японии и России. </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По мнению Ларина А.Н. и Коноплевой И.Н.: «В Японии приоритетной формой устройства детей, оставшихся без попечения родителей, является помещение в детский дом и очень незначительно используются семейные формы устройства, что, несомненно, является выражением доверия государственному попечению. Количество детей, проживающих в детских домах, постоянно возрастает и составляет 0,1 % от общего количества несовершеннолетних, проживающих в Японии» [7]. </w:t>
      </w:r>
    </w:p>
    <w:p w:rsidR="00547DA7" w:rsidRPr="00547DA7" w:rsidRDefault="00547DA7" w:rsidP="005A3DF4">
      <w:pPr>
        <w:widowControl w:val="0"/>
        <w:spacing w:after="0" w:line="240" w:lineRule="auto"/>
        <w:ind w:firstLine="709"/>
        <w:jc w:val="both"/>
        <w:rPr>
          <w:rFonts w:ascii="Times New Roman" w:hAnsi="Times New Roman"/>
          <w:bCs/>
          <w:sz w:val="28"/>
          <w:szCs w:val="28"/>
        </w:rPr>
      </w:pPr>
      <w:r w:rsidRPr="00547DA7">
        <w:rPr>
          <w:rFonts w:ascii="Times New Roman" w:hAnsi="Times New Roman"/>
          <w:sz w:val="28"/>
          <w:szCs w:val="28"/>
        </w:rPr>
        <w:t>Кроме того, здесь тоже различается нормативное регулирование. В Японии существует только один Закон, в котором содержатся нормы, регулирующие формы устройства детей. Помимо этого Закона о благосостоянии детей, некоторые нормы содержатся в Гражданском кодексе [8]. Соответственно, нигде не прописана процедура устройства детей, не достаточно четко сформулированы права и обязанности опекунов, приемных родителей. В России Семейное право – самостоятельная отрасль права, поэтому существует достаточное количество нормативно – правовых актов, регулирующих все аспекты устройства детей на воспитания в семью. Например, ФЗ «</w:t>
      </w:r>
      <w:r w:rsidRPr="00547DA7">
        <w:rPr>
          <w:rFonts w:ascii="Times New Roman" w:hAnsi="Times New Roman"/>
          <w:bCs/>
          <w:sz w:val="28"/>
          <w:szCs w:val="28"/>
        </w:rPr>
        <w:t xml:space="preserve">Об опеке и попечительстве», также Семейный кодекс РФ. Поэтому в России четко сформулированы и законодательно закреплены права и обязанности опекунов, органов опеки и попечительства, регламентирована </w:t>
      </w:r>
      <w:r w:rsidRPr="00547DA7">
        <w:rPr>
          <w:rFonts w:ascii="Times New Roman" w:hAnsi="Times New Roman"/>
          <w:bCs/>
          <w:sz w:val="28"/>
          <w:szCs w:val="28"/>
        </w:rPr>
        <w:lastRenderedPageBreak/>
        <w:t xml:space="preserve">процедура, прописаны требования к кандидатам. </w:t>
      </w:r>
    </w:p>
    <w:p w:rsidR="00547DA7" w:rsidRPr="00547DA7" w:rsidRDefault="00547DA7" w:rsidP="005A3DF4">
      <w:pPr>
        <w:widowControl w:val="0"/>
        <w:spacing w:after="0" w:line="240" w:lineRule="auto"/>
        <w:ind w:firstLine="709"/>
        <w:jc w:val="both"/>
        <w:rPr>
          <w:rFonts w:ascii="Times New Roman" w:hAnsi="Times New Roman"/>
          <w:bCs/>
          <w:sz w:val="28"/>
          <w:szCs w:val="28"/>
        </w:rPr>
      </w:pPr>
      <w:r w:rsidRPr="00547DA7">
        <w:rPr>
          <w:rFonts w:ascii="Times New Roman" w:hAnsi="Times New Roman"/>
          <w:bCs/>
          <w:sz w:val="28"/>
          <w:szCs w:val="28"/>
        </w:rPr>
        <w:t>Важным отличаем устройства детей под опеку в этих странах является то, что в России может быть назначен только один опекун, за исключением случая, когда семейная пара подает одно заявление о назначении их обоих опекунами. Кроме того, контролировать выполнение обязанностей опекунов должны только органы опеки, а в Японии могу назначаться несколько опекунов, один из которых надзирает за деятельностью второго. Было бы правильно упразднить такую систему в Японии и обязать следить за опекунами государственные органы.</w:t>
      </w:r>
    </w:p>
    <w:p w:rsidR="00547DA7" w:rsidRPr="00547DA7" w:rsidRDefault="00547DA7" w:rsidP="005A3DF4">
      <w:pPr>
        <w:widowControl w:val="0"/>
        <w:spacing w:after="0" w:line="240" w:lineRule="auto"/>
        <w:ind w:firstLine="709"/>
        <w:jc w:val="both"/>
        <w:rPr>
          <w:rFonts w:ascii="Times New Roman" w:hAnsi="Times New Roman"/>
          <w:bCs/>
          <w:sz w:val="28"/>
          <w:szCs w:val="28"/>
        </w:rPr>
      </w:pPr>
      <w:r w:rsidRPr="00547DA7">
        <w:rPr>
          <w:rFonts w:ascii="Times New Roman" w:hAnsi="Times New Roman"/>
          <w:bCs/>
          <w:sz w:val="28"/>
          <w:szCs w:val="28"/>
        </w:rPr>
        <w:t>Не смотря на то, что в Японии семейное право не является самостоятельной отраслью права, там существует суд по семейным делам. Было бы целесообразно создать по аналогии такой суд в России, поскольку это значительно уменьшит объем работы судов, ускорит процесс рассмотрения дел, уменьшит вероятность судебных ошибок.</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В Японии национальное, муниципальное правительство и правительство префектуры создает учреждения по уходу за детьми (за исключением акушерских домов, средств поддержки матери и ребенка и яслей). Кроме того, такие учреждения могут быть созданы и частными лицами, но они должны соответствовать принятым стандартам и должны быть утверждены губернатором префектуры. </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В России также существует, так называемый, детский дом семейного типа, который может быть создан частными лицами. Но эта форма устройства детей больше похожа на приемную семью, только с большим количеством детей. Было бы целесообразно ввести детские дома, созданные частными лицами. Это, несомненно, будет во имя интересов детей, оставшихся без попечения родителей, ведь государственным учреждениям не всегда хватает финансирования.</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Что касается особой формы устройства детей – усыновления, то здесь процедуры в России и Японии совпадают. С момента усыновления ребенок приобретает статус законнорождённого ребенка, на него распространяются родительские права, он приобретает родственную связь со всеми кровными родственниками приемных родителей и наделяется всеми правами, в том числе правом наследования, поэтому, не допускается усыновление с условием (например, без права наследования) или на определенный срок. Но есть и отличия. Например, в Японии усыновление устанавливается двумя способами: в административном порядке и в судебном, а в России существует только судебный. Было бы правильно указать, в каких конкретно случаях в Японии применяется административный порядок. А в России ввести административный порядок, например, если ребенок давно проживает с усыновителями или при усыновлении ребенка отчимом (мачехой). Разумеется, судебная процедура более регламентирована, больше внимания уделяется каждому конкретному случаю, но для такого рода усыновлений это необязательно. Это уменьшит объем работы судов, уменьшит вероятность судебных ошибок.</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lastRenderedPageBreak/>
        <w:t xml:space="preserve">Помимо вышесказанного, в Российском законодательстве отсутствует такое понятие, как недействительность и аннулирование усыновления. </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При отсутствии заявления в Японии, усыновление признается недействительным. Вместе с тем, ситуация при которой заявление было подано но не принято вследствие его несоответствия требованиям не вызывает автоматической недействительности установления. </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Аннулирование установления может иметь место лишь при наличии требования лиц обладающих правом на аннулирование и в предусмотренном законом судебном порядке. Лицами, имеющими право на аннулирование, согласно действующему Гражданскому кодексу Японии, являются усыновитель, усыновленный и любые их родственники.</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 Основанием аннулирования являются случаи нарушения предусмотренных законом условий усыновления. Например, недостижение усыновителем совершеннолетнего возраста, усыновление родственника по восходящей линии, отсутствие разрешения семейного суда, осуществление усыновления путем обмана и принуждения. </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Аннулирование усыновления не имеет обратной силы.</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Кроме того, в Японии существует два вида расторжения усыновления: по соглашению сторон и в судебном порядке.</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В России существует только отмена усыновления. Согласно нормам Семейного кодекса РФ [9] усыновление ребенка может быть отменено в случаях, если усыновители уклоняются от выполнения возложенных на них обязанностей родителей, злоупотребляют родительскими правами, жестоко обращаются с усыновленным ребенком, являются больными хроническим алкоголизмом или наркоманией. Суд вправе отменить усыновление ребенка и по другим основаниям исходя из интересов ребенка и с учетом мнения ребенка [10].</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Было бы целесообразно, в России ввести и отмену усыновления, в некоторых случаях, в административном порядке. Например, если есть достаточно доказательств того, что усыновители уклоняются от выполнения возложенных на них обязанностей или у них имеется хроническое заболевание наркоманией или алкоголизмом. Суд, так или иначе отменит усыновление при подобных обстоятельствах, только административный порядок значительно упростит и ускорит этот процесс.</w:t>
      </w:r>
    </w:p>
    <w:p w:rsidR="00547DA7" w:rsidRPr="00547DA7" w:rsidRDefault="00547DA7" w:rsidP="005A3DF4">
      <w:pPr>
        <w:widowControl w:val="0"/>
        <w:spacing w:after="0" w:line="240" w:lineRule="auto"/>
        <w:ind w:firstLine="709"/>
        <w:jc w:val="both"/>
        <w:rPr>
          <w:rFonts w:ascii="Times New Roman" w:hAnsi="Times New Roman"/>
          <w:sz w:val="28"/>
          <w:szCs w:val="28"/>
          <w:shd w:val="clear" w:color="auto" w:fill="FFFFFF"/>
        </w:rPr>
      </w:pPr>
      <w:r w:rsidRPr="00547DA7">
        <w:rPr>
          <w:rFonts w:ascii="Times New Roman" w:hAnsi="Times New Roman"/>
          <w:sz w:val="28"/>
          <w:szCs w:val="28"/>
        </w:rPr>
        <w:t xml:space="preserve">Из анализа законодательства Японии и России можно сделать вывод, что в Японском законодательстве много пробелов. Там существует только один Закон и Гражданский кодекс, которые затрагивают процедуру выявления и учета детей, оставшихся без попечения родителей, а также их устройства. Разумеется, этого объективно недостаточно для </w:t>
      </w:r>
      <w:r w:rsidRPr="00547DA7">
        <w:rPr>
          <w:rFonts w:ascii="Times New Roman" w:hAnsi="Times New Roman"/>
          <w:sz w:val="28"/>
          <w:szCs w:val="28"/>
          <w:shd w:val="clear" w:color="auto" w:fill="FFFFFF"/>
        </w:rPr>
        <w:t>наиболее последовательной реализации принципа защиты детей. В России же нормативно-правовых документов значительно больше и можно сказать, что эта сфера урегулирована достаточно детально, однако пробелы, о которых говорилось выше, все же имеют место. А это значит, что совершенствовать систему законодательства необходимо.</w:t>
      </w:r>
    </w:p>
    <w:p w:rsidR="00547DA7" w:rsidRPr="00653BCC" w:rsidRDefault="00653BCC" w:rsidP="005A3DF4">
      <w:pPr>
        <w:widowControl w:val="0"/>
        <w:spacing w:after="0" w:line="240" w:lineRule="auto"/>
        <w:ind w:firstLine="709"/>
        <w:jc w:val="center"/>
        <w:rPr>
          <w:rFonts w:ascii="Times New Roman" w:hAnsi="Times New Roman"/>
          <w:sz w:val="28"/>
          <w:szCs w:val="28"/>
        </w:rPr>
      </w:pPr>
      <w:r w:rsidRPr="00653BCC">
        <w:rPr>
          <w:rFonts w:ascii="Times New Roman" w:hAnsi="Times New Roman"/>
          <w:sz w:val="28"/>
          <w:szCs w:val="28"/>
        </w:rPr>
        <w:lastRenderedPageBreak/>
        <w:t>Список использованных источников</w:t>
      </w:r>
    </w:p>
    <w:p w:rsidR="00547DA7" w:rsidRPr="00653BCC"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eastAsia="Times New Roman" w:hAnsi="Times New Roman"/>
          <w:sz w:val="28"/>
          <w:szCs w:val="28"/>
          <w:lang w:eastAsia="ru-RU"/>
        </w:rPr>
        <w:t>1</w:t>
      </w:r>
      <w:r w:rsidRPr="00547DA7">
        <w:rPr>
          <w:rFonts w:ascii="Times New Roman" w:hAnsi="Times New Roman"/>
          <w:sz w:val="28"/>
          <w:szCs w:val="28"/>
        </w:rPr>
        <w:t xml:space="preserve"> Насибулина А.С. Социальная защита населения в Японии / А.С. Насибулина //  [Электронный ресурс] // Электронный журнал «Формы и методы социальной работы в </w:t>
      </w:r>
      <w:r w:rsidRPr="00653BCC">
        <w:rPr>
          <w:rFonts w:ascii="Times New Roman" w:hAnsi="Times New Roman"/>
          <w:sz w:val="28"/>
          <w:szCs w:val="28"/>
        </w:rPr>
        <w:t xml:space="preserve">различных сферах жизнедеятельности». – 2018. - Режим доступа: </w:t>
      </w:r>
      <w:hyperlink r:id="rId71" w:history="1">
        <w:r w:rsidR="00653BCC" w:rsidRPr="00653BCC">
          <w:rPr>
            <w:rStyle w:val="a8"/>
            <w:rFonts w:ascii="Times New Roman" w:hAnsi="Times New Roman"/>
            <w:color w:val="auto"/>
            <w:sz w:val="28"/>
            <w:szCs w:val="28"/>
            <w:u w:val="none"/>
          </w:rPr>
          <w:t>https://esstu.ru/library/free/Konf/SocialRab/</w:t>
        </w:r>
      </w:hyperlink>
      <w:r w:rsidR="00653BCC" w:rsidRPr="00653BCC">
        <w:rPr>
          <w:rFonts w:ascii="Times New Roman" w:hAnsi="Times New Roman"/>
          <w:sz w:val="28"/>
          <w:szCs w:val="28"/>
        </w:rPr>
        <w:t xml:space="preserve"> </w:t>
      </w:r>
      <w:r w:rsidRPr="00653BCC">
        <w:rPr>
          <w:rFonts w:ascii="Times New Roman" w:hAnsi="Times New Roman"/>
          <w:sz w:val="28"/>
          <w:szCs w:val="28"/>
        </w:rPr>
        <w:t xml:space="preserve">147_Насибулина.pdf   </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653BCC">
        <w:rPr>
          <w:rFonts w:ascii="Times New Roman" w:hAnsi="Times New Roman"/>
          <w:sz w:val="28"/>
          <w:szCs w:val="28"/>
        </w:rPr>
        <w:t>2 Веретенников А.В. К вопросу о формах</w:t>
      </w:r>
      <w:r w:rsidRPr="00547DA7">
        <w:rPr>
          <w:rFonts w:ascii="Times New Roman" w:hAnsi="Times New Roman"/>
          <w:sz w:val="28"/>
          <w:szCs w:val="28"/>
        </w:rPr>
        <w:t xml:space="preserve"> устройства детей, оставшихся без попечения родителей / А.В. Веретенников [Электронный ресурс] // Электронный журнал «Законодательство и экономика». – 2010. - №2. – Режим доступа: http://www.consultant.ru/cons/cgi/online.cgi?req=doc;base=CJI;n=41385#09080263750909563</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hAnsi="Times New Roman"/>
          <w:sz w:val="28"/>
          <w:szCs w:val="28"/>
        </w:rPr>
        <w:t xml:space="preserve">3 </w:t>
      </w:r>
      <w:bookmarkStart w:id="10" w:name="_Toc5819971"/>
      <w:r w:rsidRPr="00547DA7">
        <w:rPr>
          <w:rFonts w:ascii="Times New Roman" w:hAnsi="Times New Roman"/>
          <w:sz w:val="28"/>
          <w:szCs w:val="28"/>
        </w:rPr>
        <w:t>Об опеке и попечительстве: федеральный закон от 24.04.2008 №48-ФЗ (ред. от 03.08.2018) [Электронный ресурс] // СПС «КонсультантПлюс». – Режим доступа: http://www.consultant.ru/document/cons_doc_LAW_76459/</w:t>
      </w:r>
    </w:p>
    <w:p w:rsidR="00547DA7" w:rsidRPr="00547DA7" w:rsidRDefault="00547DA7" w:rsidP="005A3DF4">
      <w:pPr>
        <w:widowControl w:val="0"/>
        <w:spacing w:after="0" w:line="240" w:lineRule="auto"/>
        <w:ind w:firstLine="709"/>
        <w:jc w:val="both"/>
        <w:rPr>
          <w:rFonts w:ascii="Times New Roman" w:eastAsia="Times New Roman" w:hAnsi="Times New Roman"/>
          <w:bCs/>
          <w:sz w:val="28"/>
          <w:szCs w:val="28"/>
          <w:lang w:val="en-US"/>
        </w:rPr>
      </w:pPr>
      <w:r w:rsidRPr="00547DA7">
        <w:rPr>
          <w:rFonts w:ascii="Times New Roman" w:eastAsia="Times New Roman" w:hAnsi="Times New Roman"/>
          <w:bCs/>
          <w:sz w:val="28"/>
          <w:szCs w:val="28"/>
          <w:lang w:val="en-US"/>
        </w:rPr>
        <w:t xml:space="preserve">4 </w:t>
      </w:r>
      <w:bookmarkEnd w:id="10"/>
      <w:r w:rsidRPr="00547DA7">
        <w:rPr>
          <w:rFonts w:ascii="Times New Roman" w:eastAsia="Times New Roman" w:hAnsi="Times New Roman"/>
          <w:bCs/>
          <w:sz w:val="28"/>
          <w:szCs w:val="28"/>
          <w:lang w:val="en-US"/>
        </w:rPr>
        <w:t>Child Welfare Act. Act No. 164 of December 12, 1947 [Электронный ресурс]. – URL: https://www.japaneselawtranslation.go.jp/law/detail_main?id=11&amp;vm=2</w:t>
      </w:r>
    </w:p>
    <w:p w:rsidR="00547DA7" w:rsidRPr="00547DA7" w:rsidRDefault="00547DA7" w:rsidP="005A3DF4">
      <w:pPr>
        <w:widowControl w:val="0"/>
        <w:spacing w:after="0" w:line="240" w:lineRule="auto"/>
        <w:ind w:firstLine="709"/>
        <w:jc w:val="both"/>
        <w:rPr>
          <w:rFonts w:ascii="Times New Roman" w:hAnsi="Times New Roman"/>
          <w:sz w:val="28"/>
          <w:szCs w:val="28"/>
        </w:rPr>
      </w:pPr>
      <w:r w:rsidRPr="00547DA7">
        <w:rPr>
          <w:rFonts w:ascii="Times New Roman" w:eastAsia="Times New Roman" w:hAnsi="Times New Roman"/>
          <w:bCs/>
          <w:sz w:val="28"/>
          <w:szCs w:val="28"/>
        </w:rPr>
        <w:t xml:space="preserve">5 </w:t>
      </w:r>
      <w:r w:rsidRPr="00547DA7">
        <w:rPr>
          <w:rFonts w:ascii="Times New Roman" w:hAnsi="Times New Roman"/>
          <w:sz w:val="28"/>
          <w:szCs w:val="28"/>
        </w:rPr>
        <w:t>О государственном банке данных о детях, оставшихся без попечения родителей: федеральный закон от 16.04.2001 № 44-ФЗ (ред. от 08.03.2015) [Электронный ресурс] // СПС «КонсультантПлюс». – Режим доступа: http://www.consultant.ru/document/cons_ doc_LAW_31188/.</w:t>
      </w:r>
    </w:p>
    <w:p w:rsidR="00547DA7" w:rsidRPr="00547DA7" w:rsidRDefault="00547DA7" w:rsidP="005A3DF4">
      <w:pPr>
        <w:widowControl w:val="0"/>
        <w:spacing w:after="0" w:line="240" w:lineRule="auto"/>
        <w:ind w:firstLine="709"/>
        <w:jc w:val="both"/>
        <w:rPr>
          <w:rFonts w:ascii="Times New Roman" w:eastAsia="Times New Roman" w:hAnsi="Times New Roman"/>
          <w:sz w:val="28"/>
          <w:szCs w:val="28"/>
          <w:lang w:eastAsia="ru-RU"/>
        </w:rPr>
      </w:pPr>
      <w:r w:rsidRPr="00547DA7">
        <w:rPr>
          <w:rFonts w:ascii="Times New Roman" w:eastAsia="Times New Roman" w:hAnsi="Times New Roman"/>
          <w:sz w:val="28"/>
          <w:szCs w:val="28"/>
          <w:lang w:eastAsia="ru-RU"/>
        </w:rPr>
        <w:t>6 Порядок формирования, ведения и использования государственного банка данных о детях, оставшихся без попечения родителей:  утв. приказом Министерства образования и науки РФ от 17.01.2015 № 101 [Электронный ресурс] // СПС «Гарант». – Режим доступа: https://base.garant.ru/70904076/7089f5884fee83d662c14b2f52914131/</w:t>
      </w:r>
    </w:p>
    <w:p w:rsidR="00547DA7" w:rsidRPr="00547DA7" w:rsidRDefault="00547DA7" w:rsidP="005A3DF4">
      <w:pPr>
        <w:widowControl w:val="0"/>
        <w:tabs>
          <w:tab w:val="left" w:pos="993"/>
        </w:tabs>
        <w:spacing w:after="0" w:line="240" w:lineRule="auto"/>
        <w:ind w:firstLine="709"/>
        <w:jc w:val="both"/>
        <w:rPr>
          <w:rFonts w:ascii="Times New Roman" w:eastAsia="Times New Roman" w:hAnsi="Times New Roman"/>
          <w:bCs/>
          <w:sz w:val="28"/>
          <w:szCs w:val="28"/>
          <w:lang w:eastAsia="ru-RU"/>
        </w:rPr>
      </w:pPr>
      <w:r w:rsidRPr="00547DA7">
        <w:rPr>
          <w:rFonts w:ascii="Times New Roman" w:eastAsia="Times New Roman" w:hAnsi="Times New Roman"/>
          <w:bCs/>
          <w:sz w:val="28"/>
          <w:szCs w:val="28"/>
          <w:lang w:eastAsia="ru-RU"/>
        </w:rPr>
        <w:t>7 Ларин А.Н. Практика работы с детьми, оставшимися без попечения родителей, в развитых зарубежных странах / А.Н. Ларин, И.Н. Коноплева. [Электронный ресурс] // Электронный журнал «Психологическая наука и образование». – 2013. - №3. – Режим доступа: http://psyedu.ru/files/articles/psyedu_ru_2013_3_3417.pdf</w:t>
      </w:r>
    </w:p>
    <w:p w:rsidR="00547DA7" w:rsidRPr="00547DA7" w:rsidRDefault="00547DA7" w:rsidP="005A3DF4">
      <w:pPr>
        <w:widowControl w:val="0"/>
        <w:tabs>
          <w:tab w:val="left" w:pos="993"/>
        </w:tabs>
        <w:spacing w:after="0" w:line="240" w:lineRule="auto"/>
        <w:ind w:firstLine="709"/>
        <w:jc w:val="both"/>
        <w:rPr>
          <w:rFonts w:ascii="Times New Roman" w:eastAsia="Times New Roman" w:hAnsi="Times New Roman"/>
          <w:bCs/>
          <w:sz w:val="28"/>
          <w:szCs w:val="28"/>
          <w:lang w:val="en-US" w:eastAsia="ru-RU"/>
        </w:rPr>
      </w:pPr>
      <w:r w:rsidRPr="00547DA7">
        <w:rPr>
          <w:rFonts w:ascii="Times New Roman" w:eastAsia="Times New Roman" w:hAnsi="Times New Roman"/>
          <w:bCs/>
          <w:sz w:val="28"/>
          <w:szCs w:val="28"/>
          <w:lang w:val="en-US" w:eastAsia="ru-RU"/>
        </w:rPr>
        <w:t xml:space="preserve">8 </w:t>
      </w:r>
      <w:r w:rsidRPr="00547DA7">
        <w:rPr>
          <w:rFonts w:ascii="Times New Roman" w:eastAsia="MS Gothic" w:hAnsi="Times New Roman"/>
          <w:bCs/>
          <w:sz w:val="28"/>
          <w:szCs w:val="28"/>
          <w:lang w:val="en-US" w:eastAsia="ru-RU"/>
        </w:rPr>
        <w:t>Japanese Civil Code. Part IV and Part V. Art. 725-1044. (Tentative translation) [</w:t>
      </w:r>
      <w:r w:rsidRPr="00547DA7">
        <w:rPr>
          <w:rFonts w:ascii="Times New Roman" w:eastAsia="MS Gothic" w:hAnsi="Times New Roman"/>
          <w:bCs/>
          <w:sz w:val="28"/>
          <w:szCs w:val="28"/>
          <w:lang w:eastAsia="ru-RU"/>
        </w:rPr>
        <w:t>Электронный</w:t>
      </w:r>
      <w:r w:rsidRPr="00547DA7">
        <w:rPr>
          <w:rFonts w:ascii="Times New Roman" w:eastAsia="MS Gothic" w:hAnsi="Times New Roman"/>
          <w:bCs/>
          <w:sz w:val="28"/>
          <w:szCs w:val="28"/>
          <w:lang w:val="en-US" w:eastAsia="ru-RU"/>
        </w:rPr>
        <w:t xml:space="preserve"> </w:t>
      </w:r>
      <w:r w:rsidRPr="00547DA7">
        <w:rPr>
          <w:rFonts w:ascii="Times New Roman" w:eastAsia="MS Gothic" w:hAnsi="Times New Roman"/>
          <w:bCs/>
          <w:sz w:val="28"/>
          <w:szCs w:val="28"/>
          <w:lang w:eastAsia="ru-RU"/>
        </w:rPr>
        <w:t>ресурс</w:t>
      </w:r>
      <w:r w:rsidRPr="00547DA7">
        <w:rPr>
          <w:rFonts w:ascii="Times New Roman" w:eastAsia="MS Gothic" w:hAnsi="Times New Roman"/>
          <w:bCs/>
          <w:sz w:val="28"/>
          <w:szCs w:val="28"/>
          <w:lang w:val="en-US" w:eastAsia="ru-RU"/>
        </w:rPr>
        <w:t>] // Japanese Law Translation – URL: http://www.japaneselaw-translation.go.jp/law/detail/?id=2252&amp;vm=04&amp;re=02.</w:t>
      </w:r>
      <w:r w:rsidRPr="00547DA7">
        <w:rPr>
          <w:rFonts w:ascii="Times New Roman" w:eastAsia="Times New Roman" w:hAnsi="Times New Roman"/>
          <w:bCs/>
          <w:sz w:val="28"/>
          <w:szCs w:val="28"/>
          <w:lang w:val="en-US" w:eastAsia="ru-RU"/>
        </w:rPr>
        <w:t>.</w:t>
      </w:r>
      <w:bookmarkStart w:id="11" w:name="_Toc5819973"/>
    </w:p>
    <w:p w:rsidR="00547DA7" w:rsidRPr="00547DA7" w:rsidRDefault="00547DA7" w:rsidP="005A3DF4">
      <w:pPr>
        <w:widowControl w:val="0"/>
        <w:tabs>
          <w:tab w:val="left" w:pos="993"/>
        </w:tabs>
        <w:spacing w:after="0" w:line="240" w:lineRule="auto"/>
        <w:ind w:firstLine="709"/>
        <w:jc w:val="both"/>
        <w:rPr>
          <w:rFonts w:ascii="Times New Roman" w:eastAsia="Times New Roman" w:hAnsi="Times New Roman"/>
          <w:bCs/>
          <w:sz w:val="28"/>
          <w:szCs w:val="28"/>
        </w:rPr>
      </w:pPr>
      <w:r w:rsidRPr="00547DA7">
        <w:rPr>
          <w:rFonts w:ascii="Times New Roman" w:eastAsia="Times New Roman" w:hAnsi="Times New Roman"/>
          <w:bCs/>
          <w:sz w:val="28"/>
          <w:szCs w:val="28"/>
        </w:rPr>
        <w:t xml:space="preserve">9 </w:t>
      </w:r>
      <w:bookmarkEnd w:id="11"/>
      <w:r w:rsidRPr="00547DA7">
        <w:rPr>
          <w:rFonts w:ascii="Times New Roman" w:hAnsi="Times New Roman"/>
          <w:sz w:val="28"/>
          <w:szCs w:val="28"/>
        </w:rPr>
        <w:t>Семейный кодекс Российской Федерации: федеральный закон от 29.12.1995 №223-ФЗ (ред. от 18.03.2019) [Электронный ресурс] // СПС «КонсультантПлюс». – Режим доступа: http://www.consultant.ru/document/cons_doc_LAW_8982/</w:t>
      </w:r>
    </w:p>
    <w:p w:rsidR="00547DA7" w:rsidRPr="00653BCC" w:rsidRDefault="00547DA7" w:rsidP="005A3DF4">
      <w:pPr>
        <w:widowControl w:val="0"/>
        <w:tabs>
          <w:tab w:val="left" w:pos="993"/>
        </w:tabs>
        <w:spacing w:after="0" w:line="240" w:lineRule="auto"/>
        <w:ind w:firstLine="709"/>
        <w:jc w:val="both"/>
        <w:rPr>
          <w:rFonts w:ascii="Times New Roman" w:eastAsia="Times New Roman" w:hAnsi="Times New Roman"/>
          <w:sz w:val="28"/>
          <w:szCs w:val="28"/>
          <w:lang w:eastAsia="ru-RU"/>
        </w:rPr>
      </w:pPr>
      <w:r w:rsidRPr="00547DA7">
        <w:rPr>
          <w:rFonts w:ascii="Times New Roman" w:eastAsia="Times New Roman" w:hAnsi="Times New Roman"/>
          <w:sz w:val="28"/>
          <w:szCs w:val="28"/>
          <w:lang w:val="en-US" w:eastAsia="ru-RU"/>
        </w:rPr>
        <w:t xml:space="preserve">10 Without Dreams Children in Alternative Care in Japan. </w:t>
      </w:r>
      <w:r w:rsidRPr="00653BCC">
        <w:rPr>
          <w:rFonts w:ascii="Times New Roman" w:eastAsia="Times New Roman" w:hAnsi="Times New Roman"/>
          <w:sz w:val="28"/>
          <w:szCs w:val="28"/>
          <w:lang w:eastAsia="ru-RU"/>
        </w:rPr>
        <w:t xml:space="preserve">[Электронный ресурс]. // </w:t>
      </w:r>
      <w:r w:rsidRPr="00547DA7">
        <w:rPr>
          <w:rFonts w:ascii="Times New Roman" w:eastAsia="Times New Roman" w:hAnsi="Times New Roman"/>
          <w:sz w:val="28"/>
          <w:szCs w:val="28"/>
          <w:lang w:val="en-US" w:eastAsia="ru-RU"/>
        </w:rPr>
        <w:t>Human</w:t>
      </w:r>
      <w:r w:rsidRPr="00653BCC">
        <w:rPr>
          <w:rFonts w:ascii="Times New Roman" w:eastAsia="Times New Roman" w:hAnsi="Times New Roman"/>
          <w:sz w:val="28"/>
          <w:szCs w:val="28"/>
          <w:lang w:eastAsia="ru-RU"/>
        </w:rPr>
        <w:t xml:space="preserve"> </w:t>
      </w:r>
      <w:r w:rsidRPr="00547DA7">
        <w:rPr>
          <w:rFonts w:ascii="Times New Roman" w:eastAsia="Times New Roman" w:hAnsi="Times New Roman"/>
          <w:sz w:val="28"/>
          <w:szCs w:val="28"/>
          <w:lang w:val="en-US" w:eastAsia="ru-RU"/>
        </w:rPr>
        <w:t>Right</w:t>
      </w:r>
      <w:r w:rsidRPr="00653BCC">
        <w:rPr>
          <w:rFonts w:ascii="Times New Roman" w:eastAsia="Times New Roman" w:hAnsi="Times New Roman"/>
          <w:sz w:val="28"/>
          <w:szCs w:val="28"/>
          <w:lang w:eastAsia="ru-RU"/>
        </w:rPr>
        <w:t xml:space="preserve"> </w:t>
      </w:r>
      <w:r w:rsidRPr="00547DA7">
        <w:rPr>
          <w:rFonts w:ascii="Times New Roman" w:eastAsia="Times New Roman" w:hAnsi="Times New Roman"/>
          <w:sz w:val="28"/>
          <w:szCs w:val="28"/>
          <w:lang w:val="en-US" w:eastAsia="ru-RU"/>
        </w:rPr>
        <w:t>Worlds</w:t>
      </w:r>
      <w:r w:rsidRPr="00653BCC">
        <w:rPr>
          <w:rFonts w:ascii="Times New Roman" w:eastAsia="Times New Roman" w:hAnsi="Times New Roman"/>
          <w:sz w:val="28"/>
          <w:szCs w:val="28"/>
          <w:lang w:eastAsia="ru-RU"/>
        </w:rPr>
        <w:t xml:space="preserve"> – </w:t>
      </w:r>
      <w:r w:rsidRPr="00547DA7">
        <w:rPr>
          <w:rFonts w:ascii="Times New Roman" w:eastAsia="Times New Roman" w:hAnsi="Times New Roman"/>
          <w:sz w:val="28"/>
          <w:szCs w:val="28"/>
          <w:lang w:val="en-US" w:eastAsia="ru-RU"/>
        </w:rPr>
        <w:t>URL</w:t>
      </w:r>
      <w:r w:rsidRPr="00653BCC">
        <w:rPr>
          <w:rFonts w:ascii="Times New Roman" w:eastAsia="Times New Roman" w:hAnsi="Times New Roman"/>
          <w:sz w:val="28"/>
          <w:szCs w:val="28"/>
          <w:lang w:eastAsia="ru-RU"/>
        </w:rPr>
        <w:t xml:space="preserve">: </w:t>
      </w:r>
      <w:r w:rsidRPr="00547DA7">
        <w:rPr>
          <w:rFonts w:ascii="Times New Roman" w:eastAsia="Times New Roman" w:hAnsi="Times New Roman"/>
          <w:sz w:val="28"/>
          <w:szCs w:val="28"/>
          <w:lang w:val="en-US" w:eastAsia="ru-RU"/>
        </w:rPr>
        <w:t>https</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www</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hrw</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org</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report</w:t>
      </w:r>
      <w:r w:rsidRPr="00653BCC">
        <w:rPr>
          <w:rFonts w:ascii="Times New Roman" w:eastAsia="Times New Roman" w:hAnsi="Times New Roman"/>
          <w:sz w:val="28"/>
          <w:szCs w:val="28"/>
          <w:lang w:eastAsia="ru-RU"/>
        </w:rPr>
        <w:t>/2014/05/01/</w:t>
      </w:r>
      <w:r w:rsidRPr="00547DA7">
        <w:rPr>
          <w:rFonts w:ascii="Times New Roman" w:eastAsia="Times New Roman" w:hAnsi="Times New Roman"/>
          <w:sz w:val="28"/>
          <w:szCs w:val="28"/>
          <w:lang w:val="en-US" w:eastAsia="ru-RU"/>
        </w:rPr>
        <w:t>without</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dreams</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children</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alternative</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care</w:t>
      </w:r>
      <w:r w:rsidRPr="00653BCC">
        <w:rPr>
          <w:rFonts w:ascii="Times New Roman" w:eastAsia="Times New Roman" w:hAnsi="Times New Roman"/>
          <w:sz w:val="28"/>
          <w:szCs w:val="28"/>
          <w:lang w:eastAsia="ru-RU"/>
        </w:rPr>
        <w:t>-</w:t>
      </w:r>
      <w:r w:rsidRPr="00547DA7">
        <w:rPr>
          <w:rFonts w:ascii="Times New Roman" w:eastAsia="Times New Roman" w:hAnsi="Times New Roman"/>
          <w:sz w:val="28"/>
          <w:szCs w:val="28"/>
          <w:lang w:val="en-US" w:eastAsia="ru-RU"/>
        </w:rPr>
        <w:t>japan</w:t>
      </w:r>
    </w:p>
    <w:p w:rsidR="00547DA7" w:rsidRPr="00653BCC" w:rsidRDefault="00547DA7" w:rsidP="005A3DF4">
      <w:pPr>
        <w:widowControl w:val="0"/>
        <w:spacing w:after="0" w:line="240" w:lineRule="auto"/>
        <w:contextualSpacing/>
        <w:jc w:val="center"/>
        <w:rPr>
          <w:rFonts w:ascii="Times New Roman" w:eastAsia="Times New Roman" w:hAnsi="Times New Roman"/>
          <w:color w:val="FF0000"/>
          <w:sz w:val="24"/>
          <w:szCs w:val="24"/>
          <w:lang w:eastAsia="ru-RU"/>
        </w:rPr>
      </w:pP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rPr>
      </w:pPr>
      <w:r w:rsidRPr="00467B95">
        <w:rPr>
          <w:rFonts w:ascii="Times New Roman" w:hAnsi="Times New Roman"/>
          <w:b/>
          <w:sz w:val="28"/>
          <w:szCs w:val="28"/>
        </w:rPr>
        <w:lastRenderedPageBreak/>
        <w:t>Соотношение российских наследственных фондов со смежными зарубежными правовыми категориями</w:t>
      </w: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rPr>
      </w:pPr>
    </w:p>
    <w:p w:rsidR="00B83E8D" w:rsidRPr="00467B95" w:rsidRDefault="00B83E8D"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Попов Алексей Вячеславович,</w:t>
      </w:r>
    </w:p>
    <w:p w:rsidR="00B83E8D" w:rsidRPr="00467B95" w:rsidRDefault="00B83E8D"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БЮП-15-04М, институт права</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Россия, Владивосток</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p>
    <w:p w:rsidR="00B83E8D" w:rsidRPr="00467B95" w:rsidRDefault="00B83E8D" w:rsidP="005A3DF4">
      <w:pPr>
        <w:widowControl w:val="0"/>
        <w:spacing w:after="0" w:line="240" w:lineRule="auto"/>
        <w:ind w:firstLine="709"/>
        <w:contextualSpacing/>
        <w:jc w:val="both"/>
        <w:rPr>
          <w:rFonts w:ascii="Times New Roman" w:hAnsi="Times New Roman"/>
          <w:i/>
          <w:sz w:val="28"/>
          <w:szCs w:val="28"/>
        </w:rPr>
      </w:pPr>
      <w:r w:rsidRPr="00F732A2">
        <w:rPr>
          <w:rFonts w:ascii="Times New Roman" w:hAnsi="Times New Roman"/>
          <w:i/>
          <w:sz w:val="28"/>
          <w:szCs w:val="28"/>
        </w:rPr>
        <w:t>Аннотация: в</w:t>
      </w:r>
      <w:r w:rsidRPr="00467B95">
        <w:rPr>
          <w:rFonts w:ascii="Times New Roman" w:hAnsi="Times New Roman"/>
          <w:i/>
          <w:sz w:val="28"/>
          <w:szCs w:val="28"/>
        </w:rPr>
        <w:t xml:space="preserve"> статье сравниваются положения отечественного и зарубежного законов о наследственном фонде, причем автор делает явный акцент на иностранной правовой регламентации образования фондов. Автор выявляет ряд положительных решений иностранного законодателя, которые могут быть интегрированы в российскую правовую плоскость с целью повышения конкурентоспособности отечественных наследственных фондов с зарубежными. Кроме того, в статье соотносятся наследственные фонды с трастами и выявляются отличительные черты и особенности каждой из этих правовых конструкций.</w:t>
      </w:r>
    </w:p>
    <w:p w:rsidR="00B83E8D" w:rsidRDefault="00B83E8D" w:rsidP="005A3DF4">
      <w:pPr>
        <w:widowControl w:val="0"/>
        <w:spacing w:after="0" w:line="240" w:lineRule="auto"/>
        <w:ind w:firstLine="709"/>
        <w:contextualSpacing/>
        <w:jc w:val="both"/>
        <w:rPr>
          <w:rFonts w:ascii="Times New Roman" w:hAnsi="Times New Roman"/>
          <w:b/>
          <w:i/>
          <w:sz w:val="28"/>
          <w:szCs w:val="28"/>
        </w:rPr>
      </w:pPr>
    </w:p>
    <w:p w:rsidR="00B83E8D" w:rsidRPr="00467B95" w:rsidRDefault="00B83E8D" w:rsidP="005A3DF4">
      <w:pPr>
        <w:widowControl w:val="0"/>
        <w:spacing w:after="0" w:line="240" w:lineRule="auto"/>
        <w:ind w:firstLine="709"/>
        <w:contextualSpacing/>
        <w:jc w:val="both"/>
        <w:rPr>
          <w:rFonts w:ascii="Times New Roman" w:hAnsi="Times New Roman"/>
          <w:i/>
          <w:sz w:val="28"/>
          <w:szCs w:val="28"/>
        </w:rPr>
      </w:pPr>
      <w:r w:rsidRPr="00F732A2">
        <w:rPr>
          <w:rFonts w:ascii="Times New Roman" w:hAnsi="Times New Roman"/>
          <w:i/>
          <w:sz w:val="28"/>
          <w:szCs w:val="28"/>
        </w:rPr>
        <w:t>Ключевые слова и словосочетания:</w:t>
      </w:r>
      <w:r w:rsidRPr="00467B95">
        <w:rPr>
          <w:rFonts w:ascii="Times New Roman" w:hAnsi="Times New Roman"/>
          <w:i/>
          <w:sz w:val="28"/>
          <w:szCs w:val="28"/>
        </w:rPr>
        <w:t xml:space="preserve"> наследственный фонд, прижизненный наследственный фонд, посмертный наследственный фонд, траст.</w:t>
      </w:r>
    </w:p>
    <w:p w:rsidR="00B83E8D" w:rsidRPr="00467B95" w:rsidRDefault="00B83E8D" w:rsidP="005A3DF4">
      <w:pPr>
        <w:widowControl w:val="0"/>
        <w:spacing w:after="0" w:line="240" w:lineRule="auto"/>
        <w:ind w:firstLine="709"/>
        <w:contextualSpacing/>
        <w:rPr>
          <w:rFonts w:ascii="Times New Roman" w:hAnsi="Times New Roman"/>
          <w:b/>
          <w:sz w:val="28"/>
          <w:szCs w:val="28"/>
        </w:rPr>
      </w:pP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lang w:val="en-US"/>
        </w:rPr>
      </w:pPr>
      <w:r w:rsidRPr="00467B95">
        <w:rPr>
          <w:rFonts w:ascii="Times New Roman" w:hAnsi="Times New Roman"/>
          <w:b/>
          <w:sz w:val="28"/>
          <w:szCs w:val="28"/>
          <w:lang w:val="en-US"/>
        </w:rPr>
        <w:t>The ratio of Russian inheritance funds to related foreign legal categories</w:t>
      </w:r>
    </w:p>
    <w:p w:rsidR="00B83E8D" w:rsidRPr="00467B95" w:rsidRDefault="00B83E8D" w:rsidP="005A3DF4">
      <w:pPr>
        <w:widowControl w:val="0"/>
        <w:spacing w:after="0" w:line="240" w:lineRule="auto"/>
        <w:ind w:firstLine="709"/>
        <w:contextualSpacing/>
        <w:jc w:val="center"/>
        <w:rPr>
          <w:rFonts w:ascii="Times New Roman" w:hAnsi="Times New Roman"/>
          <w:sz w:val="28"/>
          <w:szCs w:val="28"/>
          <w:lang w:val="en-US"/>
        </w:rPr>
      </w:pPr>
      <w:r w:rsidRPr="00467B95">
        <w:rPr>
          <w:rFonts w:ascii="Times New Roman" w:hAnsi="Times New Roman"/>
          <w:sz w:val="28"/>
          <w:szCs w:val="28"/>
          <w:lang w:val="en-US"/>
        </w:rPr>
        <w:t>Popov, Alexey V.,</w:t>
      </w:r>
    </w:p>
    <w:p w:rsidR="00B83E8D" w:rsidRPr="00467B95" w:rsidRDefault="00B83E8D" w:rsidP="005A3DF4">
      <w:pPr>
        <w:widowControl w:val="0"/>
        <w:spacing w:after="0" w:line="240" w:lineRule="auto"/>
        <w:ind w:firstLine="709"/>
        <w:contextualSpacing/>
        <w:jc w:val="center"/>
        <w:rPr>
          <w:rFonts w:ascii="Times New Roman" w:hAnsi="Times New Roman"/>
          <w:sz w:val="28"/>
          <w:szCs w:val="28"/>
          <w:lang w:val="en-US"/>
        </w:rPr>
      </w:pPr>
      <w:r w:rsidRPr="00467B95">
        <w:rPr>
          <w:rFonts w:ascii="Times New Roman" w:hAnsi="Times New Roman"/>
          <w:sz w:val="28"/>
          <w:szCs w:val="28"/>
          <w:lang w:val="en-US"/>
        </w:rPr>
        <w:t>BYUP-15-04M, Institute of law</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lang w:val="en-US"/>
        </w:rPr>
      </w:pPr>
      <w:r w:rsidRPr="00467B95">
        <w:rPr>
          <w:rFonts w:ascii="Times New Roman" w:hAnsi="Times New Roman"/>
          <w:i/>
          <w:sz w:val="28"/>
          <w:szCs w:val="28"/>
          <w:lang w:val="en-US"/>
        </w:rPr>
        <w:t>Vladivostok state University of Economics and service,</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lang w:val="en-US"/>
        </w:rPr>
      </w:pPr>
      <w:r w:rsidRPr="00467B95">
        <w:rPr>
          <w:rFonts w:ascii="Times New Roman" w:hAnsi="Times New Roman"/>
          <w:i/>
          <w:sz w:val="28"/>
          <w:szCs w:val="28"/>
          <w:lang w:val="en-US"/>
        </w:rPr>
        <w:t>Russia, Vladivostok</w:t>
      </w:r>
    </w:p>
    <w:p w:rsidR="00B83E8D" w:rsidRPr="00467B95" w:rsidRDefault="00B83E8D" w:rsidP="005A3DF4">
      <w:pPr>
        <w:widowControl w:val="0"/>
        <w:spacing w:after="0" w:line="240" w:lineRule="auto"/>
        <w:ind w:firstLine="709"/>
        <w:contextualSpacing/>
        <w:jc w:val="both"/>
        <w:rPr>
          <w:rFonts w:ascii="Times New Roman" w:hAnsi="Times New Roman"/>
          <w:i/>
          <w:sz w:val="28"/>
          <w:szCs w:val="28"/>
          <w:lang w:val="en-US"/>
        </w:rPr>
      </w:pPr>
    </w:p>
    <w:p w:rsidR="00B83E8D" w:rsidRPr="00467B95" w:rsidRDefault="00B83E8D" w:rsidP="005A3DF4">
      <w:pPr>
        <w:widowControl w:val="0"/>
        <w:spacing w:after="0" w:line="240" w:lineRule="auto"/>
        <w:ind w:firstLine="709"/>
        <w:contextualSpacing/>
        <w:jc w:val="both"/>
        <w:rPr>
          <w:rFonts w:ascii="Times New Roman" w:hAnsi="Times New Roman"/>
          <w:i/>
          <w:sz w:val="28"/>
          <w:szCs w:val="28"/>
          <w:lang w:val="en-US"/>
        </w:rPr>
      </w:pPr>
      <w:r w:rsidRPr="00F732A2">
        <w:rPr>
          <w:rFonts w:ascii="Times New Roman" w:hAnsi="Times New Roman"/>
          <w:i/>
          <w:sz w:val="28"/>
          <w:szCs w:val="28"/>
          <w:lang w:val="en-US"/>
        </w:rPr>
        <w:t>Annotation:</w:t>
      </w:r>
      <w:r w:rsidRPr="00467B95">
        <w:rPr>
          <w:rFonts w:ascii="Times New Roman" w:hAnsi="Times New Roman"/>
          <w:i/>
          <w:sz w:val="28"/>
          <w:szCs w:val="28"/>
          <w:lang w:val="en-US"/>
        </w:rPr>
        <w:t xml:space="preserve"> the article compares the provisions of domestic and foreign laws on the inheritance Fund, and the author makes a clear emphasis on foreign legal regulation of the formation of funds. The author reveals a number of positive decisions of the foreign legislator, which can be integrated into the Russian legal framework in order to improve the competitiveness of domestic hereditary funds with foreign ones. In addition, the article correlates inheritance funds with trusts and identifies the distinctive features and peculiarities of each of these legal structures.</w:t>
      </w:r>
    </w:p>
    <w:p w:rsidR="00B83E8D" w:rsidRPr="00467B95" w:rsidRDefault="00B83E8D" w:rsidP="005A3DF4">
      <w:pPr>
        <w:widowControl w:val="0"/>
        <w:spacing w:after="0" w:line="240" w:lineRule="auto"/>
        <w:ind w:firstLine="709"/>
        <w:contextualSpacing/>
        <w:jc w:val="both"/>
        <w:rPr>
          <w:rFonts w:ascii="Times New Roman" w:hAnsi="Times New Roman"/>
          <w:i/>
          <w:sz w:val="28"/>
          <w:szCs w:val="28"/>
          <w:lang w:val="en-US"/>
        </w:rPr>
      </w:pPr>
      <w:r w:rsidRPr="00F732A2">
        <w:rPr>
          <w:rFonts w:ascii="Times New Roman" w:hAnsi="Times New Roman"/>
          <w:i/>
          <w:sz w:val="28"/>
          <w:szCs w:val="28"/>
          <w:lang w:val="en-US"/>
        </w:rPr>
        <w:t>Key words and phrases:</w:t>
      </w:r>
      <w:r w:rsidRPr="00467B95">
        <w:rPr>
          <w:rFonts w:ascii="Times New Roman" w:hAnsi="Times New Roman"/>
          <w:i/>
          <w:sz w:val="28"/>
          <w:szCs w:val="28"/>
          <w:lang w:val="en-US"/>
        </w:rPr>
        <w:t xml:space="preserve"> hereditary Fund, lifetime hereditary Fund, posthumous hereditary Fund, trust.</w:t>
      </w:r>
    </w:p>
    <w:p w:rsidR="00B83E8D" w:rsidRPr="00467B95" w:rsidRDefault="00B83E8D" w:rsidP="005A3DF4">
      <w:pPr>
        <w:widowControl w:val="0"/>
        <w:spacing w:after="0" w:line="240" w:lineRule="auto"/>
        <w:ind w:firstLine="709"/>
        <w:contextualSpacing/>
        <w:rPr>
          <w:rFonts w:ascii="Times New Roman" w:hAnsi="Times New Roman"/>
          <w:sz w:val="28"/>
          <w:szCs w:val="28"/>
          <w:lang w:val="en-US"/>
        </w:rPr>
      </w:pP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соответствии с пунктом 1 статьи 123.20-1 ГК РФ наследственный фонд (далее – НФ) – это фонд, который создается в законном порядке во исполнение завещания гражданина и на основе его имущества и который осуществляет деятельность по управлению полученным в порядке наследования имуществом этого гражданина на бессрочной основе, либо в </w:t>
      </w:r>
      <w:r w:rsidRPr="00467B95">
        <w:rPr>
          <w:rFonts w:ascii="Times New Roman" w:hAnsi="Times New Roman"/>
          <w:sz w:val="28"/>
          <w:szCs w:val="28"/>
        </w:rPr>
        <w:lastRenderedPageBreak/>
        <w:t>течение определенного срока в соответствии с условиями управления НФ [1].</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НФ успешно функционируют за границей, в частности США и Европе, уже на протяжении века, а то и больше. Такие фонды принято подразделять на следующие типы [2, с. 249]:</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 прижизненные НФ – это такой вид фондов, который учреждается наследодателем во время его жизни и который продолжает функционировать после его смерти в соответствии с условиями, закрепленными в завещании;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2) посмертные НФ – это такой вид фондов, который создается по воле наследодателя, выраженной в завещании, после того, как он умирает.</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Стоит добавить, что законодательства отдельных государств предоставляют возможность создания так называемых «семейных фондов». Такие фонды очевидно создаются членами определенных семей и за счет общих средств. Семейные фонды обычно учреждаются во время жизни родственников, в то время как большая часть европейских и американских НФ созданы на средства, которые завещал наследодатель.</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Как известно, приоритетной целью создания НФ является осуществление благотворительной деятельности. К примеру, они осуществляют финансирование общественных организаций, различных образовательных и здравоохранительных учреждений, направляют им средства на создание всевозможных благотворительных проектов, а также учреждают ежегодные премии наподобие Нобелевской.</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России создание прижизненных НФ и семейных НФ не предусмотрено: исключительно посмертные НФ могут быть образованы на территории РФ. Такое ограничение определённо не ставит в приоритет российские НФ в сравнении с зарубежными. К тому же осуществление благотворительности не является самоцелью учреждения отечественных НФ: это скорее побочная задача, чем основная цель.</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Немецкое законодательство, в частности Гражданское уложение Германии (далее – ГГУ) [3], достаточно подробно регламентирует положения касательно создания НФ.</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соответствии с абзацем 1 параграфа 80 ГГУ для того, чтобы учредить правоспособный НФ, необходимо совершить соответствующую сделку, а также получить разрешение от соответствующего органа власти земли, на территории которой НФ будет иметь свое местонахождение.</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Согласно абзацу 1 параграфа 81 ГГУ сделка по созданию НФ находится в прямой зависимости от того, когда был учрежден НФ – во время жизни завещателя либо после его смерти в соответствии с содержанием завещания. Если сделка по созданию НФ не содержит хотя бы одно из условий, при котором он может быть признан правоспособным и вместе с тем наследодатель, не успевший ликвидировать возникшие противоречия с законом, умер, то очевидно должны применяться положения о НФ, который создается после смерти. Абзац 2 параграфа 81 ГГУ закрепляет за учредителем НФ право на отказ от сделки по созданию НФ до разрешения его учреждения. Стоит добавить, что если прошение о разрешении создать НФ уже подано в </w:t>
      </w:r>
      <w:r w:rsidRPr="00467B95">
        <w:rPr>
          <w:rFonts w:ascii="Times New Roman" w:hAnsi="Times New Roman"/>
          <w:sz w:val="28"/>
          <w:szCs w:val="28"/>
        </w:rPr>
        <w:lastRenderedPageBreak/>
        <w:t>компетентный орган, то об отказе может быть заявлено только ему.</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законодательстве таких государств, как, например, Армения и Молдавия, присутствуют специальные нормы, которые регулируют процесс создания и функционирования НФ, как прижизненных, так и посмертных. Более того, и в Армении, и Молдове есть отдельные законы, детально регулирующие процедуру создания, деятельности и ликвидации фондов, в том числе наследственных, чего нельзя сказать про Россию.</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Статья 9 Закона Армении «О фондах» [4] содержит следующие варианты создания НФ: учреждение учредителями; реорганизация существующего фонда либо фондов; преобразование некоммерческой организации. В свою очередь российское законодательство предоставляет лишь одну из вышеназванных возможностей – только создание, что наиболее близко к первому варианту, а про второй и третий варианты отечественный законодатель не знает.</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соответствии с пунктами 1 и 2 статьи 10 Закона Армении «О фондах» НФ создается: на основании решения учредителей после их собрания; на основании письменного решения одного лица. По результатам анализа вышеуказанных положений становится ясно, что НФ в Армении могут создаваться как совместно, так единолично. Подобных норм нет в российском законодательстве нет – НФ фонды могут быть учреждены исключительно одним лицом.</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Исходя из смысла пункта 1 статьи 11 Закона Армении «О фондах» можно сделать вывод о том, что НФ может быть создан и во время жизни учредителя, и на основании завещания после его смерти. В соответствии с пунктом 2 статьи 11 Закона Армении «О фондах» свидетельство о наследстве, которое нотариус выдает исполнителю завещания, должно содержать обязательство по регистрации НФ от имени наследодателя по общему правилу в течение месяца (завещание может содержать другой временной отрезок).</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Закон Армении «О фондах» специальным образом не регулирует создание и деятельность НФ, учрежденных при жизни, однако делает оговорку о том, что у НФ могут быть как потенциальные, так и фактические бенефициары.</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Подобные армянским нормам об учреждении НФ правила о создании НФ имеются и в молдавском законодательстве, а конкретно в Законе Молдовы «О фондах» [5]. К примеру, часть 1 статьи 10 Закона Молдовы «О фондах» закрепляет возможность создания совместных НФ. В соответствии с данной нормой актом о создании НФ выступает решение (в том случае, если учредитель - одно лицо) либо договор (в том случае, если учредители – двое либо более лиц). В качестве примера также можно привести норму, закрепляющую обязанность за исполнителем завещания по регистрации НФ именем завещателя в течение месяца после получения от нотариуса свидетельства о праве на наследство.</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Несмотря на всё вышесказанное в молдавском законодательстве </w:t>
      </w:r>
      <w:r w:rsidRPr="00467B95">
        <w:rPr>
          <w:rFonts w:ascii="Times New Roman" w:hAnsi="Times New Roman"/>
          <w:sz w:val="28"/>
          <w:szCs w:val="28"/>
        </w:rPr>
        <w:lastRenderedPageBreak/>
        <w:t>правовая регламентация посмертных НФ значительно отличается от законодательного положения НФ, созданных при жизни. Например, часть 4 статьи 10 Закона Молдовы «О фондах» содержит следующее правило: если НФ является посмертным, то законные наследники, а также кредиторы учредителя (либо учредителей) обладают такими же правами в отношении НФ, как и в отношении любого другого имущества, которое завещается.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законодательных массивах многих европейских государств, например, Испании, Финляндии, Дании, Польши, Словакии, Чехии, Эстонии содержатся нормы, которые регулируют процедуру создания посмертных НФ.</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соответствии с Законом Испании «О фондах…» [6], а конкретно с частями 1, 2 и 3 статьи 6 данного закона, НФ вправе создавать физические лица, которые должны обладать общей дееспособностью (для того, чтобы непосредственно осуществлять деятельность) и частной дееспособностью (для того, чтобы распоряжаться имуществом и средствами, которые являются предметом дара и которые передаются при жизни наследодателя либо будут переданы после его смерти), частные юридические лица, при это имея полное согласие на это со стороны общего собрания либо собрания партнеров (для одних видов юридических лиц) либо согласие на это от управляющего органа (для других видов юридических лиц), а также государственные юридические лица. Стоит напомнить, в отечественных реалиях НФ могут учреждаться исключительно физическими лицами, что в очередной раз доказывает слабую проработку данной правовой конструкции в России.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Часть 1 статьи 7 Закона Испании «О фондах…» гласит, что НФ создается на основании особого акта, который носит название «inter vivos o mortis causa». Часть 2 данной статьи говорит о том, что НФ, учреждаемый актом «inter vivos» (или прижизненным актом), создается нотариусом на основании его акта, носящим открытый характер. Часть 3 данной статьи утверждает, что НФ, учреждаемый актом «mortis causa» (или актом в случае смерти), создается на основании завещания.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Интересным является положение пункта 3 статьи 2 Закона Испании «О фондах…», огранивающим образование НФ с целью получения доходов членами семьи наследодателя.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Законе Финляндии «О фондах» [7], а конкретно в разделе 3а урегулирован процесс создания НФ после того, как учредитель умирает, на основании завещания последнего, причем большую роль в данной процедуре играет суд. В свою очередь в России учреждением НФ занимаются исключительно нотариусы.</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Абзац 1 раздела 3а Закона Финляндии «О фондах» закрепляет обязанность за лицом, которое распоряжается имуществом покойного учредителя, не позднее трех месяцев уведомить о содержании завещания, предполагающего учреждение НФ суд в соответствии с последним местом проживания наследодателя (если наследодатель проживал в Финляндии) либо Окружной суд города Хельсинки (если наследодатель не проживал в </w:t>
      </w:r>
      <w:r w:rsidRPr="00467B95">
        <w:rPr>
          <w:rFonts w:ascii="Times New Roman" w:hAnsi="Times New Roman"/>
          <w:sz w:val="28"/>
          <w:szCs w:val="28"/>
        </w:rPr>
        <w:lastRenderedPageBreak/>
        <w:t>Финляндии). Впоследствии суд обязан уведомить об этом финское министерство юстиции.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Абзац 2 раздела 3а Закона Финляндии «О фондах» содержит обязанность суда, осведомленного об указанном выше завещании, по немедленному удостоверению факта согласия со стороны лица, которое было назначено завещателем учредить НФ, исполнить волю последнего. Суд назначает другое лицо (либо других лиц) создать НФ в том случае, если указанное выше согласие не было дано либо указанное выше лицо не подошло для исполнения поручения завещателя.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Закон Дании «О фондах…» [8] устанавливает ограничения волеизъявления учредителя при образовании НФ во время жизни. В соответствии с абзацами 1 и 2 статьи 7 данного закона положения, которые входят в учредительный акт и которые ставят в приоритет конкретную семью либо несколько семей в распределении имущества НФ, не обладают законной силой в своем содержании в том случае, если приоритетное право распространяется дальше поколения, которое живет в момент образования НФ, и простирается до следующего поколения. Всё вышесказанное также касается и предоставления членам конкретной семьи либо нескольким семьям преимущественного права в занятии какой-то должности либо в получении вознаграждения за труд, пособий НФ, а также предприятия, по поводу функционирования которого НФ вправе принимать решения. Стоит добавить, что вышеуказанный запрет не относится к занятию должности члена административного совета НФ. В российской правовой действительности подобных норм нет.</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Польше также есть возможность учредить НФ как при жизни наследодателя, так и после его смерти (упоминание об этом содержится, к примеру, в пункте 1 статьи 3 Закона Польши «О фондах» [9]). Во втором случае обычная процедура образования НФ не применяется.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Законодательство Словакии в сравнении с РФ весьма вариативно в способах созданиях НФ. Параграф 7 Закона Словакии «О фондах» [10] предусматривает учреждение НФ физическим лицом (физическими лицами) и юридическим лицом (юридическими лицами). НФ образуются в результате принятия соглашения (при нескольких учредителях) либо акта НФ (при одном учредителе). Причем НФ может быть создан и во время жизни учредителя (учредителей), и посмертно лицом, являющимся душеприказчиком по завещанию, в котором должны быть определены все необходимые положения устава НФ.</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Пунктом 1 раздела 3 Закона Чехии «О фондах» [11] предусмотрено, что НФ может быть учрежден посредством составления: письменного соглашения, которое заключается между учредителями НФ; учредительного устава в том случае, если учредителем НФ является одно лицо; завещания. В пункте 4 раздела 3 Закона Чехии «О фондах» есть норма о минимальном размере имущества НФ, которым он должен обладать как во время своего создания, так и во время всей своей последующей деятельности. Напомним, </w:t>
      </w:r>
      <w:r w:rsidRPr="00467B95">
        <w:rPr>
          <w:rFonts w:ascii="Times New Roman" w:hAnsi="Times New Roman"/>
          <w:sz w:val="28"/>
          <w:szCs w:val="28"/>
        </w:rPr>
        <w:lastRenderedPageBreak/>
        <w:t>что российское законодательство не содержит подобное правило, без соблюдения которого невозможно учредить НФ. Итак, стоимость имущества НФ должна оцениваться в 500 000 чешских крон как в момент его учреждения, так по ходу всего времени его функционирования.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Закон Эстонии «О фондах» [12], а конкретно пункт 1 параграфа 5 также допускает учреждение НФ одним или несколькими лицами (как и во всех предыдущих примерах). Однако данный пункт содержит оговорку, которая не встречалась в законах других государств, о том, что НФ может быть создан либо на определенный срок, либо до достижения целей, которые определены в уставе НФ, либо на не неопределённый срок. Кроме того, в соответствии с пунктом 1 параграфа 7 Закона Эстонии «О фондах» возможно создание как прижизненного, так и посмертного НФ. Основанием учреждения последнего служит завещание, которое должно быть удостоверено нотариусом и содержать решение о создании НФ.</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Таким образом, на основе всего вышесказанного можно пройти к следующим выводам:</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законодательством таких государств, как Германия, Армения, Молдова, Испания, Финляндия, Дания, Польша, Словакия, Чехия, Эстония, достаточно подробно урегулировано учреждение прижизненных и посмертных НФ, а также семейных НФ физическими и юридическими лицами в одиночку либо совместно; урегулирована процедура волеизъявления учредителя либо учредителей в уставе НФ, а также в завещании; определены всевозможные особенности образования НФ; определены роли душеприказчиков (либо специально назначенных исполнителей завещания), нотариусов и судов в данных вопросах;</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в сравнении с законодательством всех вышеперечисленных стран российские законы не позволяют создавать НФ при жизни наследодателя, семейные НФ, а также совместные НФ, что является серьезным недостатком российской правовой действительности;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в Армении НФ могут быть учреждены не только путем собственно создания, но и путем реорганизации другого фонда либо преобразования некоммерческой организации, чего нет в отечественном законодательстве;</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законодательством Армении и Молдовы предусмотрен месячный срок создания НФ, в то время как по законодательству России НФ должен быть учрежден в течение трех дней с момента открытия наследства, что в свою очередь порождает ряд проблем, о которых было сказано в прошлой главе;</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в Финляндии основную роль в создании НФ играют суды, в России – нотариусы;</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в Испании и Словакии НФ могут учреждаться юридическими лицами, в России – исключительно физическими лицами;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чешское законодательство обязывает НФ иметь уставный капитал, российское – нет.</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Что касается траста, то он является отличной от НФ, созданного как при жизни, так и после смерти учредителя, правовой конструкцией. Траст – это не </w:t>
      </w:r>
      <w:r w:rsidRPr="00467B95">
        <w:rPr>
          <w:rFonts w:ascii="Times New Roman" w:hAnsi="Times New Roman"/>
          <w:sz w:val="28"/>
          <w:szCs w:val="28"/>
        </w:rPr>
        <w:lastRenderedPageBreak/>
        <w:t xml:space="preserve">юридическое лицо, однако его, как и НФ, часто используют в распоряжениях, связанных с наследственной массой. Траст представляет собой такой вид правоотношений, при которых его учредитель передает принадлежащие ему активы профессиональному трастовому управляющему, а последний в свою очередь обязуется управлять и распоряжаться переданным ему имуществом только в интересах выгодоприобретателей или для других особо установленных целей [13].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Трастовый НФ – это такой вид НФ, который управляется в соответствии с завещанием собственника в интересах наследника. Такие НФ популярны в таких государствах, как США, Великобритания, а также в странах, являющихся бывшими колониями Великобритании. Кроме того, трастовые НФ нашли свое распространение в странах, имеющих континентальную систему права (к примеру, Лихтенштейн).</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соответствии с актом о фондах Великобритании [14] в трастовом НФ должен быть трастовый управляющий, отвечающий за безопасность имущества НФ и, соответственно, занимающийся его руководством. После того, как трастовый учредитель умирает, его наследники, выступающие в качестве выгодоприобретателей, начинают получать каждый месяц денежные выплаты от трастового управляющего. Если говорить с точки зрения бизнеса, то таким образом происходит обеспечение независимости имущества учредителя от действий наследников, что очень кстати. Завещатель, который может быть обеспокоен возможным непрофессионализмом со стороны своих родственников в предпринимательской сфере, имеет право на передачу накопленного за годы своей жизни состояния в доверительную собственность трастовому управляющему и на назначение членов семьи выгодоприобретателями. Как видим, учредитель может позаботиться о своей семье опосредованно, не прибегая к передаче своего имущества напрямую.</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По аналогии с НФ траст может быть создан как во время жизни учредителя, так и после смерти наследодателя на основании его завещания, которое предусматривает пользу для членов семьи.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Неоспоримым преимуществом траста является отсутствие всяческих претензий в отношении имущества в результате его обособления со стороны как наследников в соответствии с завещанием, так и наследников, обладающих обязательной наследственной долей.</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Также при помощи трастов обычно происходит оптимизация налогообложения. В качестве бенефициаров траста выступают выгодоприобретатели, формально не являющиеся собственниками имущества, коими являются законные наследники, а также наследники по завещанию, и по этой причине нет необходимости в уплате налога на наследство.</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таком государстве, как Лихтенштейн, схожей правовой конструкцией с трастом является так называемый семейный фонд. Законодательством этой страны детально урегулирована деятельность фондов самого разного типа. В соответствии с Законом Лихтенштейна о фондах [15] фондом является </w:t>
      </w:r>
      <w:r w:rsidRPr="00467B95">
        <w:rPr>
          <w:rFonts w:ascii="Times New Roman" w:hAnsi="Times New Roman"/>
          <w:sz w:val="28"/>
          <w:szCs w:val="28"/>
        </w:rPr>
        <w:lastRenderedPageBreak/>
        <w:t>юридическое лицо, наделяемое имуществом со стороны учредителя фонда для выполнения определенной цели, к примеру, для осуществления поддержки материального характера конкретной семьи либо ряда семей или для реализации функций, которые полезны для общества.</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США тоже функционируют своего рода трасты: для того, чтобы передать имущество по наследству, могут использоваться доверительные фонды. В свою очередь безотзывной траст – это такой вид траста, условия создания и функционирования которого определяются на основе волеизъявления завещателя. Такой траст помогает в защите имущества наследников от требований возможных кредиторов и в снижении стоимости наследственной массы, которое облагается налогом.</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Итак, цели, с которыми создаются российские НФ и зарубежные трасты, практически идентичны: НФ и трасты необходимы для того, чтобы защитить активы учредителя, а также чтобы распределить наследственную массу в пользу конкретных лиц [16].</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свою очередь НФ и траст сильно отличаются друг от друга:</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 НФ - это отдельная организация, ведущая свою деятельность от своего имени, в то время как траст – это письменное соглашение об управлении активами;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2) НФ в случаях, предусмотренных условиями управления НФ, опубликовывает отчеты об использовании своего имущества, а также в отношении НФ в некоторых случаях может проводиться аудит. Траст же, представляя собой договор, вообще не может заниматься каким-либо видом деятельности, быть кому-либо подотчетным или выступать аудируемым субъектом;</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3) управлением НФ занимаются специально созданные для этого органы. В рамках трастового соглашения никакие управленческие органы не учреждаются;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4) НФ отвечает по долгам наследодателя, в отличие от траста, не отвечающего по его долгам;</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5) для создания НФ необходима его регистрация, а для учреждения траста нет необходимости в его обязательной регистрации, ибо достаточно просто заключить трастовый договор;</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6) НФ создается исключительно после того, как наследодатель умирает, а траст может быть учреждён и при жизни, и после его смерти;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7) при формировании имущества НФ правом собственности на него наделяется НФ как отдельный субъект правоотношений. В свою очередь в трасте правом собственности наделяется трастовый управляющий, но переданное имущество составляет отдельный фонд и не является собственностью управляющего;</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8) НФ ликвидируется исключительно в соответствии судебным решением (по иску государственного органа, в связи с истечением срока или наступлением соответствующих условий), в то время как зарубежный траст прекращается в соответствии с требованием наследника о передачи ему </w:t>
      </w:r>
      <w:r w:rsidRPr="00467B95">
        <w:rPr>
          <w:rFonts w:ascii="Times New Roman" w:hAnsi="Times New Roman"/>
          <w:sz w:val="28"/>
          <w:szCs w:val="28"/>
        </w:rPr>
        <w:lastRenderedPageBreak/>
        <w:t>имущества;</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9) правовая природа трастов не соответствует правовой природе НФ (выгодоприобретатели трастов – это бенефициарные собственники, а для прав выгодоприобретателей НФ характерна обязательственная природа);</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10) НФ, являясь юридическим лицом, обязан уплачивать соответствующие налоги и сборы как и другие некоммерческие организации. Траст, как уже было отмечено, - это не юридическое лицо, и, соответственно, с него не взимаются ни налоги, ни сборы [17, c. 106];</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11) НФ, исходя из его определения, может быть создан на бессрочной основе, однако траст во многих юрисдикциях является срочным (максимальный срок преимущественно составляет сто лет) [18];</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12) трасты более вариативны, чем НФ (к примеру, частные трасты создаются в пользу какого-либо лица либо нескольких лиц, а благотворительным трастам присущ особый налоговый режим) [19].</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Данный перечень отличий, естественно, не является исчерпывающим, и он может либо увеличиваться, либо уменьшаться, если начать сравнивать НФ с конкретным видом траста.</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Таким образом, за исключением целей создания российские НФ и зарубежные трасты (к примеру, Великобритании, Лихтенштейна, США) являются практически разными правовыми категориями с присущими им признаками и с характерными для каждой из них особенностями.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Подводя итог всему вышесказанному, стоит сказать следующее: наследственные фонды в том или ином виде широко распространены как в странах континентального права (Германии, Армении, Испании и других), так и в государствах англо-саксонской правовой семьи (Великобритании, США и других), а потому появление подобной правовой категории в России было всего лишь вопросом времени.</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Стоит отметить, что российский законодатель в сравнении с зарубежным значительно ограничил возможности по учреждению наследственных фондов на территории РФ. Помимо невозможности образования прижизненных и совместных наследственных фондов в России нельзя, что очевидно, учреждать семейные наследственные фонды. Кроме того, российские наследственные фонды могут быть созданы исключительно физическими лицами (юридические лица не вправе делать это) и только путем их непосредственного учреждения (возможность образования наследственных фондов посредством, к примеру, реорганизации в ГК РФ отсутствует).</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Становится понятным тот факт, что российское гражданское право в данной области не обладает той гибкостью и проработанностью, которую имеют зарубежные законы, посвященные фондам. Предоставление возможности по созданию прижизненных и совместных (в ом числе семейных) наследственных фондов, по учреждению наследственных фондов юридическими лицами, по образованию наследственных фондов посредством реорганизации других лиц – это минимум тех положений, который </w:t>
      </w:r>
      <w:r w:rsidRPr="00467B95">
        <w:rPr>
          <w:rFonts w:ascii="Times New Roman" w:hAnsi="Times New Roman"/>
          <w:sz w:val="28"/>
          <w:szCs w:val="28"/>
        </w:rPr>
        <w:lastRenderedPageBreak/>
        <w:t>отечественный законодатель должен интегрировать в ГК РФ для того, чтобы начать конкурировать с зарубежными наследственными фондами. Тогда и станет возможным оценить потенциал данного института в российских реалиях, так как сейчас его нет.</w:t>
      </w:r>
    </w:p>
    <w:p w:rsidR="00B83E8D" w:rsidRPr="00467B95" w:rsidRDefault="00B83E8D"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 Гражданский кодекс Российской Федерации. Часть первая: федеральный закон от 30.11.1994 № 51-ФЗ (ред. от 01.06.2019) [Электронный ресурс] // СПС «КонсультантПлюс». – Режим доступа: http://www.consultant.ru/document/cons_doc_LAW_5142/.</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2) Крашенников П.В. Наследственное право / П.В. Крашенников. – 2-е изд. – М.: Статут, 2017. – 272 с.</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3) Гражданское уложение Германии: закон ФРГ от 18.08.1896 (ред. от 31.03.2013) [Электронный ресурс] // СПС «КонсультантПлюс». – Режим доступа: http://www.consultant.ru/cons/cgi/online.cgi?req=doc&amp;base=INT&amp;n=55851#08246822632999127.</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4) О фондах: закон Республики Армения от 31.01.2003 №ЗР-516 (ред. от 24.05.2018) [Электронный ресурс] // База данных «Законодательство стран СНГ». – Режим доступа: https://base.spinform.ru/show_doc.fwx?rgn=24877.</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5) О фондах: закон Республики Молдова от 30.07.1999 №581-XIV (ред. от 16.03.2018) [Электронный ресурс] // База данных «Законодательство стран СНГ». – Режим доступа: https://base.spinform.ru/show_doc.fwx?rgn=3240.</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6) О фондах и налоговом стимулировании частного участия в деятельности, имеющей всеобщее значение: закон Королевства Испания от 24.11.1994 № 30 [Электронный ресурс] // Cso-central.asia. – Режим доступа: https://cso-central.asia/lib/books/10/pravovoe-regulirovanie-fondov-zarubezhnyj-opyt-2005.pdf (PDF-файл).</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7) О фондах: закон Финляндской Республики от 05.04.1930 № 109 [Электронный ресурс] // Cso-central.asia. – Режим доступа: https://cso-central.asia/lib/books/10/pravovoe-regulirovanie-fondov-zarubezhnyj-opyt-2005.pdf (PDF-файл).</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8) О фондах и некоторых типах ассоциаций: закон Королевства Дания от 06.06.1984 № 300 [Электронный ресурс] // Cso-central.asia. – Режим доступа: https://cso-central.asia/lib/books/10/pravovoe-regulirovanie-fondov-zarubezhnyj-opyt-2005.pdf (PDF-файл).</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9) О фондах: закон Республики Польша от 06.04.1984 [Электронный ресурс] // Docplayer.ru. – Режим доступа: https://docplayer.ru/37964066-Zakon-respubliki-polsha-ot-6-aprelya-1984-g-o-fondah.html.</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10) О фондах: закон Национального Совета Республики Словакия от 22.05.1996 [Электронный ресурс] // Legislationline. – Режим доступа: https://www.legislationline.org/ru/documents/action/popup/id/14789.</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11) О фондах и фондах поддержки: закон Республики Чехия от 03.09.1997 [Электронный ресурс] // Cso-central.asia. – Режим доступа: https://cso-central.asia/lib/books/10/pravovoe-regulirovanie-fondov-zarubezhnyj-</w:t>
      </w:r>
      <w:r w:rsidRPr="00467B95">
        <w:rPr>
          <w:rFonts w:ascii="Times New Roman" w:hAnsi="Times New Roman"/>
          <w:sz w:val="28"/>
          <w:szCs w:val="28"/>
        </w:rPr>
        <w:lastRenderedPageBreak/>
        <w:t>opyt-2005.pdf (PDF-файл).</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12) О фондах: акт Эстонской Республики от 01.10.1996 [Электронный ресурс] // Cso-central.asia. – Режим доступа: https://cso-central.asia/lib/books/10/pravovoe-regulirovanie-fondov-zarubezhnyj-opyt-2005.pdf (PDF-файл).</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13) Конвенция о праве, применимом к доверительной собственности и ее последующем признании: принята 01.07.1985 [Электронный ресурс] // СПС «КонсультантПлюс». – Режим доступа: http://www.consultant.ru/cons/cgi/online.cgi?req=doc&amp;base=INT&amp;n=8641#09848662747809609.</w:t>
      </w:r>
    </w:p>
    <w:p w:rsidR="00B83E8D" w:rsidRPr="00467B95" w:rsidRDefault="00B83E8D" w:rsidP="005A3DF4">
      <w:pPr>
        <w:widowControl w:val="0"/>
        <w:spacing w:after="0" w:line="240" w:lineRule="auto"/>
        <w:ind w:firstLine="709"/>
        <w:contextualSpacing/>
        <w:jc w:val="both"/>
        <w:rPr>
          <w:rFonts w:ascii="Times New Roman" w:hAnsi="Times New Roman"/>
          <w:sz w:val="28"/>
          <w:szCs w:val="28"/>
          <w:lang w:val="en-US"/>
        </w:rPr>
      </w:pPr>
      <w:r w:rsidRPr="00467B95">
        <w:rPr>
          <w:rFonts w:ascii="Times New Roman" w:hAnsi="Times New Roman"/>
          <w:sz w:val="28"/>
          <w:szCs w:val="28"/>
          <w:lang w:val="en-US"/>
        </w:rPr>
        <w:t>14) Consolidated Fund Act 2007 [Electronic resources] // Legislation.gov.uk. – URL: http://www.legislation.gov.uk/ukpga/2007/31/section2.</w:t>
      </w:r>
    </w:p>
    <w:p w:rsidR="00B83E8D" w:rsidRPr="00467B95" w:rsidRDefault="00B83E8D" w:rsidP="005A3DF4">
      <w:pPr>
        <w:widowControl w:val="0"/>
        <w:spacing w:after="0" w:line="240" w:lineRule="auto"/>
        <w:ind w:firstLine="709"/>
        <w:contextualSpacing/>
        <w:jc w:val="both"/>
        <w:rPr>
          <w:rFonts w:ascii="Times New Roman" w:hAnsi="Times New Roman"/>
          <w:sz w:val="28"/>
          <w:szCs w:val="28"/>
          <w:lang w:val="en-US"/>
        </w:rPr>
      </w:pPr>
      <w:r w:rsidRPr="00467B95">
        <w:rPr>
          <w:rFonts w:ascii="Times New Roman" w:hAnsi="Times New Roman"/>
          <w:sz w:val="28"/>
          <w:szCs w:val="28"/>
          <w:lang w:val="en-US"/>
        </w:rPr>
        <w:t>15) Liechtenstein Company Law: Translation from the PGR update 1999. Bryan Jeeves. 2. Aufl. Vaduz: Liechtenstein-Verlag, 1999 [Electronic resources] // Icnl.org. – URL: http://www.icnl.org/research/library/files/Liechtenstein/liechcomp.pdf (PDF-</w:t>
      </w:r>
      <w:r w:rsidRPr="00467B95">
        <w:rPr>
          <w:rFonts w:ascii="Times New Roman" w:hAnsi="Times New Roman"/>
          <w:sz w:val="28"/>
          <w:szCs w:val="28"/>
        </w:rPr>
        <w:t>файл</w:t>
      </w:r>
      <w:r w:rsidRPr="00467B95">
        <w:rPr>
          <w:rFonts w:ascii="Times New Roman" w:hAnsi="Times New Roman"/>
          <w:sz w:val="28"/>
          <w:szCs w:val="28"/>
          <w:lang w:val="en-US"/>
        </w:rPr>
        <w:t>).</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16) Наследственный фонд или российский траст? [Электронный ресурс] // Адвокатская газета. - Режим доступа: https://www.advgazeta.ru/mneniya/nasledstvennyy-fond-ili-rossiyskiy-trast/.</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17) Бисярина К.С. Наследственные фонды в законодательстве Российской Федерации / К.С. Бисярина // Эволюция российского права: сб. мат. XVI Междунар. науч. конф. молодых ученых и студентов / Под ред. Л.Н. Берг – Екатеринбург: Федеральное государственное бюджетное образовательное учреждение высшего образования «Уральский государственный юридический университет», 2018. – С. 105-107.</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18) Траст по-русски. Как завещать состояние при помощи наследственного фонда [Электронный ресурс] // Forbes. – Режим доступа: https://www.forbes.ru/finansy-i-investicii/352073-trast-po-russki-kak-zaveshchat-sostoyanie-pri-pomoshchi-nasledstvennogo.</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19) Наследственные фонды vs завещательные трасты [Электронный ресурс] // Forward Legal. – Режим доступа: http://forwardlegal.com/posts/nasledstvennye-fondy-vs-zaveshchatelnye-trasty/.</w:t>
      </w:r>
    </w:p>
    <w:p w:rsidR="00DB1198" w:rsidRDefault="00DB1198"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eastAsia="ru-RU"/>
        </w:rPr>
      </w:pP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eastAsia="ru-RU"/>
        </w:rPr>
      </w:pPr>
      <w:r w:rsidRPr="00A34117">
        <w:rPr>
          <w:rFonts w:ascii="Times New Roman" w:eastAsia="Times New Roman" w:hAnsi="Times New Roman"/>
          <w:b/>
          <w:kern w:val="36"/>
          <w:sz w:val="28"/>
          <w:szCs w:val="28"/>
          <w:lang w:eastAsia="ru-RU"/>
        </w:rPr>
        <w:t>Ограничение в родительских правах и лишение родительских прав: сравнительный анализ законодательства Российской Федерации и Японии</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r w:rsidRPr="00A34117">
        <w:rPr>
          <w:rFonts w:ascii="Times New Roman" w:eastAsia="Times New Roman" w:hAnsi="Times New Roman"/>
          <w:kern w:val="36"/>
          <w:sz w:val="28"/>
          <w:szCs w:val="28"/>
          <w:lang w:eastAsia="ru-RU"/>
        </w:rPr>
        <w:t>Рымар Диана Сергеевна</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r w:rsidRPr="00A34117">
        <w:rPr>
          <w:rFonts w:ascii="Times New Roman" w:eastAsia="Times New Roman" w:hAnsi="Times New Roman"/>
          <w:kern w:val="36"/>
          <w:sz w:val="28"/>
          <w:szCs w:val="28"/>
          <w:lang w:eastAsia="ru-RU"/>
        </w:rPr>
        <w:t>группы БЮП-15-03, 4 курса Институт права</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eastAsia="ru-RU"/>
        </w:rPr>
      </w:pPr>
      <w:r w:rsidRPr="00A34117">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eastAsia="ru-RU"/>
        </w:rPr>
      </w:pPr>
      <w:r w:rsidRPr="00A34117">
        <w:rPr>
          <w:rFonts w:ascii="Times New Roman" w:eastAsia="Times New Roman" w:hAnsi="Times New Roman"/>
          <w:i/>
          <w:kern w:val="36"/>
          <w:sz w:val="28"/>
          <w:szCs w:val="28"/>
          <w:lang w:eastAsia="ru-RU"/>
        </w:rPr>
        <w:t>Россия. Владивосток</w:t>
      </w:r>
    </w:p>
    <w:p w:rsidR="00A34117" w:rsidRPr="00A34117" w:rsidRDefault="00A3411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A34117" w:rsidRPr="00A34117" w:rsidRDefault="00A34117" w:rsidP="005A3DF4">
      <w:pPr>
        <w:widowControl w:val="0"/>
        <w:shd w:val="clear" w:color="auto" w:fill="FFFFFF"/>
        <w:spacing w:after="0" w:line="240" w:lineRule="auto"/>
        <w:ind w:firstLine="709"/>
        <w:jc w:val="both"/>
        <w:rPr>
          <w:rFonts w:ascii="Times New Roman" w:hAnsi="Times New Roman"/>
          <w:i/>
          <w:sz w:val="28"/>
          <w:szCs w:val="28"/>
        </w:rPr>
      </w:pPr>
      <w:r w:rsidRPr="00A34117">
        <w:rPr>
          <w:rFonts w:ascii="Times New Roman" w:eastAsia="Times New Roman" w:hAnsi="Times New Roman"/>
          <w:i/>
          <w:kern w:val="36"/>
          <w:sz w:val="28"/>
          <w:szCs w:val="28"/>
          <w:lang w:eastAsia="ru-RU"/>
        </w:rPr>
        <w:t xml:space="preserve">Статья посвящена сравнительному анализу правового регулирования ограничения в родительских правах и лишения родительских прав по </w:t>
      </w:r>
      <w:r w:rsidRPr="00A34117">
        <w:rPr>
          <w:rFonts w:ascii="Times New Roman" w:eastAsia="Times New Roman" w:hAnsi="Times New Roman"/>
          <w:i/>
          <w:kern w:val="36"/>
          <w:sz w:val="28"/>
          <w:szCs w:val="28"/>
          <w:lang w:eastAsia="ru-RU"/>
        </w:rPr>
        <w:lastRenderedPageBreak/>
        <w:t>законодательству Российской Федерации и Японии.</w:t>
      </w:r>
      <w:r w:rsidRPr="00A34117">
        <w:rPr>
          <w:rFonts w:ascii="Times New Roman" w:hAnsi="Times New Roman"/>
          <w:i/>
          <w:sz w:val="28"/>
          <w:szCs w:val="28"/>
        </w:rPr>
        <w:t xml:space="preserve"> </w:t>
      </w:r>
      <w:r w:rsidRPr="00A34117">
        <w:rPr>
          <w:rFonts w:ascii="Times New Roman" w:eastAsia="Times New Roman" w:hAnsi="Times New Roman"/>
          <w:i/>
          <w:kern w:val="36"/>
          <w:sz w:val="28"/>
          <w:szCs w:val="28"/>
          <w:lang w:eastAsia="ru-RU"/>
        </w:rPr>
        <w:t>В настоящее время растет количество межнациональных браков, в которых могут появиться дети.</w:t>
      </w:r>
      <w:r w:rsidRPr="00A34117">
        <w:rPr>
          <w:rFonts w:ascii="Times New Roman" w:hAnsi="Times New Roman"/>
          <w:i/>
          <w:sz w:val="28"/>
          <w:szCs w:val="28"/>
        </w:rPr>
        <w:t xml:space="preserve"> Каждое государство имеет собственную систему законодательства. Отсюда возникает вероятность различных регламентаций и интерпретаций одних и тех же явлений. </w:t>
      </w:r>
      <w:r w:rsidRPr="00A34117">
        <w:rPr>
          <w:rFonts w:ascii="Times New Roman" w:eastAsia="Times New Roman" w:hAnsi="Times New Roman"/>
          <w:i/>
          <w:kern w:val="36"/>
          <w:sz w:val="28"/>
          <w:szCs w:val="28"/>
          <w:lang w:eastAsia="ru-RU"/>
        </w:rPr>
        <w:t>А поскольку ограничение в родительских правах и лишение родительских прав являются крайней мерой ответственности родителей, супруги должны владеть информацией о том, при каких условиях могут наступить данные меры ответственности в соответствии с иностранным законодательством, и что они могут за собой повлечь.</w:t>
      </w:r>
    </w:p>
    <w:p w:rsidR="00A34117" w:rsidRPr="00A34117" w:rsidRDefault="00A3411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A34117" w:rsidRPr="00A34117" w:rsidRDefault="00A34117" w:rsidP="005A3DF4">
      <w:pPr>
        <w:widowControl w:val="0"/>
        <w:shd w:val="clear" w:color="auto" w:fill="FFFFFF"/>
        <w:spacing w:after="0" w:line="240" w:lineRule="auto"/>
        <w:ind w:firstLine="709"/>
        <w:jc w:val="both"/>
        <w:rPr>
          <w:rFonts w:ascii="Times New Roman" w:eastAsia="Times New Roman" w:hAnsi="Times New Roman"/>
          <w:i/>
          <w:color w:val="FF0000"/>
          <w:kern w:val="36"/>
          <w:sz w:val="28"/>
          <w:szCs w:val="28"/>
          <w:lang w:eastAsia="ru-RU"/>
        </w:rPr>
      </w:pPr>
      <w:r w:rsidRPr="00A34117">
        <w:rPr>
          <w:rFonts w:ascii="Times New Roman" w:eastAsia="Times New Roman" w:hAnsi="Times New Roman"/>
          <w:i/>
          <w:kern w:val="36"/>
          <w:sz w:val="28"/>
          <w:szCs w:val="28"/>
          <w:lang w:eastAsia="ru-RU"/>
        </w:rPr>
        <w:t xml:space="preserve">Ключевые слова и словосочетания: ребенок, родители, права, обязанности, ответственность, защита, лишение родительских прав, ограничение в родительских правах.  </w:t>
      </w:r>
    </w:p>
    <w:p w:rsidR="00A34117" w:rsidRPr="00A34117" w:rsidRDefault="00A3411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A34117">
        <w:rPr>
          <w:rFonts w:ascii="Times New Roman" w:eastAsia="Times New Roman" w:hAnsi="Times New Roman"/>
          <w:kern w:val="36"/>
          <w:sz w:val="28"/>
          <w:szCs w:val="28"/>
          <w:lang w:val="en-US" w:eastAsia="ru-RU"/>
        </w:rPr>
        <w:t>Restriction of parental rights and deprivation of parental rights: a comparative analysis of the legislation of the Russian Federation and Japan</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A34117">
        <w:rPr>
          <w:rFonts w:ascii="Times New Roman" w:eastAsia="Times New Roman" w:hAnsi="Times New Roman"/>
          <w:kern w:val="36"/>
          <w:sz w:val="28"/>
          <w:szCs w:val="28"/>
          <w:lang w:val="en-US" w:eastAsia="ru-RU"/>
        </w:rPr>
        <w:t>Rymar Diana Sergeevna</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A34117">
        <w:rPr>
          <w:rFonts w:ascii="Times New Roman" w:eastAsia="Times New Roman" w:hAnsi="Times New Roman"/>
          <w:kern w:val="36"/>
          <w:sz w:val="28"/>
          <w:szCs w:val="28"/>
          <w:lang w:val="en-US" w:eastAsia="ru-RU"/>
        </w:rPr>
        <w:t>BIP-15-03 group, 4 course, Institute of law</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A34117">
        <w:rPr>
          <w:rFonts w:ascii="Times New Roman" w:eastAsia="Times New Roman" w:hAnsi="Times New Roman"/>
          <w:i/>
          <w:kern w:val="36"/>
          <w:sz w:val="28"/>
          <w:szCs w:val="28"/>
          <w:lang w:val="en-US" w:eastAsia="ru-RU"/>
        </w:rPr>
        <w:t>Vladivostok State University of Economics and Service</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A34117">
        <w:rPr>
          <w:rFonts w:ascii="Times New Roman" w:eastAsia="Times New Roman" w:hAnsi="Times New Roman"/>
          <w:i/>
          <w:kern w:val="36"/>
          <w:sz w:val="28"/>
          <w:szCs w:val="28"/>
          <w:lang w:val="en-US" w:eastAsia="ru-RU"/>
        </w:rPr>
        <w:t>Vladivostok, Russia</w:t>
      </w:r>
    </w:p>
    <w:p w:rsidR="00A34117" w:rsidRPr="00A34117" w:rsidRDefault="00A34117"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A34117" w:rsidRPr="00A34117" w:rsidRDefault="00A34117" w:rsidP="005A3DF4">
      <w:pPr>
        <w:pStyle w:val="HTML"/>
        <w:widowControl w:val="0"/>
        <w:shd w:val="clear" w:color="auto" w:fill="FFFFFF"/>
        <w:ind w:firstLine="709"/>
        <w:jc w:val="both"/>
        <w:rPr>
          <w:rFonts w:ascii="Times New Roman" w:hAnsi="Times New Roman" w:cs="Times New Roman"/>
          <w:i/>
          <w:sz w:val="28"/>
          <w:szCs w:val="28"/>
          <w:lang w:val="en-US"/>
        </w:rPr>
      </w:pPr>
      <w:r w:rsidRPr="00A34117">
        <w:rPr>
          <w:rFonts w:ascii="Times New Roman" w:hAnsi="Times New Roman" w:cs="Times New Roman"/>
          <w:i/>
          <w:sz w:val="28"/>
          <w:szCs w:val="28"/>
          <w:lang w:val="en-US"/>
        </w:rPr>
        <w:t>The article is devoted to a comparative analysis of the legal regulation of restrictions on parental rights and deprivation of parental rights under the laws of the Russian Federation and Japan. Currently, the number of inter-ethnic marriages in which children may appear is growing. Each state has its own system of legislation. Hence the likelihood of different regulations and interpretations of the same phenomena. And since the restriction of parental rights and deprivation of parental rights are the ultimate measure of parental responsibility, spouses must have information about the conditions under which these measures of responsibility may occur in accordance with foreign law and what they may entail.</w:t>
      </w:r>
    </w:p>
    <w:p w:rsidR="00A34117" w:rsidRPr="00A34117" w:rsidRDefault="00A34117" w:rsidP="005A3DF4">
      <w:pPr>
        <w:widowControl w:val="0"/>
        <w:shd w:val="clear" w:color="auto" w:fill="FFFFFF"/>
        <w:spacing w:after="0" w:line="240" w:lineRule="auto"/>
        <w:ind w:firstLine="709"/>
        <w:jc w:val="both"/>
        <w:rPr>
          <w:rFonts w:ascii="Times New Roman" w:hAnsi="Times New Roman"/>
          <w:i/>
          <w:iCs/>
          <w:kern w:val="36"/>
          <w:sz w:val="28"/>
          <w:szCs w:val="28"/>
          <w:lang w:val="en-US" w:eastAsia="ru-RU"/>
        </w:rPr>
      </w:pPr>
    </w:p>
    <w:p w:rsidR="00A34117" w:rsidRPr="00A34117" w:rsidRDefault="00A34117"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val="en-US" w:eastAsia="ru-RU"/>
        </w:rPr>
      </w:pPr>
      <w:r w:rsidRPr="00A34117">
        <w:rPr>
          <w:rFonts w:ascii="Times New Roman" w:eastAsia="Times New Roman" w:hAnsi="Times New Roman"/>
          <w:i/>
          <w:kern w:val="36"/>
          <w:sz w:val="28"/>
          <w:szCs w:val="28"/>
          <w:lang w:val="en-US" w:eastAsia="ru-RU"/>
        </w:rPr>
        <w:t>Keywords and phrases:</w:t>
      </w:r>
      <w:r w:rsidRPr="00A34117">
        <w:rPr>
          <w:rFonts w:ascii="Times New Roman" w:hAnsi="Times New Roman"/>
          <w:sz w:val="28"/>
          <w:szCs w:val="28"/>
          <w:lang w:val="en-US"/>
        </w:rPr>
        <w:t xml:space="preserve"> </w:t>
      </w:r>
      <w:r w:rsidRPr="00A34117">
        <w:rPr>
          <w:rFonts w:ascii="Times New Roman" w:eastAsia="Times New Roman" w:hAnsi="Times New Roman"/>
          <w:i/>
          <w:kern w:val="36"/>
          <w:sz w:val="28"/>
          <w:szCs w:val="28"/>
          <w:lang w:val="en-US" w:eastAsia="ru-RU"/>
        </w:rPr>
        <w:t>child, parents, rights, duties, responsibility, protection, deprivation of parental rights, restriction of parental rights.</w:t>
      </w:r>
    </w:p>
    <w:p w:rsidR="00A34117" w:rsidRPr="00A34117" w:rsidRDefault="00A34117" w:rsidP="005A3DF4">
      <w:pPr>
        <w:widowControl w:val="0"/>
        <w:shd w:val="clear" w:color="auto" w:fill="FFFFFF"/>
        <w:spacing w:after="0" w:line="240" w:lineRule="auto"/>
        <w:ind w:firstLine="709"/>
        <w:jc w:val="both"/>
        <w:rPr>
          <w:rFonts w:ascii="Times New Roman" w:eastAsia="Times New Roman" w:hAnsi="Times New Roman"/>
          <w:i/>
          <w:color w:val="FF0000"/>
          <w:kern w:val="36"/>
          <w:sz w:val="28"/>
          <w:szCs w:val="28"/>
          <w:lang w:val="en-US" w:eastAsia="ru-RU"/>
        </w:rPr>
      </w:pP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Анализируя законодательство обеих стран, можно прийти к выводу, что ограничение и лишение родительских прав являются крайними мерами родительской ответственности за несоблюдение возложенных на родителей обязанностей по воспитанию и содержанию своих несовершеннолетних детей.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Основным источником, регулирующим применение данных мер, в РФ является Семейный кодекс (далее – СК РФ), в Японии – Гражданский кодекс (далее – ГК Японии).</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Основаниями для ограничения (приостановления) родительских прав в </w:t>
      </w:r>
      <w:r w:rsidRPr="00A34117">
        <w:rPr>
          <w:rFonts w:ascii="Times New Roman" w:hAnsi="Times New Roman"/>
          <w:sz w:val="28"/>
          <w:szCs w:val="28"/>
        </w:rPr>
        <w:lastRenderedPageBreak/>
        <w:t>рассматриваемых странах являются невозможность оставления ребенка с родителями по обстоятельствам, от них не зависящим, и опасное для ребенка поведение родителей, но без достаточных оснований для лишения родительских прав (ст. 73 СК РФ [1]; ст. 834-2 (1) ГК Японии [2]).</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Различие прослеживается в сроках ограничения (приостановления) родительских прав. В Японии максимальный срок приостановления составляет два года. В РФ же судом не устанавливается срок, на который родители (один из них) будут ограничены в родительских правах (независимо от причин, послуживших основанием для ограничения родительских прав). Однако если родители (один из них) не изменят своего поведения, орган опеки и попечительства по истечении шести месяцев после вынесения судом решения об ограничении родительских прав обязан предъявить иск о лишении родительских прав. При этом в обеих странах, суд примет решение о лишении родительских прав в случае, если причины, послужившие основанием для приостановления родительских прав, не исчезнут.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Гражданский кодекс Японии предусматривает добровольное прекращение родительских прав, т.е. отказ от родительских прав (ст. 837 (1) ГК Японии). Этим Япония существенно отличается от РФ, в которой отказ от родительских прав законодательно не закреплен. Однако фактически он возможен в случае, если родитель дает согласие на усыновление своего ребенка другим лицом.</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Семейный кодекс РФ предусматривает больше оснований для лишения родительских прав, нежели Гражданский кодекс Японии. Помимо этого, СК РФ прямо указывает основания, а ГК Японии содержит лишь общие формулировки. Необходимо отметить и то, что в РФ закрытый перечень оснований лишения родительских прав, в Японии же существующие положения определенно носят не исчерпывающий характер.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Отличительной особенностью японского семейного законодательства является то, что в нем не содержится оговорки о лишении родительских прав вследствие уклонения от уплаты алиментов, тогда как во многих странах это является серьезным основанием для применения данной меры.</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Кроме того, фактически, самостоятельным основанием для лишения родительских прав в Японии является специальное усыновление, поскольку, исходя из закона, до момента учреждения специального усыновления правовая связь между ребенком и его родителями все еще может иметь место (ст. 817-2 (1) ГК Японии). Нигде не содержится оговорки о том, что до начала процедуры специального усыновления ребенок должен быть сиротой [3]. В то время как после установления специального усыновления правовые отношения между ребенком и его биологическими родителями прекращаются, согласно указанию в законе. В РФ же усыновление может быть произведено только после того, как биологические родители лишаются родительских прав. Другими словами, в Японии усыновление является причиной лишения родительских прав, в РФ – возможным последствием.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В соответствии с законодательством обеих стран лица, заменяющие </w:t>
      </w:r>
      <w:r w:rsidRPr="00A34117">
        <w:rPr>
          <w:rFonts w:ascii="Times New Roman" w:hAnsi="Times New Roman"/>
          <w:sz w:val="28"/>
          <w:szCs w:val="28"/>
        </w:rPr>
        <w:lastRenderedPageBreak/>
        <w:t>ребенку родителей (усыновители, опекуны и др.), не могут быть лишены родительских прав. При наличии оснований усыновление отменяется в судебном порядке. В случаях ненадлежащего исполнения опекунами возложенных на них обязанностей, они могут быть отстранены уполномоченным на то органом (Семейный суд в Японии, орган опеки и попечительства – в РФ) от исполнения обязанностей опекуна. Однако в РФ, помимо этого, предусмотрена возможность ограничения усыновителей в правах родителей, приобретенных ими в результате усыновления ребенка в случае, если оставление ребенка с усыновителями (одним из них) опасно для ребенка по обстоятельствам, не зависящим от усыновителей, однако, установленные законом основания к отмене усыновления ребенка отсутствуют (абз. 2 п. 10 Постановления Пленума Верховного Суда РФ от 14.11.2017 № 44 «О практике применения судами законодательства при разрешении споров, связанных с защитой прав и законных интересов ребенка при непосредственной угрозе его жизни или здоровью, а также при ограничении или лишении родительских прав») [4].</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Кроме того, в Японии от всей совокупности родительских правомочий отделяется право управления имуществом ребенка. Так, родители, обладающие родительскими правами (или один их них), утрачивают право распоряжения имуществом, если в результате ненадлежащего управления имуществом ребенка создается угроза для этого имущества (ст. 835 ГК Японии).</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Также законодательство обеих стран предусматривает возможность восстановления родителей в родительских правах в случае, если исчезнут причины, послужившие основанием для лишения их указанных прав (а в Японии отдельно и восстановление права управления имуществом ребенка) (п. 1 ст. 72 СК РФ; ст. 836 ГК Японии).</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При этом тождественны и причины невозможности восстановления в родительских правах:</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ребенок усыновлен, и при этом решение об усыновлении не было отменено;</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ребенок возражает против восстановления в родительских правах его родителей, либо не получено его согласие в случае достижения им определенного возраста (в РФ – десять лет, в Японии – пятнадцать лет);</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ребенок достиг совершеннолетия.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Явные отличия наблюдаются при сравнении перечня лиц, которые могут инициировать процессы ограничения (приостановления) и лишения родительских прав.  В РФ помимо прочих такое право предоставлено органам или организациям, на которые возложены обязанности по охране прав несовершеннолетних детей (п. 1 ст. 70 СК РФ; п. 3 ст. 73 СК РФ) (а по делам об ограничении в родительских правах еще и дошкольным образовательным организациям, общеобразовательным организациям и другие организациям (п. 3 ст. 73 СК РФ)). В Японии же заявителем может быть сам ребенок, при условии достижения им пятнадцатилетнего возраста (ст. 834-2 (1); ст. 834 ГК </w:t>
      </w:r>
      <w:r w:rsidRPr="00A34117">
        <w:rPr>
          <w:rFonts w:ascii="Times New Roman" w:hAnsi="Times New Roman"/>
          <w:sz w:val="28"/>
          <w:szCs w:val="28"/>
        </w:rPr>
        <w:lastRenderedPageBreak/>
        <w:t>Японии), СК РФ, напротив, детям такого права не предоставляет.</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В Японии существует специализированный суд по семейным делам, который слушает дела о приостановлении, лишении, отказе, восстановлении родительских прав (ст. 167 Закона о процедуре рассмотрения дел о семейных отношениях) [5]. В РФ данные категории дел рассматривается судами общей юрисдикции (районными судами) (ст. ст. 24 и 28 ГПК РФ) [6].</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Основным законом, регулирующим процедуру рассмотрения данных дел в Японии, является «Закон о процедуре рассмотрения дел о семейных отношениях». В данном законе вопросам назначения или изменения лиц, осуществляющих родительские права, посвящен отдельный, но далеко не самый обширный раздел. Тем не менее процедура достаточно детально урегулирована. В РФ правила и порядок рассмотрения описаны в СК РФ и ГПК РФ.</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По законодательству Японии при подаче заявления истец уплачивает госпошлину, в РФ же подача заявления по рассматриваемым категориям дел госпошлиной не облагается.</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Отличие состоит и в том, что в Японии дела слушаются судьей в присутствии специальных советников. В РФ дела рассматриваются одним судьей при участии представителя органа опеки и попечительства и прокурора.  </w:t>
      </w:r>
    </w:p>
    <w:p w:rsidR="00A34117" w:rsidRPr="00A34117" w:rsidRDefault="00A34117" w:rsidP="005A3DF4">
      <w:pPr>
        <w:widowControl w:val="0"/>
        <w:spacing w:after="0" w:line="240" w:lineRule="auto"/>
        <w:ind w:firstLine="709"/>
        <w:jc w:val="both"/>
        <w:rPr>
          <w:rFonts w:ascii="Times New Roman" w:hAnsi="Times New Roman"/>
          <w:color w:val="FF0000"/>
          <w:sz w:val="28"/>
          <w:szCs w:val="28"/>
        </w:rPr>
      </w:pPr>
      <w:r w:rsidRPr="00A34117">
        <w:rPr>
          <w:rFonts w:ascii="Times New Roman" w:hAnsi="Times New Roman"/>
          <w:sz w:val="28"/>
          <w:szCs w:val="28"/>
        </w:rPr>
        <w:t>В соответствии с законодательством Японии по всем делам о назначении или изменении лица, осуществляющего родительские полномочия, или опекуна суд обязан учитывать мнение ребенка, достигшего возраста пятнадцати лет, за исключением споров о выплате алиментов. Похожее императивное правило содержится в СК РФ, однако касается оно только восстановления в родительских правах. Так, восстановление в родительских правах в отношении ребенка, достигшего возраста десяти лет, возможно только с его согласия.</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В обеих странах данные меры применяются в индивидуальном порядке как в отношении родителей, так и в отношении детей.</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В РФ при рассмотрении дела о лишении родительских прав суд всегда решает вопрос о взыскании алиментов с родителей на ребенка до момента наступления его совершеннолетия. В Японии вопрос, посвященный алиментным обязательствам, абсолютно не урегулирован.</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Апелляционная жалоба, в соответствии с законодательством РФ, может быть подана в течение месяца со дня принятия решения суда в окончательной форме (п. 2 ст. 321 ГПК РФ). В Японии апелляцию можно подать в течение четырнадцати дней со дня, когда лицо получило уведомление о решении (ст. 172 (2) Закона о процедуре рассмотрения дел о семейных отношениях). По истечении срока апелляционного обжалования решение вступает в силу [7].</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По законодательству обеих стран при устранении причин, послуживших основанием для ограничения (приостановления) родительских прав, решение об ограничении (приостановлении) родительских прав подлежит отмене. При этом отмена ограничения (приостановления) </w:t>
      </w:r>
      <w:r w:rsidRPr="00A34117">
        <w:rPr>
          <w:rFonts w:ascii="Times New Roman" w:hAnsi="Times New Roman"/>
          <w:sz w:val="28"/>
          <w:szCs w:val="28"/>
        </w:rPr>
        <w:lastRenderedPageBreak/>
        <w:t>родительских прав влечет их автоматическое восстановление. Если же причины не отпали, суд принимает решение о лишении родительских прав.</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Если решение об ограничении (приостановлении), лишении родительских прав было принято в отношении одного из родителей, данные права осуществляются единолично другим родителем и в Японии, и в РФ.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В соответствии с ГК Японии, если оба родителя (единственный родитель) были лишены родительских прав, над ребенком устанавливается опека (пп. 1 ст. 838 ГК Японии).  В РФ, если решением суда не назначен опекун, суд передает ребенка на попечение органа опеки и попечительства для дальнейшего устройства (абз. 3 п. 20 Постановления Пленума Верховного Суда РФ от 14.11.2017 № 44 «О практике применения судами законодательства при разрешении споров, связанных с защитой прав и законных интересов ребенка при непосредственной угрозе его жизни или здоровью, а также при ограничении или лишении родительских прав»).</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Последствия лишения родительских прав в обеих странах во многом схожи. Так, родители утрачивают полномочия по воспитанию и попечению ребенка, в т.ч. в материальном смысле, а также права, связанные с его лично-правовым статусом.</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Одно из главных отличий состоит в том, что по законодательству Японии у детей сохраняется обязанность по содержанию нетрудоспособных родителей, даже если последние были лишены родительских прав [8, с. 234]. В РФ же, напротив, с детей таких родителей данная обязанность снимается.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Кроме этого, в Японии обе стороны сохраняют наследственные права [8, с. 234]. В РФ ребенок имеет право на получение наследства после родителя, лишенного родительских прав (за исключением случаев, когда ребенок усыновлен), родители же, напротив, лишаются этого права.</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В японском семейном законодательстве не содержится указаний по поводу того, сохраняется ли право родителей, лишенных родительских прав, на общение с ребенком. Также не говорится о том, сохраняет ли ребенок право собственности на жилое помещение или право пользования жилым помещением, а также имущественные права, основанные на факте родства с родителями и другими родственниками. В РФ возможность общения и его порядок определяется лицами, заменяющими родителей. А вышеуказанные имущественные права сохраняются за ребенком в полном объеме.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t xml:space="preserve">В Японии факт отказа от родительских прав или права управления имуществом влечет последствия, аналогичные тем, что наступают в случае лишения указанных прав. При этом, если причины, послужившие причиной для отказа от родительских прав, перестали существовать, родители (один из них) могут возобновить родительские права или право распоряжения имуществом. В РФ само согласие на усыновление не влечет отказа от прав и обязанностей родителя [9]. Правовая связь родителя и ребенка утрачивается только после вступления в законную силу решения суда об усыновлении иным лицом. При этом родители вправе отозвать данное ими согласие на усыновление ребенка до вынесения решения суда о его усыновлении. </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A34117">
        <w:rPr>
          <w:rFonts w:ascii="Times New Roman" w:hAnsi="Times New Roman"/>
          <w:sz w:val="28"/>
          <w:szCs w:val="28"/>
        </w:rPr>
        <w:lastRenderedPageBreak/>
        <w:t>В обеих странах восстановление родительских прав означат, что все ранее существовавшие взаимные права и обязанности между ребенком и родителями восстанавливаются в полном объеме. Родители вновь приобретают полномочия по попечению и воспитанию ребенка, право представительства ребенка по сделкам лично-правового и имущественного характера.</w:t>
      </w:r>
    </w:p>
    <w:p w:rsidR="00A34117" w:rsidRPr="00A34117" w:rsidRDefault="00A34117" w:rsidP="005A3DF4">
      <w:pPr>
        <w:widowControl w:val="0"/>
        <w:spacing w:after="0" w:line="240" w:lineRule="auto"/>
        <w:ind w:firstLine="709"/>
        <w:jc w:val="both"/>
        <w:rPr>
          <w:rFonts w:ascii="Times New Roman" w:hAnsi="Times New Roman"/>
          <w:sz w:val="28"/>
          <w:szCs w:val="28"/>
          <w:shd w:val="clear" w:color="auto" w:fill="FFFFFF"/>
        </w:rPr>
      </w:pPr>
      <w:r w:rsidRPr="00A34117">
        <w:rPr>
          <w:rFonts w:ascii="Times New Roman" w:hAnsi="Times New Roman"/>
          <w:sz w:val="28"/>
          <w:szCs w:val="28"/>
          <w:shd w:val="clear" w:color="auto" w:fill="FFFFFF"/>
        </w:rPr>
        <w:t>Таким образом, анализируя российское и японское семейное законодательство, можно выявить множество сходств и отличий. Причем и те, и другие присутствуют во всех рассматриваемых сферах. Поскольку обе страны могли бы перенять опыт друг друга, остановимся на отличиях.</w:t>
      </w:r>
    </w:p>
    <w:p w:rsidR="00A34117" w:rsidRPr="00A34117" w:rsidRDefault="00A34117" w:rsidP="005A3DF4">
      <w:pPr>
        <w:widowControl w:val="0"/>
        <w:spacing w:after="0" w:line="240" w:lineRule="auto"/>
        <w:ind w:firstLine="709"/>
        <w:jc w:val="both"/>
        <w:rPr>
          <w:rFonts w:ascii="Times New Roman" w:hAnsi="Times New Roman"/>
          <w:sz w:val="28"/>
          <w:szCs w:val="28"/>
          <w:shd w:val="clear" w:color="auto" w:fill="FFFFFF"/>
        </w:rPr>
      </w:pPr>
      <w:r w:rsidRPr="00A34117">
        <w:rPr>
          <w:rFonts w:ascii="Times New Roman" w:hAnsi="Times New Roman"/>
          <w:sz w:val="28"/>
          <w:szCs w:val="28"/>
          <w:shd w:val="clear" w:color="auto" w:fill="FFFFFF"/>
        </w:rPr>
        <w:t xml:space="preserve">Можно предположить, что законодателю Японии следует конкретизировать перечень оснований для лишения родительских прав по примеру РФ, а также дать по нему разъяснение для судов. Это поможет правильно квалифицировать виновные действия (бездействие) родителей по отношению к своим детям и в дальнейшем принимать решение, основываясь не только на внутренние убеждения, но и на закон. </w:t>
      </w:r>
    </w:p>
    <w:p w:rsidR="00A34117" w:rsidRPr="00A34117" w:rsidRDefault="00A34117" w:rsidP="005A3DF4">
      <w:pPr>
        <w:widowControl w:val="0"/>
        <w:spacing w:after="0" w:line="240" w:lineRule="auto"/>
        <w:ind w:firstLine="709"/>
        <w:jc w:val="both"/>
        <w:rPr>
          <w:rFonts w:ascii="Times New Roman" w:hAnsi="Times New Roman"/>
          <w:sz w:val="28"/>
          <w:szCs w:val="28"/>
          <w:shd w:val="clear" w:color="auto" w:fill="FFFFFF"/>
        </w:rPr>
      </w:pPr>
      <w:r w:rsidRPr="00A34117">
        <w:rPr>
          <w:rFonts w:ascii="Times New Roman" w:hAnsi="Times New Roman"/>
          <w:sz w:val="28"/>
          <w:szCs w:val="28"/>
          <w:shd w:val="clear" w:color="auto" w:fill="FFFFFF"/>
        </w:rPr>
        <w:t>Российский законодатель мог бы рассмотреть возможность законодательного закрепления права на отказ от родительских прав, который есть в Японии, предусмотрительно установив исчерпывающий перечень оснований для этого. Такое право в первую очередь должно быть у родителей, которые в силу жизненных обстоятельств не способны заботиться о ребенке и обеспечивать его. При этом родители должны иметь право</w:t>
      </w:r>
      <w:r w:rsidRPr="00A34117">
        <w:rPr>
          <w:rFonts w:ascii="Times New Roman" w:hAnsi="Times New Roman"/>
          <w:sz w:val="28"/>
          <w:szCs w:val="28"/>
        </w:rPr>
        <w:t xml:space="preserve"> </w:t>
      </w:r>
      <w:r w:rsidRPr="00A34117">
        <w:rPr>
          <w:rFonts w:ascii="Times New Roman" w:hAnsi="Times New Roman"/>
          <w:sz w:val="28"/>
          <w:szCs w:val="28"/>
          <w:shd w:val="clear" w:color="auto" w:fill="FFFFFF"/>
        </w:rPr>
        <w:t>возобновить родительские права в случае устранения обстоятельств, послуживших основанием для отказа от них.</w:t>
      </w:r>
    </w:p>
    <w:p w:rsidR="00A34117" w:rsidRPr="00A34117" w:rsidRDefault="00A34117" w:rsidP="005A3DF4">
      <w:pPr>
        <w:widowControl w:val="0"/>
        <w:spacing w:after="0" w:line="240" w:lineRule="auto"/>
        <w:ind w:firstLine="709"/>
        <w:jc w:val="both"/>
        <w:rPr>
          <w:rFonts w:ascii="Times New Roman" w:hAnsi="Times New Roman"/>
          <w:sz w:val="28"/>
          <w:szCs w:val="28"/>
          <w:shd w:val="clear" w:color="auto" w:fill="FFFFFF"/>
        </w:rPr>
      </w:pPr>
      <w:r w:rsidRPr="00A34117">
        <w:rPr>
          <w:rFonts w:ascii="Times New Roman" w:hAnsi="Times New Roman"/>
          <w:sz w:val="28"/>
          <w:szCs w:val="28"/>
          <w:shd w:val="clear" w:color="auto" w:fill="FFFFFF"/>
        </w:rPr>
        <w:t>Японский Гражданский кодекс также следует дополнить правилами о выплате алиментов на содержание ребенка родителями, родительские права которых приостановлены, и родителями, лишенными родительских прав, вопрос о которых должен решаться одновременно с решением о применении указанных мер. Кроме того, в Гражданский кодекс Японии необходимо включить положения о последствиях приостановления и лишения родительских прав, которые на данный момент нигде законодательно не закреплены.</w:t>
      </w:r>
    </w:p>
    <w:p w:rsidR="00A34117" w:rsidRPr="00A34117" w:rsidRDefault="00A34117" w:rsidP="005A3DF4">
      <w:pPr>
        <w:widowControl w:val="0"/>
        <w:spacing w:after="0" w:line="240" w:lineRule="auto"/>
        <w:ind w:firstLine="709"/>
        <w:jc w:val="center"/>
        <w:rPr>
          <w:rFonts w:ascii="Times New Roman" w:hAnsi="Times New Roman"/>
          <w:sz w:val="28"/>
          <w:szCs w:val="28"/>
        </w:rPr>
      </w:pPr>
      <w:r w:rsidRPr="00A34117">
        <w:rPr>
          <w:rFonts w:ascii="Times New Roman" w:hAnsi="Times New Roman"/>
          <w:sz w:val="28"/>
          <w:szCs w:val="28"/>
        </w:rPr>
        <w:t>Список использованных источников</w:t>
      </w:r>
    </w:p>
    <w:p w:rsidR="00A34117" w:rsidRPr="00D85BAB" w:rsidRDefault="00A34117" w:rsidP="005A3DF4">
      <w:pPr>
        <w:widowControl w:val="0"/>
        <w:spacing w:after="0" w:line="240" w:lineRule="auto"/>
        <w:ind w:firstLine="709"/>
        <w:jc w:val="both"/>
        <w:rPr>
          <w:rFonts w:ascii="Times New Roman" w:eastAsia="Times New Roman" w:hAnsi="Times New Roman"/>
          <w:sz w:val="28"/>
          <w:szCs w:val="28"/>
          <w:lang w:eastAsia="ru-RU"/>
        </w:rPr>
      </w:pPr>
      <w:r w:rsidRPr="00A34117">
        <w:rPr>
          <w:rFonts w:ascii="Times New Roman" w:eastAsia="Times New Roman" w:hAnsi="Times New Roman"/>
          <w:sz w:val="28"/>
          <w:szCs w:val="28"/>
          <w:lang w:eastAsia="ru-RU"/>
        </w:rPr>
        <w:t>1 Семейный кодекс Российской Федерации: федеральный закон от 29.12.1995 №223-ФЗ (ред. от 18.03.2019) [Электронный ресурс] // СПС «КонсультантПлюс». – Режим доступа: http://www.</w:t>
      </w:r>
      <w:r w:rsidRPr="00D85BAB">
        <w:rPr>
          <w:rFonts w:ascii="Times New Roman" w:eastAsia="Times New Roman" w:hAnsi="Times New Roman"/>
          <w:sz w:val="28"/>
          <w:szCs w:val="28"/>
          <w:lang w:eastAsia="ru-RU"/>
        </w:rPr>
        <w:t xml:space="preserve">consultant.ru/document/cons_doc_LAW_8982/  </w:t>
      </w:r>
    </w:p>
    <w:p w:rsidR="00A34117" w:rsidRPr="00D85BAB" w:rsidRDefault="00A34117" w:rsidP="005A3DF4">
      <w:pPr>
        <w:widowControl w:val="0"/>
        <w:spacing w:after="0" w:line="240" w:lineRule="auto"/>
        <w:ind w:firstLine="709"/>
        <w:jc w:val="both"/>
        <w:rPr>
          <w:rFonts w:ascii="Times New Roman" w:eastAsia="Times New Roman" w:hAnsi="Times New Roman"/>
          <w:sz w:val="28"/>
          <w:szCs w:val="28"/>
          <w:lang w:val="en-US" w:eastAsia="ru-RU"/>
        </w:rPr>
      </w:pPr>
      <w:r w:rsidRPr="00D85BAB">
        <w:rPr>
          <w:rFonts w:ascii="Times New Roman" w:eastAsia="Times New Roman" w:hAnsi="Times New Roman"/>
          <w:sz w:val="28"/>
          <w:szCs w:val="28"/>
          <w:lang w:val="en-US" w:eastAsia="ru-RU"/>
        </w:rPr>
        <w:t xml:space="preserve">2 Japanese Civil Code. Part IV and Part V. Art. 725-1044. (Tentative translation) [Electronic resources] // Japanese Law Translation. – URL: </w:t>
      </w:r>
      <w:hyperlink r:id="rId72" w:history="1">
        <w:r w:rsidRPr="00D85BAB">
          <w:rPr>
            <w:rStyle w:val="a8"/>
            <w:rFonts w:ascii="Times New Roman" w:eastAsia="Times New Roman" w:hAnsi="Times New Roman"/>
            <w:color w:val="auto"/>
            <w:sz w:val="28"/>
            <w:szCs w:val="28"/>
            <w:u w:val="none"/>
            <w:lang w:val="en-US" w:eastAsia="ru-RU"/>
          </w:rPr>
          <w:t>http://www.japaneselawtranslation.go.jp/law/detail/?id=2252&amp;vm=04&amp;re=02</w:t>
        </w:r>
      </w:hyperlink>
      <w:r w:rsidRPr="00D85BAB">
        <w:rPr>
          <w:rFonts w:ascii="Times New Roman" w:eastAsia="Times New Roman" w:hAnsi="Times New Roman"/>
          <w:sz w:val="28"/>
          <w:szCs w:val="28"/>
          <w:lang w:val="en-US" w:eastAsia="ru-RU"/>
        </w:rPr>
        <w:t>.</w:t>
      </w:r>
    </w:p>
    <w:p w:rsidR="00A34117" w:rsidRPr="00D85BAB" w:rsidRDefault="00A34117" w:rsidP="005A3DF4">
      <w:pPr>
        <w:widowControl w:val="0"/>
        <w:spacing w:after="0" w:line="240" w:lineRule="auto"/>
        <w:ind w:firstLine="709"/>
        <w:jc w:val="both"/>
        <w:rPr>
          <w:rFonts w:ascii="Times New Roman" w:eastAsia="Times New Roman" w:hAnsi="Times New Roman"/>
          <w:sz w:val="28"/>
          <w:szCs w:val="28"/>
          <w:lang w:val="en-US" w:eastAsia="ru-RU"/>
        </w:rPr>
      </w:pPr>
      <w:r w:rsidRPr="00D85BAB">
        <w:rPr>
          <w:rFonts w:ascii="Times New Roman" w:eastAsia="Times New Roman" w:hAnsi="Times New Roman"/>
          <w:sz w:val="28"/>
          <w:szCs w:val="28"/>
          <w:lang w:val="en-US" w:eastAsia="ru-RU"/>
        </w:rPr>
        <w:t xml:space="preserve">3 Japan Intercountry Adoption Information [Electronic resources] // Travel.State.Gov. – URL:  </w:t>
      </w:r>
      <w:hyperlink r:id="rId73" w:history="1">
        <w:r w:rsidRPr="00D85BAB">
          <w:rPr>
            <w:rStyle w:val="a8"/>
            <w:rFonts w:ascii="Times New Roman" w:eastAsia="Times New Roman" w:hAnsi="Times New Roman"/>
            <w:color w:val="auto"/>
            <w:sz w:val="28"/>
            <w:szCs w:val="28"/>
            <w:u w:val="none"/>
            <w:lang w:val="en-US" w:eastAsia="ru-RU"/>
          </w:rPr>
          <w:t>https://travel.state.gov/content/travel/en/Intercountry-Adoption/Intercountry-Adoption-Country-Information/Japan.html</w:t>
        </w:r>
      </w:hyperlink>
    </w:p>
    <w:p w:rsidR="00A34117" w:rsidRPr="00D85BAB" w:rsidRDefault="00A34117" w:rsidP="005A3DF4">
      <w:pPr>
        <w:widowControl w:val="0"/>
        <w:spacing w:after="0" w:line="240" w:lineRule="auto"/>
        <w:ind w:firstLine="709"/>
        <w:jc w:val="both"/>
        <w:rPr>
          <w:rFonts w:ascii="Times New Roman" w:eastAsia="Times New Roman" w:hAnsi="Times New Roman"/>
          <w:sz w:val="28"/>
          <w:szCs w:val="28"/>
          <w:lang w:eastAsia="ru-RU"/>
        </w:rPr>
      </w:pPr>
      <w:r w:rsidRPr="00D85BAB">
        <w:rPr>
          <w:rFonts w:ascii="Times New Roman" w:eastAsia="Times New Roman" w:hAnsi="Times New Roman"/>
          <w:sz w:val="28"/>
          <w:szCs w:val="28"/>
          <w:lang w:eastAsia="ru-RU"/>
        </w:rPr>
        <w:t xml:space="preserve">4 О практике применения судами законодательства при разрешении </w:t>
      </w:r>
      <w:r w:rsidRPr="00D85BAB">
        <w:rPr>
          <w:rFonts w:ascii="Times New Roman" w:eastAsia="Times New Roman" w:hAnsi="Times New Roman"/>
          <w:sz w:val="28"/>
          <w:szCs w:val="28"/>
          <w:lang w:eastAsia="ru-RU"/>
        </w:rPr>
        <w:lastRenderedPageBreak/>
        <w:t>споров, связанных с защитой прав и законных интересов ребенка при непосредственной угрозе его жизни или здоровью, а также при ограничении или лишении родительских прав: постановление Пленума Верховного Суда РФ от 14.11.2017 № 44 [Электронный ресурс] // СПС «КонсультантПлюс». – Режим доступа: http://www.consultant.ru/document/cons_doc_LAW_282678/</w:t>
      </w:r>
    </w:p>
    <w:p w:rsidR="00A34117" w:rsidRPr="00D85BAB" w:rsidRDefault="00A34117" w:rsidP="005A3DF4">
      <w:pPr>
        <w:widowControl w:val="0"/>
        <w:spacing w:after="0" w:line="240" w:lineRule="auto"/>
        <w:ind w:firstLine="709"/>
        <w:jc w:val="both"/>
        <w:rPr>
          <w:rFonts w:ascii="Times New Roman" w:hAnsi="Times New Roman"/>
          <w:sz w:val="28"/>
          <w:szCs w:val="28"/>
          <w:lang w:val="en-US"/>
        </w:rPr>
      </w:pPr>
      <w:r w:rsidRPr="00D85BAB">
        <w:rPr>
          <w:rFonts w:ascii="Times New Roman" w:eastAsia="Times New Roman" w:hAnsi="Times New Roman"/>
          <w:sz w:val="28"/>
          <w:szCs w:val="28"/>
          <w:lang w:val="en-US" w:eastAsia="ru-RU"/>
        </w:rPr>
        <w:t xml:space="preserve">5 </w:t>
      </w:r>
      <w:r w:rsidRPr="00D85BAB">
        <w:rPr>
          <w:rFonts w:ascii="Times New Roman" w:hAnsi="Times New Roman"/>
          <w:sz w:val="28"/>
          <w:szCs w:val="28"/>
          <w:lang w:val="en-US"/>
        </w:rPr>
        <w:t>Domestic Relations Case Procedure Act. Act No. 52 of May 25, 2011 [Electronic resources] // Japanese Law Translation. – URL: http://www.japaneselawtranslation.go.jp/law/detail/?printID=&amp;ft=1&amp;re=02&amp;dn=1&amp;x=47&amp;y=15&amp;co=01&amp;ia=03&amp;ky=law+on+family+relationship+procedure+no.+52+of+may+25%2C+2011&amp;page=3&amp;vm=02</w:t>
      </w:r>
    </w:p>
    <w:p w:rsidR="00A34117" w:rsidRPr="00D85BAB" w:rsidRDefault="00A34117" w:rsidP="005A3DF4">
      <w:pPr>
        <w:widowControl w:val="0"/>
        <w:spacing w:after="0" w:line="240" w:lineRule="auto"/>
        <w:ind w:firstLine="709"/>
        <w:jc w:val="both"/>
        <w:rPr>
          <w:rFonts w:ascii="Times New Roman" w:eastAsia="Times New Roman" w:hAnsi="Times New Roman"/>
          <w:sz w:val="28"/>
          <w:szCs w:val="28"/>
          <w:lang w:eastAsia="ru-RU"/>
        </w:rPr>
      </w:pPr>
      <w:r w:rsidRPr="00D85BAB">
        <w:rPr>
          <w:rFonts w:ascii="Times New Roman" w:hAnsi="Times New Roman"/>
          <w:sz w:val="28"/>
          <w:szCs w:val="28"/>
        </w:rPr>
        <w:t xml:space="preserve">6 </w:t>
      </w:r>
      <w:r w:rsidRPr="00D85BAB">
        <w:rPr>
          <w:rFonts w:ascii="Times New Roman" w:eastAsia="Times New Roman" w:hAnsi="Times New Roman"/>
          <w:sz w:val="28"/>
          <w:szCs w:val="28"/>
          <w:lang w:eastAsia="ru-RU"/>
        </w:rPr>
        <w:t xml:space="preserve">Гражданский процессуальный кодекс Российской Федерации: федеральный закон от 14.11.2002 № 138-ФЗ (ред. от 27.12.2018) [Электронный ресурс] // СПС «КонсультантПлюс». – Режим доступа: </w:t>
      </w:r>
      <w:hyperlink r:id="rId74" w:anchor="041412152144376835" w:history="1">
        <w:r w:rsidRPr="00D85BAB">
          <w:rPr>
            <w:rStyle w:val="a8"/>
            <w:rFonts w:ascii="Times New Roman" w:eastAsia="Times New Roman" w:hAnsi="Times New Roman"/>
            <w:color w:val="auto"/>
            <w:sz w:val="28"/>
            <w:szCs w:val="28"/>
            <w:u w:val="none"/>
            <w:lang w:eastAsia="ru-RU"/>
          </w:rPr>
          <w:t>http://www.consultant.ru/cons/cgi/online.cgi?req=doc&amp;base=LAW&amp;n=314901&amp;fld=134&amp;dst=100006,0&amp;rnd=0.9998995295360595#041412152144376835</w:t>
        </w:r>
      </w:hyperlink>
    </w:p>
    <w:p w:rsidR="00A34117" w:rsidRPr="00D85BAB" w:rsidRDefault="00A34117" w:rsidP="005A3DF4">
      <w:pPr>
        <w:widowControl w:val="0"/>
        <w:spacing w:after="0" w:line="240" w:lineRule="auto"/>
        <w:ind w:firstLine="709"/>
        <w:jc w:val="both"/>
        <w:rPr>
          <w:rFonts w:ascii="Times New Roman" w:hAnsi="Times New Roman"/>
          <w:sz w:val="28"/>
          <w:szCs w:val="28"/>
          <w:lang w:val="en-US"/>
        </w:rPr>
      </w:pPr>
      <w:r w:rsidRPr="00D85BAB">
        <w:rPr>
          <w:rFonts w:ascii="Times New Roman" w:eastAsia="Times New Roman" w:hAnsi="Times New Roman"/>
          <w:sz w:val="28"/>
          <w:szCs w:val="28"/>
          <w:lang w:val="en-US" w:eastAsia="ru-RU"/>
        </w:rPr>
        <w:t xml:space="preserve">7 </w:t>
      </w:r>
      <w:r w:rsidRPr="00D85BAB">
        <w:rPr>
          <w:rFonts w:ascii="Times New Roman" w:hAnsi="Times New Roman"/>
          <w:sz w:val="28"/>
          <w:szCs w:val="28"/>
          <w:lang w:val="en-US"/>
        </w:rPr>
        <w:t xml:space="preserve">Family courts in Japan [Electronic resources] // THE LAW OFFICE OF JEREMY D. MORLEY. – URL:  </w:t>
      </w:r>
      <w:hyperlink r:id="rId75" w:history="1">
        <w:r w:rsidRPr="00D85BAB">
          <w:rPr>
            <w:rStyle w:val="a8"/>
            <w:rFonts w:ascii="Times New Roman" w:hAnsi="Times New Roman"/>
            <w:color w:val="auto"/>
            <w:sz w:val="28"/>
            <w:szCs w:val="28"/>
            <w:u w:val="none"/>
            <w:lang w:val="en-US"/>
          </w:rPr>
          <w:t>https://www.international-divorce.com/japan_family_courts.htm</w:t>
        </w:r>
      </w:hyperlink>
    </w:p>
    <w:p w:rsidR="00A34117" w:rsidRPr="00D85BAB" w:rsidRDefault="00A34117" w:rsidP="005A3DF4">
      <w:pPr>
        <w:widowControl w:val="0"/>
        <w:spacing w:after="0" w:line="240" w:lineRule="auto"/>
        <w:ind w:firstLine="709"/>
        <w:jc w:val="both"/>
        <w:rPr>
          <w:rFonts w:ascii="Times New Roman" w:hAnsi="Times New Roman"/>
          <w:sz w:val="28"/>
          <w:szCs w:val="28"/>
        </w:rPr>
      </w:pPr>
      <w:r w:rsidRPr="00D85BAB">
        <w:rPr>
          <w:rFonts w:ascii="Times New Roman" w:hAnsi="Times New Roman"/>
          <w:sz w:val="28"/>
          <w:szCs w:val="28"/>
        </w:rPr>
        <w:t>8 Сакаэ Вагацума. Гражданское право Японии: в 2 т. Т. 2 / Сакаэ Вагацума, Тору Ариидзуми; пер. с англ. В.В. Батуренко, под ред. Р.О. Халфиной. – М.: Прогресс, 1983. – 335 с.</w:t>
      </w:r>
    </w:p>
    <w:p w:rsidR="00A34117" w:rsidRPr="00A34117" w:rsidRDefault="00A34117" w:rsidP="005A3DF4">
      <w:pPr>
        <w:widowControl w:val="0"/>
        <w:spacing w:after="0" w:line="240" w:lineRule="auto"/>
        <w:ind w:firstLine="709"/>
        <w:jc w:val="both"/>
        <w:rPr>
          <w:rFonts w:ascii="Times New Roman" w:hAnsi="Times New Roman"/>
          <w:sz w:val="28"/>
          <w:szCs w:val="28"/>
        </w:rPr>
      </w:pPr>
      <w:r w:rsidRPr="00D85BAB">
        <w:rPr>
          <w:rFonts w:ascii="Times New Roman" w:hAnsi="Times New Roman"/>
          <w:sz w:val="28"/>
          <w:szCs w:val="28"/>
        </w:rPr>
        <w:t>9 Можно ли отказаться от родительских прав и обязанностей? [Электронный ресурс] // Электронный журнал «Азбука права». – 2019.  // СПС «КонсультантПлюс».</w:t>
      </w:r>
      <w:r w:rsidRPr="00A34117">
        <w:rPr>
          <w:rFonts w:ascii="Times New Roman" w:hAnsi="Times New Roman"/>
          <w:sz w:val="28"/>
          <w:szCs w:val="28"/>
        </w:rPr>
        <w:t xml:space="preserve"> – Режим доступа: http://www.consultant.ru/cons/cgi/online.cgi?req=doc&amp;base=PBI&amp;n= 200227#003 5836951383007465</w:t>
      </w:r>
    </w:p>
    <w:p w:rsidR="00653BCC" w:rsidRPr="00467B95" w:rsidRDefault="00653BCC" w:rsidP="005A3DF4">
      <w:pPr>
        <w:widowControl w:val="0"/>
        <w:spacing w:after="0" w:line="240" w:lineRule="auto"/>
        <w:ind w:firstLine="709"/>
        <w:contextualSpacing/>
        <w:jc w:val="both"/>
        <w:rPr>
          <w:rFonts w:ascii="Times New Roman" w:hAnsi="Times New Roman"/>
          <w:sz w:val="28"/>
          <w:szCs w:val="28"/>
        </w:rPr>
      </w:pP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Применение договора возмездного оказания услуг в правоотношениях со спортсменами и тренерами в Российской Федерации и Республике Беларусь</w:t>
      </w:r>
    </w:p>
    <w:p w:rsidR="00084C7B" w:rsidRPr="00467B95" w:rsidRDefault="00084C7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Селицкий Максим Владимирович</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БЮП-15-04м группы, 4 курса Институт права</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 xml:space="preserve">Настоящая статья посвящена исследованию вопросов применения договора возмездного оказания услуг в правоотношениях со спортсменами и тренерами. Невзирая на то, что в 2008 году вместе с принятием нового закона, регулирующего спорт в России, в трудовой кодекс была введена глава, посвящённая регулированию труда спортсменов и тренеров, а в 2013 году был установлен приоритет норм трудового права над нормами гражданского права, вопрос возможности применения договора возмездного оказания услуг в отношениях со спортсменами и тренерами до сих пор </w:t>
      </w:r>
      <w:r w:rsidRPr="00467B95">
        <w:rPr>
          <w:rFonts w:ascii="Times New Roman" w:eastAsia="Times New Roman" w:hAnsi="Times New Roman"/>
          <w:i/>
          <w:kern w:val="36"/>
          <w:sz w:val="28"/>
          <w:szCs w:val="28"/>
          <w:lang w:eastAsia="ru-RU"/>
        </w:rPr>
        <w:lastRenderedPageBreak/>
        <w:t>поднимается как в профессиональной среде, так и в научном сообществе. Несмотря на все его преимущества, рассмотренная модель регулирования отношений неприменима, хоть и существует положительный опыт регулирования в соседних странах, который диаметрально противоположен способу, выбранному российским законодателем. В данной статье будут приведён как и преимущества использования договора возмездного оказания услуг, так и опыт Республики Беларусь в регулировании рассматриваемых отношений.</w:t>
      </w:r>
    </w:p>
    <w:p w:rsidR="00AD7E64" w:rsidRDefault="00AD7E64"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eastAsia="ru-RU"/>
        </w:rPr>
      </w:pP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F732A2">
        <w:rPr>
          <w:rFonts w:ascii="Times New Roman" w:eastAsia="Times New Roman" w:hAnsi="Times New Roman"/>
          <w:i/>
          <w:kern w:val="36"/>
          <w:sz w:val="28"/>
          <w:szCs w:val="28"/>
          <w:lang w:eastAsia="ru-RU"/>
        </w:rPr>
        <w:t>Ключевые слова и словосочетания</w:t>
      </w:r>
      <w:r w:rsidRPr="00467B95">
        <w:rPr>
          <w:rFonts w:ascii="Times New Roman" w:eastAsia="Times New Roman" w:hAnsi="Times New Roman"/>
          <w:i/>
          <w:kern w:val="36"/>
          <w:sz w:val="28"/>
          <w:szCs w:val="28"/>
          <w:lang w:eastAsia="ru-RU"/>
        </w:rPr>
        <w:t>: спорт, спортсмены, тренеры, договор возмездного оказания услуг, Россия, Беларусь.</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Application of a paid services agreement in legal relations with athletes and coaches in the Russian Federation and the Republic of Belarus</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Selitskii Maksim Vladimirovich</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BIP-15-04</w:t>
      </w:r>
      <w:r w:rsidRPr="00467B95">
        <w:rPr>
          <w:rFonts w:ascii="Times New Roman" w:eastAsia="Times New Roman" w:hAnsi="Times New Roman"/>
          <w:kern w:val="36"/>
          <w:sz w:val="28"/>
          <w:szCs w:val="28"/>
          <w:lang w:eastAsia="ru-RU"/>
        </w:rPr>
        <w:t>м</w:t>
      </w:r>
      <w:r w:rsidRPr="00467B95">
        <w:rPr>
          <w:rFonts w:ascii="Times New Roman" w:eastAsia="Times New Roman" w:hAnsi="Times New Roman"/>
          <w:kern w:val="36"/>
          <w:sz w:val="28"/>
          <w:szCs w:val="28"/>
          <w:lang w:val="en-US" w:eastAsia="ru-RU"/>
        </w:rPr>
        <w:t xml:space="preserve"> group, 4 course, Institute of law</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State University of Economics and Service</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00108B" w:rsidRPr="00467B95" w:rsidRDefault="0000108B"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00108B" w:rsidRPr="00467B95" w:rsidRDefault="0000108B"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467B95">
        <w:rPr>
          <w:rFonts w:ascii="Times New Roman" w:hAnsi="Times New Roman"/>
          <w:i/>
          <w:iCs/>
          <w:kern w:val="36"/>
          <w:sz w:val="28"/>
          <w:szCs w:val="28"/>
          <w:lang w:val="en-US" w:eastAsia="ru-RU"/>
        </w:rPr>
        <w:t>This article is devoted to the study of issues of the application of a contract for the provision of services in legal relations with athletes and coaches. Despite the fact that in 2008, together with the adoption of a new law regulating sports in Russia, a chapter was introduced in the labor code on the regulation of the work of athletes and coaches, and in 2013 priority was given to labor law norms over civil law, the application of a contract of paid services in relations with athletes and coaches is still rising in the professional environment and in the scientific community. Despite all its advantages, the considered model of regulation of relations is not applicable, although there is a positive regulatory experience in neighboring countries, which is diametrically opposed to the method chosen by the Russian legislator. This article will present both the advantages of using a contract of paid services, and the experience of the Republic of Belarus in regulating the relations in question.</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F732A2">
        <w:rPr>
          <w:rFonts w:ascii="Times New Roman" w:eastAsia="Times New Roman" w:hAnsi="Times New Roman"/>
          <w:i/>
          <w:kern w:val="36"/>
          <w:sz w:val="28"/>
          <w:szCs w:val="28"/>
          <w:lang w:val="en-US" w:eastAsia="ru-RU"/>
        </w:rPr>
        <w:t>Keywords and phrases:</w:t>
      </w:r>
      <w:r w:rsidRPr="00467B95">
        <w:rPr>
          <w:rFonts w:ascii="Times New Roman" w:eastAsia="Times New Roman" w:hAnsi="Times New Roman"/>
          <w:i/>
          <w:kern w:val="36"/>
          <w:sz w:val="28"/>
          <w:szCs w:val="28"/>
          <w:lang w:val="en-US" w:eastAsia="ru-RU"/>
        </w:rPr>
        <w:t xml:space="preserve"> sports, athletes, coaches, paid services agreement, Russia, Belarus.</w:t>
      </w:r>
    </w:p>
    <w:p w:rsidR="0000108B" w:rsidRPr="00467B95" w:rsidRDefault="0000108B"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val="en-US" w:eastAsia="ru-RU"/>
        </w:rPr>
      </w:pP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Отношения между спортсменом, тренером с одной стороны и спортивной организацией с другой, помимо трудового договора могут регулироваться (а до принятия урегулированы Федеральным законом от 04.12.2007 № 329-ФЗ «О физической культуре и спорте в Российской Федерации» зачастую и регулировались) нормами гражданского права по модели договора возмездного оказания услуг [1]. </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Как отмечает О.А. Шевченко [2, с. 53], трудовой кодекс устанавливает приоритет норм трудового права над нормами гражданского права, поэтому </w:t>
      </w:r>
      <w:r w:rsidRPr="00467B95">
        <w:rPr>
          <w:rFonts w:ascii="Times New Roman" w:eastAsia="Times New Roman" w:hAnsi="Times New Roman"/>
          <w:sz w:val="28"/>
          <w:szCs w:val="28"/>
          <w:lang w:eastAsia="ru-RU"/>
        </w:rPr>
        <w:lastRenderedPageBreak/>
        <w:t>спортивные клубы чаще выбирают трудовые договоры как способ регулирования отношений со спортсменами и тренерами.</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ранее действовавшем законе, регулирующем спорт в России такой договор именовался «контракт о спортивной деятельности» [3].</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По контракту о спортивной деятельности, спортсмен (исполнитель) обязуется по заданию спортивной организации (заказчик) оказать спортивные услуги, то есть участвовать в тренировочных мероприятиях и соревнованиях, а спортивная организация обязуется эти услуги оплатить. </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Но всё же случаи заключения гражданско-правовых договоров нередки, так как у гражданско-правового регулирования трудовых отношений есть свои преимущества при применении на практике. </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первую очередь гражданско-правовой договор выгоден спортивной организацией, так как в таком случае он не будят связан обязанностью включать в такой договор условия и гарантии для спортсменов и тренеров. Условиями, у которых есть возможность “выпасть” из гражданско-правового договора могут быть такие условия как предоставление основного и дополнительного отпуска, страхование жизни и здоровья, страхование по полису ДМС и другие. Что касается включения в договор дополнительных условий и гарантий спортсменом и тренером, то это допускается и трудовым договором</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У спортсменов и тренеров есть возможность убрать некомфортные для себя обязанности, так как гражданско-правовой договор заключается на принципе свободы договора, согласно которому стороны свободны как в заключении договора, так и в выработке его условий. Такой обязанностью может быть например обязанность спортсмена принимать участие в соревнованиях по указанию работодателя, ввиду чего у спортсменов появится возможность играть в нескольких спортивных организациях. Такая возможность может находить своё применение на уровне полупрофессионального спорта, где существенно меньшее количество тренировок и физических нагрузок чем в профессиональном.</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Также спортивная организация может включить дополнительные обязанности для спортсменов и тренеров, не относящиеся к трудовым. Так, в договор, например, могут быть обязанности по рекламе спонсоров, предоставление спортсмену и тренеру жилого помещения и ряд других условий [4].</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Специальная норма трудового законодательства устанавливает, что в трудовой договор со спортсменом может быть включено условие о компенсации в пользу работодателя в случае расторжения трудового договора по инициативе или вине работника. Обратная же ситуация урегулирована общими нормами трудового кодекса и компенсация в таком случае исчисляется исходя из среднего месячного заработка. В гражданско-правовом договоре существует возможность установить фиксированный размер выплаты, при расторжении договора, составляющий бо́льшие суммы, чем средний заработок, что может послужить гарантией спортсмену и </w:t>
      </w:r>
      <w:r w:rsidRPr="00467B95">
        <w:rPr>
          <w:rFonts w:ascii="Times New Roman" w:eastAsia="Times New Roman" w:hAnsi="Times New Roman"/>
          <w:sz w:val="28"/>
          <w:szCs w:val="28"/>
          <w:lang w:eastAsia="ru-RU"/>
        </w:rPr>
        <w:lastRenderedPageBreak/>
        <w:t xml:space="preserve">тренеру в случае необоснованного или просто одностороннего расторжения договора спортивной организацией. Особенно от такой проблемы страдают тренеры, так как у тренера может возникнуть конфликт с устоявшимся коллективом спортсменов, что непосредственно влияет на результат. И в таком случае легче заменить тренера, чем костяк команды. </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профессиональном спорте нередки случаи, когда игрок, приходя в команду, рассчитывает играть в основном составе, часто (по крайней мере не редко) выходить на поле, но в силу разных причин этого не происходит, а игрок привлекается к играм и тренировкам за дублирующий состав. С точки зрения трудового права всё соответствует закону: работодатель обеспечивает проведение тренировок и участие в соревнованиях. Но такая ситуация не соответствует требованиям игрока. В гражданско-правовом договоре существует возможность установить обязанность спортивной организации обеспечить участие игрока в определённом количестве матчей в определённой лиге, а за неисполнение такой обязанности установить штраф.</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Гражданское право не знает дисциплинарной ответственности, и, соответственно, к спортсменам и тренерам нельзя применить такие дисциплинарные взыскания, как замечание, выговор, увольнение. Но при этом, дисциплинарная ответственность на практике заменяется установлением высоких штрафов и дополнительных оснований для расторжения гражданско-правового договора.</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Также стоит упомянуть, что иногда отношения между спортсменом и спортивной организацией не получают никакого письменного оформления, например при «просмотре» спортсмена с целью оценки его профессиональных качеств и соответствия уровню спортивной команды [4]. Думается, что в таком случае применим трудовой договор, так как гражданско-правовой может не дать тех гарантий, которые необходимы спортсмену, например в части страхования здоровья спортсмена.</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Самым главным минусом гражданско-правового регулирования является возможность признания отношений, связанных с использованием личного труда и возникших на основании гражданско-правового договора, трудовыми отношениями, что уже упоминалось выше.</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Но всё же, думается, что нельзя не согласиться с мнением О. А. Шевченко, которая утверждает, что профессиональные спортсмены, которые занимаются командными видами спорта, более склонны заключать с профессиональными клубами гражданско-правовые договоры, так как для них более выгодна гибкость правоотношений и отсутствие их чрезмерного регулирования. В свою очередь, спортивные организации, также стремятся избежать дополнительных расходов и обязательств, связанных с заключением со спортсменами трудовых договоров, учитывая, что экономическая ситуация во многих профессиональных клубах сложная и, даже, критическая» [2, с. 181].</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Очень интересен опыт регулирования труда спортсменов и тренеров в Республике Беларусь.</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lastRenderedPageBreak/>
        <w:t>Закон РБ «О физической культуре и спорте» разрешает заключение гражданско-правовых договоров с профессиональными спортсменами и тренерами [5]. Особенности заключения гражданско-правовых договоров постановлением Министерства спорта и туризма Республики Беларусь [6].</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 гражданско-правовые договоры со спортсменами и тренерами могут заключать юридические лица и индивидуальные предприниматели, которые именуются заказчиками. Договор заключается в письменной форме и должен содержать ряд специальных существенных условий.</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Гражданско-правовой договор должен содержать условия и порядок обеспечения участия спортсмена в соревнованиях, материально-технического, медицинского, научно-методического обеспечения.</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К существенным условиям относятся и те спортивные результаты, которых нужно достигнуть спортсмену либо обеспечить достижение тренеру.</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Также в договор необходимо включить такие обязанности, как обязанность спортсмена, включённого в состав сборной команды, участвовать в спортивных мероприятиях этой команды, обязанность заказчика направлять в сборные спортсменов, включённых в их состав, права и обязанностей спортсменов и тренеров, установленные Законом РБ «О физической культуре и спорте» и ответственность за их неисполнение, обязанность спортсмена предоставлять документы, подтверждающие прохождение медицинского осмотра.</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К существенным условиям относятся и дополнительные основания досрочного расторжения гражданско-правового договора, которые аналогичны основаниям, указанным в статье о расторжении трудового договора со спортсменом и тренером в ТК РБ. К таким основаниям относятся спортивная дисквалификация, нарушение спортивного режима,</w:t>
      </w:r>
      <w:r w:rsidRPr="00467B95">
        <w:rPr>
          <w:rFonts w:ascii="Times New Roman" w:hAnsi="Times New Roman"/>
          <w:sz w:val="28"/>
          <w:szCs w:val="28"/>
        </w:rPr>
        <w:t xml:space="preserve"> </w:t>
      </w:r>
      <w:r w:rsidRPr="00467B95">
        <w:rPr>
          <w:rFonts w:ascii="Times New Roman" w:eastAsia="Times New Roman" w:hAnsi="Times New Roman"/>
          <w:sz w:val="28"/>
          <w:szCs w:val="28"/>
          <w:lang w:eastAsia="ru-RU"/>
        </w:rPr>
        <w:t>отказ спортсмена, включенного сборную команду Республики Беларусь, от участия в спортивных мероприятиях, проводимых спортивной федерацией (союзом, ассоциацией), неисполнение спортсменом или тренером условия о достижении определенных спортивных результатов.</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Указанные существенные условия во многом аналогичны положениям трудового законодательства. Думается, что это сделано с целью обеспечить права как работников, так и нанимателей, а также унифицировать отношения спортсменов и тренеров со спортивными организациями, которые возникают на основании разных моделей договоров. </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Вместе с тем, в России отношения, связанные с использованием личного труда и возникшие на основании гражданско-правового договора признаются трудовыми отношениями.</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Представляется, что такой подход российского законодателя не является верным, а подход белорусского законодателя лучше отвечает специфике спорта, требованиям и запросам обоих сторон правоотношений. К тому же нельзя не согласиться с мнением О. А. Шевченко, которая утверждает, что «занимающиеся командными видами спорта профессиональные спортсмены, для которых более предпочтительны </w:t>
      </w:r>
      <w:r w:rsidRPr="00467B95">
        <w:rPr>
          <w:rFonts w:ascii="Times New Roman" w:eastAsia="Times New Roman" w:hAnsi="Times New Roman"/>
          <w:sz w:val="28"/>
          <w:szCs w:val="28"/>
          <w:lang w:eastAsia="ru-RU"/>
        </w:rPr>
        <w:lastRenderedPageBreak/>
        <w:t>гибкость правоотношений и отсутствие чрезмерного их регулирования, стремятся заключать со своими клубами гражданско-правовые договоры. В свою очередь, спортивные организации, особенно в сложных экономических условиях, при корпоративном спонсорстве и иных источниках финансирования, также желают избежать дополнительных расходов и обязательств, связанных с заключением со спортсменами трудовых договоров» [2, с. 181].</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Также, стоит заметить, что в договоре возмездного оказания услуг возможно предусмотреть те условия и обязанности, которые в трудовую функцию не входят. Такими условиями могут быть обязанности по рекламе спонсоров, предоставление спортсмену и тренеру жилого помещения и ряд других условий [4]. Спортивная организация может включить дополнительные обязанности для спортсменов и тренеров, не относящиеся к трудовым обязанностям. Так, в договор например может быть включена обязанность участия в рекламных компаниях спонсоров. </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Таким образом, контракт о спортивной деятельности, применяемый ранее вместо трудового договора спортсмена/тренера со спортивной организацией, в данный момент не жизнеспособен, хоть и имеет свои преимущества в случае его использования. </w:t>
      </w:r>
    </w:p>
    <w:p w:rsidR="0000108B" w:rsidRPr="00467B95" w:rsidRDefault="0000108B"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Представляется, что введение возможности заключать гражданско-правовые договоры со спортсменами (что можно сделать, опираясь на опыт Республики Беларусь) положительно бы повлияло на развитие спорта, предоставив всем сторонам какие-то выгоды, но в настоящее время это невозможно в связи с жёсткой позицией законодателя по этому вопросу.</w:t>
      </w:r>
    </w:p>
    <w:p w:rsidR="00AD7E64" w:rsidRPr="00467B95" w:rsidRDefault="00AD7E64"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1) О физической культуре и спорте в Российской Федерации: федеральный закон от 04.12.2007 № 329-ФЗ (ред. от 27.12.2018) [Электронный ресурс] // СПС «КонсультантПлюс». – Режим доступа: http://www.consultant.ru/document/cons_doc_LAW_73038/.</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bCs/>
          <w:sz w:val="28"/>
          <w:szCs w:val="28"/>
          <w:lang w:eastAsia="ru-RU"/>
        </w:rPr>
      </w:pPr>
      <w:r w:rsidRPr="00467B95">
        <w:rPr>
          <w:rFonts w:ascii="Times New Roman" w:eastAsia="Times New Roman" w:hAnsi="Times New Roman"/>
          <w:sz w:val="28"/>
          <w:szCs w:val="28"/>
          <w:lang w:eastAsia="ru-RU"/>
        </w:rPr>
        <w:t xml:space="preserve">2) </w:t>
      </w:r>
      <w:r w:rsidRPr="00467B95">
        <w:rPr>
          <w:rFonts w:ascii="Times New Roman" w:eastAsia="Times New Roman" w:hAnsi="Times New Roman"/>
          <w:bCs/>
          <w:sz w:val="28"/>
          <w:szCs w:val="28"/>
          <w:lang w:eastAsia="ru-RU"/>
        </w:rPr>
        <w:t>Шевченко О.А. Правовая доктрина регулирования труда в сфере профессионального спорта и пути ее реализации в России: дис…докт. юрид. наук: 12.00.05 / Шевченко Ольга Александровна.– М., 2014. – 371 с.</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3) О физической культуре и спорте в Российской Федерации: федеральный закон от 29.04.1999 № 80-ФЗ (ред. от 30.06.2007) [Электронный ресурс] // СПС «КонсультантПлюс». – Режим доступа: http://www.consultant.ru/document/cons_doc_LAW_22930/.</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bCs/>
          <w:sz w:val="28"/>
          <w:szCs w:val="28"/>
          <w:lang w:eastAsia="ru-RU"/>
        </w:rPr>
      </w:pPr>
      <w:r w:rsidRPr="00467B95">
        <w:rPr>
          <w:rFonts w:ascii="Times New Roman" w:eastAsia="Times New Roman" w:hAnsi="Times New Roman"/>
          <w:sz w:val="28"/>
          <w:szCs w:val="28"/>
          <w:lang w:eastAsia="ru-RU"/>
        </w:rPr>
        <w:t xml:space="preserve">4) </w:t>
      </w:r>
      <w:r w:rsidRPr="00467B95">
        <w:rPr>
          <w:rFonts w:ascii="Times New Roman" w:eastAsia="Times New Roman" w:hAnsi="Times New Roman"/>
          <w:bCs/>
          <w:sz w:val="28"/>
          <w:szCs w:val="28"/>
          <w:lang w:eastAsia="ru-RU"/>
        </w:rPr>
        <w:t>Алексеев С.В. Трудовые отношения в спорте: общая характеристика регулирования труда спортсменов и тренеров / С. В. Алексеев // Право и государство: теория и практика. – 2016. – № 9 (141). – С. 102-106.</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bCs/>
          <w:sz w:val="28"/>
          <w:szCs w:val="28"/>
          <w:lang w:eastAsia="ru-RU"/>
        </w:rPr>
      </w:pPr>
      <w:r w:rsidRPr="00467B95">
        <w:rPr>
          <w:rFonts w:ascii="Times New Roman" w:eastAsia="Times New Roman" w:hAnsi="Times New Roman"/>
          <w:sz w:val="28"/>
          <w:szCs w:val="28"/>
          <w:lang w:eastAsia="ru-RU"/>
        </w:rPr>
        <w:t xml:space="preserve">5) </w:t>
      </w:r>
      <w:r w:rsidRPr="00467B95">
        <w:rPr>
          <w:rFonts w:ascii="Times New Roman" w:eastAsia="Times New Roman" w:hAnsi="Times New Roman"/>
          <w:bCs/>
          <w:sz w:val="28"/>
          <w:szCs w:val="28"/>
          <w:lang w:eastAsia="ru-RU"/>
        </w:rPr>
        <w:t>О физической культуре и спорте: закон Республики Беларусь от 04.01.2014 г. № 125-З [Электронный ресурс] // СПС «Эталон». – Режим доступа: http://etalonline.by/?type=text&amp;regnum=HK9900296#load_text_none_1_.</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6) </w:t>
      </w:r>
      <w:r w:rsidRPr="00467B95">
        <w:rPr>
          <w:rFonts w:ascii="Times New Roman" w:eastAsia="Times New Roman" w:hAnsi="Times New Roman"/>
          <w:bCs/>
          <w:sz w:val="28"/>
          <w:szCs w:val="28"/>
          <w:lang w:eastAsia="ru-RU"/>
        </w:rPr>
        <w:t xml:space="preserve">Об особенностях заключения гражданско-правовых договоров в </w:t>
      </w:r>
      <w:r w:rsidRPr="00467B95">
        <w:rPr>
          <w:rFonts w:ascii="Times New Roman" w:eastAsia="Times New Roman" w:hAnsi="Times New Roman"/>
          <w:bCs/>
          <w:sz w:val="28"/>
          <w:szCs w:val="28"/>
          <w:lang w:eastAsia="ru-RU"/>
        </w:rPr>
        <w:lastRenderedPageBreak/>
        <w:t>сфере профессионального спорта: Постановление Министерства спорта и туризма Республики Беларусь от 14.07.2014 г. № 26 [Электронный ресурс] // СПС «Эталон». – Режим доступа: http://etalonline.by/?type=text&amp;regnum=w21429119#load_text_none_1_1.</w:t>
      </w:r>
    </w:p>
    <w:p w:rsidR="0000108B" w:rsidRPr="00467B95" w:rsidRDefault="0000108B" w:rsidP="005A3DF4">
      <w:pPr>
        <w:widowControl w:val="0"/>
        <w:spacing w:after="0" w:line="240" w:lineRule="auto"/>
        <w:ind w:firstLine="709"/>
        <w:contextualSpacing/>
        <w:jc w:val="both"/>
        <w:rPr>
          <w:rFonts w:ascii="Times New Roman" w:eastAsia="Times New Roman" w:hAnsi="Times New Roman"/>
          <w:b/>
          <w:sz w:val="28"/>
          <w:szCs w:val="28"/>
          <w:highlight w:val="yellow"/>
          <w:lang w:eastAsia="ru-RU"/>
        </w:rPr>
      </w:pPr>
    </w:p>
    <w:p w:rsidR="00EE179A" w:rsidRPr="00467B95" w:rsidRDefault="00EE179A"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Правовое регулирование деятельности операторов облачных систем в Российской Федерации и государствах Северо-Восточной Азии: сравнительно-правовой аспект</w:t>
      </w:r>
    </w:p>
    <w:p w:rsidR="00EE179A" w:rsidRPr="00467B95" w:rsidRDefault="00EE179A" w:rsidP="005A3DF4">
      <w:pPr>
        <w:widowControl w:val="0"/>
        <w:spacing w:after="0" w:line="240" w:lineRule="auto"/>
        <w:ind w:firstLine="709"/>
        <w:jc w:val="center"/>
        <w:rPr>
          <w:rFonts w:ascii="Times New Roman" w:eastAsia="Times New Roman" w:hAnsi="Times New Roman"/>
          <w:b/>
          <w:sz w:val="28"/>
          <w:szCs w:val="28"/>
        </w:rPr>
      </w:pPr>
    </w:p>
    <w:p w:rsidR="00EE179A" w:rsidRPr="00467B95" w:rsidRDefault="00EE179A"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Legal regulation of cloud system operators in the Russian Federation and the countries of Northen Asia: a comparative legal aspect</w:t>
      </w:r>
    </w:p>
    <w:p w:rsidR="00EE179A" w:rsidRPr="00467B95" w:rsidRDefault="00EE179A" w:rsidP="005A3DF4">
      <w:pPr>
        <w:widowControl w:val="0"/>
        <w:spacing w:after="0" w:line="240" w:lineRule="auto"/>
        <w:ind w:firstLine="709"/>
        <w:jc w:val="center"/>
        <w:rPr>
          <w:rFonts w:ascii="Times New Roman" w:eastAsia="Times New Roman" w:hAnsi="Times New Roman"/>
          <w:color w:val="000000"/>
          <w:sz w:val="28"/>
          <w:szCs w:val="28"/>
          <w:lang w:val="en-US"/>
        </w:rPr>
      </w:pPr>
    </w:p>
    <w:p w:rsidR="00EE179A" w:rsidRPr="00467B95" w:rsidRDefault="00EE179A" w:rsidP="005A3DF4">
      <w:pPr>
        <w:widowControl w:val="0"/>
        <w:spacing w:after="0" w:line="240" w:lineRule="auto"/>
        <w:ind w:firstLine="709"/>
        <w:jc w:val="center"/>
        <w:rPr>
          <w:rFonts w:ascii="Times New Roman" w:eastAsia="Times New Roman" w:hAnsi="Times New Roman"/>
          <w:sz w:val="28"/>
          <w:szCs w:val="28"/>
          <w:lang w:val="en-US"/>
        </w:rPr>
      </w:pPr>
      <w:r w:rsidRPr="00467B95">
        <w:rPr>
          <w:rFonts w:ascii="Times New Roman" w:hAnsi="Times New Roman"/>
          <w:sz w:val="28"/>
          <w:szCs w:val="28"/>
        </w:rPr>
        <w:t>Ткаченко</w:t>
      </w:r>
      <w:r w:rsidR="007E3AEB" w:rsidRPr="00467B95">
        <w:rPr>
          <w:rFonts w:ascii="Times New Roman" w:hAnsi="Times New Roman"/>
          <w:sz w:val="28"/>
          <w:szCs w:val="28"/>
          <w:lang w:val="en-US"/>
        </w:rPr>
        <w:t xml:space="preserve"> </w:t>
      </w:r>
      <w:r w:rsidRPr="00467B95">
        <w:rPr>
          <w:rFonts w:ascii="Times New Roman" w:hAnsi="Times New Roman"/>
          <w:sz w:val="28"/>
          <w:szCs w:val="28"/>
        </w:rPr>
        <w:t>Иван</w:t>
      </w:r>
      <w:r w:rsidR="007E3AEB" w:rsidRPr="00467B95">
        <w:rPr>
          <w:rFonts w:ascii="Times New Roman" w:hAnsi="Times New Roman"/>
          <w:sz w:val="28"/>
          <w:szCs w:val="28"/>
          <w:lang w:val="en-US"/>
        </w:rPr>
        <w:t xml:space="preserve"> </w:t>
      </w:r>
      <w:r w:rsidRPr="00467B95">
        <w:rPr>
          <w:rFonts w:ascii="Times New Roman" w:hAnsi="Times New Roman"/>
          <w:sz w:val="28"/>
          <w:szCs w:val="28"/>
        </w:rPr>
        <w:t>Викторович</w:t>
      </w:r>
    </w:p>
    <w:p w:rsidR="00EE179A" w:rsidRPr="00467B95" w:rsidRDefault="00EE179A" w:rsidP="005A3DF4">
      <w:pPr>
        <w:widowControl w:val="0"/>
        <w:spacing w:after="0" w:line="240" w:lineRule="auto"/>
        <w:ind w:firstLine="709"/>
        <w:jc w:val="center"/>
        <w:rPr>
          <w:rFonts w:ascii="Times New Roman" w:eastAsia="Times New Roman" w:hAnsi="Times New Roman"/>
          <w:sz w:val="28"/>
          <w:szCs w:val="28"/>
          <w:lang w:val="en-US"/>
        </w:rPr>
      </w:pPr>
    </w:p>
    <w:p w:rsidR="00EE179A" w:rsidRPr="00467B95" w:rsidRDefault="00EE179A"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Tkachenko Ivan Viktorovich</w:t>
      </w:r>
    </w:p>
    <w:p w:rsidR="00EE179A" w:rsidRPr="00467B95" w:rsidRDefault="00EE179A" w:rsidP="005A3DF4">
      <w:pPr>
        <w:widowControl w:val="0"/>
        <w:spacing w:after="0" w:line="240" w:lineRule="auto"/>
        <w:ind w:firstLine="709"/>
        <w:jc w:val="center"/>
        <w:rPr>
          <w:rFonts w:ascii="Times New Roman" w:eastAsia="Times New Roman" w:hAnsi="Times New Roman"/>
          <w:sz w:val="28"/>
          <w:szCs w:val="28"/>
          <w:lang w:val="en-US"/>
        </w:rPr>
      </w:pPr>
    </w:p>
    <w:p w:rsidR="00EE179A" w:rsidRPr="005542CD" w:rsidRDefault="00EE179A"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rPr>
        <w:t>Владивостокский государственный университет экономики и сервиса. Владивосток</w:t>
      </w:r>
      <w:r w:rsidRPr="005542CD">
        <w:rPr>
          <w:rFonts w:ascii="Times New Roman" w:eastAsia="Times New Roman" w:hAnsi="Times New Roman"/>
          <w:sz w:val="28"/>
          <w:szCs w:val="28"/>
        </w:rPr>
        <w:t xml:space="preserve">. </w:t>
      </w:r>
      <w:r w:rsidRPr="00467B95">
        <w:rPr>
          <w:rFonts w:ascii="Times New Roman" w:eastAsia="Times New Roman" w:hAnsi="Times New Roman"/>
          <w:sz w:val="28"/>
          <w:szCs w:val="28"/>
        </w:rPr>
        <w:t>Россия</w:t>
      </w:r>
    </w:p>
    <w:p w:rsidR="00EE179A" w:rsidRPr="00467B95" w:rsidRDefault="00EE179A"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rPr>
        <w:t>ул. Гоголя, 41, г. Владивосток, Приморский край, Россия, 690014</w:t>
      </w:r>
    </w:p>
    <w:p w:rsidR="00EE179A" w:rsidRPr="005542CD" w:rsidRDefault="00EE179A"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lang w:val="en-US"/>
        </w:rPr>
        <w:t>E</w:t>
      </w:r>
      <w:r w:rsidRPr="005542CD">
        <w:rPr>
          <w:rFonts w:ascii="Times New Roman" w:eastAsia="Times New Roman" w:hAnsi="Times New Roman"/>
          <w:sz w:val="28"/>
          <w:szCs w:val="28"/>
        </w:rPr>
        <w:t>-</w:t>
      </w:r>
      <w:r w:rsidRPr="00467B95">
        <w:rPr>
          <w:rFonts w:ascii="Times New Roman" w:eastAsia="Times New Roman" w:hAnsi="Times New Roman"/>
          <w:sz w:val="28"/>
          <w:szCs w:val="28"/>
          <w:lang w:val="en-US"/>
        </w:rPr>
        <w:t>mail</w:t>
      </w:r>
      <w:r w:rsidRPr="005542CD">
        <w:rPr>
          <w:rFonts w:ascii="Times New Roman" w:eastAsia="Times New Roman" w:hAnsi="Times New Roman"/>
          <w:sz w:val="28"/>
          <w:szCs w:val="28"/>
        </w:rPr>
        <w:t xml:space="preserve">: </w:t>
      </w:r>
      <w:r w:rsidRPr="00467B95">
        <w:rPr>
          <w:rFonts w:ascii="Times New Roman" w:eastAsia="Times New Roman" w:hAnsi="Times New Roman"/>
          <w:sz w:val="28"/>
          <w:szCs w:val="28"/>
          <w:lang w:val="en-US"/>
        </w:rPr>
        <w:t>iwan</w:t>
      </w:r>
      <w:r w:rsidRPr="005542CD">
        <w:rPr>
          <w:rFonts w:ascii="Times New Roman" w:eastAsia="Times New Roman" w:hAnsi="Times New Roman"/>
          <w:sz w:val="28"/>
          <w:szCs w:val="28"/>
        </w:rPr>
        <w:t>.</w:t>
      </w:r>
      <w:r w:rsidRPr="00467B95">
        <w:rPr>
          <w:rFonts w:ascii="Times New Roman" w:eastAsia="Times New Roman" w:hAnsi="Times New Roman"/>
          <w:sz w:val="28"/>
          <w:szCs w:val="28"/>
          <w:lang w:val="en-US"/>
        </w:rPr>
        <w:t>tkachenko</w:t>
      </w:r>
      <w:r w:rsidRPr="005542CD">
        <w:rPr>
          <w:rFonts w:ascii="Times New Roman" w:eastAsia="Times New Roman" w:hAnsi="Times New Roman"/>
          <w:sz w:val="28"/>
          <w:szCs w:val="28"/>
        </w:rPr>
        <w:t>@</w:t>
      </w:r>
      <w:r w:rsidRPr="00467B95">
        <w:rPr>
          <w:rFonts w:ascii="Times New Roman" w:eastAsia="Times New Roman" w:hAnsi="Times New Roman"/>
          <w:sz w:val="28"/>
          <w:szCs w:val="28"/>
          <w:lang w:val="en-US"/>
        </w:rPr>
        <w:t>rambler</w:t>
      </w:r>
      <w:r w:rsidRPr="005542CD">
        <w:rPr>
          <w:rFonts w:ascii="Times New Roman" w:eastAsia="Times New Roman" w:hAnsi="Times New Roman"/>
          <w:sz w:val="28"/>
          <w:szCs w:val="28"/>
        </w:rPr>
        <w:t>.</w:t>
      </w:r>
      <w:r w:rsidRPr="00467B95">
        <w:rPr>
          <w:rFonts w:ascii="Times New Roman" w:eastAsia="Times New Roman" w:hAnsi="Times New Roman"/>
          <w:sz w:val="28"/>
          <w:szCs w:val="28"/>
          <w:lang w:val="en-US"/>
        </w:rPr>
        <w:t>ru</w:t>
      </w:r>
      <w:r w:rsidRPr="005542CD">
        <w:rPr>
          <w:rFonts w:ascii="Times New Roman" w:eastAsia="Times New Roman" w:hAnsi="Times New Roman"/>
          <w:sz w:val="28"/>
          <w:szCs w:val="28"/>
        </w:rPr>
        <w:t>;</w:t>
      </w:r>
      <w:r w:rsidRPr="00467B95">
        <w:rPr>
          <w:rFonts w:ascii="Times New Roman" w:eastAsia="Times New Roman" w:hAnsi="Times New Roman"/>
          <w:sz w:val="28"/>
          <w:szCs w:val="28"/>
        </w:rPr>
        <w:t>тел</w:t>
      </w:r>
      <w:r w:rsidRPr="005542CD">
        <w:rPr>
          <w:rFonts w:ascii="Times New Roman" w:eastAsia="Times New Roman" w:hAnsi="Times New Roman"/>
          <w:sz w:val="28"/>
          <w:szCs w:val="28"/>
        </w:rPr>
        <w:t>.: +79241356413</w:t>
      </w:r>
    </w:p>
    <w:p w:rsidR="00EE179A" w:rsidRPr="005542CD" w:rsidRDefault="00EE179A" w:rsidP="005A3DF4">
      <w:pPr>
        <w:widowControl w:val="0"/>
        <w:tabs>
          <w:tab w:val="left" w:pos="9072"/>
        </w:tabs>
        <w:autoSpaceDE w:val="0"/>
        <w:autoSpaceDN w:val="0"/>
        <w:adjustRightInd w:val="0"/>
        <w:spacing w:after="0" w:line="240" w:lineRule="auto"/>
        <w:ind w:firstLine="709"/>
        <w:jc w:val="both"/>
        <w:rPr>
          <w:rFonts w:ascii="Times New Roman" w:hAnsi="Times New Roman"/>
          <w:sz w:val="28"/>
          <w:szCs w:val="28"/>
        </w:rPr>
      </w:pPr>
    </w:p>
    <w:p w:rsidR="00EE179A" w:rsidRPr="00A31929" w:rsidRDefault="00EE179A" w:rsidP="005A3DF4">
      <w:pPr>
        <w:widowControl w:val="0"/>
        <w:tabs>
          <w:tab w:val="left" w:pos="9072"/>
        </w:tabs>
        <w:autoSpaceDE w:val="0"/>
        <w:autoSpaceDN w:val="0"/>
        <w:adjustRightInd w:val="0"/>
        <w:spacing w:after="0" w:line="240" w:lineRule="auto"/>
        <w:ind w:firstLine="709"/>
        <w:jc w:val="both"/>
        <w:rPr>
          <w:rFonts w:ascii="Times New Roman" w:hAnsi="Times New Roman"/>
          <w:b/>
          <w:bCs/>
          <w:i/>
          <w:sz w:val="28"/>
          <w:szCs w:val="28"/>
        </w:rPr>
      </w:pPr>
      <w:r w:rsidRPr="00A31929">
        <w:rPr>
          <w:rFonts w:ascii="Times New Roman" w:hAnsi="Times New Roman"/>
          <w:i/>
          <w:sz w:val="28"/>
          <w:szCs w:val="28"/>
        </w:rPr>
        <w:t xml:space="preserve">Предметом исследования в работе сталонациональное законодательство РФ (Федеральный закон №152), научные статьи российских и зарубежных авторов, по теме исследования, а также законодательство стран Северо-восточной Азии, которое регулирует сферу облачных технологий. Актуальность данного исследования подтверждается тем, что облачные технологии с каждым годом все больше развиваются и привлекают внимание ученых правоведов, так как законодательная база не в полной мере может предоставить защиту клиентов-пользователей облачных сервисов, а также не в полной мере регулирует права и обязанности предоставляющих услуги организаций. Целью исследования является изучение НПА и механизмов правового регулирования деятельности операторов облачных систем на примере законодательства Российской Федерации и стран Северо-Восточной Азии. Проблема заключается в том, что недостаточное законодательное урегулирование сферы облачных технологий, влечет за собой риски различного рода, такие как: утечка конфиденциальной информации, кибер-преступления, а также не правомерное использование данных. Методологическую основу исследования составляет совокупность средств и приемов научного познания. Основными методами, которые применяются в дипломной работе, являются структурно-системный метод и сравнительно-правовой метод. Результатами исследования являются сравнительные выводы о законодательном подходе к регулированию облачных технологий, и информации, которая является основным предметом хранения в облачных </w:t>
      </w:r>
      <w:r w:rsidRPr="00A31929">
        <w:rPr>
          <w:rFonts w:ascii="Times New Roman" w:hAnsi="Times New Roman"/>
          <w:i/>
          <w:sz w:val="28"/>
          <w:szCs w:val="28"/>
        </w:rPr>
        <w:lastRenderedPageBreak/>
        <w:t>сервисах. Новизна исследования заключается в сопоставлении правовых норм Российской Федерации и Стран Северо-Восточной Азии, таких как: Китай, Южная-Корея, Япония и определение различий в нормативно правовых актах данных государств.</w:t>
      </w:r>
    </w:p>
    <w:p w:rsidR="00EE179A" w:rsidRPr="00A31929" w:rsidRDefault="00EE179A" w:rsidP="005A3DF4">
      <w:pPr>
        <w:widowControl w:val="0"/>
        <w:spacing w:after="0" w:line="240" w:lineRule="auto"/>
        <w:ind w:firstLine="709"/>
        <w:jc w:val="both"/>
        <w:rPr>
          <w:rStyle w:val="fontstyle01"/>
          <w:rFonts w:ascii="Times New Roman" w:hAnsi="Times New Roman"/>
          <w:i/>
          <w:sz w:val="28"/>
          <w:szCs w:val="28"/>
        </w:rPr>
      </w:pPr>
    </w:p>
    <w:p w:rsidR="00EE179A" w:rsidRPr="00A31929" w:rsidRDefault="00EE179A" w:rsidP="005A3DF4">
      <w:pPr>
        <w:widowControl w:val="0"/>
        <w:spacing w:after="0" w:line="240" w:lineRule="auto"/>
        <w:ind w:firstLine="709"/>
        <w:jc w:val="both"/>
        <w:rPr>
          <w:rFonts w:ascii="Times New Roman" w:eastAsia="Times New Roman" w:hAnsi="Times New Roman"/>
          <w:i/>
          <w:sz w:val="28"/>
          <w:szCs w:val="28"/>
          <w:highlight w:val="yellow"/>
        </w:rPr>
      </w:pPr>
      <w:r w:rsidRPr="00A31929">
        <w:rPr>
          <w:rFonts w:ascii="Times New Roman" w:hAnsi="Times New Roman"/>
          <w:i/>
          <w:sz w:val="28"/>
          <w:szCs w:val="28"/>
        </w:rPr>
        <w:t>Ключевые слова: облачные технологии, информация, персональные данные, правовое регулирования облачных технологий, информационная безопасность</w:t>
      </w:r>
    </w:p>
    <w:p w:rsidR="00EE179A" w:rsidRPr="00A31929" w:rsidRDefault="00EE179A" w:rsidP="005A3DF4">
      <w:pPr>
        <w:widowControl w:val="0"/>
        <w:spacing w:after="0" w:line="240" w:lineRule="auto"/>
        <w:ind w:firstLine="709"/>
        <w:jc w:val="both"/>
        <w:rPr>
          <w:rFonts w:ascii="Times New Roman" w:eastAsia="Times New Roman" w:hAnsi="Times New Roman"/>
          <w:i/>
          <w:sz w:val="28"/>
          <w:szCs w:val="28"/>
        </w:rPr>
      </w:pPr>
    </w:p>
    <w:p w:rsidR="00EE179A" w:rsidRPr="00A31929" w:rsidRDefault="00EE179A" w:rsidP="005A3DF4">
      <w:pPr>
        <w:widowControl w:val="0"/>
        <w:spacing w:after="0" w:line="240" w:lineRule="auto"/>
        <w:ind w:firstLine="709"/>
        <w:jc w:val="both"/>
        <w:rPr>
          <w:rFonts w:ascii="Times New Roman" w:hAnsi="Times New Roman"/>
          <w:i/>
          <w:sz w:val="28"/>
          <w:szCs w:val="28"/>
          <w:lang w:val="en-US"/>
        </w:rPr>
      </w:pPr>
      <w:r w:rsidRPr="00A31929">
        <w:rPr>
          <w:rFonts w:ascii="Times New Roman" w:hAnsi="Times New Roman"/>
          <w:i/>
          <w:sz w:val="28"/>
          <w:szCs w:val="28"/>
          <w:lang w:val="en-US"/>
        </w:rPr>
        <w:t xml:space="preserve">The subjects of research are the national legislation of the Russian Federation (Federal Law No. 152), scientific articles of Russian and foreign authors on the topic of research, as well as legislation of the countries of Northeast Asia, which regulates the sphere of cloud technologies. </w:t>
      </w:r>
    </w:p>
    <w:p w:rsidR="00EE179A" w:rsidRPr="00A31929" w:rsidRDefault="00EE179A" w:rsidP="005A3DF4">
      <w:pPr>
        <w:widowControl w:val="0"/>
        <w:spacing w:after="0" w:line="240" w:lineRule="auto"/>
        <w:ind w:firstLine="709"/>
        <w:jc w:val="both"/>
        <w:rPr>
          <w:rFonts w:ascii="Times New Roman" w:hAnsi="Times New Roman"/>
          <w:i/>
          <w:sz w:val="28"/>
          <w:szCs w:val="28"/>
          <w:lang w:val="en-US"/>
        </w:rPr>
      </w:pPr>
      <w:r w:rsidRPr="00A31929">
        <w:rPr>
          <w:rFonts w:ascii="Times New Roman" w:hAnsi="Times New Roman"/>
          <w:i/>
          <w:sz w:val="28"/>
          <w:szCs w:val="28"/>
          <w:lang w:val="en-US"/>
        </w:rPr>
        <w:t>The relevance of this study is confirmed by the fact that cloud technologies are evolving more and more every year and attract the attention of scholars of law, as the legislative framework does not fully provide protection for clients and users of cloud services, and does not fully regulate the rights and obligations of service providers organizations. The aim of the study is to study the regulatory legal acts and mechanisms of legal regulation of the activities of cloud system operators on the example of the legislation of the Russian Federation and the countries of Northeast Asia. The problem is that insufficient legislative regulation of the sphere of cloud technologies entails risks of various kinds, such as: leakage of confidential information, cyber-crime, and also unlawful use of data. The methodological basis of the study is a set of tools and techniques of scientific knowledge. The main methods that are used in the thesis work are the structural-system method and the comparative legal method. The results of the study are comparative conclusions about the legislative approach to the regulation of cloud technologies, and information, which is the main subject of storage in cloud services. The novelty of the study lies in comparing the legal norms of the Russian Federation and the Northeast Asian countries, such as: China, South-Korea, Japan and determining differences in the regulatory legal acts of these countries.</w:t>
      </w:r>
    </w:p>
    <w:p w:rsidR="00EE179A" w:rsidRPr="00A31929" w:rsidRDefault="00EE179A" w:rsidP="005A3DF4">
      <w:pPr>
        <w:widowControl w:val="0"/>
        <w:spacing w:after="0" w:line="240" w:lineRule="auto"/>
        <w:ind w:firstLine="709"/>
        <w:jc w:val="both"/>
        <w:rPr>
          <w:rFonts w:ascii="Times New Roman" w:eastAsia="Times New Roman" w:hAnsi="Times New Roman"/>
          <w:i/>
          <w:sz w:val="28"/>
          <w:szCs w:val="28"/>
          <w:highlight w:val="yellow"/>
          <w:lang w:val="en-US"/>
        </w:rPr>
      </w:pPr>
    </w:p>
    <w:p w:rsidR="00EE179A" w:rsidRPr="00A31929" w:rsidRDefault="00EE179A" w:rsidP="005A3DF4">
      <w:pPr>
        <w:widowControl w:val="0"/>
        <w:spacing w:after="0" w:line="240" w:lineRule="auto"/>
        <w:ind w:firstLine="709"/>
        <w:jc w:val="both"/>
        <w:rPr>
          <w:rFonts w:ascii="Times New Roman" w:hAnsi="Times New Roman"/>
          <w:i/>
          <w:sz w:val="28"/>
          <w:szCs w:val="28"/>
          <w:lang w:val="en-US"/>
        </w:rPr>
      </w:pPr>
      <w:r w:rsidRPr="00A31929">
        <w:rPr>
          <w:rFonts w:ascii="Times New Roman" w:hAnsi="Times New Roman"/>
          <w:i/>
          <w:sz w:val="28"/>
          <w:szCs w:val="28"/>
          <w:lang w:val="en-US"/>
        </w:rPr>
        <w:t>Keywords:cloud technologies, information, personal data, legal regulation of cloud technologies, information security.</w:t>
      </w:r>
    </w:p>
    <w:p w:rsidR="00EE179A" w:rsidRPr="00467B95" w:rsidRDefault="00EE179A" w:rsidP="005A3DF4">
      <w:pPr>
        <w:widowControl w:val="0"/>
        <w:spacing w:after="0" w:line="240" w:lineRule="auto"/>
        <w:ind w:firstLine="709"/>
        <w:jc w:val="both"/>
        <w:rPr>
          <w:rFonts w:ascii="Times New Roman" w:hAnsi="Times New Roman"/>
          <w:sz w:val="28"/>
          <w:szCs w:val="28"/>
          <w:lang w:val="en-US"/>
        </w:rPr>
      </w:pP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Облачные технологии с каждым годом все больше развиваются и привлекают внимание ученых правоведов, так как законодательная база не в полной мере может предоставить защиту клиентов-пользователей облачных сервисов, а также не в полной мере регулирует права и обязанности предоставляющих услуги организаций. В литературе зарубежных стран изучению правового интернет пространства посвящено большое количество материала, в частности распространено изучение регулирования предоставления облачных сервисов, особенностей обеспечения информационной безопасности и конфиденциальности данных. Отрасль </w:t>
      </w:r>
      <w:r w:rsidRPr="00467B95">
        <w:rPr>
          <w:rFonts w:ascii="Times New Roman" w:hAnsi="Times New Roman" w:cs="Times New Roman"/>
          <w:sz w:val="28"/>
          <w:szCs w:val="28"/>
        </w:rPr>
        <w:lastRenderedPageBreak/>
        <w:t xml:space="preserve">облачных технологий развивается в различных направлениях, в связи с этим появляется необходимость регулирования правоотношений, возникающих в интернет пространстве.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современном мире информационно-коммуникационные технологии (ИКТ), разработанные в различных странах, не имея ограничений, функционируют по всему миру. Это может быть основанием, для регулирования отношений путем изучения законодательства различных стран, но при этих условиях законодательная база должна быть идентична в данном вопросе. Особенности конкретной правовой системы, ее истории и традиций позволяет сделать выводы о разночтениях в правовых системах различных государств, из чего следует, что сфера компьютерных технологий может регулироваться по разному, что создает проблему коллизии права различных государств.</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Актуальность исследования подтверждается тем, что на данный момент появилась тенденция к дифференциации рынка облачных технологий в отдельную область рынка ИКТ, причем активное развитие и использование облачных сервисов прямо пропорционально появлению новых рисков и угроз различного характера. Кроме того, важным остается вопрос обеспечения информационной безопасности, включающий в себя правовую защиту информации.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Второй важной проблемой является недостаточно раскрытая в правовом аспекте сфера отношений между провайдером и потребителями облачных услуг, которая не позволяет цивилизованно разрешать возникающие правовые конфликты по причине отсутствия фундаментальных основ использования облачных технологий.</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Несмотря на указанную актуальность темы исследования, ответственность, возникающая в результате некачественного предоставления облачных услуг в российской юридической науке недостаточно полно проработана. Учитывая современные тенденции в международных отношениях и доступность информации о законодательстве зарубежных стран, возможно ограничить объект и предмет исследования такими зарубежными государствами, как Южная Корея, Япония и Китайская Народная Республика.</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Цель исследования – исследовать нормы правового регулирования деятельности операторов облачных систем на примере законодательства Российской Федерации и стран Северо-Восточной Азии.</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Достижение цели настоящего исследования возможно при решении следующих задач: рассмотреть облачные системы как объекты правового регулирования; исследовать нормативно-правовые акты законодательства РФ, осуществляющие правовое регулирование облачных систем; изучить порядок правового регулирования облачных технологий стран Северо-Восточной Азии (Японии, Китая, Республики Корея)</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Методологическую основу исследования составляет совокупность средств и приемов научного познания. Основными методами, которые </w:t>
      </w:r>
      <w:r w:rsidRPr="00467B95">
        <w:rPr>
          <w:rFonts w:ascii="Times New Roman" w:hAnsi="Times New Roman" w:cs="Times New Roman"/>
          <w:sz w:val="28"/>
          <w:szCs w:val="28"/>
        </w:rPr>
        <w:lastRenderedPageBreak/>
        <w:t>применяются в дипломной работе, являются структурно-системный метод и сравнительно-правовой метод.</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 Российской Федерации по сравнению с другими развитыми странами недостаточно полно дано понятие «облачных технологий». Раскрывая данное понятие, а так же рассказывая о правовом регулировании данной отрасли современных технологий Нестерова И.А в своей статье «Правовое регулирование облачных отношений, возникающих при использовании облачных технологий» пишет о том, что «совершенно беспрецедентной является складывающаяся в российском праве ситуация, когда комплекс отношений имеющих самое непосредственное отношение к экономике остался неизвестен гражданскому, а в особенности праву интеллектуальной собственности» [1]. Данный пробел создает коллизии в законодательстве, которые противоборствуют конкурентоспособности разработчиков, а также других правообладателей результатов интеллектуальной деятельности в Российской Федерации.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На данный момент Российская Федерация практически не имеет научно-правовых исследований в области информационных, технологий, а в частности облачных сервисов, данная сфера нуждается в решении вопросов законодательного регулирования ответственности участников правоотношений, возникающих в виртуальной среде.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Относительно вопроса развития нормативной базы необходимо отметить, что по данным исследования,  «Рейтинг готовности стран к облачным вычислениям» проведенного в 2012 году в 24 странах мира ассоциацией программного обеспечения (BSA) Российская Федерация занимала 16-е место из 24 по уровню государственного регулирования» защиты интеллектуальной собственности и защиты информации [2].</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Россия не в полной мере может предоставить законодательные акты по регулированию облачных технологий, но косвенно регулирующие данную сферу законы все же существуют. Одним из таких источников регулирования является № 152-ФЗ «О персональных данных». Исследуя статью 12, можно обратить внимание на то, что закон о персональных данных не запрещает трансграничную передачу данных, но такая передача означает обработку в зарубежных центрах обработки данных [3]. Согласно закону о «Персональных данных» статье 5 провайдер «при сборе персональных данных обязан обеспечить запись, систематизацию, накопление персональных данных на территории РФ» [3]. Эти положения можно толковать как запрет на передачу за рубеж и последующее хранение персональных данных граждан РФ.</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Закон о персональных данных предусматривает заключения соглашение между оператором и обработчиком информации т.е. провайдером облачного сервиса, в котором будут перечислены все меры по обеспечению безопасности информации клиента, а также возложенные на провайдера обязательства, в силу которых он не вправе разглашать конфиденциальную информацию. Такие меры должны присутствовать в договоре, так же для </w:t>
      </w:r>
      <w:r w:rsidRPr="00467B95">
        <w:rPr>
          <w:rFonts w:ascii="Times New Roman" w:hAnsi="Times New Roman" w:cs="Times New Roman"/>
          <w:sz w:val="28"/>
          <w:szCs w:val="28"/>
        </w:rPr>
        <w:lastRenderedPageBreak/>
        <w:t>обеспечения безопасности возможно применение шифрования и анонимизации [4].</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Наиболее важной проблемой правового регулирования облачных сервисов является обеспечение информационной безопасности пользователей и сохранения данных пользователей, которые могут иметь как частноправовой, так и публично-правовой характер.</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Также особое внимание необходимо уделять конфиденциальности данных пользователей облачных сервисов, которая зависит от двух сторон договора. Получатель «облачной услуги» имеет право хранить в облачных сервисах любой вид ценной информации.</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Соглашения по использованию облачных систем, как правило предоставляются на безвозмездной основе, заключаются в форме так называемых «кликовых лицензий». Пользователь соглашается с условиями компаний путем нажатия клавиши на сайте или регистрации профиля в интернете. Данная форма заключения договора лишает стороны возможности корректировать условия договора [5]. Данный вид договорных отношений можно сравнить с заключением договора присоединения, когда пользователь либо принимает условия договора, либо отказывается от него в полной мере. Несмотря на то, что гражданское законодательство РФ предусматривает договор присоединения, оспорить условия такого договора очень сложно.</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Существующий в России ФЗ «О персональных данных» дает широкое понятие персональных данных. К ним могут быть отнесены имя и фамилия, номер дебетовой карты, дата рождения, следовательно, любая система, обрабатывающая эту информацию, в том числе и облако, должна в определенном установленном порядке сертифицироваться, относительно зарубежных компаний, предоставляющих облачные сервисы, просто невозможно. Поправки к Закону «О персональных данных», вступившие в силу 1 сентября 2015 г. и требующие сохранять персональные данные граждан только на территории РФ, создают правовые ограничения для использования облачных сервисов, предоставляемых зарубежными компаниями.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Елин В.М. в своей статье «Облачные услуги и особенности их правового регулирования в Российской Федерации» изучает вопрос принадлежности информации и отмечает, что «информация с 1 января 2008 г. исключена из списка объектов гражданских правоотношений. Информация более не имеет собственника, а правовой статус «обладателя» информации не определяется. Информация представляет ценность и не может быть предметом гражданского оборота» [6].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Проанализировав Ч. 4 Ст. 129 ГК РФ, можно сделать вывод, о том, что «оборотоспособными» можно признавать права на результаты интеллектуального труда, а также средства индивидуализации и физические носители информации, на которых содержатся результаты интеллектуального труда или средства индивидуализации. Следовательно, применение договоров поставки в отношении информации является недействительным» [7].</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lastRenderedPageBreak/>
        <w:t xml:space="preserve">Также пользователь не имеет полной достоверной информации, чтобы оценить степень безопасности «облачных» технологий которые предоставляет провайдер и не имеет возможности контролировать процессы защиты данных, поскольку сервер находится у провайдера.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Исходя из вышеперечисленного можно сделать вывод о том, что прежде, чем произойдет переход к широкому использованию облачных технологий обществом, существует необходимость адаптации нормативно-законодательной базы для регулирования отношений между провайдером и пользователем.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Касаемо законодательства стран Северо-Восточной Азии, можно сказать, что при регулировании международного взаимодействия в сфере облачных технологий возникает множество правовых вопросов, а при работе с «локальными взаимоотношениями», основанными на вопросах компьютерных технологий, возникает коллизия права национального законодательства, международных норм и системы договоров, которые непосредственно регулируют предоставление облачных услуг. Проведённые в этой области исследования подтверждают тот факт, что национальная норма не является основополагающей, ей явно отведено последнее место в этой̆ системе, поскольку виртуальные технологии не являются привязанными к юрисдикции конкретной̆ страны [8].</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Однако такой̆ вывод будет ошибочным, поскольку в настоящее время большинство государств, заинтересованных в тех преимуществах, что приносят экономике облачные технологии, активно развивают законодательное регулирование в этой̆ области.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Первым государством, в законодательной базе которого есть специализированный НПА о регулировании облачных технологий, стала Республика Корея. В конце 2015 года южнокорейское министерство науки (MinistryofScience, ICT andFuturePlanning, MSIP) разработало и предоставило текст закона «О продвижении облачных вычислений и защите пользователей». Данный шаг был сделан в связи с популяризацией и возможностью массового использования облачных сервисов в мире [8].</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Основная задача данного нормативно-правового акта — это попытка урегулировать сферу ИТ и повысить конкурентоспособность страны. Закон позволяет частным облачным сервисам помогать властям в регулировании государственного сектора путем внедрения своих разработок в государственную ИТ сферу, что по мнению авторов проекта закона должно стимулировать вливания инвестиций в исследования и дает возможность построить законодательную базу для защиты данных пользователей̆ облачных вычислений.</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 законе также предусмотрена ответственность облачных провайдеров за ущерб пользователю, явившийся последствием нарушения конфиденциальности данных. Закон также обязывает иностранных провайдеров раскрывать личную информацию о пользователях, хранящуюся за рубежом, причем эти положения обязательны для любых поставщиков </w:t>
      </w:r>
      <w:r w:rsidRPr="00467B95">
        <w:rPr>
          <w:rFonts w:ascii="Times New Roman" w:hAnsi="Times New Roman" w:cs="Times New Roman"/>
          <w:sz w:val="28"/>
          <w:szCs w:val="28"/>
        </w:rPr>
        <w:lastRenderedPageBreak/>
        <w:t>облачной̆ услуги, включая «мировых монополистов» вроде Google или Apple. [8].</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Так же в южнокорейском законе сказано, что государство и местные органы власти должны разработать политику, необходимую для содействия развитию и использованию облачных вычислений и для создания среды для безопасного использования услуг облачных вычислений (Статья 3) [9].</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Насчет Китайской Народной республики, можно сказать что, первым шагом, направленным на развитие облачных технологий в КНР, стал законопроект «Руководство о содействии инновациям и развитии облачных технологий с целью создания новых видов информационных услуг», который определяет вектор национального регулирования в области облачных технологий а так же является базовым актом для дальнейшего развития законодательного регулирования облачных услуг. Рассматривая данный законопроект можно выделить основные задачи, стоящие перед правительством КНР, для реализации правового регулирования вопросов информации и облачных технологий.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Во-первых, существует необходимость пересмотреть сферу телекоммуникационных услуг, усовершенствовать систему доступа к рынку услуг облачных вычислений и оказать поддержку осуществляющим деятельность в сфере ИТ предприятиям, предоставляющим услуги облачных вычислений.</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Второй задачей является исследование сетевой политики, оказывающей поддержку крупномасштабным сервисам облачных вычислений в проведении оценки качества обслуживания облачных вычислений, надежности и безопасности сети.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Третьей задачей является установление руководства над предприятиями служб облачных вычислений для усиления внутреннего государственного управления в целях повышения качества обслуживания и обеспечения эффективного и бесперебойного соединение между сетями [10].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соответствии с «Решением Постоянного комитета Всекитайского собрания народных представителей по усилению защиты сетевой информации» и «Положением об открытости правительственной информации Китайской Народной Республики», необходимо усовершенствовать способы  управления информационными услугами Интернета, ускорить разработку законов и нормативных актов, касающихся безопасности информационных сетей и защиты персональной информации, а также урегулировать отношения между поставщиками услуг облачных вычислений и пользователями.</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Кроме того, в законопроекте прописаны обязательства со стороны руководства страной в плане финансирования рынка облачных вычислений. Неоднократно упоминалась необходимость создания многоуровневой системы гарантий, включающей финансовые инвестиции и оказание содействия в финансировании предприятий облачных вычислений.</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Для предприятий, которые используют облачные решения для работы в Китае, существует риск того, что новые правила могут негативно повлиять на </w:t>
      </w:r>
      <w:r w:rsidRPr="00467B95">
        <w:rPr>
          <w:rFonts w:ascii="Times New Roman" w:hAnsi="Times New Roman" w:cs="Times New Roman"/>
          <w:sz w:val="28"/>
          <w:szCs w:val="28"/>
        </w:rPr>
        <w:lastRenderedPageBreak/>
        <w:t>их услуги. Авторы статьи отмечают, что «в настоящее время, т.к. в Китае присутствуют ограничения иностранного владения облачными услугами, иностранные операторы обходят это путем создания партнерских соглашений с лицензированными китайскими поставщиками облачных услуг» [11].</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Японии основным нормативно-правовым актом по использованию и хранению информации в интернете является «Закон о защите личной информации», разработанный комиссией по защите личной информации Японии, который вступил в силу 30 мая 2017 года. В данном законе полностью раскрывается понятие «информации» и права ее использования.</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статьях 15 и 16 устанавливаются положения о работе операторов облачных систем, говорится, что обязательным условием оператора по обработке персональных данных, личной информации, является указание цели использования личной информации. Также оператор по обработке личной информации не должен обращаться за личной информацией без предварительного получения согласия пользователя за пределами его полномочий, необходимо понимание области для достижения цели использования, указанной в соответствии с положениями в статье 15. Кроме того, в случае переуступки личной информации, которая приобретается бизнес-оператором от другого, обработка персональных данных и другой личной информации не осуществляется без заранее полученного согласия клиента, также необходимым условием является обработка информации, не выходящая за пределы цели  ее использования.</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 статье 17 указано, что бизнес-оператор по обработке персональных данных не должен приобретать персональные информация обманом, без предварительного согласия, а также или иными неправомерными способами. </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Следует отметить, что конкуренция на рынке облачных вычислений в Японии очень высока. В дополнение к растущему участию китайских ИКТ-компаний, в Японии есть сильные отечественные облачные фирмы, такие как Nippon. В январе 2015 года этот местный лидер в области ИКТ объявил о планах расширения существующих центров обработки данных для удовлетворения возросшего спроса на услуги Интернета [12].</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Япония предлагает значительные возможности для облачных провайдеров в 2015 году и далее. Несмотря на предлагаемые законодательные акты, касающиеся конфиденциальности данных и экономического климата, представляющие потенциальные барьеры, ожидается, что японский рынок облачных систем останется главным для потребления облачных услуг.</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Рассматривая страны Северо-Восточной Азии, можно сделать вывод о том, что в результате глобализации современной жизни право трансформируется и перемещается в интернет пространство, и соответственно порождает появление новых обязанностей и прав участников правоотношений. В связи с этим государство должно принимать непосредственное участие, а также проявлять заинтересованность в сфере сохранения данных своих граждан. По такому пути интенсификации идут государства Северо-Восточной Азии.</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lastRenderedPageBreak/>
        <w:t>В результате проведенного исследования облачных систем как объектов правового регулирования в Российской Федерации и странах Северо-Восточной Азии, таких как Южная Корея, Япония и Китайская Народная Республика, была достигнута цель и решены поставленные задачи, что позволило получить следующие выводы.</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Прежде, чем произойдет переход к широкому использованию облачных технологий обществом, существует необходимость адаптации нормативно-законодательной базы для регулирования отношений между провайдером и пользователем.</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Законодательство РФ в сфере регулирования информационных технологий несовершенно и существуют определенные законодательные пробелы, которые порождают коллизию права между субъектами персональных данных и обработчиками таких данных – операторами. Такое несовершенство позволяет совершать обход закона и способствует распространению конфиденциальной информации, что порождает правовые последствия для всех субъектов правоотношений.</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отличие от законодательства РФ степень проработанности нормативно-правовых актов законодательства стран Северо-Восточной Азии находится на достаточно высоком уровне. В вышеперечисленных странах законодатель разделяет понятия облачных систем и интернет информации. Ведутся разработки плана действий по внедрению новейших информационных технологий, а также осуществляется государственное регулирование данной сферы. Все эти методы правового регулирования, заинтересованность правительства, а также помощь национальных корпораций, ведущих исследования, и деятельность в сфере развития облачных систем, могут помочь вывести данные технологии на масштабный национальный уровень, который позволит в полной мере принимать государственные акты и регулировать общественные отношения, связанные с ИТ технологиями. Кроме того, рассматриваемые страны Северо-Восточной Азии являются основными разработчиками передового оборудования, которое позволяет создавать и загружать в сеть данные, а также создавать приложения и облачные сервисы. Следовательно, руководство стран должно понимать в каком направлении необходимо двигаться, чтобы добиться качественного регулирования данной компьютерно-правовой сферы.</w:t>
      </w:r>
    </w:p>
    <w:p w:rsidR="00A31929" w:rsidRPr="00467B95" w:rsidRDefault="00A31929"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1 Нестерова И.А. Правовое регулирование облачных отношений, возникающих при использовании облачных технологий: автореф. дис. … канд. юрид. наук: 12.00.03 / Нестерова Ирина Алексеевна. – Москва, 2017. – 22 с.</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2 Шаромов А. Россия занимает 16-е место в исследовании BSA «Рейтинг готовности стран к облачным вычислениям», проведенном в 24 странах мира [Электронный ресурс] / А. Шаромов // Dp.ru. – Режим доступа: https://www.dp.ru/a/2012/02/27/Rossija_zanimaet_16-e_mest</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3 О персональных данных: федеральный закон от 27.07.2006 №152-ФЗ </w:t>
      </w:r>
      <w:r w:rsidRPr="00467B95">
        <w:rPr>
          <w:rFonts w:ascii="Times New Roman" w:hAnsi="Times New Roman" w:cs="Times New Roman"/>
          <w:sz w:val="28"/>
          <w:szCs w:val="28"/>
        </w:rPr>
        <w:lastRenderedPageBreak/>
        <w:t>(последняя редакция) [Электронный ресурс] // СПС «КонсультантПлюс». – Режим доступа: http://www.consultant.ru/document/cons_doc_LAW_61801/</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4 Об утверждении требований и методов по обезличиванию персональных данных: Приказ Федеральной службы по надзору в сфере связи, информационных технологий и массовых коммуникаций (Роскомнадзор) от 05.09.2013 № 996 [Электронный ресурс] // Российская газета. – Режим доступа: https://rg.ru/2013/09/18/dannye-dok.html</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5 Тян В. Облачные технологии: вызовы правового регулирования [Электронный ресурс] / В. Тян // Капитал. Центр деловой информации. – Режим доступа: https://kapital.kz/gosudarstvo/55665/oblachnye-tehnologii-vyzovy-pravovogo-regulirovaniya.html</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6 Елин В.М. «Облачные» услуги и особенности их правового регулирования в Российской Федерации [Электронный ресурс] / В.М. Елин // Юрфак. – Режим доступа: https://urfac.ru/?p=730</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7 Гражданский кодекс Российской Федерации. Часть вторая: федеральный закон от 30.11.1994 № 51-ФЗ (ред. от 03.08.2018) [Электронный ресурс] // СПС «КонсультантПлюс». – Режим доступа: http://www.consultant.ru/document/cons_doc_LAW_5142/a761099a7fed45b3a 1ad93f103041dec5d760a72/</w:t>
      </w:r>
    </w:p>
    <w:p w:rsidR="00EE179A" w:rsidRPr="00467B95" w:rsidRDefault="00EE179A"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8 Кучина Я.О. Законодательное регулирование облачных технологий в некоторых странах Азиатско-тихоокеанского региона / Я.О. Кучина // Азиатско-Тихоокеанский регион: экономика, политика, право. – 2018. – №1-2. – С. 131-139.</w:t>
      </w:r>
    </w:p>
    <w:p w:rsidR="00EE179A" w:rsidRPr="00467B95" w:rsidRDefault="00EE179A" w:rsidP="005A3DF4">
      <w:pPr>
        <w:pStyle w:val="ac"/>
        <w:widowControl w:val="0"/>
        <w:ind w:firstLine="709"/>
        <w:jc w:val="both"/>
        <w:rPr>
          <w:rFonts w:ascii="Times New Roman" w:hAnsi="Times New Roman" w:cs="Times New Roman"/>
          <w:sz w:val="28"/>
          <w:szCs w:val="28"/>
          <w:lang w:val="en-US"/>
        </w:rPr>
      </w:pPr>
      <w:r w:rsidRPr="00467B95">
        <w:rPr>
          <w:rFonts w:ascii="Times New Roman" w:hAnsi="Times New Roman" w:cs="Times New Roman"/>
          <w:sz w:val="28"/>
          <w:szCs w:val="28"/>
          <w:lang w:val="en-US"/>
        </w:rPr>
        <w:t>9 New cloud computing legislation in South Korea [Electronic resources] // Policy Observatory of the MAPPING FP7 project. – URL: https://observatory.mappingtheinternet.eu/item/ new-cloud-computing-legislation-in-south-korea</w:t>
      </w:r>
    </w:p>
    <w:p w:rsidR="00EE179A" w:rsidRPr="00467B95" w:rsidRDefault="00EE179A" w:rsidP="005A3DF4">
      <w:pPr>
        <w:pStyle w:val="ac"/>
        <w:widowControl w:val="0"/>
        <w:ind w:firstLine="709"/>
        <w:jc w:val="both"/>
        <w:rPr>
          <w:rFonts w:ascii="Times New Roman" w:hAnsi="Times New Roman" w:cs="Times New Roman"/>
          <w:sz w:val="28"/>
          <w:szCs w:val="28"/>
          <w:lang w:val="en-US"/>
        </w:rPr>
      </w:pPr>
      <w:r w:rsidRPr="00467B95">
        <w:rPr>
          <w:rFonts w:ascii="Times New Roman" w:hAnsi="Times New Roman" w:cs="Times New Roman"/>
          <w:sz w:val="28"/>
          <w:szCs w:val="28"/>
          <w:lang w:val="en-US"/>
        </w:rPr>
        <w:t xml:space="preserve">10 Guiding Opinions for Promoting the Innovation and Development of Cloud Computing to Cultivate New Types of Information Industry Services [Electronic resources] // </w:t>
      </w:r>
      <w:r w:rsidRPr="00467B95">
        <w:rPr>
          <w:rFonts w:ascii="Times New Roman" w:eastAsia="Microsoft YaHei" w:hAnsi="Times New Roman" w:cs="Times New Roman"/>
          <w:sz w:val="28"/>
          <w:szCs w:val="28"/>
        </w:rPr>
        <w:t>中国政府网中央</w:t>
      </w:r>
      <w:r w:rsidRPr="00467B95">
        <w:rPr>
          <w:rFonts w:ascii="Times New Roman" w:hAnsi="Times New Roman" w:cs="Times New Roman"/>
          <w:sz w:val="28"/>
          <w:szCs w:val="28"/>
          <w:lang w:val="en-US"/>
        </w:rPr>
        <w:t>_</w:t>
      </w:r>
      <w:r w:rsidRPr="00467B95">
        <w:rPr>
          <w:rFonts w:ascii="Times New Roman" w:eastAsia="Microsoft YaHei" w:hAnsi="Times New Roman" w:cs="Times New Roman"/>
          <w:sz w:val="28"/>
          <w:szCs w:val="28"/>
        </w:rPr>
        <w:t>人民政府网站</w:t>
      </w:r>
      <w:r w:rsidRPr="00467B95">
        <w:rPr>
          <w:rFonts w:ascii="Times New Roman" w:hAnsi="Times New Roman" w:cs="Times New Roman"/>
          <w:sz w:val="28"/>
          <w:szCs w:val="28"/>
          <w:lang w:val="en-US"/>
        </w:rPr>
        <w:t>(China Government Network. Central People's Government Website). – URL: http://www.gov.cn/zhengce/content/2015-01/30/content_9440.htm</w:t>
      </w:r>
    </w:p>
    <w:p w:rsidR="00EE179A" w:rsidRPr="00467B95" w:rsidRDefault="00EE179A" w:rsidP="005A3DF4">
      <w:pPr>
        <w:pStyle w:val="ac"/>
        <w:widowControl w:val="0"/>
        <w:ind w:firstLine="709"/>
        <w:jc w:val="both"/>
        <w:rPr>
          <w:rFonts w:ascii="Times New Roman" w:hAnsi="Times New Roman" w:cs="Times New Roman"/>
          <w:sz w:val="28"/>
          <w:szCs w:val="28"/>
          <w:lang w:val="en-US"/>
        </w:rPr>
      </w:pPr>
      <w:r w:rsidRPr="00467B95">
        <w:rPr>
          <w:rFonts w:ascii="Times New Roman" w:hAnsi="Times New Roman" w:cs="Times New Roman"/>
          <w:sz w:val="28"/>
          <w:szCs w:val="28"/>
          <w:lang w:val="en-US"/>
        </w:rPr>
        <w:t>11 Gautel G. Establishing a Data Center in China [Electronic resources] / G. Gautel // Business, Legal, Tax, Accounting, HR, Payroll News. China Briefing. – URL: https://www.china-briefing.com/news/setting-shop-guide-chinas-data-centers/</w:t>
      </w:r>
    </w:p>
    <w:p w:rsidR="00EE179A" w:rsidRPr="00A974DC" w:rsidRDefault="00EE179A" w:rsidP="005A3DF4">
      <w:pPr>
        <w:pStyle w:val="ac"/>
        <w:widowControl w:val="0"/>
        <w:ind w:firstLine="709"/>
        <w:jc w:val="both"/>
        <w:rPr>
          <w:rFonts w:ascii="Times New Roman" w:hAnsi="Times New Roman" w:cs="Times New Roman"/>
          <w:sz w:val="28"/>
          <w:szCs w:val="28"/>
          <w:lang w:val="en-US"/>
        </w:rPr>
      </w:pPr>
      <w:r w:rsidRPr="00467B95">
        <w:rPr>
          <w:rFonts w:ascii="Times New Roman" w:hAnsi="Times New Roman" w:cs="Times New Roman"/>
          <w:sz w:val="28"/>
          <w:szCs w:val="28"/>
          <w:lang w:val="en-US"/>
        </w:rPr>
        <w:t>12 Data Protection &amp; Privacy [Electronic resources] // Getting the deal through. – URL: https://gettingthedealthrough.com/area/52/jurisdiction/36/data-protection-privacy-japan/</w:t>
      </w:r>
    </w:p>
    <w:p w:rsidR="00A974DC" w:rsidRPr="00A974DC" w:rsidRDefault="00A974DC" w:rsidP="005A3DF4">
      <w:pPr>
        <w:pStyle w:val="ac"/>
        <w:widowControl w:val="0"/>
        <w:ind w:firstLine="709"/>
        <w:jc w:val="both"/>
        <w:rPr>
          <w:rFonts w:ascii="Times New Roman" w:hAnsi="Times New Roman" w:cs="Times New Roman"/>
          <w:sz w:val="28"/>
          <w:szCs w:val="28"/>
          <w:lang w:val="en-US"/>
        </w:rPr>
      </w:pPr>
    </w:p>
    <w:p w:rsidR="00DB1198" w:rsidRPr="005A19CB" w:rsidRDefault="00DB1198"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DB1198" w:rsidRPr="005A19CB" w:rsidRDefault="00DB1198"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DB1198" w:rsidRPr="005A19CB" w:rsidRDefault="00DB1198"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DB1198" w:rsidRPr="005A19CB" w:rsidRDefault="00DB1198"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eastAsia="ru-RU"/>
        </w:rPr>
      </w:pPr>
      <w:r w:rsidRPr="00A974DC">
        <w:rPr>
          <w:rFonts w:ascii="Times New Roman" w:eastAsia="Times New Roman" w:hAnsi="Times New Roman"/>
          <w:b/>
          <w:kern w:val="36"/>
          <w:sz w:val="28"/>
          <w:szCs w:val="28"/>
          <w:lang w:eastAsia="ru-RU"/>
        </w:rPr>
        <w:lastRenderedPageBreak/>
        <w:t>Правовой режим имущества супругов: сравнительный анализ законодательства Российской Федерации и Японии</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r w:rsidRPr="00A974DC">
        <w:rPr>
          <w:rFonts w:ascii="Times New Roman" w:eastAsia="Times New Roman" w:hAnsi="Times New Roman"/>
          <w:kern w:val="36"/>
          <w:sz w:val="28"/>
          <w:szCs w:val="28"/>
          <w:lang w:eastAsia="ru-RU"/>
        </w:rPr>
        <w:t>Черноколпакова Ирина Дмитриевна</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eastAsia="ru-RU"/>
        </w:rPr>
      </w:pPr>
      <w:r w:rsidRPr="00A974DC">
        <w:rPr>
          <w:rFonts w:ascii="Times New Roman" w:eastAsia="Times New Roman" w:hAnsi="Times New Roman"/>
          <w:kern w:val="36"/>
          <w:sz w:val="28"/>
          <w:szCs w:val="28"/>
          <w:lang w:eastAsia="ru-RU"/>
        </w:rPr>
        <w:t>группы БЮП-15-03, 4 курса Институт права</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eastAsia="ru-RU"/>
        </w:rPr>
      </w:pPr>
      <w:r w:rsidRPr="00A974DC">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eastAsia="ru-RU"/>
        </w:rPr>
      </w:pPr>
      <w:r w:rsidRPr="00A974DC">
        <w:rPr>
          <w:rFonts w:ascii="Times New Roman" w:eastAsia="Times New Roman" w:hAnsi="Times New Roman"/>
          <w:i/>
          <w:kern w:val="36"/>
          <w:sz w:val="28"/>
          <w:szCs w:val="28"/>
          <w:lang w:eastAsia="ru-RU"/>
        </w:rPr>
        <w:t>Россия. Владивосток</w:t>
      </w: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r w:rsidRPr="00A974DC">
        <w:rPr>
          <w:rFonts w:ascii="Times New Roman" w:eastAsia="Times New Roman" w:hAnsi="Times New Roman"/>
          <w:i/>
          <w:kern w:val="36"/>
          <w:sz w:val="28"/>
          <w:szCs w:val="28"/>
          <w:lang w:eastAsia="ru-RU"/>
        </w:rPr>
        <w:t>Статья посвящена сравнительному анализу правового режима имущества супругов по законодательству Российской Федерации и Японии.</w:t>
      </w:r>
      <w:r w:rsidRPr="00A974DC">
        <w:rPr>
          <w:rFonts w:ascii="Times New Roman" w:hAnsi="Times New Roman"/>
          <w:sz w:val="28"/>
          <w:szCs w:val="28"/>
        </w:rPr>
        <w:t xml:space="preserve"> </w:t>
      </w:r>
      <w:r w:rsidRPr="00A974DC">
        <w:rPr>
          <w:rFonts w:ascii="Times New Roman" w:eastAsia="Times New Roman" w:hAnsi="Times New Roman"/>
          <w:i/>
          <w:kern w:val="36"/>
          <w:sz w:val="28"/>
          <w:szCs w:val="28"/>
          <w:lang w:eastAsia="ru-RU"/>
        </w:rPr>
        <w:t>На сегодняшний день брачно-семейные отношения в России и в Японии находятся в состоянии острого кризиса, который связан с психологическими, демографическими, социальными и экономическими проблемами. Поэтому одними из важных вопросов в брачно-семейных взаимоотношениях являются вопросы по заключению и расторжению браков, личных и имущественных отношений между супругами, разделу имущества супругов и другие проблемные аспекты.</w:t>
      </w: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r w:rsidRPr="00A974DC">
        <w:rPr>
          <w:rFonts w:ascii="Times New Roman" w:eastAsia="Times New Roman" w:hAnsi="Times New Roman"/>
          <w:i/>
          <w:kern w:val="36"/>
          <w:sz w:val="28"/>
          <w:szCs w:val="28"/>
          <w:lang w:eastAsia="ru-RU"/>
        </w:rPr>
        <w:t>Ключевые слова и словосочетания: институт брака, собственность, супруги, брачный договор, равные права, режим имущества; расторжение брака.</w:t>
      </w: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eastAsia="ru-RU"/>
        </w:rPr>
      </w:pP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A974DC">
        <w:rPr>
          <w:rFonts w:ascii="Times New Roman" w:eastAsia="Times New Roman" w:hAnsi="Times New Roman"/>
          <w:kern w:val="36"/>
          <w:sz w:val="28"/>
          <w:szCs w:val="28"/>
          <w:lang w:val="en-US" w:eastAsia="ru-RU"/>
        </w:rPr>
        <w:t>Legal regime of marital property:</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A974DC">
        <w:rPr>
          <w:rFonts w:ascii="Times New Roman" w:eastAsia="Times New Roman" w:hAnsi="Times New Roman"/>
          <w:kern w:val="36"/>
          <w:sz w:val="28"/>
          <w:szCs w:val="28"/>
          <w:lang w:val="en-US" w:eastAsia="ru-RU"/>
        </w:rPr>
        <w:t>comparative analysis of the legislation of the Russian Federation and Japan</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A974DC">
        <w:rPr>
          <w:rFonts w:ascii="Times New Roman" w:eastAsia="Times New Roman" w:hAnsi="Times New Roman"/>
          <w:kern w:val="36"/>
          <w:sz w:val="28"/>
          <w:szCs w:val="28"/>
          <w:lang w:val="en-US" w:eastAsia="ru-RU"/>
        </w:rPr>
        <w:t>Chernokolpakova Irina Dmitrievna</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kern w:val="36"/>
          <w:sz w:val="28"/>
          <w:szCs w:val="28"/>
          <w:lang w:val="en-US" w:eastAsia="ru-RU"/>
        </w:rPr>
      </w:pPr>
      <w:r w:rsidRPr="00A974DC">
        <w:rPr>
          <w:rFonts w:ascii="Times New Roman" w:eastAsia="Times New Roman" w:hAnsi="Times New Roman"/>
          <w:kern w:val="36"/>
          <w:sz w:val="28"/>
          <w:szCs w:val="28"/>
          <w:lang w:val="en-US" w:eastAsia="ru-RU"/>
        </w:rPr>
        <w:t>BIP-15-03 group, 4 course, Institute of law</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A974DC">
        <w:rPr>
          <w:rFonts w:ascii="Times New Roman" w:eastAsia="Times New Roman" w:hAnsi="Times New Roman"/>
          <w:i/>
          <w:kern w:val="36"/>
          <w:sz w:val="28"/>
          <w:szCs w:val="28"/>
          <w:lang w:val="en-US" w:eastAsia="ru-RU"/>
        </w:rPr>
        <w:t>Vladivostok State University of Economics and Service</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i/>
          <w:kern w:val="36"/>
          <w:sz w:val="28"/>
          <w:szCs w:val="28"/>
          <w:lang w:val="en-US" w:eastAsia="ru-RU"/>
        </w:rPr>
      </w:pPr>
      <w:r w:rsidRPr="00A974DC">
        <w:rPr>
          <w:rFonts w:ascii="Times New Roman" w:eastAsia="Times New Roman" w:hAnsi="Times New Roman"/>
          <w:i/>
          <w:kern w:val="36"/>
          <w:sz w:val="28"/>
          <w:szCs w:val="28"/>
          <w:lang w:val="en-US" w:eastAsia="ru-RU"/>
        </w:rPr>
        <w:t>Vladivostok, Russia</w:t>
      </w:r>
    </w:p>
    <w:p w:rsidR="00A974DC" w:rsidRPr="00A974DC" w:rsidRDefault="00A974DC" w:rsidP="005A3DF4">
      <w:pPr>
        <w:widowControl w:val="0"/>
        <w:shd w:val="clear" w:color="auto" w:fill="FFFFFF"/>
        <w:spacing w:after="0" w:line="240" w:lineRule="auto"/>
        <w:ind w:firstLine="709"/>
        <w:jc w:val="center"/>
        <w:rPr>
          <w:rFonts w:ascii="Times New Roman" w:eastAsia="Times New Roman" w:hAnsi="Times New Roman"/>
          <w:b/>
          <w:kern w:val="36"/>
          <w:sz w:val="28"/>
          <w:szCs w:val="28"/>
          <w:lang w:val="en-US" w:eastAsia="ru-RU"/>
        </w:rPr>
      </w:pPr>
    </w:p>
    <w:p w:rsidR="00A974DC" w:rsidRPr="00A974DC" w:rsidRDefault="00A974DC" w:rsidP="005A3DF4">
      <w:pPr>
        <w:pStyle w:val="HTML"/>
        <w:widowControl w:val="0"/>
        <w:shd w:val="clear" w:color="auto" w:fill="FFFFFF"/>
        <w:ind w:firstLine="709"/>
        <w:jc w:val="both"/>
        <w:rPr>
          <w:rFonts w:ascii="Times New Roman" w:hAnsi="Times New Roman" w:cs="Times New Roman"/>
          <w:i/>
          <w:sz w:val="28"/>
          <w:szCs w:val="28"/>
          <w:lang w:val="en-US"/>
        </w:rPr>
      </w:pPr>
      <w:r w:rsidRPr="00A974DC">
        <w:rPr>
          <w:rFonts w:ascii="Times New Roman" w:hAnsi="Times New Roman" w:cs="Times New Roman"/>
          <w:i/>
          <w:sz w:val="28"/>
          <w:szCs w:val="28"/>
          <w:lang w:val="en-US"/>
        </w:rPr>
        <w:t>The article is devoted to the comparative analysis of the legal regime of property of spouses under the legislation of the Russian Federation and Japan. To date, marriage and family relations in Russia and Japan are in a state of acute crisis, which is associated with psychological, demographic, social and economic problems. Therefore, one of the important issues in marriage and family relations are the issues of conclusion and dissolution of marriages, personal and property relations between spouses, division of property of spouses and other problematic aspects.</w:t>
      </w:r>
    </w:p>
    <w:p w:rsidR="00A974DC" w:rsidRPr="00A974DC" w:rsidRDefault="00A974DC" w:rsidP="005A3DF4">
      <w:pPr>
        <w:widowControl w:val="0"/>
        <w:shd w:val="clear" w:color="auto" w:fill="FFFFFF"/>
        <w:spacing w:after="0" w:line="240" w:lineRule="auto"/>
        <w:ind w:firstLine="709"/>
        <w:jc w:val="both"/>
        <w:rPr>
          <w:rFonts w:ascii="Times New Roman" w:hAnsi="Times New Roman"/>
          <w:i/>
          <w:iCs/>
          <w:kern w:val="36"/>
          <w:sz w:val="28"/>
          <w:szCs w:val="28"/>
          <w:lang w:val="en-US" w:eastAsia="ru-RU"/>
        </w:rPr>
      </w:pP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i/>
          <w:kern w:val="36"/>
          <w:sz w:val="28"/>
          <w:szCs w:val="28"/>
          <w:lang w:val="en-US" w:eastAsia="ru-RU"/>
        </w:rPr>
      </w:pPr>
      <w:r w:rsidRPr="00A974DC">
        <w:rPr>
          <w:rFonts w:ascii="Times New Roman" w:eastAsia="Times New Roman" w:hAnsi="Times New Roman"/>
          <w:i/>
          <w:kern w:val="36"/>
          <w:sz w:val="28"/>
          <w:szCs w:val="28"/>
          <w:lang w:val="en-US" w:eastAsia="ru-RU"/>
        </w:rPr>
        <w:t>Keywords and phrases:</w:t>
      </w:r>
      <w:r w:rsidRPr="00A974DC">
        <w:rPr>
          <w:rFonts w:ascii="Times New Roman" w:hAnsi="Times New Roman"/>
          <w:sz w:val="28"/>
          <w:szCs w:val="28"/>
          <w:lang w:val="en-US"/>
        </w:rPr>
        <w:t xml:space="preserve"> </w:t>
      </w:r>
      <w:r w:rsidRPr="00A974DC">
        <w:rPr>
          <w:rFonts w:ascii="Times New Roman" w:eastAsia="Times New Roman" w:hAnsi="Times New Roman"/>
          <w:i/>
          <w:kern w:val="36"/>
          <w:sz w:val="28"/>
          <w:szCs w:val="28"/>
          <w:lang w:val="en-US" w:eastAsia="ru-RU"/>
        </w:rPr>
        <w:t xml:space="preserve">institution of marriage, property, </w:t>
      </w:r>
      <w:r w:rsidRPr="005A19CB">
        <w:rPr>
          <w:rFonts w:ascii="Times New Roman" w:hAnsi="Times New Roman"/>
          <w:i/>
          <w:sz w:val="28"/>
          <w:szCs w:val="28"/>
          <w:shd w:val="clear" w:color="auto" w:fill="FFFFFF"/>
          <w:lang w:val="en-US"/>
        </w:rPr>
        <w:t>spouses, marriage contract, equal rights, property regime</w:t>
      </w:r>
      <w:r w:rsidRPr="00A974DC">
        <w:rPr>
          <w:rFonts w:ascii="Times New Roman" w:hAnsi="Times New Roman"/>
          <w:i/>
          <w:sz w:val="28"/>
          <w:szCs w:val="28"/>
          <w:shd w:val="clear" w:color="auto" w:fill="FFFFFF"/>
          <w:lang w:val="en-US"/>
        </w:rPr>
        <w:t>; divorce.</w:t>
      </w: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kern w:val="36"/>
          <w:sz w:val="28"/>
          <w:szCs w:val="28"/>
          <w:lang w:val="en-US" w:eastAsia="ru-RU"/>
        </w:rPr>
      </w:pP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kern w:val="36"/>
          <w:sz w:val="28"/>
          <w:szCs w:val="28"/>
          <w:lang w:eastAsia="ru-RU"/>
        </w:rPr>
      </w:pPr>
      <w:r w:rsidRPr="00A974DC">
        <w:rPr>
          <w:rFonts w:ascii="Times New Roman" w:eastAsia="Times New Roman" w:hAnsi="Times New Roman"/>
          <w:kern w:val="36"/>
          <w:sz w:val="28"/>
          <w:szCs w:val="28"/>
          <w:lang w:eastAsia="ru-RU"/>
        </w:rPr>
        <w:t xml:space="preserve">В соответствии с законодательством Российской Федерации брак, заключенный в органах записи актов гражданского состояния порождает </w:t>
      </w:r>
      <w:r w:rsidRPr="00A974DC">
        <w:rPr>
          <w:rFonts w:ascii="Times New Roman" w:eastAsia="Times New Roman" w:hAnsi="Times New Roman"/>
          <w:kern w:val="36"/>
          <w:sz w:val="28"/>
          <w:szCs w:val="28"/>
          <w:lang w:eastAsia="ru-RU"/>
        </w:rPr>
        <w:lastRenderedPageBreak/>
        <w:t xml:space="preserve">разные по своей правовой природе права и обязанности супругов. </w:t>
      </w: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kern w:val="36"/>
          <w:sz w:val="28"/>
          <w:szCs w:val="28"/>
          <w:lang w:eastAsia="ru-RU"/>
        </w:rPr>
      </w:pPr>
      <w:r w:rsidRPr="00A974DC">
        <w:rPr>
          <w:rFonts w:ascii="Times New Roman" w:eastAsia="Times New Roman" w:hAnsi="Times New Roman"/>
          <w:kern w:val="36"/>
          <w:sz w:val="28"/>
          <w:szCs w:val="28"/>
          <w:lang w:eastAsia="ru-RU"/>
        </w:rPr>
        <w:t xml:space="preserve">Согласно с российским законодательством по общему правилу все имущество, нажитое супругами в браке, является их общей собственностью, которой они владеют в равных долях, за исключением личного имущества каждого из супруга, если иное не установлено в брачном договоре. Также режим собственности супругов может быть изменен брачным договором или соглашением о разделе имущества. </w:t>
      </w:r>
    </w:p>
    <w:p w:rsidR="00A974DC" w:rsidRPr="00A974DC" w:rsidRDefault="00A974DC" w:rsidP="005A3DF4">
      <w:pPr>
        <w:widowControl w:val="0"/>
        <w:shd w:val="clear" w:color="auto" w:fill="FFFFFF"/>
        <w:spacing w:after="0" w:line="240" w:lineRule="auto"/>
        <w:ind w:firstLine="709"/>
        <w:jc w:val="both"/>
        <w:rPr>
          <w:rFonts w:ascii="Times New Roman" w:eastAsia="Times New Roman" w:hAnsi="Times New Roman"/>
          <w:kern w:val="36"/>
          <w:sz w:val="28"/>
          <w:szCs w:val="28"/>
          <w:lang w:eastAsia="ru-RU"/>
        </w:rPr>
      </w:pPr>
      <w:r w:rsidRPr="00A974DC">
        <w:rPr>
          <w:rFonts w:ascii="Times New Roman" w:eastAsia="Times New Roman" w:hAnsi="Times New Roman"/>
          <w:sz w:val="28"/>
          <w:szCs w:val="28"/>
          <w:lang w:eastAsia="ru-RU"/>
        </w:rPr>
        <w:t>В ходе проведенного исследования и анализа правовых норм России и Японии, можно убедиться в том, что правовые системы изученных стран разные. Первое на что стоит обратить внимание, это законодательство данных стран.</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Если в Российской Федерации это постоянно изменяющиеся федеральные законы, такие как Гражданский кодекс РФ [1], Семейный кодекс РФ [2], Гражданский процессуальный кодекс РФ [3] и другие, то в Японии это всего лишь - Японский Гражданский кодекс 1898 года [4] и Конституция Японии 1947 года [5].</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A974DC">
        <w:rPr>
          <w:rFonts w:ascii="Times New Roman" w:eastAsia="Times New Roman" w:hAnsi="Times New Roman"/>
          <w:sz w:val="28"/>
          <w:szCs w:val="28"/>
          <w:lang w:eastAsia="ru-RU"/>
        </w:rPr>
        <w:t>Возможно, данное обстоятельство показывает Японию, как страну с многовековыми традициями и обычаями, проявляющимися в постоянстве законодательства.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bCs/>
          <w:sz w:val="28"/>
          <w:szCs w:val="28"/>
          <w:lang w:eastAsia="ru-RU"/>
        </w:rPr>
      </w:pPr>
      <w:r w:rsidRPr="00A974DC">
        <w:rPr>
          <w:rFonts w:ascii="Times New Roman" w:eastAsia="Times New Roman" w:hAnsi="Times New Roman"/>
          <w:bCs/>
          <w:sz w:val="28"/>
          <w:szCs w:val="28"/>
          <w:lang w:eastAsia="ru-RU"/>
        </w:rPr>
        <w:t>В законодательстве Японии имеется проблема в виде отсутствия отдельного нормативного акта – Семейного кодекса Японии, который бы стал регулятором в брачно-семейных отношениях, а также в вопросах семьи, брака и развода.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Несмотря на языковой барьер в изучении японского законодательства, мы можем предположить, что Конституция Японии [5] и Гражданский кодекс Японии [4] написаны довольно простым языком и являются доступным для ознакомления. Что нельзя сказать про законодательство нашей страны, постоянные изменения, дополнения, а то и просто введения в действия нового закона во многом усложняют жизнь обычных граждан.</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С одной стороны – это хорошо, так как законодательство постоянно реформируется и соответствует современным реалиям, а с другой стороны – людям, не обладающих профессиональными знаниями в данной отрасли права будет нелегко разобраться во всех новых нормах законодательства, соотнести их между собой и найти нужную норму для применения к конкретной ситуации.</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Итак, начнем с брачного возраста, в России – это, по общему правилу, 18 лет – возраст совершеннолетия, также, согласно с п. 2 статьи 13 СК РФ [2], если имеются уважительные причины, то органы местного самоуправления по месту жительства лиц, желающих вступить в брак, вправе по просьбе данных лиц разрешить вступить в брак лицам, достигшим возраста шестнадцати лет.</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В Японии брачный возраст таков: для мужчин – достижение восемнадцатилетнего возраста, а для женщин с  шестнадцати лет, в соответствии со статьей 731 Гражданского кодекса Японии [4]. </w:t>
      </w:r>
      <w:r w:rsidRPr="00A974DC">
        <w:rPr>
          <w:rFonts w:ascii="Times New Roman" w:eastAsia="Times New Roman" w:hAnsi="Times New Roman"/>
          <w:sz w:val="28"/>
          <w:szCs w:val="28"/>
          <w:lang w:eastAsia="ru-RU"/>
        </w:rPr>
        <w:lastRenderedPageBreak/>
        <w:t>Существенным отличием от нашей страны является наличие критического брачного возраста для женщины. После преодоления определённого возрастного порога, женщина переходит в разряд «урэенокори», то есть она приобретает статус ненужного, залежалого товара. Но в каждой провинции этот возраст может быть изменён, равно как и минимальный брачный возраст, согласно с региональными возрастными рамками, которые не должны противоречить Гражданскому кодексу Японии [4].</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Возможно, брачный возраст в Японии необходимо скорректировать и установить его, как в России – достижение восемнадцатилетнего возраста, тем самым, можно на законодательном уровне уравнять женщин и мужчин в их праве на заключение брака.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К сожалению, согласно со статистикой Россия относится к странам с самым высоким уровнем разводов и занимает второе место в двадцатке стран с показателем 4,5 развода на 1000 человек [6].</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Согласно со статистикой за период с  января по май 2019 года было заключено 6129 браков. За этот период органы ЗАГС зарегистрировали 5553 развода. По имеющимся данным чаще всего семьи распадаются в «кризисный» период - это пять - девять лет. В текущем году, уже 25,8% браков распалось именно в данный временной цикл [7].</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Согласно с данными за 2019 год, представленными Федеральной службой государственной статистики, брачный возраст за последние 25 лет в среднем увеличился на 4 года. В первый брак мужчина вступает в среднем в 27,8 лет, а женщина – в 24.6 года. Тем не менее, на начало 2019 года уже 705 мужчин вступили в брак в возрасте моложе 18 лет и 6825 женщин [7].</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Япония же находится на двадцать шестом месте в мире по количеству разводов. Уровень разводов среди молодёжи по всей Японии довольно высок: около 60 % женщин возрасте до девятнадцати лет и 40 % женщин в возрасте от 20 до 24 лет. С 1969 года наблюдается  тенденция к росту «</w:t>
      </w:r>
      <w:r w:rsidRPr="00A974DC">
        <w:rPr>
          <w:rFonts w:ascii="Times New Roman" w:eastAsia="Times New Roman" w:hAnsi="Times New Roman"/>
          <w:iCs/>
          <w:sz w:val="28"/>
          <w:szCs w:val="28"/>
          <w:lang w:eastAsia="ru-RU"/>
        </w:rPr>
        <w:t>дзюкунэн рикон»</w:t>
      </w:r>
      <w:r w:rsidRPr="00A974DC">
        <w:rPr>
          <w:rFonts w:ascii="Times New Roman" w:eastAsia="Times New Roman" w:hAnsi="Times New Roman"/>
          <w:sz w:val="28"/>
          <w:szCs w:val="28"/>
          <w:lang w:eastAsia="ru-RU"/>
        </w:rPr>
        <w:t>, то есть к «разводу в зрелом возрасте» у супружеских пар в возрасте 50-59 лет, и у супругов, которые прожили вместе более двадцати пяти лет [8].</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Вероятно, что главными проблемами прекращения брачно-семейных отношений супругов в нашей стране является жилищная проблема, материальное положение сторон, а также асоциальные привычки, такие как, наркомания и алкоголизм.</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Особое значение Японское правительство уделяет для решения острой проблемы в семейных узах, для этого в 2007 году была введена программа мероприятий «Гармонизация семейной жизни и рабочего процесса» </w:t>
      </w:r>
      <w:r w:rsidRPr="00A974DC">
        <w:rPr>
          <w:rFonts w:ascii="Times New Roman" w:eastAsia="Times New Roman" w:hAnsi="Times New Roman"/>
          <w:bCs/>
          <w:sz w:val="28"/>
          <w:szCs w:val="28"/>
          <w:lang w:eastAsia="ru-RU"/>
        </w:rPr>
        <w:t>– «</w:t>
      </w:r>
      <w:r w:rsidRPr="00A974DC">
        <w:rPr>
          <w:rFonts w:ascii="Times New Roman" w:eastAsia="Times New Roman" w:hAnsi="Times New Roman"/>
          <w:sz w:val="28"/>
          <w:szCs w:val="28"/>
          <w:lang w:eastAsia="ru-RU"/>
        </w:rPr>
        <w:t>Work-Life Balance» [9].</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Программа включает проведенные мероприятия на основе опыта прошлых лет: в 1972 году был издан Закон о «Благосостоянии работающих японских женщин», цель которого стабилизировать трудовую и семейную жизнь; в 1995 году вступил в силу Закон «Забота о детях и семье» и в 1999 году введены программы «поощрения семейных компаний». Цель данных программ – поддерживать устойчивое общество, избегая разводов, а значит, и </w:t>
      </w:r>
      <w:r w:rsidRPr="00A974DC">
        <w:rPr>
          <w:rFonts w:ascii="Times New Roman" w:eastAsia="Times New Roman" w:hAnsi="Times New Roman"/>
          <w:sz w:val="28"/>
          <w:szCs w:val="28"/>
          <w:lang w:eastAsia="ru-RU"/>
        </w:rPr>
        <w:lastRenderedPageBreak/>
        <w:t>поднять уровень рождаемости [10].</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Как и в России, Японское правительство пытается уменьшить количество распадающихся союзов с помощью ведения грамотной политики в области семейных взаимоотношений.</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В Японии не принято выставлять конфликтные ситуации, возникающие между супруги на публику, однако в 1949 году был учрежден Суд по семейным делам. Перед началом бракоразводной процедуры суд в рамках судебного процесса принимать меры по примирению сторон и регулирует споры между родителями и детьми. </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Суд по семейным делам регулирует один из важных моментов в процедуре развода  – раздел имущества и отношения бывших супругов после официального прекращения отношений. В России же бракоразводными процедурами между супругами занимаются районные суды и мировые суды.</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В России супруги часто делят даже бытовые приборы, например, холодильник марки «LG», данный пример можно увидеть в ходе анализа судебной практике.</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Так согласно с решением Мирового судьи 12 судебного участка Черновского района г. Читы от 26.07.2016 г. по делу № 2-2418/2016 [11]: «истец Гордеев обратился в суд к ответчику Гордеевой с исковыми требованиями о признании доли в совместном имуществе супругов равными, и о разделе общего имущества - холодильника марки «LG». Истец требует оставить данный холодильник ему, а ответчице компенсировать его стоимость в размере 15 745 рублей из средств истца.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В обоснование исковых требований истец указал, что за  время брака супругами нажито совместное имущество - холодильник, стоимостью 31 490 рублей, это подтверждается товарным чеком, разделить данное имущество в добровольном порядке не представляется возможным.</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Суд приходит к выводу, что холодильник является совместным имуществом супругов и подлежит разделу между сторонами в соответствии с требованиями ч. 1 ст. 39 СК РФ. Указанное имущество имеется в наличии, договор относительно их долей в общем имуществе не заключался. Таким образом, на данное имущество распространяется законный режим совместной собственности супругов». При разделе общего имущества супругов и определении долей в этом имуществе доли супругов признаются равными, если иное не предусмотрено договором между супругами.</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Если проводить сравнение по видам режимов имущества супругов при разводе, то тут они одинаковы, в обеих странах – два основных законный режим и договорный режим. Однако относительно регулирования самих режимов существуют различия, например, в том что в России после государственной регистрации брака между супругами возникают имущественные правоотношения.</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Законный режим имущества супругов в России - режим совместной собственности супругов (в соответствие с п. 1 ст. 33 СК РФ) [2]. Совместная собственность супругов, определяется как имущество, которое нажито </w:t>
      </w:r>
      <w:r w:rsidRPr="00A974DC">
        <w:rPr>
          <w:rFonts w:ascii="Times New Roman" w:eastAsia="Times New Roman" w:hAnsi="Times New Roman"/>
          <w:sz w:val="28"/>
          <w:szCs w:val="28"/>
          <w:lang w:eastAsia="ru-RU"/>
        </w:rPr>
        <w:lastRenderedPageBreak/>
        <w:t>супругами во время брака, согласно со ст. 256 ГК РФ [1], ст. 34 СК РФ [2].</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Следовательно, для регулирования имущественных отношений супругов необходим сам факт регистрации отношений между мужчиной и женщиной, основанный на принципе добровольности сторон, а вот в Японии немного по-другому.</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В законодательстве Японии также предусмотрены принципы формирования семьи, такие как принцип взаимного согласия мужчины и женщины, равенства их прав и обязанностей, а также принцип государственной поддержки семьи.</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Законный режим собственности супругов также как и в России имеет место в случае, когда супруги не заключают «добрачный договор». Гражданским кодексом Японии закреплено право владельца на распоряжение личным имуществом по своему желанию, например, недвижимостью, купленной до вступления в брак или полученной по завещанию. В рамках такой системы индивидуальной собственности на вещь мужа или жены распространяется право свободно распоряжаться данным имуществом по своему усмотрению, включая право определить судьбу вещи после смерти собственника.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Японское гражданское законодательство предусматривает и совместную собственность супругов, то есть если между сторонами не заключено «добрачное соглашение», то все имущество, которое было приобретено на общие средства и в период совместного проживания супругов в период брака, является их совместной собственностью и подлежит разделу в равных долях или согласно с долей каждого.</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Такой вид раздела имущества также используется и в российской правовой системе. Существенным отличием в договорном режиме имущества супругов в Японии является заключение брачного договора еще до заключения брака, тем самым, брачный контракт принимает на себя форму «добрачного соглашения». </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В соответствии с нормой статьи 755 Гражданского кодекса Японии [4] стороны «добрачного соглашения» могут определять его содержание, однако к форме предъявляются строгие требования, брачный договор действителен лишь в случае его заключения до момента подачи заявления о вступлении в брак.</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Юридическим основанием применения того или иного режима может быть либо брачный договор, либо сам закон (легальный режим). Как брачный договор, так и закон может предусматривать любой из режимов имущества супругов [12].</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И в России и в Японии действует принцип моногамии, то есть единобрачие. Также в обеих странах распространен гражданский брак, при котором граждане совместно проживают и живут, так, если бы они были женаты, то без подачи заявления о регистрации брака. Японцы называют такой тип отношений, как "брак по общему праву". Гражданские союзы в Японии имеют все те же обязанности, что и законные браки также включая </w:t>
      </w:r>
      <w:r w:rsidRPr="00A974DC">
        <w:rPr>
          <w:rFonts w:ascii="Times New Roman" w:eastAsia="Times New Roman" w:hAnsi="Times New Roman"/>
          <w:sz w:val="28"/>
          <w:szCs w:val="28"/>
          <w:lang w:eastAsia="ru-RU"/>
        </w:rPr>
        <w:lastRenderedPageBreak/>
        <w:t xml:space="preserve">обязанность жить вместе, помогать друг другу и оставаться верными. </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Хочется отметить также, что японские супружеские пары обязаны оставаться верными друг другу. И когда данная норма нарушена и наступает бракоразводный процесс, то суды часто присуждают компенсацию одному из супругов за моральные и физические страдания. Конечно, в нашей стране очень распространены разводы именно по причине супружеской измены и, возможно, если бы данная норма также была закреплена в российском законодательстве, то, скорее всего, количество неверных супругов, а значит и разрушенных браков уменьшилось.</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Обобщая высказанное, хочется сказать, что как и любой другой стране в российской и японской правовой системе имеются своим проблемные моменты, требующие решения со стороны государства.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Таким образом, в Японии и в России отличается возраст вступления в брак, при этом должны быть соблюдены принципы свободы и волеизъявления сторон. При прекращении брачно-семейных отношений супруги могут попытаться самостоятельно урегулировать вопрос раздела совместного (общего) имущества. А в случае отсутствия компромисса могут обратиться в суд.</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Японский законный режим имущества супругов во много схож с российским и также, как имеет место в случае, когда супруги не заключают «добрачный договор». «Добрачный договор» или брачный договор – договорный режим имущества супругов и тут главным отличием является его заключение сторонами до регистрации брака. В случае, если брачный договор все-таки был заключен уже после вступления супругов в брак, он подлежит аннулированию и, тем самым, возникающие имущественные взаимоотношения регулируются нормами Гражданского законодательства Японии.</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Подводя итог всему вышесказанному, хочется сказать, что России не хватает, например, такой умной системы для регистрации граждан начиная с их рождения и заканчивая смертью. Такая концепция имеется в японском праве и носит официальное название «Косэки» или книга семейного реестра.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Введение данной системы избавит государственные органы от «перегруза» со стороны населения, а граждан - от огромных очередей, например, при получении свидетельства о рождении ребенка, или его усыновлении или получение свидетельство о заключении брака и другие. Внедрение такой электронной системы позволит сэкономить время, которое тратится на проведение данной процедуры, также избавит от огромного количества документов, так как все будет храниться в электронной базе данных.</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Японскому законодателю можно посоветовать все-таки, уравнять возраст вступления мужчины и женщины в брак, а также кодифицировать брачно-семейные отношения в отдельный нормативно-правовой акт – Семейный кодекс Японии. Это позволит более точно обобщить нормы Конституции Японии1947 г. и Гражданского кодекса Японии1898 г.</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lastRenderedPageBreak/>
        <w:t xml:space="preserve">Исходя из анализа японского права, можно сделать вывод, что в </w:t>
      </w:r>
      <w:r w:rsidRPr="00A974DC">
        <w:rPr>
          <w:rFonts w:ascii="Times New Roman" w:eastAsia="Times New Roman" w:hAnsi="Times New Roman"/>
          <w:bCs/>
          <w:sz w:val="28"/>
          <w:szCs w:val="28"/>
          <w:lang w:eastAsia="ru-RU"/>
        </w:rPr>
        <w:t>соответствии с гражданским законодательством Японии</w:t>
      </w:r>
      <w:r w:rsidRPr="00A974DC">
        <w:rPr>
          <w:rFonts w:ascii="Times New Roman" w:eastAsia="Times New Roman" w:hAnsi="Times New Roman"/>
          <w:sz w:val="28"/>
          <w:szCs w:val="28"/>
          <w:lang w:eastAsia="ru-RU"/>
        </w:rPr>
        <w:t> вопросы, связанные с имущественными отношениями определяются супругами в «добрачном соглашении», а при его отсутствии необходимо следовать положениям, установленным Гражданским кодексом Японии. Следует отметить, что примеры заключения брачных договоров в японской практике крайне редки, поэтому имущественные отношения между супругами в подавляющем большинстве случаев регулируются нормами гражданского законодательства.</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Законодательство Японии не регулирует раздел имущества пар, которые не состоят в официальном браке. Согласно со статьей 763 Гражданского кодекса Японии супруги могут разводиться только по взаимному согласию [4].</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Японское гражданское законодательство, как и российское право предусматривает  совместную собственность супругов, то есть если между сторонами не заключено «добрачное соглашение», то все имущество, которое было приобретено на общие средства и в период совместного проживания супругов в период брака, является их совместной собственностью и подлежит разделу в равных долях или согласно с долей каждого.</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Согласно со статистикой Россия занимает лидирующее положение в мире по количеству разводов, тем самым, нашей стране необходимо включить в законодательство нормы, касающиеся денежной компенсации одной из сторон за моральные и физические страдания, возможно, это станет одним из толчков в изменении демографической ситуации в России.   норма также была закреплена в российском законодательстве, то, скорее всего, количество неверных супругов, а значит и разрушенных браков уменьшилось.</w:t>
      </w:r>
    </w:p>
    <w:p w:rsidR="00A974DC" w:rsidRPr="00A974DC" w:rsidRDefault="00A974DC" w:rsidP="005A3DF4">
      <w:pPr>
        <w:widowControl w:val="0"/>
        <w:shd w:val="clear" w:color="auto" w:fill="FFFFFF"/>
        <w:autoSpaceDE w:val="0"/>
        <w:autoSpaceDN w:val="0"/>
        <w:adjustRightInd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 xml:space="preserve">Что касается японского права, то в целом оно не требует явных изменений и корректировок, необходимо лишь ввести отдельный нормативно-правовой акт, то есть Семейный кодекс Японии, который бы регулировал брачно-семейные отношения между супругами и их детьми. </w:t>
      </w:r>
    </w:p>
    <w:p w:rsidR="00A974DC" w:rsidRPr="00A974DC" w:rsidRDefault="00A974DC" w:rsidP="005A3DF4">
      <w:pPr>
        <w:widowControl w:val="0"/>
        <w:spacing w:after="0" w:line="240" w:lineRule="auto"/>
        <w:ind w:firstLine="709"/>
        <w:jc w:val="center"/>
        <w:rPr>
          <w:rFonts w:ascii="Times New Roman" w:hAnsi="Times New Roman"/>
          <w:sz w:val="28"/>
          <w:szCs w:val="28"/>
        </w:rPr>
      </w:pPr>
      <w:r w:rsidRPr="00A974DC">
        <w:rPr>
          <w:rFonts w:ascii="Times New Roman" w:hAnsi="Times New Roman"/>
          <w:sz w:val="28"/>
          <w:szCs w:val="28"/>
        </w:rPr>
        <w:t>Список использованных источников</w:t>
      </w:r>
    </w:p>
    <w:p w:rsidR="00A974DC" w:rsidRPr="00A974DC" w:rsidRDefault="00A974DC" w:rsidP="005A3DF4">
      <w:pPr>
        <w:widowControl w:val="0"/>
        <w:spacing w:after="0" w:line="240" w:lineRule="auto"/>
        <w:ind w:firstLine="709"/>
        <w:jc w:val="both"/>
        <w:rPr>
          <w:rFonts w:ascii="Times New Roman" w:hAnsi="Times New Roman"/>
          <w:sz w:val="28"/>
          <w:szCs w:val="28"/>
        </w:rPr>
      </w:pPr>
      <w:r w:rsidRPr="00A974DC">
        <w:rPr>
          <w:rFonts w:ascii="Times New Roman" w:eastAsia="Times New Roman" w:hAnsi="Times New Roman"/>
          <w:sz w:val="28"/>
          <w:szCs w:val="28"/>
          <w:lang w:eastAsia="ru-RU"/>
        </w:rPr>
        <w:t xml:space="preserve">1 Гражданский кодекс Российской Федерации. Часть первая: федеральный закон от 30.11.1994 № 51-ФЗ (ред. от 03.08.2018) // </w:t>
      </w:r>
      <w:r w:rsidRPr="00A974DC">
        <w:rPr>
          <w:rFonts w:ascii="Times New Roman" w:hAnsi="Times New Roman"/>
          <w:sz w:val="28"/>
          <w:szCs w:val="28"/>
        </w:rPr>
        <w:t>Официальный сайт «КонсультантПлюс». – Режим доступа:</w:t>
      </w:r>
      <w:r w:rsidRPr="00A974DC">
        <w:rPr>
          <w:rFonts w:ascii="Times New Roman" w:eastAsia="Times New Roman" w:hAnsi="Times New Roman"/>
          <w:sz w:val="28"/>
          <w:szCs w:val="28"/>
          <w:lang w:eastAsia="ru-RU"/>
        </w:rPr>
        <w:t xml:space="preserve"> </w:t>
      </w:r>
      <w:r w:rsidRPr="00A974DC">
        <w:rPr>
          <w:rFonts w:ascii="Times New Roman" w:hAnsi="Times New Roman"/>
          <w:sz w:val="28"/>
          <w:szCs w:val="28"/>
        </w:rPr>
        <w:t>http://www.consultant.ru/document/cons_doc_LAW_5142/.</w:t>
      </w:r>
    </w:p>
    <w:p w:rsidR="00A974DC" w:rsidRPr="00A974DC" w:rsidRDefault="00A974DC" w:rsidP="005A3DF4">
      <w:pPr>
        <w:widowControl w:val="0"/>
        <w:spacing w:after="0" w:line="240" w:lineRule="auto"/>
        <w:ind w:firstLine="709"/>
        <w:jc w:val="both"/>
        <w:rPr>
          <w:rFonts w:ascii="Times New Roman" w:hAnsi="Times New Roman"/>
          <w:sz w:val="28"/>
          <w:szCs w:val="28"/>
        </w:rPr>
      </w:pPr>
      <w:r w:rsidRPr="00A974DC">
        <w:rPr>
          <w:rFonts w:ascii="Times New Roman" w:hAnsi="Times New Roman"/>
          <w:sz w:val="28"/>
          <w:szCs w:val="28"/>
        </w:rPr>
        <w:t>2</w:t>
      </w:r>
      <w:r w:rsidRPr="00A974DC">
        <w:rPr>
          <w:rFonts w:ascii="Times New Roman" w:eastAsia="Times New Roman" w:hAnsi="Times New Roman"/>
          <w:sz w:val="28"/>
          <w:szCs w:val="28"/>
          <w:lang w:eastAsia="ru-RU"/>
        </w:rPr>
        <w:t xml:space="preserve"> Семейный кодекс Российской Федерации: федеральный закон от 29.12.1995 № 223-ФЗ (ред. от 18.03.2019) // </w:t>
      </w:r>
      <w:r w:rsidRPr="00A974DC">
        <w:rPr>
          <w:rFonts w:ascii="Times New Roman" w:hAnsi="Times New Roman"/>
          <w:sz w:val="28"/>
          <w:szCs w:val="28"/>
        </w:rPr>
        <w:t>[Электронный ресурс] // Официальный сайт «КонсультантПлюс». – Режим доступа: http://www.consultant.ru/document/cons_doc_LAW_8982/.</w:t>
      </w:r>
    </w:p>
    <w:p w:rsidR="00A974DC" w:rsidRPr="00A974DC" w:rsidRDefault="00A974DC" w:rsidP="005A3DF4">
      <w:pPr>
        <w:widowControl w:val="0"/>
        <w:spacing w:after="0" w:line="240" w:lineRule="auto"/>
        <w:ind w:firstLine="709"/>
        <w:jc w:val="both"/>
        <w:rPr>
          <w:rFonts w:ascii="Times New Roman" w:hAnsi="Times New Roman"/>
          <w:sz w:val="28"/>
          <w:szCs w:val="28"/>
        </w:rPr>
      </w:pPr>
      <w:r w:rsidRPr="00A974DC">
        <w:rPr>
          <w:rFonts w:ascii="Times New Roman" w:hAnsi="Times New Roman"/>
          <w:sz w:val="28"/>
          <w:szCs w:val="28"/>
        </w:rPr>
        <w:t>3 Гражданский процессуальный кодекс Российской Федерации: федеральный закон от 14.11.2002 № 138-ФЗ (ред. от 27.12.2018) [Электронный ресурс] // СПС «КонсультантПлюс». – Режим доступа: http://www.consultant.ru/document/cons_doc_LAW_39570/.</w:t>
      </w:r>
    </w:p>
    <w:p w:rsidR="00A974DC" w:rsidRPr="00A974DC" w:rsidRDefault="00A974DC" w:rsidP="005A3DF4">
      <w:pPr>
        <w:widowControl w:val="0"/>
        <w:spacing w:after="0" w:line="240" w:lineRule="auto"/>
        <w:ind w:firstLine="709"/>
        <w:jc w:val="both"/>
        <w:rPr>
          <w:rFonts w:ascii="Times New Roman" w:eastAsia="Times New Roman" w:hAnsi="Times New Roman"/>
          <w:bCs/>
          <w:sz w:val="28"/>
          <w:szCs w:val="28"/>
          <w:lang w:val="en-US"/>
        </w:rPr>
      </w:pPr>
      <w:r w:rsidRPr="00A974DC">
        <w:rPr>
          <w:rFonts w:ascii="Times New Roman" w:eastAsia="Times New Roman" w:hAnsi="Times New Roman"/>
          <w:bCs/>
          <w:sz w:val="28"/>
          <w:szCs w:val="28"/>
          <w:lang w:val="en-US"/>
        </w:rPr>
        <w:t xml:space="preserve">4 Japanese Civil Code. Part IV and Part V. Art. 725-1044. (Tentative translation) </w:t>
      </w:r>
      <w:r w:rsidRPr="00A974DC">
        <w:rPr>
          <w:rFonts w:ascii="Times New Roman" w:hAnsi="Times New Roman"/>
          <w:sz w:val="28"/>
          <w:szCs w:val="28"/>
          <w:lang w:val="en-US"/>
        </w:rPr>
        <w:t>[</w:t>
      </w:r>
      <w:r w:rsidRPr="00A974DC">
        <w:rPr>
          <w:rFonts w:ascii="Times New Roman" w:hAnsi="Times New Roman"/>
          <w:sz w:val="28"/>
          <w:szCs w:val="28"/>
        </w:rPr>
        <w:t>Электронный</w:t>
      </w:r>
      <w:r w:rsidRPr="00A974DC">
        <w:rPr>
          <w:rFonts w:ascii="Times New Roman" w:hAnsi="Times New Roman"/>
          <w:sz w:val="28"/>
          <w:szCs w:val="28"/>
          <w:lang w:val="en-US"/>
        </w:rPr>
        <w:t xml:space="preserve"> </w:t>
      </w:r>
      <w:r w:rsidRPr="00A974DC">
        <w:rPr>
          <w:rFonts w:ascii="Times New Roman" w:hAnsi="Times New Roman"/>
          <w:sz w:val="28"/>
          <w:szCs w:val="28"/>
        </w:rPr>
        <w:t>ресурс</w:t>
      </w:r>
      <w:r w:rsidRPr="00A974DC">
        <w:rPr>
          <w:rFonts w:ascii="Times New Roman" w:hAnsi="Times New Roman"/>
          <w:sz w:val="28"/>
          <w:szCs w:val="28"/>
          <w:lang w:val="en-US"/>
        </w:rPr>
        <w:t>]</w:t>
      </w:r>
      <w:r w:rsidRPr="00A974DC">
        <w:rPr>
          <w:rFonts w:ascii="Times New Roman" w:eastAsia="Times New Roman" w:hAnsi="Times New Roman"/>
          <w:bCs/>
          <w:sz w:val="28"/>
          <w:szCs w:val="28"/>
          <w:lang w:val="en-US"/>
        </w:rPr>
        <w:t xml:space="preserve"> // Japanese Law Translation. – </w:t>
      </w:r>
      <w:r w:rsidRPr="00A974DC">
        <w:rPr>
          <w:rFonts w:ascii="Times New Roman" w:eastAsia="Times New Roman" w:hAnsi="Times New Roman"/>
          <w:bCs/>
          <w:sz w:val="28"/>
          <w:szCs w:val="28"/>
        </w:rPr>
        <w:t>Режим</w:t>
      </w:r>
      <w:r w:rsidRPr="00A974DC">
        <w:rPr>
          <w:rFonts w:ascii="Times New Roman" w:eastAsia="Times New Roman" w:hAnsi="Times New Roman"/>
          <w:bCs/>
          <w:sz w:val="28"/>
          <w:szCs w:val="28"/>
          <w:lang w:val="en-US"/>
        </w:rPr>
        <w:t xml:space="preserve"> </w:t>
      </w:r>
      <w:r w:rsidRPr="00A974DC">
        <w:rPr>
          <w:rFonts w:ascii="Times New Roman" w:eastAsia="Times New Roman" w:hAnsi="Times New Roman"/>
          <w:bCs/>
          <w:sz w:val="28"/>
          <w:szCs w:val="28"/>
        </w:rPr>
        <w:lastRenderedPageBreak/>
        <w:t>доступа</w:t>
      </w:r>
      <w:r w:rsidRPr="00A974DC">
        <w:rPr>
          <w:rFonts w:ascii="Times New Roman" w:eastAsia="Times New Roman" w:hAnsi="Times New Roman"/>
          <w:bCs/>
          <w:sz w:val="28"/>
          <w:szCs w:val="28"/>
          <w:lang w:val="en-US"/>
        </w:rPr>
        <w:t>: </w:t>
      </w:r>
      <w:hyperlink r:id="rId76" w:history="1">
        <w:r w:rsidRPr="00A974DC">
          <w:rPr>
            <w:rStyle w:val="a8"/>
            <w:rFonts w:ascii="Times New Roman" w:eastAsia="Times New Roman" w:hAnsi="Times New Roman"/>
            <w:bCs/>
            <w:color w:val="auto"/>
            <w:sz w:val="28"/>
            <w:szCs w:val="28"/>
            <w:u w:val="none"/>
            <w:lang w:val="en-US"/>
          </w:rPr>
          <w:t>http://www.japaneselawtranslation.go.jp/law/detail/?id=2252&amp;vm=04&amp;re=01</w:t>
        </w:r>
      </w:hyperlink>
      <w:r w:rsidRPr="00A974DC">
        <w:rPr>
          <w:rFonts w:ascii="Times New Roman" w:eastAsia="Times New Roman" w:hAnsi="Times New Roman"/>
          <w:bCs/>
          <w:sz w:val="28"/>
          <w:szCs w:val="28"/>
          <w:lang w:val="en-US"/>
        </w:rPr>
        <w:t>.</w:t>
      </w:r>
    </w:p>
    <w:p w:rsidR="00A974DC" w:rsidRPr="00A974DC" w:rsidRDefault="00A974DC" w:rsidP="005A3DF4">
      <w:pPr>
        <w:widowControl w:val="0"/>
        <w:spacing w:after="0" w:line="240" w:lineRule="auto"/>
        <w:ind w:firstLine="709"/>
        <w:jc w:val="both"/>
        <w:rPr>
          <w:rFonts w:ascii="Times New Roman" w:hAnsi="Times New Roman"/>
          <w:sz w:val="28"/>
          <w:szCs w:val="28"/>
        </w:rPr>
      </w:pPr>
      <w:r w:rsidRPr="00A974DC">
        <w:rPr>
          <w:rFonts w:ascii="Times New Roman" w:eastAsia="Times New Roman" w:hAnsi="Times New Roman"/>
          <w:bCs/>
          <w:sz w:val="28"/>
          <w:szCs w:val="28"/>
        </w:rPr>
        <w:t xml:space="preserve">5 </w:t>
      </w:r>
      <w:r w:rsidRPr="00A974DC">
        <w:rPr>
          <w:rFonts w:ascii="Times New Roman" w:hAnsi="Times New Roman"/>
          <w:sz w:val="28"/>
          <w:szCs w:val="28"/>
        </w:rPr>
        <w:t>Конституции Японии от 3 мая 1947 г. [Электронный ресурс] / Конституции государств (стран) мира: интернет-библиотека конституций Романа Пашкова. - Режим доступа: http://worldconstitutions.ru/?p=37.</w:t>
      </w:r>
    </w:p>
    <w:p w:rsidR="00A974DC" w:rsidRPr="00A974DC" w:rsidRDefault="00A974DC" w:rsidP="005A3DF4">
      <w:pPr>
        <w:widowControl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6 Россия стала мировым лидером по разводам // [Электронный ресурс] // Информационно-аналитический блог. – Режим доступа: https://blogs.elenasmodels.com/ru/razvody-rossiya/</w:t>
      </w:r>
    </w:p>
    <w:p w:rsidR="00A974DC" w:rsidRPr="00A974DC" w:rsidRDefault="00A974DC" w:rsidP="005A3DF4">
      <w:pPr>
        <w:widowControl w:val="0"/>
        <w:tabs>
          <w:tab w:val="left" w:pos="993"/>
        </w:tabs>
        <w:spacing w:after="0" w:line="240" w:lineRule="auto"/>
        <w:ind w:firstLine="709"/>
        <w:jc w:val="both"/>
        <w:rPr>
          <w:rFonts w:ascii="Times New Roman" w:eastAsia="Times New Roman" w:hAnsi="Times New Roman"/>
          <w:bCs/>
          <w:sz w:val="28"/>
          <w:szCs w:val="28"/>
          <w:lang w:eastAsia="ru-RU"/>
        </w:rPr>
      </w:pPr>
      <w:r w:rsidRPr="00A974DC">
        <w:rPr>
          <w:rFonts w:ascii="Times New Roman" w:eastAsia="Times New Roman" w:hAnsi="Times New Roman"/>
          <w:bCs/>
          <w:sz w:val="28"/>
          <w:szCs w:val="28"/>
          <w:lang w:eastAsia="ru-RU"/>
        </w:rPr>
        <w:t>7 Количество браков в России в 2019 году [Электронный ресурс] // Линия права. – Режим доступа: http://152-zakon.ru/kolichestvo-brakov-v-rossii-2018-godu-12444/#__2019-3.</w:t>
      </w:r>
    </w:p>
    <w:p w:rsidR="00A974DC" w:rsidRPr="00A974DC" w:rsidRDefault="00A974DC" w:rsidP="005A3DF4">
      <w:pPr>
        <w:widowControl w:val="0"/>
        <w:tabs>
          <w:tab w:val="left" w:pos="993"/>
        </w:tabs>
        <w:spacing w:after="0" w:line="240" w:lineRule="auto"/>
        <w:ind w:firstLine="709"/>
        <w:jc w:val="both"/>
        <w:rPr>
          <w:rFonts w:ascii="Times New Roman" w:eastAsia="Times New Roman" w:hAnsi="Times New Roman"/>
          <w:bCs/>
          <w:sz w:val="28"/>
          <w:szCs w:val="28"/>
          <w:lang w:eastAsia="ru-RU"/>
        </w:rPr>
      </w:pPr>
      <w:r w:rsidRPr="00A974DC">
        <w:rPr>
          <w:rFonts w:ascii="Times New Roman" w:eastAsia="Times New Roman" w:hAnsi="Times New Roman"/>
          <w:bCs/>
          <w:sz w:val="28"/>
          <w:szCs w:val="28"/>
          <w:lang w:eastAsia="ru-RU"/>
        </w:rPr>
        <w:t xml:space="preserve">8 </w:t>
      </w:r>
      <w:r w:rsidRPr="00A974DC">
        <w:rPr>
          <w:rFonts w:ascii="Times New Roman" w:eastAsia="MS Gothic" w:hAnsi="Times New Roman"/>
          <w:bCs/>
          <w:sz w:val="28"/>
          <w:szCs w:val="28"/>
          <w:lang w:eastAsia="ru-RU"/>
        </w:rPr>
        <w:t xml:space="preserve">組に１組のカップルは離婚している？日本って離婚率高いんだね。　</w:t>
      </w:r>
      <w:r w:rsidRPr="00A974DC">
        <w:rPr>
          <w:rFonts w:ascii="Times New Roman" w:eastAsia="Times New Roman" w:hAnsi="Times New Roman"/>
          <w:bCs/>
          <w:sz w:val="28"/>
          <w:szCs w:val="28"/>
          <w:lang w:val="en-US" w:eastAsia="ru-RU"/>
        </w:rPr>
        <w:t xml:space="preserve">[One of  three married couples is divorced. Japan has a high divorce rate, isn`t it?] </w:t>
      </w:r>
      <w:r w:rsidRPr="00A974DC">
        <w:rPr>
          <w:rFonts w:ascii="Times New Roman" w:eastAsia="Times New Roman" w:hAnsi="Times New Roman"/>
          <w:sz w:val="28"/>
          <w:szCs w:val="28"/>
          <w:lang w:val="en-US" w:eastAsia="ru-RU"/>
        </w:rPr>
        <w:t>[</w:t>
      </w:r>
      <w:r w:rsidRPr="00A974DC">
        <w:rPr>
          <w:rFonts w:ascii="Times New Roman" w:eastAsia="Times New Roman" w:hAnsi="Times New Roman"/>
          <w:sz w:val="28"/>
          <w:szCs w:val="28"/>
          <w:lang w:eastAsia="ru-RU"/>
        </w:rPr>
        <w:t>Электронный</w:t>
      </w:r>
      <w:r w:rsidRPr="00A974DC">
        <w:rPr>
          <w:rFonts w:ascii="Times New Roman" w:eastAsia="Times New Roman" w:hAnsi="Times New Roman"/>
          <w:sz w:val="28"/>
          <w:szCs w:val="28"/>
          <w:lang w:val="en-US" w:eastAsia="ru-RU"/>
        </w:rPr>
        <w:t xml:space="preserve"> </w:t>
      </w:r>
      <w:r w:rsidRPr="00A974DC">
        <w:rPr>
          <w:rFonts w:ascii="Times New Roman" w:eastAsia="Times New Roman" w:hAnsi="Times New Roman"/>
          <w:sz w:val="28"/>
          <w:szCs w:val="28"/>
          <w:lang w:eastAsia="ru-RU"/>
        </w:rPr>
        <w:t>ресурс</w:t>
      </w:r>
      <w:r w:rsidRPr="00A974DC">
        <w:rPr>
          <w:rFonts w:ascii="Times New Roman" w:eastAsia="Times New Roman" w:hAnsi="Times New Roman"/>
          <w:sz w:val="28"/>
          <w:szCs w:val="28"/>
          <w:lang w:val="en-US" w:eastAsia="ru-RU"/>
        </w:rPr>
        <w:t>]</w:t>
      </w:r>
      <w:r w:rsidRPr="00A974DC">
        <w:rPr>
          <w:rFonts w:ascii="Times New Roman" w:eastAsia="Times New Roman" w:hAnsi="Times New Roman"/>
          <w:bCs/>
          <w:sz w:val="28"/>
          <w:szCs w:val="28"/>
          <w:lang w:val="en-US" w:eastAsia="ru-RU"/>
        </w:rPr>
        <w:t xml:space="preserve">. – 29.10.2017. – </w:t>
      </w:r>
      <w:r w:rsidRPr="00A974DC">
        <w:rPr>
          <w:rFonts w:ascii="Times New Roman" w:eastAsia="Times New Roman" w:hAnsi="Times New Roman"/>
          <w:bCs/>
          <w:sz w:val="28"/>
          <w:szCs w:val="28"/>
          <w:lang w:eastAsia="ru-RU"/>
        </w:rPr>
        <w:t>Режим</w:t>
      </w:r>
      <w:r w:rsidRPr="00A974DC">
        <w:rPr>
          <w:rFonts w:ascii="Times New Roman" w:eastAsia="Times New Roman" w:hAnsi="Times New Roman"/>
          <w:bCs/>
          <w:sz w:val="28"/>
          <w:szCs w:val="28"/>
          <w:lang w:val="en-US" w:eastAsia="ru-RU"/>
        </w:rPr>
        <w:t xml:space="preserve"> </w:t>
      </w:r>
      <w:r w:rsidRPr="00A974DC">
        <w:rPr>
          <w:rFonts w:ascii="Times New Roman" w:eastAsia="Times New Roman" w:hAnsi="Times New Roman"/>
          <w:bCs/>
          <w:sz w:val="28"/>
          <w:szCs w:val="28"/>
          <w:lang w:eastAsia="ru-RU"/>
        </w:rPr>
        <w:t>доступа</w:t>
      </w:r>
      <w:r w:rsidRPr="00A974DC">
        <w:rPr>
          <w:rFonts w:ascii="Times New Roman" w:eastAsia="Times New Roman" w:hAnsi="Times New Roman"/>
          <w:bCs/>
          <w:sz w:val="28"/>
          <w:szCs w:val="28"/>
          <w:lang w:val="en-US" w:eastAsia="ru-RU"/>
        </w:rPr>
        <w:t xml:space="preserve">: http://matome.naver.jp/odai/2135934983301998101 (accessed: 18.11.2017). </w:t>
      </w:r>
      <w:r w:rsidRPr="00A974DC">
        <w:rPr>
          <w:rFonts w:ascii="Times New Roman" w:eastAsia="Times New Roman" w:hAnsi="Times New Roman"/>
          <w:bCs/>
          <w:sz w:val="28"/>
          <w:szCs w:val="28"/>
          <w:lang w:eastAsia="ru-RU"/>
        </w:rPr>
        <w:t>[</w:t>
      </w:r>
      <w:r w:rsidRPr="00A974DC">
        <w:rPr>
          <w:rFonts w:ascii="Times New Roman" w:eastAsia="Times New Roman" w:hAnsi="Times New Roman"/>
          <w:bCs/>
          <w:sz w:val="28"/>
          <w:szCs w:val="28"/>
          <w:lang w:val="en-US" w:eastAsia="ru-RU"/>
        </w:rPr>
        <w:t>in</w:t>
      </w:r>
      <w:r w:rsidRPr="00A974DC">
        <w:rPr>
          <w:rFonts w:ascii="Times New Roman" w:eastAsia="Times New Roman" w:hAnsi="Times New Roman"/>
          <w:bCs/>
          <w:sz w:val="28"/>
          <w:szCs w:val="28"/>
          <w:lang w:eastAsia="ru-RU"/>
        </w:rPr>
        <w:t xml:space="preserve"> </w:t>
      </w:r>
      <w:r w:rsidRPr="00A974DC">
        <w:rPr>
          <w:rFonts w:ascii="Times New Roman" w:eastAsia="Times New Roman" w:hAnsi="Times New Roman"/>
          <w:bCs/>
          <w:sz w:val="28"/>
          <w:szCs w:val="28"/>
          <w:lang w:val="en-US" w:eastAsia="ru-RU"/>
        </w:rPr>
        <w:t>Japanese</w:t>
      </w:r>
      <w:r w:rsidRPr="00A974DC">
        <w:rPr>
          <w:rFonts w:ascii="Times New Roman" w:eastAsia="Times New Roman" w:hAnsi="Times New Roman"/>
          <w:bCs/>
          <w:sz w:val="28"/>
          <w:szCs w:val="28"/>
          <w:lang w:eastAsia="ru-RU"/>
        </w:rPr>
        <w:t>].</w:t>
      </w:r>
    </w:p>
    <w:p w:rsidR="00A974DC" w:rsidRPr="00A974DC" w:rsidRDefault="00A974DC" w:rsidP="005A3DF4">
      <w:pPr>
        <w:widowControl w:val="0"/>
        <w:tabs>
          <w:tab w:val="left" w:pos="993"/>
        </w:tabs>
        <w:spacing w:after="0" w:line="240" w:lineRule="auto"/>
        <w:ind w:firstLine="709"/>
        <w:jc w:val="both"/>
        <w:rPr>
          <w:rFonts w:ascii="Times New Roman" w:eastAsia="Times New Roman" w:hAnsi="Times New Roman"/>
          <w:bCs/>
          <w:sz w:val="28"/>
          <w:szCs w:val="28"/>
        </w:rPr>
      </w:pPr>
      <w:r w:rsidRPr="00A974DC">
        <w:rPr>
          <w:rFonts w:ascii="Times New Roman" w:eastAsia="Times New Roman" w:hAnsi="Times New Roman"/>
          <w:bCs/>
          <w:sz w:val="28"/>
          <w:szCs w:val="28"/>
        </w:rPr>
        <w:t xml:space="preserve">9 </w:t>
      </w:r>
      <w:r w:rsidRPr="00A974DC">
        <w:rPr>
          <w:rFonts w:ascii="Times New Roman" w:hAnsi="Times New Roman"/>
          <w:sz w:val="28"/>
          <w:szCs w:val="28"/>
        </w:rPr>
        <w:t>Воркина К.С. Особенности развода в современной Японии / К.С. Воркина [Электронный ресурс] / Международный научно-исследовательский журнал. – 2017. – № 12-2 (66). – С. 31-33. - Режим доступа: https://research-journal.org/culture/osobennosti-razvoda-v-sovremennoj-yaponii/.</w:t>
      </w:r>
    </w:p>
    <w:p w:rsidR="00A974DC" w:rsidRPr="00A974DC" w:rsidRDefault="00A974DC" w:rsidP="005A3DF4">
      <w:pPr>
        <w:widowControl w:val="0"/>
        <w:tabs>
          <w:tab w:val="left" w:pos="993"/>
        </w:tabs>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val="en-US" w:eastAsia="ru-RU"/>
        </w:rPr>
        <w:t xml:space="preserve">10 Labor Situation in Japan and its Analysis: Detailed Exposition 2012/2013//The Japan Institute for Labour Policy and Training. – 2013. – P. 38. </w:t>
      </w:r>
      <w:r w:rsidRPr="00A974DC">
        <w:rPr>
          <w:rFonts w:ascii="Times New Roman" w:eastAsia="Times New Roman" w:hAnsi="Times New Roman"/>
          <w:sz w:val="28"/>
          <w:szCs w:val="28"/>
          <w:lang w:eastAsia="ru-RU"/>
        </w:rPr>
        <w:t>[Электронный ресурс] - Режим доступа: https://research-journal.org/culture/osobennosti-razvoda-v-sovremennoj-yaponii/.</w:t>
      </w:r>
    </w:p>
    <w:p w:rsidR="00A974DC" w:rsidRPr="00A974DC" w:rsidRDefault="00A974DC" w:rsidP="005A3DF4">
      <w:pPr>
        <w:widowControl w:val="0"/>
        <w:spacing w:after="0" w:line="240" w:lineRule="auto"/>
        <w:ind w:firstLine="709"/>
        <w:jc w:val="both"/>
        <w:rPr>
          <w:rFonts w:ascii="Times New Roman" w:eastAsia="Times New Roman" w:hAnsi="Times New Roman"/>
          <w:sz w:val="28"/>
          <w:szCs w:val="28"/>
          <w:lang w:eastAsia="ru-RU"/>
        </w:rPr>
      </w:pPr>
      <w:r w:rsidRPr="00A974DC">
        <w:rPr>
          <w:rFonts w:ascii="Times New Roman" w:eastAsia="Times New Roman" w:hAnsi="Times New Roman"/>
          <w:sz w:val="28"/>
          <w:szCs w:val="28"/>
          <w:lang w:eastAsia="ru-RU"/>
        </w:rPr>
        <w:t>11 Решение Мирового судьи 12 судебного участка Черновского района г. Читы от 26.07.2016 г. [Электронный ресурс] // Судебные и нормативные акты РФ. – Режим доступа: https://sudact.ru/magistrate/doc/sBvzYo6tift/.</w:t>
      </w:r>
    </w:p>
    <w:p w:rsidR="00A974DC" w:rsidRPr="00A974DC" w:rsidRDefault="00A974DC" w:rsidP="005A3DF4">
      <w:pPr>
        <w:widowControl w:val="0"/>
        <w:spacing w:after="0" w:line="240" w:lineRule="auto"/>
        <w:ind w:firstLine="709"/>
        <w:jc w:val="both"/>
        <w:rPr>
          <w:rFonts w:ascii="Times New Roman" w:hAnsi="Times New Roman"/>
          <w:sz w:val="28"/>
          <w:szCs w:val="28"/>
        </w:rPr>
      </w:pPr>
      <w:r w:rsidRPr="00A974DC">
        <w:rPr>
          <w:rFonts w:ascii="Times New Roman" w:hAnsi="Times New Roman"/>
          <w:sz w:val="28"/>
          <w:szCs w:val="28"/>
        </w:rPr>
        <w:t>12 Зенин И.А. Гражданское и торговое право зарубежных стран: Учебное пособие, руководство по изучению дисциплины, практикум по изучению дисциплины, учебная программа / И.А.Зенин. - Московский государственный университет экономики, статистики и информатики. 5-е изд. Вып. 5 – М.: МЭСИ, 2005. – 194 с. [Электронный ресурс] - Режим доступа: http://elibrary.bsu.az/books_200/N_50.pdf</w:t>
      </w:r>
    </w:p>
    <w:p w:rsidR="00A974DC" w:rsidRPr="00C85716" w:rsidRDefault="00A974DC" w:rsidP="005A3DF4">
      <w:pPr>
        <w:widowControl w:val="0"/>
        <w:tabs>
          <w:tab w:val="left" w:pos="930"/>
        </w:tabs>
        <w:spacing w:after="0" w:line="360" w:lineRule="auto"/>
        <w:contextualSpacing/>
        <w:rPr>
          <w:rFonts w:ascii="Times New Roman" w:hAnsi="Times New Roman"/>
          <w:sz w:val="24"/>
          <w:szCs w:val="24"/>
        </w:rPr>
      </w:pPr>
    </w:p>
    <w:p w:rsidR="008D2F3B" w:rsidRPr="00467B95" w:rsidRDefault="008D2F3B"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 xml:space="preserve">Защита персональных данных операторами информационных систем в Российской Федерации и государствах Северо-Восточной Азии: сравнительно-правовой аспект </w:t>
      </w:r>
    </w:p>
    <w:p w:rsidR="008D2F3B" w:rsidRPr="00467B95" w:rsidRDefault="008D2F3B" w:rsidP="005A3DF4">
      <w:pPr>
        <w:widowControl w:val="0"/>
        <w:spacing w:after="0" w:line="240" w:lineRule="auto"/>
        <w:ind w:firstLine="709"/>
        <w:rPr>
          <w:rFonts w:ascii="Times New Roman" w:hAnsi="Times New Roman"/>
          <w:sz w:val="28"/>
          <w:szCs w:val="28"/>
        </w:rPr>
      </w:pPr>
    </w:p>
    <w:p w:rsidR="008D2F3B" w:rsidRPr="00F1532C" w:rsidRDefault="008D2F3B" w:rsidP="005A3DF4">
      <w:pPr>
        <w:widowControl w:val="0"/>
        <w:spacing w:after="0" w:line="240" w:lineRule="auto"/>
        <w:ind w:firstLine="709"/>
        <w:jc w:val="center"/>
        <w:rPr>
          <w:rFonts w:ascii="Times New Roman" w:hAnsi="Times New Roman"/>
          <w:b/>
          <w:sz w:val="28"/>
          <w:szCs w:val="28"/>
          <w:lang w:val="en-US"/>
        </w:rPr>
      </w:pPr>
      <w:r w:rsidRPr="00F1532C">
        <w:rPr>
          <w:rFonts w:ascii="Times New Roman" w:hAnsi="Times New Roman"/>
          <w:b/>
          <w:sz w:val="28"/>
          <w:szCs w:val="28"/>
          <w:lang w:val="en-US"/>
        </w:rPr>
        <w:t>Personal data protection by information system operators in the Russian Federation and the states of Northeast Asia: a comparative legal aspect</w:t>
      </w:r>
    </w:p>
    <w:p w:rsidR="00F1532C" w:rsidRPr="005542CD" w:rsidRDefault="00F1532C" w:rsidP="005A3DF4">
      <w:pPr>
        <w:widowControl w:val="0"/>
        <w:spacing w:after="0" w:line="240" w:lineRule="auto"/>
        <w:ind w:firstLine="709"/>
        <w:jc w:val="center"/>
        <w:rPr>
          <w:rFonts w:ascii="Times New Roman" w:hAnsi="Times New Roman"/>
          <w:sz w:val="28"/>
          <w:szCs w:val="28"/>
          <w:lang w:val="en-US"/>
        </w:rPr>
      </w:pPr>
    </w:p>
    <w:p w:rsidR="008D2F3B" w:rsidRPr="00467B95" w:rsidRDefault="008D2F3B" w:rsidP="005A3DF4">
      <w:pPr>
        <w:widowControl w:val="0"/>
        <w:spacing w:after="0" w:line="240" w:lineRule="auto"/>
        <w:ind w:firstLine="709"/>
        <w:jc w:val="center"/>
        <w:rPr>
          <w:rFonts w:ascii="Times New Roman" w:hAnsi="Times New Roman"/>
          <w:i/>
          <w:sz w:val="28"/>
          <w:szCs w:val="28"/>
          <w:lang w:val="en-US"/>
        </w:rPr>
      </w:pPr>
      <w:r w:rsidRPr="00467B95">
        <w:rPr>
          <w:rFonts w:ascii="Times New Roman" w:hAnsi="Times New Roman"/>
          <w:sz w:val="28"/>
          <w:szCs w:val="28"/>
        </w:rPr>
        <w:t>Шипунов</w:t>
      </w:r>
      <w:r w:rsidRPr="00467B95">
        <w:rPr>
          <w:rFonts w:ascii="Times New Roman" w:hAnsi="Times New Roman"/>
          <w:sz w:val="28"/>
          <w:szCs w:val="28"/>
          <w:lang w:val="en-US"/>
        </w:rPr>
        <w:t xml:space="preserve"> </w:t>
      </w:r>
      <w:r w:rsidRPr="00467B95">
        <w:rPr>
          <w:rFonts w:ascii="Times New Roman" w:hAnsi="Times New Roman"/>
          <w:sz w:val="28"/>
          <w:szCs w:val="28"/>
        </w:rPr>
        <w:t>Антон</w:t>
      </w:r>
      <w:r w:rsidRPr="00467B95">
        <w:rPr>
          <w:rFonts w:ascii="Times New Roman" w:hAnsi="Times New Roman"/>
          <w:sz w:val="28"/>
          <w:szCs w:val="28"/>
          <w:lang w:val="en-US"/>
        </w:rPr>
        <w:t xml:space="preserve"> </w:t>
      </w:r>
      <w:r w:rsidRPr="00467B95">
        <w:rPr>
          <w:rFonts w:ascii="Times New Roman" w:hAnsi="Times New Roman"/>
          <w:sz w:val="28"/>
          <w:szCs w:val="28"/>
        </w:rPr>
        <w:t>Сергеевич</w:t>
      </w:r>
      <w:r w:rsidRPr="00467B95">
        <w:rPr>
          <w:rFonts w:ascii="Times New Roman" w:hAnsi="Times New Roman"/>
          <w:i/>
          <w:sz w:val="28"/>
          <w:szCs w:val="28"/>
          <w:lang w:val="en-US"/>
        </w:rPr>
        <w:t xml:space="preserve"> </w:t>
      </w:r>
    </w:p>
    <w:p w:rsidR="008D2F3B" w:rsidRPr="00467B95" w:rsidRDefault="008D2F3B"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Shipunov Anton Sergeevich</w:t>
      </w:r>
    </w:p>
    <w:p w:rsidR="008D2F3B" w:rsidRPr="00467B95" w:rsidRDefault="008D2F3B"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rPr>
        <w:t xml:space="preserve">Владивостокский Государственный Университет экономики и сервиса. </w:t>
      </w:r>
      <w:r w:rsidRPr="00467B95">
        <w:rPr>
          <w:rFonts w:ascii="Times New Roman" w:hAnsi="Times New Roman"/>
          <w:sz w:val="28"/>
          <w:szCs w:val="28"/>
        </w:rPr>
        <w:lastRenderedPageBreak/>
        <w:t>Владивосток</w:t>
      </w:r>
      <w:r w:rsidRPr="00467B95">
        <w:rPr>
          <w:rFonts w:ascii="Times New Roman" w:hAnsi="Times New Roman"/>
          <w:sz w:val="28"/>
          <w:szCs w:val="28"/>
          <w:lang w:val="en-US"/>
        </w:rPr>
        <w:t xml:space="preserve"> </w:t>
      </w:r>
    </w:p>
    <w:p w:rsidR="008D2F3B" w:rsidRPr="00467B95" w:rsidRDefault="008D2F3B" w:rsidP="005A3DF4">
      <w:pPr>
        <w:widowControl w:val="0"/>
        <w:spacing w:after="0" w:line="240" w:lineRule="auto"/>
        <w:ind w:firstLine="709"/>
        <w:jc w:val="center"/>
        <w:rPr>
          <w:rFonts w:ascii="Times New Roman" w:hAnsi="Times New Roman"/>
          <w:color w:val="000000"/>
          <w:sz w:val="28"/>
          <w:szCs w:val="28"/>
          <w:lang w:val="en-US"/>
        </w:rPr>
      </w:pPr>
      <w:r w:rsidRPr="00467B95">
        <w:rPr>
          <w:rFonts w:ascii="Times New Roman" w:hAnsi="Times New Roman"/>
          <w:color w:val="000000"/>
          <w:sz w:val="28"/>
          <w:szCs w:val="28"/>
        </w:rPr>
        <w:t>Россия</w:t>
      </w:r>
    </w:p>
    <w:p w:rsidR="008D2F3B" w:rsidRPr="00467B95" w:rsidRDefault="008D2F3B" w:rsidP="005A3DF4">
      <w:pPr>
        <w:widowControl w:val="0"/>
        <w:spacing w:after="0" w:line="240" w:lineRule="auto"/>
        <w:ind w:firstLine="709"/>
        <w:jc w:val="center"/>
        <w:rPr>
          <w:rFonts w:ascii="Times New Roman" w:hAnsi="Times New Roman"/>
          <w:color w:val="000000"/>
          <w:sz w:val="28"/>
          <w:szCs w:val="28"/>
        </w:rPr>
      </w:pPr>
      <w:r w:rsidRPr="00467B95">
        <w:rPr>
          <w:rFonts w:ascii="Times New Roman" w:hAnsi="Times New Roman"/>
          <w:color w:val="000000"/>
          <w:sz w:val="28"/>
          <w:szCs w:val="28"/>
          <w:lang w:val="en-US"/>
        </w:rPr>
        <w:t>Vladivostok State University of Economics and Services Vladivostok. Russia</w:t>
      </w:r>
    </w:p>
    <w:p w:rsidR="008D2F3B" w:rsidRPr="00467B95" w:rsidRDefault="008D2F3B"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 xml:space="preserve">Бакалавр </w:t>
      </w:r>
    </w:p>
    <w:p w:rsidR="008D2F3B" w:rsidRPr="00467B95" w:rsidRDefault="008D2F3B"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8D2F3B" w:rsidRPr="00467B95" w:rsidRDefault="008D2F3B"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Anton</w:t>
      </w:r>
      <w:r w:rsidRPr="00467B95">
        <w:rPr>
          <w:rFonts w:ascii="Times New Roman" w:hAnsi="Times New Roman"/>
          <w:sz w:val="28"/>
          <w:szCs w:val="28"/>
        </w:rPr>
        <w:t>.</w:t>
      </w:r>
      <w:r w:rsidRPr="00467B95">
        <w:rPr>
          <w:rFonts w:ascii="Times New Roman" w:hAnsi="Times New Roman"/>
          <w:sz w:val="28"/>
          <w:szCs w:val="28"/>
          <w:lang w:val="en-US"/>
        </w:rPr>
        <w:t>shipun</w:t>
      </w:r>
      <w:r w:rsidRPr="00467B95">
        <w:rPr>
          <w:rFonts w:ascii="Times New Roman" w:hAnsi="Times New Roman"/>
          <w:sz w:val="28"/>
          <w:szCs w:val="28"/>
        </w:rPr>
        <w:t>0</w:t>
      </w:r>
      <w:r w:rsidRPr="00467B95">
        <w:rPr>
          <w:rFonts w:ascii="Times New Roman" w:hAnsi="Times New Roman"/>
          <w:sz w:val="28"/>
          <w:szCs w:val="28"/>
          <w:lang w:val="en-US"/>
        </w:rPr>
        <w:t>v</w:t>
      </w:r>
      <w:r w:rsidRPr="00467B95">
        <w:rPr>
          <w:rFonts w:ascii="Times New Roman" w:hAnsi="Times New Roman"/>
          <w:sz w:val="28"/>
          <w:szCs w:val="28"/>
        </w:rPr>
        <w:t>@</w:t>
      </w:r>
      <w:r w:rsidRPr="00467B95">
        <w:rPr>
          <w:rFonts w:ascii="Times New Roman" w:hAnsi="Times New Roman"/>
          <w:sz w:val="28"/>
          <w:szCs w:val="28"/>
          <w:lang w:val="en-US"/>
        </w:rPr>
        <w:t>yandex</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тел.: 89242437150</w:t>
      </w:r>
    </w:p>
    <w:p w:rsidR="008D2F3B" w:rsidRPr="00467B95" w:rsidRDefault="008D2F3B" w:rsidP="005A3DF4">
      <w:pPr>
        <w:widowControl w:val="0"/>
        <w:spacing w:after="0" w:line="240" w:lineRule="auto"/>
        <w:ind w:firstLine="709"/>
        <w:rPr>
          <w:rFonts w:ascii="Times New Roman" w:hAnsi="Times New Roman"/>
          <w:b/>
          <w:sz w:val="28"/>
          <w:szCs w:val="28"/>
        </w:rPr>
      </w:pPr>
    </w:p>
    <w:p w:rsidR="008D2F3B" w:rsidRPr="00F1532C" w:rsidRDefault="008D2F3B" w:rsidP="005A3DF4">
      <w:pPr>
        <w:widowControl w:val="0"/>
        <w:spacing w:after="0" w:line="240" w:lineRule="auto"/>
        <w:ind w:firstLine="709"/>
        <w:jc w:val="both"/>
        <w:rPr>
          <w:rFonts w:ascii="Times New Roman" w:hAnsi="Times New Roman"/>
          <w:i/>
          <w:sz w:val="28"/>
          <w:szCs w:val="28"/>
        </w:rPr>
      </w:pPr>
      <w:r w:rsidRPr="00F1532C">
        <w:rPr>
          <w:rFonts w:ascii="Times New Roman" w:hAnsi="Times New Roman"/>
          <w:i/>
          <w:sz w:val="28"/>
          <w:szCs w:val="28"/>
        </w:rPr>
        <w:t>Предметом исследования в работе стало -</w:t>
      </w:r>
      <w:r w:rsidRPr="00F1532C">
        <w:rPr>
          <w:rFonts w:ascii="Times New Roman" w:hAnsi="Times New Roman"/>
          <w:b/>
          <w:i/>
          <w:sz w:val="28"/>
          <w:szCs w:val="28"/>
        </w:rPr>
        <w:t xml:space="preserve"> </w:t>
      </w:r>
      <w:r w:rsidRPr="00F1532C">
        <w:rPr>
          <w:rFonts w:ascii="Times New Roman" w:hAnsi="Times New Roman"/>
          <w:i/>
          <w:sz w:val="28"/>
          <w:szCs w:val="28"/>
        </w:rPr>
        <w:t xml:space="preserve">национальное законодательство РФ (ФЗ, Указы Президента), научные статьи российских авторов, а также научные статьи и законодательство, посвященные защите персональных данных в странах Северо-Восточной Азии по теме исследования. Целью работы является – исследование правовых аспектов защиты персональных данных операторами в России и государствах Северо-Восточной Азии и их сравнительно-правовой аспект. Результатами работы является то, что, проанализировав указанное законодательство и различные научные статьи, можно сделать вывод о сравнительно-правовом соотношении персональных данных с четырех позиций, разных государств. Новизна работы состоит в том, что была проделана кропотливая работа с различными нормативными источниками на разных языках, а именно: китайском, корейском, японском, что в совокупности порождает четкое понимание и разграничение некоторых положений о персональных данных с правовой точки зрения в сравниваемых государствах.   </w:t>
      </w:r>
    </w:p>
    <w:p w:rsidR="00F1532C" w:rsidRDefault="00F1532C" w:rsidP="005A3DF4">
      <w:pPr>
        <w:widowControl w:val="0"/>
        <w:spacing w:after="0" w:line="240" w:lineRule="auto"/>
        <w:ind w:firstLine="709"/>
        <w:jc w:val="both"/>
        <w:rPr>
          <w:rFonts w:ascii="Times New Roman" w:hAnsi="Times New Roman"/>
          <w:i/>
          <w:sz w:val="28"/>
          <w:szCs w:val="28"/>
        </w:rPr>
      </w:pPr>
    </w:p>
    <w:p w:rsidR="008D2F3B" w:rsidRPr="00F1532C" w:rsidRDefault="008D2F3B" w:rsidP="005A3DF4">
      <w:pPr>
        <w:widowControl w:val="0"/>
        <w:spacing w:after="0" w:line="240" w:lineRule="auto"/>
        <w:ind w:firstLine="709"/>
        <w:jc w:val="both"/>
        <w:rPr>
          <w:rFonts w:ascii="Times New Roman" w:hAnsi="Times New Roman"/>
          <w:i/>
          <w:sz w:val="28"/>
          <w:szCs w:val="28"/>
        </w:rPr>
      </w:pPr>
      <w:r w:rsidRPr="00F1532C">
        <w:rPr>
          <w:rFonts w:ascii="Times New Roman" w:hAnsi="Times New Roman"/>
          <w:i/>
          <w:sz w:val="28"/>
          <w:szCs w:val="28"/>
        </w:rPr>
        <w:t>Ключевые слова:</w:t>
      </w:r>
      <w:r w:rsidRPr="00F1532C">
        <w:rPr>
          <w:rFonts w:ascii="Times New Roman" w:hAnsi="Times New Roman"/>
          <w:b/>
          <w:i/>
          <w:sz w:val="28"/>
          <w:szCs w:val="28"/>
        </w:rPr>
        <w:t xml:space="preserve"> </w:t>
      </w:r>
      <w:r w:rsidRPr="00F1532C">
        <w:rPr>
          <w:rFonts w:ascii="Times New Roman" w:hAnsi="Times New Roman"/>
          <w:i/>
          <w:sz w:val="28"/>
          <w:szCs w:val="28"/>
        </w:rPr>
        <w:t>персональные данные, правовой режим, защита персональных данных, правовой статус операторов, информационные системы.</w:t>
      </w:r>
    </w:p>
    <w:p w:rsidR="00F1532C" w:rsidRDefault="00F1532C" w:rsidP="005A3DF4">
      <w:pPr>
        <w:widowControl w:val="0"/>
        <w:spacing w:after="0" w:line="240" w:lineRule="auto"/>
        <w:ind w:firstLine="709"/>
        <w:jc w:val="both"/>
        <w:rPr>
          <w:rFonts w:ascii="Times New Roman" w:hAnsi="Times New Roman"/>
          <w:i/>
          <w:sz w:val="28"/>
          <w:szCs w:val="28"/>
        </w:rPr>
      </w:pPr>
    </w:p>
    <w:p w:rsidR="008D2F3B" w:rsidRPr="00F1532C" w:rsidRDefault="008D2F3B" w:rsidP="005A3DF4">
      <w:pPr>
        <w:widowControl w:val="0"/>
        <w:spacing w:after="0" w:line="240" w:lineRule="auto"/>
        <w:ind w:firstLine="709"/>
        <w:jc w:val="both"/>
        <w:rPr>
          <w:rFonts w:ascii="Times New Roman" w:hAnsi="Times New Roman"/>
          <w:i/>
          <w:sz w:val="28"/>
          <w:szCs w:val="28"/>
          <w:lang w:val="en-US"/>
        </w:rPr>
      </w:pPr>
      <w:r w:rsidRPr="00F1532C">
        <w:rPr>
          <w:rFonts w:ascii="Times New Roman" w:hAnsi="Times New Roman"/>
          <w:i/>
          <w:sz w:val="28"/>
          <w:szCs w:val="28"/>
          <w:lang w:val="en-US"/>
        </w:rPr>
        <w:t>The subject of research in the work was - the national legislation of the Russian Federation (Federal Law, Presidential Decree), scientific articles of Russian authors, as well as scientific articles and legislation on the protection of personal data in the countries of North-East Asia on the topic of research. The aim of the work is to study the legal aspects of the protection of personal data by operators in Russia and the states of Northeast Asia and their comparative legal aspect. The results of the work is that, after analyzing the said legislation and various scientific articles, it can be concluded that the comparative legal relationship of personal data from four positions in different countries. The novelty of the work lies in the fact that painstaking work has been done with various regulatory sources in different languages, namely Chinese, Korean, Japanese, which together gives rise to a clear understanding and delimitation of some provisions on personal data from a legal point of view in the compared countries.</w:t>
      </w:r>
    </w:p>
    <w:p w:rsidR="00F1532C" w:rsidRPr="005542CD" w:rsidRDefault="00F1532C" w:rsidP="005A3DF4">
      <w:pPr>
        <w:widowControl w:val="0"/>
        <w:spacing w:after="0" w:line="240" w:lineRule="auto"/>
        <w:ind w:firstLine="709"/>
        <w:jc w:val="both"/>
        <w:rPr>
          <w:rFonts w:ascii="Times New Roman" w:hAnsi="Times New Roman"/>
          <w:i/>
          <w:sz w:val="28"/>
          <w:szCs w:val="28"/>
          <w:lang w:val="en-US"/>
        </w:rPr>
      </w:pPr>
    </w:p>
    <w:p w:rsidR="008D2F3B" w:rsidRPr="00F1532C" w:rsidRDefault="008D2F3B" w:rsidP="005A3DF4">
      <w:pPr>
        <w:widowControl w:val="0"/>
        <w:spacing w:after="0" w:line="240" w:lineRule="auto"/>
        <w:ind w:firstLine="709"/>
        <w:jc w:val="both"/>
        <w:rPr>
          <w:rFonts w:ascii="Times New Roman" w:hAnsi="Times New Roman"/>
          <w:i/>
          <w:sz w:val="28"/>
          <w:szCs w:val="28"/>
          <w:lang w:val="en-US"/>
        </w:rPr>
      </w:pPr>
      <w:r w:rsidRPr="00F1532C">
        <w:rPr>
          <w:rFonts w:ascii="Times New Roman" w:hAnsi="Times New Roman"/>
          <w:i/>
          <w:sz w:val="28"/>
          <w:szCs w:val="28"/>
          <w:lang w:val="en-US"/>
        </w:rPr>
        <w:t>Keywords: personal data, legal regime, personal data protection, legal status of operators, information systems.</w:t>
      </w:r>
    </w:p>
    <w:p w:rsidR="008D2F3B" w:rsidRPr="00467B95" w:rsidRDefault="008D2F3B" w:rsidP="005A3DF4">
      <w:pPr>
        <w:widowControl w:val="0"/>
        <w:spacing w:after="0" w:line="240" w:lineRule="auto"/>
        <w:ind w:firstLine="709"/>
        <w:jc w:val="both"/>
        <w:rPr>
          <w:rFonts w:ascii="Times New Roman" w:hAnsi="Times New Roman"/>
          <w:sz w:val="28"/>
          <w:szCs w:val="28"/>
          <w:lang w:val="en-US"/>
        </w:rPr>
      </w:pP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Актуальность работы обусловлена ролью защиты персональных данных операторами информационных систем и их сравнительно-правовой аспект в различных государствах коими выступает Российская Федерация и государства Северо-Восточной Азии так как данный термин «персональные данные» на сегодняшний день значит очень много, ведь это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Проблемой работы является то, что часто в нашей жизни появляются новые технологии, электронные устройства, конечно, данные технические средства имеют под собой различный характер использования, с появлением приспособлений связи между пользователями и операторами, возникает юридически-правовой аспект, который должно и обязано регулировать государство. Во избежание нарушения главенствующих правовых норм, какой выступает Конституция, где закреплены правила о неприкосновенности частной жизни граждан, правила о неприкосновенности переписок, телефонных переговоров и так далее, исходя из этого, можно сделать вывод о том, что нормоконтроль конкретных технических устройств просто необходим.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первую очередь это касается сотовой связи и интернета, ведь посредством двух этих явлений, люди могут оперировать огромными массивами информации, обмениваясь ей между собой, что порой проявляет в себе как позитивные так и негативные последствия, что бы избежать этого, законодатель принял различного рода нормативно-правовые акты для регулирования контроля над этими отраслями, коими выступают Конституция Российской Федерации, Федеральные законы, Указы Президента, Постановления Правительства и Приказы других уполномоченных органов в данной отрасли правового регулирования, а также законы в государствах Северо-Восточной Азии. Данный перечень нормативно правового регулирования довольно обширный и каждый их вышеперечисленных нормативно-правовых актов регулирует конкретное нормативно правовое предписание, то есть правило поведения субъектов в использовании средств связи и обработки такой информации (абонент-оператор) последний из субъектов обязан в полной мере подчинятся актам, которые издают уполномоченные органы в данной отрасли. Например, не распространять информацию 3-им лицам, и так далее.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Целью данной работы является исследование правовых аспектов защиты персональных данных операторами в России и государствах Северо-Восточной Азии, а также сравнительно-правовой аспект.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Задачами же, вытекающими из целей, являются: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определение правового режима персональных данных в Российской Федерации и государствах Северо-Восточной Азии;</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4) определение особенностей защиты персональных данных операторами информационных систем в Российской Федерации и </w:t>
      </w:r>
      <w:r w:rsidRPr="00467B95">
        <w:rPr>
          <w:rFonts w:ascii="Times New Roman" w:hAnsi="Times New Roman"/>
          <w:sz w:val="28"/>
          <w:szCs w:val="28"/>
        </w:rPr>
        <w:lastRenderedPageBreak/>
        <w:t>государствах Северо-Восточной Азии.</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Предметом исследования в работе является: национальное законодательство РФ (ФЗ, Указы Президента, приказы уполномоченных органов в данной отрасли), научные статьи российских авторов, а также научные статьи и законодательство (Законы о кибербезопасности, законы о персональных данных), посвященные защите и нормативному регулированию персональных данных в странах Северо-Восточной Азии.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Методами исследования и методологическими принципами, применяемыми в рамках данной темы, были следующие: сравнительное правовой и системно-структурный.</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Тему данной работы, стоит раскрывать последовательно, дабы четко структурировать «картинку» в правопонимании персональных данных как категории прав и обязанностей, имеющихся у операторов информационных сетей перед своими субъектами (пользователями) персональных данных. И хочется отметить, что важно вычленить такое понятие как «Правовой режим персональных данных» и соответственно обозначить это понятие со стороны Российской Федерации и государств Северо-Восточной Азии. Во-первых, и основным инструментом регулирования правового режима в России является № 152-ФЗ «О персональных данных». Данный закон определяет персональные данные как «любую информацию, относящуюся к прямо или косвенно определенному, или определяемому физическому лицу (субъекту персональных данных)» (п. 1 ст. 3)[1]. Данный Федеральный закон определяет в себе положения, которые регламентируют правовой режим персональных данных, куда входят: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принципы обработки персональных данных;</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условия обработки персональных данных;</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права субъекта персональных данных;</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обязанности оператора;</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5) и государственный контроль и надзор за обработкой персональных данных и ответственность за нарушения вышеуказанного Федерального закона.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Касаемо правового регулирования персональных данных в государствах Северо-Восточной Азии, то можно сказать следующее, этот аспект довольно хорошо исследован зарубежными специалистами в данной отрасли, их мнение точно описывает сложившуюся картину в каждом, отдельно взятом государстве, по этому, считаю необходимым привести несколько выборок статей посещённых данной тематике и разделить это на государства исследуемые мной, соответственно это: Китай, Япония и Южная Корея.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27 июля 2011 года Министерство промышленности и информационных технологий Китайской Народной Республики («МИИТ») опубликовало проект правила, включающий положения, регулирующие обработку личной информации «Поставщиками информационных услуг Интернета». Проект правила, озаглавленный «Положения об администрировании информационных служб Интернета» («Проект положений») не являются </w:t>
      </w:r>
      <w:r w:rsidRPr="00467B95">
        <w:rPr>
          <w:rFonts w:ascii="Times New Roman" w:hAnsi="Times New Roman"/>
          <w:sz w:val="28"/>
          <w:szCs w:val="28"/>
        </w:rPr>
        <w:lastRenderedPageBreak/>
        <w:t>первым правилом, регулирующим информационные услуги Интернета в Китае. В 2000 году МИИТ принял «Меры по управлению информационными интернет-услугами» («Меры»), которые вступили в силу 25 сентября 2000 года. Однако Меры не содержат каких-либо явных положений, касающихся защиты личной информации[2].</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Хотя в проекте положений не определены «поставщики информационных услуг Интернета», в мерах определяется «информационные услуги Интернета» как «действия по предоставлению информации пользователям Интернета через Интернет». Никаких дополнительных разъяснений этих терминов в проект не включено[2].</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После их официального вступления в силу эти проекты положений (уровень которых будет приведен ниже) потребуют от поставщиков информационных услуг Интернета следующего: 1) должны воздерживаться от сбора личной информации пользователей Интернета без согласия пользователей, если иное не предусмотрено законом или административным регламентом; 2) может собирать личную информацию пользователей Интернета только по мере необходимости для предоставления их услуг; 3) должны прямо информировать пользователей Интернета о методе, содержании и цели сбора и обработки их персональных данных и использовать их персональные данные только для указанных целей; 4) должны надлежащим образом хранить личную информацию пользователей Интернета и не должны раскрывать их личную информацию третьим лицам без согласия пользователей (если иное не предусмотрено законом или административным регламентом); 5) а также должны незамедлительно принять меры по исправлению ситуации, когда возникновение какого-либо события безопасности в Интернете вызвало или могло привести к несанкционированному раскрытию личной информации пользователей Интернета, должно сообщать в соответствующий правительственный департамент о любых серьезных фактических или возможных последствиях и должно сотрудничать с правительственным расследованием. и решение вопроса[2].</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Китае уже есть несколько нормативных актов и местных правил, касающихся защиты личной информации в Интернете для конкретных секторов промышленности, таких как электронная коммерция. Проект положений, однако, будет применяться к деятельности всех поставщиков информационных услуг в Интернете, что позволит расширить сферу защиты в разных отраслях. Тем не менее, сами средства защиты несколько ограничены, сосредоточив внимание на сборе, использовании и раскрытии личной информации в интернете[2].</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Касаемо Японии и вопроса о том, существуют ли какие-либо требования к хранению и правовом режиме персональных данных, которые обрабатываются и собираются с помощью электронных специальных средств и правового регулирования, то можно ответить следующим образом. Закон о специальных положениях, касающихся методов хранения книг и документов, </w:t>
      </w:r>
      <w:r w:rsidRPr="00467B95">
        <w:rPr>
          <w:rFonts w:ascii="Times New Roman" w:hAnsi="Times New Roman"/>
          <w:sz w:val="28"/>
          <w:szCs w:val="28"/>
        </w:rPr>
        <w:lastRenderedPageBreak/>
        <w:t>связанных с государственным налогом, устанавливает требования к хранению электронных записей транзакций - такие записи должны быть сохранены на срок, указанный в нормативных актах Министерства финансов, а именно на семь лет[3].</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Сбор и использование персональных данных регулируется APPI (закон). APPI применяется к любому бизнес-оператору в сфере персональной информации, в том числе и к оператору, использующего базу персональных данных для своей деятельности.</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Что касается ограничений на сбор и использование персональных данных то следует отметить, что бизнес-оператор, обрабатывающий личную информацию, должен указать цель, для которой она используется. Цель может быть изменена только в той степени, в которой можно разумно считать, что цель после изменения связана с этим до изменения. Бизнес-оператор, обрабатывающий личную информацию, не может обрабатывать ее за пределами объема, необходимого для достижения цели без предварительного согласия заинтересованного лица. Получение личной информации обманным или иным неправомерным способом запрещено.  Когда личная информация приобретается, приобретающий должен уведомить каждое соответствующее лицо индивидуально или публично уведомить о цели, для которой она используется. Бизнес-оператор должен четко раскрыть цель заранее, посредством письменного документа или электронным способом, когда он получает личную информацию от такого лица, за исключением случаев, когда срочно требуется защита жизни, тела или имущества человека[3].</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Что касается правового регулирования персональных данных, то в Южной Корее в данной отрасли действует большое количество нормативно-правовых актов, которые призваны служить качественному правовому регулированию персональных данных.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Национальные законы, которые регулируют сбор и использование персональных данных следующие: 1) Закон о защите личной информации (Закон № 14839) (</w:t>
      </w:r>
      <w:r w:rsidRPr="00467B95">
        <w:rPr>
          <w:rFonts w:ascii="Times New Roman" w:hAnsi="Times New Roman"/>
          <w:sz w:val="28"/>
          <w:szCs w:val="28"/>
          <w:lang w:val="en-US"/>
        </w:rPr>
        <w:t>PIPA</w:t>
      </w:r>
      <w:r w:rsidRPr="00467B95">
        <w:rPr>
          <w:rFonts w:ascii="Times New Roman" w:hAnsi="Times New Roman"/>
          <w:sz w:val="28"/>
          <w:szCs w:val="28"/>
        </w:rPr>
        <w:t xml:space="preserve">); 2)Указ об исполнении закона </w:t>
      </w:r>
      <w:r w:rsidRPr="00467B95">
        <w:rPr>
          <w:rFonts w:ascii="Times New Roman" w:hAnsi="Times New Roman"/>
          <w:sz w:val="28"/>
          <w:szCs w:val="28"/>
          <w:lang w:val="en-US"/>
        </w:rPr>
        <w:t>PIPA</w:t>
      </w:r>
      <w:r w:rsidRPr="00467B95">
        <w:rPr>
          <w:rFonts w:ascii="Times New Roman" w:hAnsi="Times New Roman"/>
          <w:sz w:val="28"/>
          <w:szCs w:val="28"/>
        </w:rPr>
        <w:t xml:space="preserve"> (Указ Президента № 28355); 3) Правило исполнения правил </w:t>
      </w:r>
      <w:r w:rsidRPr="00467B95">
        <w:rPr>
          <w:rFonts w:ascii="Times New Roman" w:hAnsi="Times New Roman"/>
          <w:sz w:val="28"/>
          <w:szCs w:val="28"/>
          <w:lang w:val="en-US"/>
        </w:rPr>
        <w:t>PIPA</w:t>
      </w:r>
      <w:r w:rsidRPr="00467B95">
        <w:rPr>
          <w:rFonts w:ascii="Times New Roman" w:hAnsi="Times New Roman"/>
          <w:sz w:val="28"/>
          <w:szCs w:val="28"/>
        </w:rPr>
        <w:t xml:space="preserve"> (Постановление Министерства внутренних дел и безопасности № 14); 4) стандарты мер защиты личной информации (Уведомление Министерства внутренних дел и безопасности № 2017-1)[4].</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Существуют различные отраслевые законы, которые также регулируют использование персональных данных, в том числе: 1) Закон о содействии использованию информационно-коммуникационных сетей и защите информации (Закон № 14839); 2) Закон об использовании и защите кредитной информации (Закон № 14823); 3) Закон о защите и использовании информации о местонахождении (Закон № 14840); 4) Закон об электронных финансовых операциях (Закон № 14828). Сфера действия законодательства, следующая, Закон о защите личной информации (</w:t>
      </w:r>
      <w:r w:rsidRPr="00467B95">
        <w:rPr>
          <w:rFonts w:ascii="Times New Roman" w:hAnsi="Times New Roman"/>
          <w:sz w:val="28"/>
          <w:szCs w:val="28"/>
          <w:lang w:val="en-US"/>
        </w:rPr>
        <w:t>PIPA</w:t>
      </w:r>
      <w:r w:rsidRPr="00467B95">
        <w:rPr>
          <w:rFonts w:ascii="Times New Roman" w:hAnsi="Times New Roman"/>
          <w:sz w:val="28"/>
          <w:szCs w:val="28"/>
        </w:rPr>
        <w:t>) распространяется на обработчика данных (эквивалент контроллеров данных в ЕС)[4].</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Закон о защите личной информации распространяется на следующие типы данных:</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Личные данные. Персональные данные определяются как любая информация, относящаяся к отдельному живому человеку (например, к отдельным клиентам компании), по которой такое лицо может быть идентифицировано по его / ее имени, регистрационному номеру резидента (</w:t>
      </w:r>
      <w:r w:rsidRPr="00467B95">
        <w:rPr>
          <w:rFonts w:ascii="Times New Roman" w:hAnsi="Times New Roman"/>
          <w:sz w:val="28"/>
          <w:szCs w:val="28"/>
          <w:lang w:val="en-US"/>
        </w:rPr>
        <w:t>RRN</w:t>
      </w:r>
      <w:r w:rsidRPr="00467B95">
        <w:rPr>
          <w:rFonts w:ascii="Times New Roman" w:hAnsi="Times New Roman"/>
          <w:sz w:val="28"/>
          <w:szCs w:val="28"/>
        </w:rPr>
        <w:t>), визуальному изображению и т. д. (Включая любую информацию, которая может быть легко объединена с другой информацией для идентификации конкретного человека)[4].</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Особые идентификационные данные. Они включают: - индивидуальные номера регистрации; - номера паспортов; - номера водительских прав; а также регистрационные номера иностранцев.</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3) Конфиденциальные данные. Это относится к любой информации, что если она будет разглашена, то может значительно нарушить конфиденциальность субъекта данных, например, к информации, относящейся к личности: 1) идеология; 2) вера; 3) членство в профсоюзе; 4) политические взгляды; 5) связи с политической партией[4].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Далее, после четкого понимания и осведомленности в том, как и чем регулируется правовой режим персональных данных, стоит выделить особенности защиты таких персональных данных в России и государствах Северо-Восточной Азии и их сравнительно правовой аспект.</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Российская Федерация (особенности): правовыми мерами является то, что законодатель четко и структурированно закрепил в законе меры по обеспечению безопасности персональных данных при их обработке. Организационными мерами выступили «Рекомендации по обеспечению безопасности персональных данных при их обработке в информационных системах персональных данных» уполномоченного органа по защите персональных данных – ФСТЭК, где он регламентирует организационные этапы (-оценка обстановки; - выбор целесообразных мер и средств; - планирование мероприятий по защите персональных данных и др.), которые должны быть проведены непосредственно для сохранности персональных данных. Техническими мерами, регламентированные Приказом ФСТЭК «Об утверждении состава и содержания организационных и технических мер по обеспечению безопасности персональных данных при их обработке», куда входят такие меры как: - использование отказоустойчивых технических средств; - резервирование технических средств, программного обеспечения, каналов передачи информации, средств обеспечения функционирования информационной системы; - периодическое резервное копирование персональных данных на резервные машинные носители персональных данных и др. </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Государства Северо-Восточной Азии (особенности):</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Нельзя выделить существенные различия в особенностях защиты персональных данных в государствах Северо-Восточной Азии, но стоить отметить, что по своей сути, Азиатское сообщество движется в практически </w:t>
      </w:r>
      <w:r w:rsidRPr="00467B95">
        <w:rPr>
          <w:rFonts w:ascii="Times New Roman" w:hAnsi="Times New Roman"/>
          <w:sz w:val="28"/>
          <w:szCs w:val="28"/>
        </w:rPr>
        <w:lastRenderedPageBreak/>
        <w:t xml:space="preserve">одинаковом направлении регулирования персональных данных. Это относится и к правовым, организационным и техническим мерам. Исходя из этого, </w:t>
      </w:r>
      <w:r w:rsidRPr="00467B95">
        <w:rPr>
          <w:rFonts w:ascii="Times New Roman" w:hAnsi="Times New Roman"/>
          <w:sz w:val="28"/>
          <w:szCs w:val="28"/>
          <w:shd w:val="clear" w:color="auto" w:fill="FFFFFF"/>
          <w:lang w:eastAsia="ru-RU"/>
        </w:rPr>
        <w:t>можно выделить по одному несущественному различию. В каждой отдельно взятой стране, законодатель явно имеет свои взгляды на нормотворческий процесс, исходя из услуг, оказываемых в вышеупомянутых странах. Законодатель корректирует закон в зависимости от надобности и гибкости принимаемых решений, к примеру в Южной Корее как мы могли наблюдать в разделе штрафных санкций, вводятся достаточно большие штрафы и относительно большой срок уголовной ответственности за несоблюдение законодательства в данной сфере. По сравнению с той же Японией, где законодатель старается «играть» на репутации Обработчика персональных данных пользователей, устанавливая штрафы относительно в низкой плоскости и в целях общественной возмущенности в случаях, когда такой Обработчик не справляется или злоупотребляет своими правами в данной отрасли. Китай же напротив, издавна забоится о персональных данных своих граждан и организаций, с каждым разом ужесточая закон о защите персональных данных, который ясно дает понять, что санкции будут стремительно возмещать ущерб и наказывать правонарушителей с ярко выраженным недовольством к политике, которую навязывает Китай.</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для полноценной защиты персональных данных, должно быть организованно содействие законодательного и исполнительного органов власти, для наиболее четкого и быстрого выявления источников и угроз, которые посредством своего посягательства на персональные данные, могут причинить значительный ущерб пользователю персональных данных. Стоит отметить, что особенности защиты персональных данных в исследуемых государствах сравнительно одинаковы и совершенствуется с тем, какие тенденции и приемы посягательств разрабатываются и реализуются, для неправомерного доступа и использования таких данных. Законодатели рассматриваемых мной государств, пытаются довести до совершенства, как мы могли понять три аспекта, а именно: правовой, организационный и технический. Анализ некоторых нормативно-правовых актов и научных статей, дает структурированное понимание в мерах по защите персональных данных, соответственно сравнительный аспект показывает, что одному государству имеет смысл включить одну или несколько правовых норм, позаимствовав их у другого государства (в рассматриваемых мной), новизна в научном и практическом смысле состоит в том, что сталкиваясь с определенными трудностями в том или ином секторе регулирования персональных данных, рассматриваемые мной государства должны опираться на опыт своих «коллег», ведь это поможет избежать многих пробелов и ошибок.</w:t>
      </w:r>
    </w:p>
    <w:p w:rsidR="00F1532C" w:rsidRPr="00467B95" w:rsidRDefault="00F1532C"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8D2F3B" w:rsidRPr="00467B95" w:rsidRDefault="008D2F3B"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О персональных данных: федеральный закон от 27.07.2006 № 152-ФЗ (ред. от 27.07.2006) [Электронный ресурс] // СПС «КонсультантПлюс». – Режим доступа: http://www.consultant.ru/document/cons_doc_LAW_61801/</w:t>
      </w:r>
    </w:p>
    <w:p w:rsidR="008D2F3B" w:rsidRPr="00467B95" w:rsidRDefault="008D2F3B" w:rsidP="005A3DF4">
      <w:pPr>
        <w:widowControl w:val="0"/>
        <w:spacing w:after="0" w:line="240" w:lineRule="auto"/>
        <w:ind w:firstLine="709"/>
        <w:jc w:val="both"/>
        <w:rPr>
          <w:rFonts w:ascii="Times New Roman" w:hAnsi="Times New Roman"/>
          <w:sz w:val="28"/>
          <w:szCs w:val="28"/>
          <w:lang w:val="en-US"/>
        </w:rPr>
      </w:pPr>
      <w:r w:rsidRPr="00467B95">
        <w:rPr>
          <w:rFonts w:ascii="Times New Roman" w:hAnsi="Times New Roman"/>
          <w:sz w:val="28"/>
          <w:szCs w:val="28"/>
          <w:lang w:val="en-US"/>
        </w:rPr>
        <w:lastRenderedPageBreak/>
        <w:t>2 China proposes new rule including protections for personal information on the internet</w:t>
      </w:r>
      <w:bookmarkStart w:id="12" w:name="_Hlk10293988"/>
      <w:r w:rsidRPr="00467B95">
        <w:rPr>
          <w:rFonts w:ascii="Times New Roman" w:hAnsi="Times New Roman"/>
          <w:sz w:val="28"/>
          <w:szCs w:val="28"/>
          <w:lang w:val="en-US"/>
        </w:rPr>
        <w:t> [</w:t>
      </w:r>
      <w:r w:rsidRPr="00467B95">
        <w:rPr>
          <w:rFonts w:ascii="Times New Roman" w:hAnsi="Times New Roman"/>
          <w:sz w:val="28"/>
          <w:szCs w:val="28"/>
        </w:rPr>
        <w:t>Электронный</w:t>
      </w:r>
      <w:r w:rsidRPr="00467B95">
        <w:rPr>
          <w:rFonts w:ascii="Times New Roman" w:hAnsi="Times New Roman"/>
          <w:sz w:val="28"/>
          <w:szCs w:val="28"/>
          <w:lang w:val="en-US"/>
        </w:rPr>
        <w:t> </w:t>
      </w:r>
      <w:r w:rsidRPr="00467B95">
        <w:rPr>
          <w:rFonts w:ascii="Times New Roman" w:hAnsi="Times New Roman"/>
          <w:sz w:val="28"/>
          <w:szCs w:val="28"/>
        </w:rPr>
        <w:t>ресурс</w:t>
      </w:r>
      <w:r w:rsidRPr="00467B95">
        <w:rPr>
          <w:rFonts w:ascii="Times New Roman" w:hAnsi="Times New Roman"/>
          <w:sz w:val="28"/>
          <w:szCs w:val="28"/>
          <w:lang w:val="en-US"/>
        </w:rPr>
        <w:t>] // lexology.com. – </w:t>
      </w:r>
      <w:r w:rsidRPr="00467B95">
        <w:rPr>
          <w:rFonts w:ascii="Times New Roman" w:hAnsi="Times New Roman"/>
          <w:sz w:val="28"/>
          <w:szCs w:val="28"/>
        </w:rPr>
        <w:t>Режим</w:t>
      </w:r>
      <w:r w:rsidRPr="00467B95">
        <w:rPr>
          <w:rFonts w:ascii="Times New Roman" w:hAnsi="Times New Roman"/>
          <w:sz w:val="28"/>
          <w:szCs w:val="28"/>
          <w:lang w:val="en-US"/>
        </w:rPr>
        <w:t> </w:t>
      </w:r>
      <w:r w:rsidRPr="00467B95">
        <w:rPr>
          <w:rFonts w:ascii="Times New Roman" w:hAnsi="Times New Roman"/>
          <w:sz w:val="28"/>
          <w:szCs w:val="28"/>
        </w:rPr>
        <w:t>доступа</w:t>
      </w:r>
      <w:r w:rsidRPr="00467B95">
        <w:rPr>
          <w:rFonts w:ascii="Times New Roman" w:hAnsi="Times New Roman"/>
          <w:sz w:val="28"/>
          <w:szCs w:val="28"/>
          <w:lang w:val="en-US"/>
        </w:rPr>
        <w:t>:</w:t>
      </w:r>
      <w:bookmarkEnd w:id="12"/>
      <w:r w:rsidRPr="00467B95">
        <w:rPr>
          <w:rFonts w:ascii="Times New Roman" w:hAnsi="Times New Roman"/>
          <w:sz w:val="28"/>
          <w:szCs w:val="28"/>
          <w:lang w:val="en-US"/>
        </w:rPr>
        <w:t>  https://www.lexology.com/library/detail.aspx?g=893f755d-2591-41fd-9548-eaf66e9a03a4</w:t>
      </w:r>
    </w:p>
    <w:p w:rsidR="008D2F3B" w:rsidRPr="00467B95" w:rsidRDefault="008D2F3B" w:rsidP="005A3DF4">
      <w:pPr>
        <w:widowControl w:val="0"/>
        <w:spacing w:after="0" w:line="240" w:lineRule="auto"/>
        <w:ind w:firstLine="709"/>
        <w:jc w:val="both"/>
        <w:rPr>
          <w:rFonts w:ascii="Times New Roman" w:hAnsi="Times New Roman"/>
          <w:sz w:val="28"/>
          <w:szCs w:val="28"/>
          <w:lang w:val="en-US"/>
        </w:rPr>
      </w:pPr>
      <w:r w:rsidRPr="00467B95">
        <w:rPr>
          <w:rFonts w:ascii="Times New Roman" w:hAnsi="Times New Roman"/>
          <w:sz w:val="28"/>
          <w:szCs w:val="28"/>
          <w:lang w:val="en-US"/>
        </w:rPr>
        <w:t>3 Digital business in Japan: overview [</w:t>
      </w:r>
      <w:r w:rsidRPr="00467B95">
        <w:rPr>
          <w:rFonts w:ascii="Times New Roman" w:hAnsi="Times New Roman"/>
          <w:sz w:val="28"/>
          <w:szCs w:val="28"/>
        </w:rPr>
        <w:t>Электронный</w:t>
      </w:r>
      <w:r w:rsidRPr="00467B95">
        <w:rPr>
          <w:rFonts w:ascii="Times New Roman" w:hAnsi="Times New Roman"/>
          <w:sz w:val="28"/>
          <w:szCs w:val="28"/>
          <w:lang w:val="en-US"/>
        </w:rPr>
        <w:t> </w:t>
      </w:r>
      <w:r w:rsidRPr="00467B95">
        <w:rPr>
          <w:rFonts w:ascii="Times New Roman" w:hAnsi="Times New Roman"/>
          <w:sz w:val="28"/>
          <w:szCs w:val="28"/>
        </w:rPr>
        <w:t>ресурс</w:t>
      </w:r>
      <w:r w:rsidRPr="00467B95">
        <w:rPr>
          <w:rFonts w:ascii="Times New Roman" w:hAnsi="Times New Roman"/>
          <w:sz w:val="28"/>
          <w:szCs w:val="28"/>
          <w:lang w:val="en-US"/>
        </w:rPr>
        <w:t>] // uk.practicallaw.thomsonreuters.com. – </w:t>
      </w:r>
      <w:r w:rsidRPr="00467B95">
        <w:rPr>
          <w:rFonts w:ascii="Times New Roman" w:hAnsi="Times New Roman"/>
          <w:sz w:val="28"/>
          <w:szCs w:val="28"/>
        </w:rPr>
        <w:t>Режим</w:t>
      </w:r>
      <w:r w:rsidRPr="00467B95">
        <w:rPr>
          <w:rFonts w:ascii="Times New Roman" w:hAnsi="Times New Roman"/>
          <w:sz w:val="28"/>
          <w:szCs w:val="28"/>
          <w:lang w:val="en-US"/>
        </w:rPr>
        <w:t> </w:t>
      </w:r>
      <w:r w:rsidRPr="00467B95">
        <w:rPr>
          <w:rFonts w:ascii="Times New Roman" w:hAnsi="Times New Roman"/>
          <w:sz w:val="28"/>
          <w:szCs w:val="28"/>
        </w:rPr>
        <w:t>доступа</w:t>
      </w:r>
      <w:r w:rsidRPr="00467B95">
        <w:rPr>
          <w:rFonts w:ascii="Times New Roman" w:hAnsi="Times New Roman"/>
          <w:sz w:val="28"/>
          <w:szCs w:val="28"/>
          <w:lang w:val="en-US"/>
        </w:rPr>
        <w:t>: https://uk.practicallaw.thomsonreuters.com/Browse/Home/International/DigitalBusinessGlobalGuide?transitionType=Default&amp;contextData=(sc.Default)&amp;firstPage=true&amp;comp=pluk&amp;bhcp=1</w:t>
      </w:r>
    </w:p>
    <w:p w:rsidR="008D2F3B" w:rsidRPr="00467B95" w:rsidRDefault="008D2F3B" w:rsidP="005A3DF4">
      <w:pPr>
        <w:widowControl w:val="0"/>
        <w:spacing w:after="0" w:line="240" w:lineRule="auto"/>
        <w:ind w:firstLine="709"/>
        <w:jc w:val="both"/>
        <w:rPr>
          <w:rFonts w:ascii="Times New Roman" w:hAnsi="Times New Roman"/>
          <w:b/>
          <w:sz w:val="28"/>
          <w:szCs w:val="28"/>
          <w:lang w:val="en-US"/>
        </w:rPr>
      </w:pPr>
      <w:r w:rsidRPr="00467B95">
        <w:rPr>
          <w:rFonts w:ascii="Times New Roman" w:hAnsi="Times New Roman"/>
          <w:sz w:val="28"/>
          <w:szCs w:val="28"/>
          <w:lang w:val="en-US"/>
        </w:rPr>
        <w:t>4 Data protection in South Korea: Overview [</w:t>
      </w:r>
      <w:r w:rsidRPr="00467B95">
        <w:rPr>
          <w:rFonts w:ascii="Times New Roman" w:hAnsi="Times New Roman"/>
          <w:sz w:val="28"/>
          <w:szCs w:val="28"/>
        </w:rPr>
        <w:t>Электронный</w:t>
      </w:r>
      <w:r w:rsidRPr="00467B95">
        <w:rPr>
          <w:rFonts w:ascii="Times New Roman" w:hAnsi="Times New Roman"/>
          <w:sz w:val="28"/>
          <w:szCs w:val="28"/>
          <w:lang w:val="en-US"/>
        </w:rPr>
        <w:t> </w:t>
      </w:r>
      <w:r w:rsidRPr="00467B95">
        <w:rPr>
          <w:rFonts w:ascii="Times New Roman" w:hAnsi="Times New Roman"/>
          <w:sz w:val="28"/>
          <w:szCs w:val="28"/>
        </w:rPr>
        <w:t>ресурс</w:t>
      </w:r>
      <w:r w:rsidRPr="00467B95">
        <w:rPr>
          <w:rFonts w:ascii="Times New Roman" w:hAnsi="Times New Roman"/>
          <w:sz w:val="28"/>
          <w:szCs w:val="28"/>
          <w:lang w:val="en-US"/>
        </w:rPr>
        <w:t>] // uk.practicallaw.thomsonreuters.com. – </w:t>
      </w:r>
      <w:r w:rsidRPr="00467B95">
        <w:rPr>
          <w:rFonts w:ascii="Times New Roman" w:hAnsi="Times New Roman"/>
          <w:sz w:val="28"/>
          <w:szCs w:val="28"/>
        </w:rPr>
        <w:t>Режим</w:t>
      </w:r>
      <w:r w:rsidRPr="00467B95">
        <w:rPr>
          <w:rFonts w:ascii="Times New Roman" w:hAnsi="Times New Roman"/>
          <w:sz w:val="28"/>
          <w:szCs w:val="28"/>
          <w:lang w:val="en-US"/>
        </w:rPr>
        <w:t> </w:t>
      </w:r>
      <w:r w:rsidRPr="00467B95">
        <w:rPr>
          <w:rFonts w:ascii="Times New Roman" w:hAnsi="Times New Roman"/>
          <w:sz w:val="28"/>
          <w:szCs w:val="28"/>
        </w:rPr>
        <w:t>доступа</w:t>
      </w:r>
      <w:r w:rsidRPr="00467B95">
        <w:rPr>
          <w:rFonts w:ascii="Times New Roman" w:hAnsi="Times New Roman"/>
          <w:sz w:val="28"/>
          <w:szCs w:val="28"/>
          <w:lang w:val="en-US"/>
        </w:rPr>
        <w:t>: https://uk.practicallaw.thomsonreuters.com/2579 7926?__lrTS=20190328140512734&amp;transitionType=Default&amp;contextData=(sc.Default)&amp;firstPage=true&amp;comp=pluk&amp;bhcp=1</w:t>
      </w:r>
    </w:p>
    <w:p w:rsidR="00DA6A8D" w:rsidRPr="005542CD" w:rsidRDefault="00DA6A8D" w:rsidP="005A3DF4">
      <w:pPr>
        <w:widowControl w:val="0"/>
        <w:spacing w:after="0" w:line="240" w:lineRule="auto"/>
        <w:ind w:firstLine="709"/>
        <w:jc w:val="center"/>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A19CB" w:rsidRDefault="00223E99"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223E99" w:rsidRPr="005542CD" w:rsidRDefault="00223E99" w:rsidP="005A3DF4">
      <w:pPr>
        <w:widowControl w:val="0"/>
        <w:spacing w:after="0" w:line="240" w:lineRule="auto"/>
        <w:ind w:firstLine="709"/>
        <w:rPr>
          <w:rFonts w:ascii="Times New Roman" w:hAnsi="Times New Roman"/>
          <w:b/>
          <w:sz w:val="28"/>
          <w:szCs w:val="28"/>
          <w:lang w:val="en-US"/>
        </w:rPr>
      </w:pPr>
    </w:p>
    <w:p w:rsidR="00DB1198" w:rsidRPr="005A19CB" w:rsidRDefault="00DB1198" w:rsidP="005A3DF4">
      <w:pPr>
        <w:widowControl w:val="0"/>
        <w:spacing w:after="0" w:line="240" w:lineRule="auto"/>
        <w:ind w:firstLine="709"/>
        <w:rPr>
          <w:rFonts w:ascii="Times New Roman" w:hAnsi="Times New Roman"/>
          <w:b/>
          <w:sz w:val="28"/>
          <w:szCs w:val="28"/>
          <w:lang w:val="en-US"/>
        </w:rPr>
      </w:pPr>
    </w:p>
    <w:p w:rsidR="005C5813" w:rsidRDefault="00956A47" w:rsidP="005A3DF4">
      <w:pPr>
        <w:widowControl w:val="0"/>
        <w:spacing w:after="0" w:line="240" w:lineRule="auto"/>
        <w:ind w:firstLine="709"/>
        <w:rPr>
          <w:rFonts w:ascii="Times New Roman" w:hAnsi="Times New Roman"/>
          <w:b/>
          <w:sz w:val="28"/>
          <w:szCs w:val="28"/>
        </w:rPr>
      </w:pPr>
      <w:r w:rsidRPr="00467B95">
        <w:rPr>
          <w:rFonts w:ascii="Times New Roman" w:hAnsi="Times New Roman"/>
          <w:b/>
          <w:sz w:val="28"/>
          <w:szCs w:val="28"/>
        </w:rPr>
        <w:lastRenderedPageBreak/>
        <w:t>АКТУАЛЬНЫЕ</w:t>
      </w:r>
      <w:r w:rsidRPr="005542CD">
        <w:rPr>
          <w:rFonts w:ascii="Times New Roman" w:hAnsi="Times New Roman"/>
          <w:b/>
          <w:sz w:val="28"/>
          <w:szCs w:val="28"/>
        </w:rPr>
        <w:t xml:space="preserve"> </w:t>
      </w:r>
      <w:r w:rsidRPr="00467B95">
        <w:rPr>
          <w:rFonts w:ascii="Times New Roman" w:hAnsi="Times New Roman"/>
          <w:b/>
          <w:sz w:val="28"/>
          <w:szCs w:val="28"/>
        </w:rPr>
        <w:t>ПРОБЛЕМЫ</w:t>
      </w:r>
      <w:r w:rsidRPr="005542CD">
        <w:rPr>
          <w:rFonts w:ascii="Times New Roman" w:hAnsi="Times New Roman"/>
          <w:b/>
          <w:sz w:val="28"/>
          <w:szCs w:val="28"/>
        </w:rPr>
        <w:t xml:space="preserve"> </w:t>
      </w:r>
      <w:r w:rsidRPr="00467B95">
        <w:rPr>
          <w:rFonts w:ascii="Times New Roman" w:hAnsi="Times New Roman"/>
          <w:b/>
          <w:sz w:val="28"/>
          <w:szCs w:val="28"/>
        </w:rPr>
        <w:t>ЧАСТНОГО</w:t>
      </w:r>
      <w:r w:rsidRPr="005542CD">
        <w:rPr>
          <w:rFonts w:ascii="Times New Roman" w:hAnsi="Times New Roman"/>
          <w:b/>
          <w:sz w:val="28"/>
          <w:szCs w:val="28"/>
        </w:rPr>
        <w:t xml:space="preserve"> </w:t>
      </w:r>
      <w:r w:rsidRPr="00467B95">
        <w:rPr>
          <w:rFonts w:ascii="Times New Roman" w:hAnsi="Times New Roman"/>
          <w:b/>
          <w:sz w:val="28"/>
          <w:szCs w:val="28"/>
        </w:rPr>
        <w:t>ПРАВА</w:t>
      </w:r>
    </w:p>
    <w:p w:rsidR="00B83E8D" w:rsidRDefault="00B83E8D" w:rsidP="005A3DF4">
      <w:pPr>
        <w:widowControl w:val="0"/>
        <w:spacing w:after="0" w:line="240" w:lineRule="auto"/>
        <w:ind w:firstLine="709"/>
        <w:rPr>
          <w:rFonts w:ascii="Times New Roman" w:hAnsi="Times New Roman"/>
          <w:b/>
          <w:sz w:val="28"/>
          <w:szCs w:val="28"/>
        </w:rPr>
      </w:pPr>
    </w:p>
    <w:p w:rsidR="00B83E8D" w:rsidRPr="00467B95" w:rsidRDefault="00B83E8D" w:rsidP="005A3DF4">
      <w:pPr>
        <w:widowControl w:val="0"/>
        <w:spacing w:after="0" w:line="240" w:lineRule="auto"/>
        <w:ind w:firstLine="709"/>
        <w:jc w:val="center"/>
        <w:outlineLvl w:val="0"/>
        <w:rPr>
          <w:rFonts w:ascii="Times New Roman" w:eastAsia="Times New Roman" w:hAnsi="Times New Roman"/>
          <w:b/>
          <w:bCs/>
          <w:kern w:val="32"/>
          <w:sz w:val="28"/>
          <w:szCs w:val="28"/>
          <w:lang w:eastAsia="ru-RU"/>
        </w:rPr>
      </w:pPr>
      <w:r w:rsidRPr="00467B95">
        <w:rPr>
          <w:rFonts w:ascii="Times New Roman" w:eastAsia="Times New Roman" w:hAnsi="Times New Roman"/>
          <w:b/>
          <w:bCs/>
          <w:kern w:val="32"/>
          <w:sz w:val="28"/>
          <w:szCs w:val="28"/>
          <w:lang w:eastAsia="ru-RU"/>
        </w:rPr>
        <w:t>ПРАВОВОЕ РЕГУЛИРОВАНИЕ ПЕРЕВОДА ЖИЛОГО ПОМЕЩЕНИЯ В НЕЖИЛОЕ</w:t>
      </w:r>
    </w:p>
    <w:p w:rsidR="00B83E8D" w:rsidRDefault="00B83E8D" w:rsidP="005A3DF4">
      <w:pPr>
        <w:widowControl w:val="0"/>
        <w:spacing w:after="0" w:line="240" w:lineRule="auto"/>
        <w:ind w:firstLine="709"/>
        <w:jc w:val="center"/>
        <w:rPr>
          <w:rFonts w:ascii="Times New Roman" w:hAnsi="Times New Roman"/>
          <w:sz w:val="28"/>
          <w:szCs w:val="28"/>
        </w:rPr>
      </w:pP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 xml:space="preserve">Абрамов В.Ю / </w:t>
      </w:r>
      <w:r w:rsidRPr="00467B95">
        <w:rPr>
          <w:rFonts w:ascii="Times New Roman" w:hAnsi="Times New Roman"/>
          <w:sz w:val="28"/>
          <w:szCs w:val="28"/>
          <w:lang w:val="en-US"/>
        </w:rPr>
        <w:t>Abramov</w:t>
      </w:r>
      <w:r w:rsidRPr="00467B95">
        <w:rPr>
          <w:rFonts w:ascii="Times New Roman" w:hAnsi="Times New Roman"/>
          <w:sz w:val="28"/>
          <w:szCs w:val="28"/>
        </w:rPr>
        <w:t xml:space="preserve"> </w:t>
      </w:r>
      <w:r w:rsidRPr="00467B95">
        <w:rPr>
          <w:rFonts w:ascii="Times New Roman" w:hAnsi="Times New Roman"/>
          <w:sz w:val="28"/>
          <w:szCs w:val="28"/>
          <w:lang w:val="en-US"/>
        </w:rPr>
        <w:t>V</w:t>
      </w:r>
      <w:r w:rsidRPr="00467B95">
        <w:rPr>
          <w:rFonts w:ascii="Times New Roman" w:hAnsi="Times New Roman"/>
          <w:sz w:val="28"/>
          <w:szCs w:val="28"/>
        </w:rPr>
        <w:t>.</w:t>
      </w:r>
      <w:r w:rsidRPr="00467B95">
        <w:rPr>
          <w:rFonts w:ascii="Times New Roman" w:hAnsi="Times New Roman"/>
          <w:sz w:val="28"/>
          <w:szCs w:val="28"/>
          <w:lang w:val="en-US"/>
        </w:rPr>
        <w:t>Y</w:t>
      </w:r>
      <w:r w:rsidRPr="00467B95">
        <w:rPr>
          <w:rFonts w:ascii="Times New Roman" w:hAnsi="Times New Roman"/>
          <w:sz w:val="28"/>
          <w:szCs w:val="28"/>
        </w:rPr>
        <w:t>.</w:t>
      </w:r>
    </w:p>
    <w:p w:rsidR="00B83E8D" w:rsidRPr="00467B95" w:rsidRDefault="00B83E8D"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lang w:val="en-US"/>
        </w:rPr>
        <w:t xml:space="preserve">Vladivostok State University of Economics and Service, Vladivostok,. </w:t>
      </w:r>
      <w:r w:rsidRPr="00467B95">
        <w:rPr>
          <w:rFonts w:ascii="Times New Roman" w:hAnsi="Times New Roman"/>
          <w:i/>
          <w:sz w:val="28"/>
          <w:szCs w:val="28"/>
        </w:rPr>
        <w:t>Gogol, 41, 690014</w:t>
      </w:r>
    </w:p>
    <w:p w:rsidR="00B83E8D" w:rsidRPr="00467B95" w:rsidRDefault="00B83E8D"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 г.Владивосток, ул. Гоголя, 41,</w:t>
      </w:r>
      <w:r w:rsidRPr="00467B95">
        <w:rPr>
          <w:rFonts w:ascii="Times New Roman" w:hAnsi="Times New Roman"/>
          <w:sz w:val="28"/>
          <w:szCs w:val="28"/>
        </w:rPr>
        <w:t xml:space="preserve"> </w:t>
      </w:r>
      <w:r w:rsidRPr="00467B95">
        <w:rPr>
          <w:rFonts w:ascii="Times New Roman" w:hAnsi="Times New Roman"/>
          <w:i/>
          <w:sz w:val="28"/>
          <w:szCs w:val="28"/>
        </w:rPr>
        <w:t>690014</w:t>
      </w:r>
    </w:p>
    <w:p w:rsidR="00B83E8D" w:rsidRPr="00467B95" w:rsidRDefault="00B83E8D" w:rsidP="005A3DF4">
      <w:pPr>
        <w:widowControl w:val="0"/>
        <w:spacing w:after="0" w:line="240" w:lineRule="auto"/>
        <w:ind w:firstLine="709"/>
        <w:jc w:val="right"/>
        <w:rPr>
          <w:rFonts w:ascii="Times New Roman" w:hAnsi="Times New Roman"/>
          <w:i/>
          <w:sz w:val="28"/>
          <w:szCs w:val="28"/>
        </w:rPr>
      </w:pPr>
      <w:r w:rsidRPr="00467B95">
        <w:rPr>
          <w:rFonts w:ascii="Times New Roman" w:hAnsi="Times New Roman"/>
          <w:sz w:val="28"/>
          <w:szCs w:val="28"/>
        </w:rPr>
        <w:t xml:space="preserve"> </w:t>
      </w:r>
    </w:p>
    <w:p w:rsidR="00B83E8D" w:rsidRPr="00467B95" w:rsidRDefault="00B83E8D" w:rsidP="005A3DF4">
      <w:pPr>
        <w:widowControl w:val="0"/>
        <w:spacing w:after="0" w:line="240" w:lineRule="auto"/>
        <w:ind w:firstLine="709"/>
        <w:jc w:val="both"/>
        <w:rPr>
          <w:rFonts w:ascii="Times New Roman" w:eastAsia="Times New Roman" w:hAnsi="Times New Roman"/>
          <w:i/>
          <w:sz w:val="28"/>
          <w:szCs w:val="28"/>
          <w:lang w:eastAsia="ru-RU"/>
        </w:rPr>
      </w:pPr>
      <w:r w:rsidRPr="006D2A8E">
        <w:rPr>
          <w:rFonts w:ascii="Times New Roman" w:eastAsia="Times New Roman" w:hAnsi="Times New Roman"/>
          <w:i/>
          <w:sz w:val="28"/>
          <w:szCs w:val="28"/>
          <w:lang w:eastAsia="ru-RU"/>
        </w:rPr>
        <w:t>Аннотация. В статье</w:t>
      </w:r>
      <w:r w:rsidRPr="00467B95">
        <w:rPr>
          <w:rFonts w:ascii="Times New Roman" w:eastAsia="Times New Roman" w:hAnsi="Times New Roman"/>
          <w:i/>
          <w:sz w:val="28"/>
          <w:szCs w:val="28"/>
          <w:lang w:eastAsia="ru-RU"/>
        </w:rPr>
        <w:t xml:space="preserve"> рассмотрено</w:t>
      </w:r>
      <w:r w:rsidRPr="00467B95">
        <w:rPr>
          <w:rFonts w:ascii="Times New Roman" w:hAnsi="Times New Roman"/>
          <w:sz w:val="28"/>
          <w:szCs w:val="28"/>
        </w:rPr>
        <w:t xml:space="preserve"> </w:t>
      </w:r>
      <w:r w:rsidRPr="00467B95">
        <w:rPr>
          <w:rFonts w:ascii="Times New Roman" w:eastAsia="Times New Roman" w:hAnsi="Times New Roman"/>
          <w:i/>
          <w:sz w:val="28"/>
          <w:szCs w:val="28"/>
          <w:lang w:eastAsia="ru-RU"/>
        </w:rPr>
        <w:t>правовое регулирование перевода жилого помещения в нежилое. Приведены примеры решений судов Приморского края. Выявлен пробел в законодательстве о регулирование перевода жилого помещения в нежилое. Актуальность исследования обусловлена большим ростом возникновения предприятий и организаций в жилых домах, а также сложной процедурой перевода помещений из жилых в нежилые.  Достаточно часто местные администрации по разным причинам отказывают в переводе жилых помещений в нежилые, собственникам приходится через суд оспаривать решение администрации, чтобы получить разрешение на перевод помещения.</w:t>
      </w:r>
    </w:p>
    <w:p w:rsidR="00B83E8D" w:rsidRDefault="00B83E8D" w:rsidP="005A3DF4">
      <w:pPr>
        <w:widowControl w:val="0"/>
        <w:spacing w:after="0" w:line="240" w:lineRule="auto"/>
        <w:ind w:firstLine="709"/>
        <w:jc w:val="both"/>
        <w:rPr>
          <w:rFonts w:ascii="Times New Roman" w:eastAsia="Times New Roman" w:hAnsi="Times New Roman"/>
          <w:b/>
          <w:i/>
          <w:sz w:val="28"/>
          <w:szCs w:val="28"/>
          <w:lang w:eastAsia="ru-RU"/>
        </w:rPr>
      </w:pPr>
    </w:p>
    <w:p w:rsidR="00B83E8D" w:rsidRPr="00467B95" w:rsidRDefault="00B83E8D" w:rsidP="005A3DF4">
      <w:pPr>
        <w:widowControl w:val="0"/>
        <w:spacing w:after="0" w:line="240" w:lineRule="auto"/>
        <w:ind w:firstLine="709"/>
        <w:jc w:val="both"/>
        <w:rPr>
          <w:rFonts w:ascii="Times New Roman" w:eastAsia="Times New Roman" w:hAnsi="Times New Roman"/>
          <w:i/>
          <w:sz w:val="28"/>
          <w:szCs w:val="28"/>
          <w:lang w:eastAsia="ru-RU"/>
        </w:rPr>
      </w:pPr>
      <w:r w:rsidRPr="006D2A8E">
        <w:rPr>
          <w:rFonts w:ascii="Times New Roman" w:eastAsia="Times New Roman" w:hAnsi="Times New Roman"/>
          <w:i/>
          <w:sz w:val="28"/>
          <w:szCs w:val="28"/>
          <w:lang w:eastAsia="ru-RU"/>
        </w:rPr>
        <w:t>Ключевые слова:</w:t>
      </w:r>
      <w:r w:rsidRPr="00467B95">
        <w:rPr>
          <w:rFonts w:ascii="Times New Roman" w:eastAsia="Times New Roman" w:hAnsi="Times New Roman"/>
          <w:i/>
          <w:sz w:val="28"/>
          <w:szCs w:val="28"/>
          <w:lang w:eastAsia="ru-RU"/>
        </w:rPr>
        <w:t xml:space="preserve"> Жилое помещение, не жилое помещение, перевод жилого помещения в нежилое,</w:t>
      </w:r>
      <w:r w:rsidRPr="00467B95">
        <w:rPr>
          <w:rFonts w:ascii="Times New Roman" w:hAnsi="Times New Roman"/>
          <w:sz w:val="28"/>
          <w:szCs w:val="28"/>
        </w:rPr>
        <w:t xml:space="preserve"> </w:t>
      </w:r>
      <w:r w:rsidRPr="00467B95">
        <w:rPr>
          <w:rFonts w:ascii="Times New Roman" w:eastAsia="Times New Roman" w:hAnsi="Times New Roman"/>
          <w:i/>
          <w:sz w:val="28"/>
          <w:szCs w:val="28"/>
          <w:lang w:eastAsia="ru-RU"/>
        </w:rPr>
        <w:t>лицо осуществляющие перевод,</w:t>
      </w:r>
      <w:r w:rsidRPr="00467B95">
        <w:rPr>
          <w:rFonts w:ascii="Times New Roman" w:hAnsi="Times New Roman"/>
          <w:sz w:val="28"/>
          <w:szCs w:val="28"/>
        </w:rPr>
        <w:t xml:space="preserve"> </w:t>
      </w:r>
      <w:r w:rsidRPr="00467B95">
        <w:rPr>
          <w:rFonts w:ascii="Times New Roman" w:eastAsia="Times New Roman" w:hAnsi="Times New Roman"/>
          <w:i/>
          <w:sz w:val="28"/>
          <w:szCs w:val="28"/>
          <w:lang w:eastAsia="ru-RU"/>
        </w:rPr>
        <w:t xml:space="preserve">отказ в переводе жилого помещения в нежилое помещение. </w:t>
      </w:r>
    </w:p>
    <w:p w:rsidR="00B83E8D" w:rsidRDefault="00B83E8D" w:rsidP="005A3DF4">
      <w:pPr>
        <w:widowControl w:val="0"/>
        <w:spacing w:after="0" w:line="240" w:lineRule="auto"/>
        <w:ind w:firstLine="709"/>
        <w:jc w:val="both"/>
        <w:rPr>
          <w:rFonts w:ascii="Times New Roman" w:hAnsi="Times New Roman"/>
          <w:sz w:val="28"/>
          <w:szCs w:val="28"/>
        </w:rPr>
      </w:pPr>
    </w:p>
    <w:p w:rsidR="00B83E8D" w:rsidRPr="00467B95" w:rsidRDefault="00B83E8D" w:rsidP="005A3DF4">
      <w:pPr>
        <w:widowControl w:val="0"/>
        <w:spacing w:after="0" w:line="240" w:lineRule="auto"/>
        <w:ind w:firstLine="709"/>
        <w:jc w:val="both"/>
        <w:rPr>
          <w:rFonts w:ascii="Times New Roman" w:eastAsia="Times New Roman" w:hAnsi="Times New Roman"/>
          <w:bCs/>
          <w:i/>
          <w:kern w:val="32"/>
          <w:sz w:val="28"/>
          <w:szCs w:val="28"/>
          <w:lang w:val="en-US" w:eastAsia="ru-RU"/>
        </w:rPr>
      </w:pPr>
      <w:r w:rsidRPr="006D2A8E">
        <w:rPr>
          <w:rFonts w:ascii="Times New Roman" w:eastAsia="Times New Roman" w:hAnsi="Times New Roman"/>
          <w:bCs/>
          <w:i/>
          <w:kern w:val="32"/>
          <w:sz w:val="28"/>
          <w:szCs w:val="28"/>
          <w:lang w:val="en-US" w:eastAsia="ru-RU"/>
        </w:rPr>
        <w:t>Abstract. The</w:t>
      </w:r>
      <w:r w:rsidRPr="00467B95">
        <w:rPr>
          <w:rFonts w:ascii="Times New Roman" w:eastAsia="Times New Roman" w:hAnsi="Times New Roman"/>
          <w:bCs/>
          <w:i/>
          <w:kern w:val="32"/>
          <w:sz w:val="28"/>
          <w:szCs w:val="28"/>
          <w:lang w:val="en-US" w:eastAsia="ru-RU"/>
        </w:rPr>
        <w:t xml:space="preserve"> article considers the legal regulation of the transfer of residential premises to non-residential. Examples of decisions of the courts of Primorsky Krai are given. Identified a gap in the legislation on the regulation of the transfer of residential premises to non-residential. The relevance of the study is due to the large increase in the emergence of enterprises and organizations in residential buildings, as well as the complex procedure of transferring premises from residential to non-residential. Quite often, local administrations for various reasons refuse to transfer residential premises to non-residential premises, owners have to challenge the administration’s decision in court in order to obtain permission to transfer premises..</w:t>
      </w:r>
    </w:p>
    <w:p w:rsidR="00B83E8D" w:rsidRPr="005542CD" w:rsidRDefault="00B83E8D" w:rsidP="005A3DF4">
      <w:pPr>
        <w:widowControl w:val="0"/>
        <w:spacing w:after="0" w:line="240" w:lineRule="auto"/>
        <w:ind w:firstLine="709"/>
        <w:jc w:val="both"/>
        <w:rPr>
          <w:rFonts w:ascii="Times New Roman" w:eastAsia="Times New Roman" w:hAnsi="Times New Roman"/>
          <w:b/>
          <w:sz w:val="28"/>
          <w:szCs w:val="28"/>
          <w:lang w:val="en-US" w:eastAsia="ru-RU"/>
        </w:rPr>
      </w:pPr>
    </w:p>
    <w:p w:rsidR="00B83E8D" w:rsidRPr="00467B95" w:rsidRDefault="00B83E8D" w:rsidP="005A3DF4">
      <w:pPr>
        <w:widowControl w:val="0"/>
        <w:spacing w:after="0" w:line="240" w:lineRule="auto"/>
        <w:ind w:firstLine="709"/>
        <w:jc w:val="both"/>
        <w:rPr>
          <w:rFonts w:ascii="Times New Roman" w:eastAsia="Times New Roman" w:hAnsi="Times New Roman"/>
          <w:b/>
          <w:sz w:val="28"/>
          <w:szCs w:val="28"/>
          <w:lang w:val="en-US" w:eastAsia="ru-RU"/>
        </w:rPr>
      </w:pPr>
      <w:r w:rsidRPr="006D2A8E">
        <w:rPr>
          <w:rFonts w:ascii="Times New Roman" w:eastAsia="Times New Roman" w:hAnsi="Times New Roman"/>
          <w:sz w:val="28"/>
          <w:szCs w:val="28"/>
          <w:lang w:val="en-US" w:eastAsia="ru-RU"/>
        </w:rPr>
        <w:t>Key words:</w:t>
      </w:r>
      <w:r w:rsidRPr="006D2A8E">
        <w:rPr>
          <w:rFonts w:ascii="Times New Roman" w:hAnsi="Times New Roman"/>
          <w:sz w:val="28"/>
          <w:szCs w:val="28"/>
          <w:lang w:val="en-US"/>
        </w:rPr>
        <w:t xml:space="preserve"> </w:t>
      </w:r>
      <w:r w:rsidRPr="006D2A8E">
        <w:rPr>
          <w:rFonts w:ascii="Times New Roman" w:eastAsia="Times New Roman" w:hAnsi="Times New Roman"/>
          <w:i/>
          <w:sz w:val="28"/>
          <w:szCs w:val="28"/>
          <w:lang w:val="en-US" w:eastAsia="ru-RU"/>
        </w:rPr>
        <w:t>Living</w:t>
      </w:r>
      <w:r w:rsidRPr="00467B95">
        <w:rPr>
          <w:rFonts w:ascii="Times New Roman" w:eastAsia="Times New Roman" w:hAnsi="Times New Roman"/>
          <w:i/>
          <w:sz w:val="28"/>
          <w:szCs w:val="28"/>
          <w:lang w:val="en-US" w:eastAsia="ru-RU"/>
        </w:rPr>
        <w:t xml:space="preserve"> quarters, non-residential premises, transfer of residential premises to non-residential premises, person transferring, refusal to transfer residential premises to non-residential premises.</w:t>
      </w:r>
    </w:p>
    <w:p w:rsidR="00B83E8D" w:rsidRPr="006D2A8E" w:rsidRDefault="00B83E8D" w:rsidP="005A3DF4">
      <w:pPr>
        <w:widowControl w:val="0"/>
        <w:spacing w:after="0" w:line="240" w:lineRule="auto"/>
        <w:ind w:firstLine="709"/>
        <w:jc w:val="both"/>
        <w:rPr>
          <w:rFonts w:ascii="Times New Roman" w:hAnsi="Times New Roman"/>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наше время все чаще становится актуально создавать свои организации, физические лица становятся индивидуальными предпринимателями, юридическими лицами. Основывают свою деятельность </w:t>
      </w:r>
      <w:r w:rsidRPr="00467B95">
        <w:rPr>
          <w:rFonts w:ascii="Times New Roman" w:hAnsi="Times New Roman"/>
          <w:sz w:val="28"/>
          <w:szCs w:val="28"/>
        </w:rPr>
        <w:lastRenderedPageBreak/>
        <w:t>в буквальном смысле в жилых домах – квартирах.</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Однако законодательство запрещает хозяйствующим субъектам осуществлять предпринимательскую деятельность в жилых помещениях. Для решения данной проблемы законодатель посвятил регулированию перевод жилых помещений в нежилые помещения специальную главу Жилищного кодекса РФ - главу 3 [1], а также положения п. 2 ст. 671 и п. 3 ст. 288 Гражданского кодекса РФ [2]. в соответствии с которыми - использование квартир в других целях (например, под офис) допускается только после перевода последних в нежилые помещения.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Несмотря на порядок перевода помещений из одной категории в другую ст. 22–24 Жилищного кодекса РФ, судебные разбирательства, связанные с этой проблемой, нередки. Чаще всего решения органов местного самоуправления об отказе в переводе жилого помещения в нежилое, оспариваются.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Как верно отметил А.Н. Слокотович, «Глава о процедуре перевода является совершенно новой. Действовавший ранее Жилищного кодекса РФ перевод в нежилой фонд, как правило, не допускал перевод жилых помещений в нежилые. Например, в городе Санкт-Петербурге все переводы осуществлялись именно как исключения. И если раньше любой перевод мог быть исключением, то теперь это законное право собственника, а закон определяет лишь процедуру» [3, c. 1].</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Перечень документов для перевода жилого помещения в нежилое закреплен в ч. 2 ст. 23 ЖК РФ, орган осуществляющий перевод помещений, не в праве требовать иные документы, кроме выше перечисленных, но на практике мы можем наблюдать, что не редко администрации просят предоставить согласие собственников многоквартирного дома.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Собственники часто сталкиваются с некоторыми сложностями, которые могут от него не зависеть. В ч. 2 ст. 22 ЖК РФ говорится, что переводимое помещение необходимо оборудовать отдельным входом в случае перевода такого помещения в нежилое. Создание отдельной входной группы неизбежно может быть связано или с земельным участком, на котором расположен многоквартирный дом, или с общедомовым имуществом, таким как подъезд и прочее.  В силу п. 4 ч. 1 ст. 36 ЖК РФ земельный участок принадлежит на праве общей долевой собственности собственникам помещений в многоквартирном доме, из этого мы понимаем, что все собственник имеют равные права на этот участок и могут распоряжаться им, в противном для нас случае они могут по своему праву не дать нам своего согласия на перевод помещения.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Руководствуясь ч. 3 ст. 36 ЖК РФ уменьшение размеров имущества собственников в многоквартирном доме возможно только после получения согласия собственников помещений, п. 2 ч. 2 ст. 44 ЖК РФ собственники могут распоряжаться общим имуществом на основании проведенного общего собрания собственников помещений, а также принимать решение о пределах использования земельного участка. Данные решения собрания собственников </w:t>
      </w:r>
      <w:r w:rsidRPr="00467B95">
        <w:rPr>
          <w:rFonts w:ascii="Times New Roman" w:hAnsi="Times New Roman"/>
          <w:sz w:val="28"/>
          <w:szCs w:val="28"/>
        </w:rPr>
        <w:lastRenderedPageBreak/>
        <w:t>в силу ч. 1 ст. 46 ЖК РФ принимаются не менее 2/3 голосов от общего числа голосов. По нашему мнению, если планируется занятие части земельного участка под вход в нежилое помещение, это можно квалифицировать как уменьшение общего имущества, в этом случае нужно получить согласие всех сособственников. Но если руководствоваться ч. 1 ст. 46 ЖК РФ возникает вопрос о пределах использования земельного участка, в этом случае можно обойтись согласием 2/3 голосов, которое получить легче, чем согласие всех собственников.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научной литературе высказываются различные мнения по данному вопросу. Так П.В. Макеев полагает, что согласие сособственников жилого помещения на организацию отдельной входной группы и соответствующее изменения использования земельного участка, является согласием на реконструкцию многоквартирного жилого дома с уменьшением размера общего имущества. [4]. По мнению других ученных, изменение границ земельного участка, не подпадают под действие ч. 3 ст. 36 ЖК РФ.</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подтверждение сказанному привожу в пример: решение от 30 июля 2018 г. по делу № 2А-1150/2018 Куйбышевского районного суда г. Самары. [5]. В ходе данного судебного процесса было установлено, четыре заявителя обратились в суд с административным иском, в котором просят отменить постановление Администрации района о переводе в нежилое помещение квартиры.</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обосновании иска указали, что административные истцы являются собственниками жилых помещений, расположенных в многоквартирном доме. Ванюшкин А.В. в своем помещении начал строительные работы в связи с чем в ходе строительных работ было уменьшено общее имущество всего дома. Руководствуясь Жилищным кодексом РФ, для проведения реконструкции многоквартирного дома необходимо решение общего собрания собственников помещений, в отдельных случаях согласие всех собственников помещений в многоквартирном доме. На внеочередном собрании собственников помещений в многоквартирном доме, было принято решение о несогласии собственников жилых помещений на перепланировку фасада дома – создания отдельного входа в квартиру, а также собственники выступили против открытия торговой точки в помещении квартиры. в Администрацию было передано заявление о несогласии изменения фасада здания и оборудования отдельного входа в помещение квартиры №Х, а также копия внеочередного общего собрания собственников помещений в многоквартирном доме. Собственники считают, что принятое Администрацией решение о переводе жилого помещения в нежилое противоречит нормам Жилищного кодекса РФ, следовательно, подлежит отмене.</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Изучив материалы дела, выслушав объяснения административных истцов, суд считает административные исковые требования обоснованными и подлежащими удовлетворению.</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приведенном нами случае в силу ч. 2 ст. 40 ЖК РФ заявителю </w:t>
      </w:r>
      <w:r w:rsidRPr="00467B95">
        <w:rPr>
          <w:rFonts w:ascii="Times New Roman" w:hAnsi="Times New Roman"/>
          <w:sz w:val="28"/>
          <w:szCs w:val="28"/>
        </w:rPr>
        <w:lastRenderedPageBreak/>
        <w:t xml:space="preserve">необходимо было предварительно получить согласие на это собственников помещений в доме.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Суд выносит решение: Административные исковые требования удовлетворить, признать незаконным и отменить постановление Администрации о переводе в нежилое помещение квартиры. Взыскать с Администрации расходы по оплате государственной пошлины, расходы по изготовлению копий документов.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изученный материал показал, что основной причиной отказа в выдаче разрешения на перевод жилого помещения в нежилое является, нарушение прав собственников на земельный участок, так как для отдельного входа в будущее нежилое помещение необходимо занять, часть земельного участка на котором расположен многоквартирный дом или обую площадь многоквартирного дома, которой вправе распоряжаться все жильцы многоквартирного дома. Изученная практика показывает, суды приходят к выводу, что при переводе помещения из жилого в нежилое необходимо получить согласие всех собственников помещений достаточно проблематично. Особенно это затруднительно, когда сложно найти кого-то из собственников, ведь не все граждане живут в принадлежащих им квартирах. В противном случае, если собственники не дают согласие, суд отказывает в переводе помещения. Статья 17 ЖК РФ предполагает наличие такого согласия, но в перечне документов, определенных ст. ст. 22 - 24 ЖК РФ, о нем речи нет. Отсюда мы делаем вывод, что жилищное законодательство, в частности перевод жилого помещения в нежилое недостаточно урегулирован действующим законодательством.</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Мы предлагаем в Главу 3 Жилищного кодекса, которая посвящена переводу жилого помещения в нежилое помещение добавить статьи, в которых будет дано точное разъяснение, в каких случаях требуется согласие всех собственников, а в каких согласия двух третьих голосов собственников.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действующем Жилищном кодексе статьи, которые затрагивают перевод жилого помещения в нежилое разбросаны по многим главам, это создает большие сложности, в следствии чего простому обывателю сложно разобраться в требованиях к переводу помещения в нежилой фонд.</w:t>
      </w:r>
    </w:p>
    <w:p w:rsidR="00B83E8D" w:rsidRPr="00467B95" w:rsidRDefault="00B83E8D"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B83E8D" w:rsidRPr="00467B95" w:rsidRDefault="00B83E8D" w:rsidP="005A3DF4">
      <w:pPr>
        <w:widowControl w:val="0"/>
        <w:tabs>
          <w:tab w:val="left" w:pos="993"/>
        </w:tabs>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1         Жилищный кодекс Российской Федерации: федеральный закон от 29.12.2004 № 188-ФЗ (ред. от 22.01.2019) [Электронный ресурс] // СПС «Консультант плюс» – Режим доступа:</w:t>
      </w:r>
      <w:r w:rsidRPr="00467B95">
        <w:rPr>
          <w:rFonts w:ascii="Times New Roman" w:hAnsi="Times New Roman"/>
          <w:sz w:val="28"/>
          <w:szCs w:val="28"/>
        </w:rPr>
        <w:t xml:space="preserve"> </w:t>
      </w:r>
      <w:r w:rsidRPr="00467B95">
        <w:rPr>
          <w:rFonts w:ascii="Times New Roman" w:eastAsia="Times New Roman" w:hAnsi="Times New Roman"/>
          <w:sz w:val="28"/>
          <w:szCs w:val="28"/>
          <w:lang w:eastAsia="ru-RU"/>
        </w:rPr>
        <w:t>http://www.consultant.ru/document/cons_doc_LAW_51057/.</w:t>
      </w:r>
    </w:p>
    <w:p w:rsidR="00B83E8D" w:rsidRPr="00467B95" w:rsidRDefault="00B83E8D" w:rsidP="005A3DF4">
      <w:pPr>
        <w:widowControl w:val="0"/>
        <w:tabs>
          <w:tab w:val="left" w:pos="993"/>
        </w:tabs>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2      Гражданский кодекс Российской Федерации (часть первая): федеральный закон от 30.11.1994 N 51-ФЗ (ред. от 03.08.2018) [Электронный ресурс] // СПС «Консультант плюс» – Режим доступа: http://www.consultant.ru/document/cons_doc_LAW_5142/db5bf587a8a8b32165868ef80dd84b20989c9831/.</w:t>
      </w:r>
    </w:p>
    <w:p w:rsidR="00B83E8D" w:rsidRPr="00467B95" w:rsidRDefault="00B83E8D" w:rsidP="005A3DF4">
      <w:pPr>
        <w:widowControl w:val="0"/>
        <w:tabs>
          <w:tab w:val="left" w:pos="993"/>
        </w:tabs>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3     Слокотович А.Н. Перевод помещений в нежилой фонд: основные вопросы и проблемы [Электронный ресурс] / А.Н. Слокотович // </w:t>
      </w:r>
      <w:r w:rsidRPr="00467B95">
        <w:rPr>
          <w:rFonts w:ascii="Times New Roman" w:eastAsia="Times New Roman" w:hAnsi="Times New Roman"/>
          <w:sz w:val="28"/>
          <w:szCs w:val="28"/>
          <w:lang w:eastAsia="ru-RU"/>
        </w:rPr>
        <w:lastRenderedPageBreak/>
        <w:t>КиберЛенинка. – Режим доступа: https://cyberleninka.ru/article/n/perevod-pomescheniy-v-nezhiloy-fond-osnovnye-voprosy-i-problemy.</w:t>
      </w:r>
    </w:p>
    <w:p w:rsidR="00B83E8D" w:rsidRPr="00467B95" w:rsidRDefault="00B83E8D" w:rsidP="005A3DF4">
      <w:pPr>
        <w:widowControl w:val="0"/>
        <w:tabs>
          <w:tab w:val="left" w:pos="993"/>
        </w:tabs>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4     Батычко В.Т., Макеев П.В. О проблемах реализации положений Жилищного кодекса Российской Федерации при переводе жилого помещения в нежилое // Жилищное право. 2009. № 12. С. 69. [Электронный ресурс] // Сайт «aup.ru». – Режим доступа: http://www.aup.ru/books/m238/4_4.htm.</w:t>
      </w:r>
    </w:p>
    <w:p w:rsidR="00B83E8D" w:rsidRPr="00467B95" w:rsidRDefault="00B83E8D" w:rsidP="005A3DF4">
      <w:pPr>
        <w:widowControl w:val="0"/>
        <w:tabs>
          <w:tab w:val="left" w:pos="993"/>
        </w:tabs>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5         Решение № 2А-1150/2018 2А-1150/2018~М-1074/2018 М-1074/2018 от 30 июля 2018 г. по делу № 2А-1150/2018 [Электронный ресурс] // Сайт «www.sudact.ru». – Режим доступа: https://www.sudact.ru/regular/doc/YywwVhu68bVa/. </w:t>
      </w:r>
    </w:p>
    <w:p w:rsidR="00B83E8D" w:rsidRPr="005542CD" w:rsidRDefault="00B83E8D" w:rsidP="005A3DF4">
      <w:pPr>
        <w:widowControl w:val="0"/>
        <w:spacing w:after="0" w:line="240" w:lineRule="auto"/>
        <w:ind w:firstLine="709"/>
        <w:jc w:val="both"/>
        <w:rPr>
          <w:rFonts w:ascii="Times New Roman" w:eastAsia="Times New Roman" w:hAnsi="Times New Roman"/>
          <w:sz w:val="28"/>
          <w:szCs w:val="28"/>
          <w:lang w:eastAsia="ru-RU"/>
        </w:rPr>
      </w:pPr>
    </w:p>
    <w:p w:rsidR="00B83E8D" w:rsidRPr="00467B95" w:rsidRDefault="00B83E8D"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Последствия злоупотребления правом: правовая природа и особенности применения</w:t>
      </w:r>
    </w:p>
    <w:p w:rsidR="00B83E8D" w:rsidRDefault="00B83E8D" w:rsidP="005A3DF4">
      <w:pPr>
        <w:widowControl w:val="0"/>
        <w:spacing w:after="0" w:line="240" w:lineRule="auto"/>
        <w:ind w:firstLine="709"/>
        <w:jc w:val="center"/>
        <w:rPr>
          <w:rFonts w:ascii="Times New Roman" w:hAnsi="Times New Roman"/>
          <w:sz w:val="28"/>
          <w:szCs w:val="28"/>
        </w:rPr>
      </w:pP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Дибаева София Евгеньевна,</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Владивостокский государственный университет экономики и сервиса</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Россия, Владивосток</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sofiya</w:t>
      </w:r>
      <w:r w:rsidRPr="00467B95">
        <w:rPr>
          <w:rFonts w:ascii="Times New Roman" w:hAnsi="Times New Roman"/>
          <w:sz w:val="28"/>
          <w:szCs w:val="28"/>
        </w:rPr>
        <w:t>.</w:t>
      </w:r>
      <w:r w:rsidRPr="00467B95">
        <w:rPr>
          <w:rFonts w:ascii="Times New Roman" w:hAnsi="Times New Roman"/>
          <w:sz w:val="28"/>
          <w:szCs w:val="28"/>
          <w:lang w:val="en-US"/>
        </w:rPr>
        <w:t>dibaeva</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тел.: +79242622632</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B83E8D" w:rsidRDefault="00B83E8D" w:rsidP="005A3DF4">
      <w:pPr>
        <w:widowControl w:val="0"/>
        <w:spacing w:after="0" w:line="240" w:lineRule="auto"/>
        <w:ind w:firstLine="709"/>
        <w:jc w:val="both"/>
        <w:rPr>
          <w:rFonts w:ascii="Times New Roman" w:hAnsi="Times New Roman"/>
          <w:i/>
          <w:sz w:val="28"/>
          <w:szCs w:val="28"/>
        </w:rPr>
      </w:pPr>
    </w:p>
    <w:p w:rsidR="00B83E8D" w:rsidRPr="00467B95" w:rsidRDefault="00B83E8D"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 xml:space="preserve">Правовая абстрактность норм ст. 10 ГК РФ о злоупотреблении правом и последствий его совершения порождает разночтения в понимании и применении данного правового феномена в доктрине и судебной практике. Сложившаяся ситуация приводит к нарушению принципа единообразия правоприменения, а также увеличению разрыва законодательного целеполагания и его практической реализации.  </w:t>
      </w:r>
    </w:p>
    <w:p w:rsidR="00B83E8D" w:rsidRDefault="00B83E8D" w:rsidP="005A3DF4">
      <w:pPr>
        <w:widowControl w:val="0"/>
        <w:spacing w:after="0" w:line="240" w:lineRule="auto"/>
        <w:ind w:firstLine="709"/>
        <w:jc w:val="both"/>
        <w:rPr>
          <w:rFonts w:ascii="Times New Roman" w:hAnsi="Times New Roman"/>
          <w:b/>
          <w:i/>
          <w:sz w:val="28"/>
          <w:szCs w:val="28"/>
        </w:rPr>
      </w:pPr>
    </w:p>
    <w:p w:rsidR="00B83E8D" w:rsidRPr="00467B95" w:rsidRDefault="00B83E8D" w:rsidP="005A3DF4">
      <w:pPr>
        <w:widowControl w:val="0"/>
        <w:spacing w:after="0" w:line="240" w:lineRule="auto"/>
        <w:ind w:firstLine="709"/>
        <w:jc w:val="both"/>
        <w:rPr>
          <w:rFonts w:ascii="Times New Roman" w:hAnsi="Times New Roman"/>
          <w:i/>
          <w:sz w:val="28"/>
          <w:szCs w:val="28"/>
        </w:rPr>
      </w:pPr>
      <w:r w:rsidRPr="0004122A">
        <w:rPr>
          <w:rFonts w:ascii="Times New Roman" w:hAnsi="Times New Roman"/>
          <w:i/>
          <w:sz w:val="28"/>
          <w:szCs w:val="28"/>
        </w:rPr>
        <w:t>Ключевые слова и словосочетания: последствия</w:t>
      </w:r>
      <w:r w:rsidRPr="00467B95">
        <w:rPr>
          <w:rFonts w:ascii="Times New Roman" w:hAnsi="Times New Roman"/>
          <w:i/>
          <w:sz w:val="28"/>
          <w:szCs w:val="28"/>
        </w:rPr>
        <w:t xml:space="preserve"> злоупотребления правом; нарушение; гражданско-правовая ответственность; ФАС России.</w:t>
      </w:r>
    </w:p>
    <w:p w:rsidR="00B83E8D" w:rsidRDefault="00B83E8D" w:rsidP="005A3DF4">
      <w:pPr>
        <w:widowControl w:val="0"/>
        <w:spacing w:after="0" w:line="240" w:lineRule="auto"/>
        <w:ind w:firstLine="709"/>
        <w:jc w:val="center"/>
        <w:rPr>
          <w:rFonts w:ascii="Times New Roman" w:hAnsi="Times New Roman"/>
          <w:b/>
          <w:sz w:val="28"/>
          <w:szCs w:val="28"/>
        </w:rPr>
      </w:pPr>
    </w:p>
    <w:p w:rsidR="00B83E8D" w:rsidRPr="00467B95" w:rsidRDefault="00B83E8D"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Consequences of abuse of law: the legal essence and features of the application</w:t>
      </w:r>
    </w:p>
    <w:p w:rsidR="00B83E8D" w:rsidRPr="00467B95" w:rsidRDefault="00B83E8D"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Legal abstractness of the norms of art. 10 of the Civil Code of the abuse of law and the consequences of its commission gives rise to discrepancies in the understanding and application of this legal phenomenon in doctrine and judicial practice. The current situation leads to a violation of the principle of uniformity of law enforcement, as well as increasing the gap in legislative goal-setting and practical implementation.</w:t>
      </w:r>
    </w:p>
    <w:p w:rsidR="00E9428A" w:rsidRPr="005542CD" w:rsidRDefault="00E9428A" w:rsidP="005A3DF4">
      <w:pPr>
        <w:widowControl w:val="0"/>
        <w:spacing w:after="0" w:line="240" w:lineRule="auto"/>
        <w:ind w:firstLine="709"/>
        <w:jc w:val="both"/>
        <w:rPr>
          <w:rFonts w:ascii="Times New Roman" w:hAnsi="Times New Roman"/>
          <w:i/>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i/>
          <w:sz w:val="28"/>
          <w:szCs w:val="28"/>
          <w:lang w:val="en-US"/>
        </w:rPr>
      </w:pPr>
      <w:r w:rsidRPr="0004122A">
        <w:rPr>
          <w:rFonts w:ascii="Times New Roman" w:hAnsi="Times New Roman"/>
          <w:i/>
          <w:sz w:val="28"/>
          <w:szCs w:val="28"/>
          <w:lang w:val="en-US"/>
        </w:rPr>
        <w:t>Keywords: the consequences</w:t>
      </w:r>
      <w:r w:rsidRPr="00467B95">
        <w:rPr>
          <w:rFonts w:ascii="Times New Roman" w:hAnsi="Times New Roman"/>
          <w:i/>
          <w:sz w:val="28"/>
          <w:szCs w:val="28"/>
          <w:lang w:val="en-US"/>
        </w:rPr>
        <w:t xml:space="preserve"> of abuse of the right; violation; civil liability; the Federal Antimonopoly Service of Russia.</w:t>
      </w:r>
    </w:p>
    <w:p w:rsidR="00B83E8D" w:rsidRPr="00E9428A" w:rsidRDefault="00B83E8D" w:rsidP="005A3DF4">
      <w:pPr>
        <w:widowControl w:val="0"/>
        <w:spacing w:after="0" w:line="240" w:lineRule="auto"/>
        <w:ind w:firstLine="709"/>
        <w:jc w:val="both"/>
        <w:rPr>
          <w:rFonts w:ascii="Times New Roman" w:hAnsi="Times New Roman"/>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Как и тема феномена злоупотребления правом и его правовой природы </w:t>
      </w:r>
      <w:r w:rsidRPr="00467B95">
        <w:rPr>
          <w:rFonts w:ascii="Times New Roman" w:hAnsi="Times New Roman"/>
          <w:sz w:val="28"/>
          <w:szCs w:val="28"/>
        </w:rPr>
        <w:lastRenderedPageBreak/>
        <w:t>полна неоднозначных позиций и концепций, так и тема последствий, которые наступают при совершении злоупотребления правом. Пункт 2 статьи 10 ГК РФ предусматривает правовые последствия для субъектов, злоупотребивших своими правами: «суд, арбитражный суд или третейский суд с учетом характера и последствий допущенного злоупотребления отказывает лицу в защите принадлежащего ему права полностью или частично, а также применяет иные меры, предусмотренные законом» [1].</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пункт 4 статьи 10 ГК РФ содержит следующую норму: «если злоупотребление правом повлекло нарушение права другого лица, такое лицо вправе требовать возмещения причиненных этим убытков».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вопрос о том содержат ли данные нормы гражданско-правовую ответственность или же данные неблагоприятные последствия являются чем-то иным, нет однозначного ответа.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Сторонники позиции того, что злоупотребление правом по своей сущности является гражданским правонарушением, например, Емельянов В. И. [2, с. 101 – 102] полагают, что последствия злоупотребления правом – вид гражданско-правовой ответственности [2, с. 91 – 92], что представляется логичным, поскольку ответственность всегда следует за виновным противоправным деянием.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Однако существуют сторонники позиции о том, что данный феномен не совпадает с понятием правонарушения, например, Казбекова К.М. полагает, что «злоупотребление правом и правонарушение существенно отличаются. Их отождествление нелогично и нецелесообразно, так как может привести к поглощению института злоупотребления правом институтом гражданско-правового деликта». В качестве существенных различий можно привести следующие: злоупотребление правом – основано на праве, а правонарушение – нет, по этой причине в момент совершения злоупотребления действия являются правомерными, а в момент совершения правонарушения – нарушают конкретные правовые нормы [3, с. 76].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В случае, если данные феномены отличны, это предполагает, что за злоупотребление правом не может наступать гражданско-правовая ответственность, так как не нарушается ни одна правовая норма. В противовес данного подхода, Вронская М. В. предлагает рассматривать последствия злоупотребления правом с точки зрения пострадавшего лица, права которого нарушены. В таком контексте действия злоупотребившего субъекта «могут носить характер социально опасных, за которые должны устанавливаться соответствующие правовые последствия» [4, с. 329].</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Проанализировав различные позиции учёных относительно природы правовых последствий, установленных в п. 2 ст. 10 ГК РФ и п. 4 ст. 10 ГК РФ [1], представляется целесообразным сделать вывод о том, что необходим интегрированный подход к её пониманию. Так, последствия злоупотребления правом являются особенным видом гражданско-правовой ответственности, поскольку нельзя не согласиться тем, что злоупотребление правом – это совершение действий, которые формально являются равноправными, однако </w:t>
      </w:r>
      <w:r w:rsidRPr="00467B95">
        <w:rPr>
          <w:rFonts w:ascii="Times New Roman" w:hAnsi="Times New Roman"/>
          <w:sz w:val="28"/>
          <w:szCs w:val="28"/>
        </w:rPr>
        <w:lastRenderedPageBreak/>
        <w:t>идут вразрез с пониманием и смыслом используемой правовой нормы. Таким образом, при признании в действиях субъекта злоупотребления правом, такие действия частично приравниваются к нарушению, так как за их совершения наступают неблагоприятные последствия.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Гражданско-правовая ответственность наступает при определённых обстоятельствах. К объективным элементам можно отнести противоправный характер поведения субъекта и его результат (а именно вред, убытки), саму причинную связь между действием и вредом, к субъективным же относят вину правонарушителя [5, с. 323 – 324]. Таким образом, злоупотребление правом, не являясь противоправным деянием, но имея фактический результат такового, а также подразумевая неблагоприятные последствия для совершившего его лица, влечёт наступление своеобразных видов гражданско-правовой ответственности.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Анализируя виды гражданско-правовой ответственности за злоупотребление, необходимо отметить, что, исходя из нормы п. 2 ст. 10 ГК РФ, ответственность в форме отказа злоупотребившему лицу в защите принадлежащего ему права могут применять только суд, арбитражный суд или третейский. Это означает, что иные органы государственной власти не вправе применять данный вид ответственности.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 4 ст. 10 ГК РФ содержит обоснованное положение, наделяющее правом взыскания убытков лицо, субъективные права которого были нарушены злоупотреблением правом другим лицом. Представляется логичным, что данная норма конкретизирует и закрепляет возможность использования взыскания убытков в качестве способа защиты гражданских прав, поскольку это не вытекает напрямую из ст. 12 ГК РФ, также закрепляющей данный способ защиты [1]. Ввиду того, что злоупотребление правом является не стандартным институтом для гражданского права и некоторые учёные считают, что оно формально не нарушает правовые нормы, допустимо, что в случае иного построения правовой нормы, возникла бы дискуссия относительно того нарушает ли злоупотребление правом одним субъектом нарушение прав другого субъекта, возможно ли в таких случаях применение способов защиты гражданских прав и если да, то каких именно?</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Поскольку абз. 1 п. 1 ст. 10 ГК РФ предусматривает «иное заведомо недобросовестное осуществление гражданских прав» [1], вероятно, существует множество различных форм злоупотребления правом, так как ст. 10 ГК РФ не содержит указания на то, что могут быть предусмотрены иные последствия, наоборот предусматривая возможность суда, арбитражного суда, третейского суда применять «иные меры, предусмотренные законом». При этом, специальные нормы о иных формах недобросовестного осуществления прав могут содержать дополнительные правовые последствия, помимо закреплённых в ст. 10 ГК РФ.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 например, абз. 2 п. 1 ст. 167 ГК РФ содержит следующее последствие: «лицо, которое знало или должно было знать об основаниях недействительности оспоримой сделки, после признания этой сделки </w:t>
      </w:r>
      <w:r w:rsidRPr="00467B95">
        <w:rPr>
          <w:rFonts w:ascii="Times New Roman" w:hAnsi="Times New Roman"/>
          <w:sz w:val="28"/>
          <w:szCs w:val="28"/>
        </w:rPr>
        <w:lastRenderedPageBreak/>
        <w:t xml:space="preserve">недействительной не считается действовавшим добросовестно». Можно сделать предположение, что иные формы заведомо недобросовестного поведения, описаны в статьях 284 и 293 ГК РФ, а именно злоупотреблением является неиспользование земельного участка, имеющего определённое назначение в соответствии с таковым в течение трёх лет, а также злоупотреблением является использование жилого помещения не по назначению (допуская его разрушение и нарушая права иных лиц. Таким образом, в качестве последствий, не предусмотренных ст. 10 ГК РФ, однако предусмотренными в ст.ст. 284, 293 ГК РФ, можно выделить изъятие такого земельного участка у недобросовестного собственника и прекращение права собственности на жилое помещение [1].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Из-за размытости формулировки ст. 10 ГК РФ и по причине существования иных форм злоупотребления правом, остаётся открытым вопрос о том, какие субъекты вправе применять данную норму? Последствия, содержащиеся п. 2 ст. 10 ГК РФ и п. 4 ст. 10 ГК РФ могут применять только суды. Однако, нормы о злоупотреблении правом активно применяются Федеральной антимонопольной службой России при рассмотрении дел по жалобам, вытекающим из осуществления закупочной деятельности субъектами, руководствующимися Федеральным законом «О закупках товаров, работ, услуг отдельными видами юридических лиц» от 18.07.2011 № 223-ФЗ [6] и Федеральном законом «О контрактной системе в сфере закупок товаров, работ, услуг для обеспечения государственных и муниципальных нужд» от 05.04.2013 № 44-ФЗ [7]. Например, дело № 05-13-01/05-18.1-16 [8], дело № ФЗ-223-07-02/15 [9], дело № 17/6881/17 [10], дело № 223ФЗ-212/18 [11]; дело № 223ФЗ-155/18 [12].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Анализ правоприменительной практики ФАС России позволил выявить, что, во-первых, нормы ст. 10 ГК РФ часто используются без разъяснения и мотивировки, во-вторых, в противоречии с доктринальным пониманием данного феномена, а именно в решении содержатся ссылки на конкретные правовые нормы, которые были нарушены, однако применение положений о злоупотреблении правом возможно в ситуации, когда формально не нарушается правовая норма и лицо действует в рамках реализации своего законного права, однако реализуя его, преследует цель достичь противоправного результата..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Кроме того, ни одного из последствий нарушений ст. 10 не применено – не взысканы убытки, не отказано в защите прав недобросовестной стороне. В данном случае, применение норм о злоупотреблении правом не влечёт никаких правовых последствий, что нивелирует её назначение.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Относительно правовой природы последствий злоупотребления правом, их видов и субъектов правоприменения можно сделать следующие выводы:</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 настоящий момент вопрос о том, являются ли последствия злоупотребления правом видом ответственности, не имеют однозначного ответа. Однако, автор придерживается позиции о том, что это специальный вид гражданско-правовой ответственности;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 формулировка п. 2 ст. 10 ГК РФ позволяет судам применять в качестве ответственности за злоупотребление правом «иные меры, предусмотренные законом», что делает перечень последствий недобросовестного поведения субъектов гражданского оборота открытым;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 статье 10 ГК РФ закреплены два последствия злоупотребления правом – отказ в защите нарушенного права злоупотребившему лицу и возможность для лица, права которого были нарушены злоупотреблением, взыскать убытки, иные последствия злоупотребления правом могут содержаться в нормах, предусматривающих иные формы злоупотребления правом;</w:t>
      </w:r>
    </w:p>
    <w:p w:rsidR="00B83E8D"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полномочия по применению последствий злоупотребления правом статьи 10 ГК РФ могут быть в полной мере осуществлены только судами, в связи с чем возникает вопрос о легальности использования нормы, органами исполнительной власти, такими как ФАС России, поскольку они не могут применять последствия в виде взыскания убытков или отказа в судебной защите нарушенного права.</w:t>
      </w:r>
    </w:p>
    <w:p w:rsidR="00B83E8D" w:rsidRPr="00DE49DB" w:rsidRDefault="00B83E8D" w:rsidP="005A3DF4">
      <w:pPr>
        <w:widowControl w:val="0"/>
        <w:spacing w:after="0" w:line="240" w:lineRule="auto"/>
        <w:ind w:firstLine="709"/>
        <w:jc w:val="center"/>
        <w:rPr>
          <w:rFonts w:ascii="Times New Roman" w:hAnsi="Times New Roman"/>
          <w:sz w:val="28"/>
          <w:szCs w:val="28"/>
        </w:rPr>
      </w:pPr>
      <w:r>
        <w:rPr>
          <w:rFonts w:ascii="Times New Roman" w:hAnsi="Times New Roman"/>
          <w:sz w:val="28"/>
          <w:szCs w:val="28"/>
        </w:rPr>
        <w:t>Список использованных источников</w:t>
      </w:r>
    </w:p>
    <w:p w:rsidR="00B83E8D" w:rsidRPr="00467B95" w:rsidRDefault="00B83E8D" w:rsidP="005A3DF4">
      <w:pPr>
        <w:widowControl w:val="0"/>
        <w:numPr>
          <w:ilvl w:val="0"/>
          <w:numId w:val="1"/>
        </w:numPr>
        <w:spacing w:after="0" w:line="240" w:lineRule="auto"/>
        <w:ind w:left="0" w:firstLine="709"/>
        <w:contextualSpacing/>
        <w:jc w:val="both"/>
        <w:rPr>
          <w:rFonts w:ascii="Times New Roman" w:hAnsi="Times New Roman"/>
          <w:sz w:val="28"/>
          <w:szCs w:val="28"/>
        </w:rPr>
      </w:pPr>
      <w:r w:rsidRPr="00467B95">
        <w:rPr>
          <w:rFonts w:ascii="Times New Roman" w:hAnsi="Times New Roman"/>
          <w:sz w:val="28"/>
          <w:szCs w:val="28"/>
        </w:rPr>
        <w:t>Гражданский кодекс Российской Федерации. Часть первая: федеральный закон от 30.11.1994 № 51-ФЗ (ред. от 01.01.2019) [Электронный ресурс] // СПС «Консультант-Плюс». – Режим доступа: http://www.consultant.ru/document/cons_doc_LAW_5142/.</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Емельянов В. И. Разумность, добросовестность, незлоупотребление гражданскими правами: монография / Емельянов В. И. – М.: Лекс-Книга, 2002. – 160 с.</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К. М. Казбекова // Бизнес в законе. Экономико-юридический журнал. – 2010. – № 1. Режим доступа: https://cyberleninka.ru/article/n/zloupotreblenie-pravom-i-pravonarushenie-sootnesenie-ponyatiy.</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Вронская М.В. Феномен «злоупотребление правом»: от дефиниции к правоприменительной практике [Электронный ресурс] / М. В. Вронская // Балтийский гуманитарный журнал. – 2017. – № 3 (20). Режим доступа: https://cyberleninka.ru/article/n/fenomen-zloupotreblenie-pravom-ot-definitsii-k-pravoprimenitel</w:t>
      </w:r>
      <w:r w:rsidRPr="00467B95">
        <w:rPr>
          <w:rFonts w:ascii="Times New Roman" w:hAnsi="Times New Roman" w:cs="Times New Roman"/>
          <w:sz w:val="28"/>
          <w:szCs w:val="28"/>
        </w:rPr>
        <w:br/>
        <w:t>noy-praktike.</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Суханов Е.А. Гражданское право: В 4 т. Общая часть: Учебник (том 1) / Е. А. Суханов. – М.: Волтерс Клувер, 2008. – 369 с.</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закупках товаров, работ, услуг отдельными видами юридических лиц: Федеральный закон от 18.07.2011 № 223-ФЗ (ред. от 28.11.2018) [Электронный ресурс] // СПС «КонсультантПлюс». – Режим доступа: http://www.consultant.ru/document/cons_doc_LAW_116964/.</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контрактной системе в сфере закупок товаров, работ, услуг для обеспечения государственных и муниципальных нужд от 05.04.2013 № 44-ФЗ (ред. от 07.01.2019) [Электронный ресурс] // СПС «КонсультантПлюс». – Режим доступа: http://www.consultant.ru/document/cons_doc_LAW_144624/.</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lastRenderedPageBreak/>
        <w:t>О признании нарушения в действиях комиссии по закупочной деятельности при проведении открытого запроса цен в электронной форме. Решение Тывинского УФАС России по жалобе № 05-13-01/05-18.1-16 [Электронный ресурс] // Правовые акты Федеральной антимонопольной службы. – Режим доступа: https://solutions.fas.gov.ru/to/tyvinskoe-ufas-rossii/05-13-01-05-18-1-16.</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Признать жалобу обоснованной в части не указания видов допусков к строительным видам работ и указания требования по лицензии. Комиссия Кабардино-Балкарского УФАС России. Решение по делу № ФЗ-223-07-02/15 [Электронный ресурс] // Правовые акты Федеральной антимонопольной службы. – Режим доступа: https://solutions.fas.gov.ru/to/kabardino-balkarskoe-ufas-rossii/fz-223-07-02-15.</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Признать жалобу на действия (бездействие) заказчика при проведении открытого конкурса в электронной форме на право заключения договора на поставку обоснованной в части неправомерно предусмотренной возможности отклонения заявок участников, аффилированных между собой. Комиссия ФАС России. Решение по делу № 17/6881/17 [Электронный ресурс] // Правовые акты Федеральной антимонопольной службы. – Режим доступа: https://br.fas.gov.ru/ca/upravlenie-kontrolya-razmescheniya-gosudarstvennogo-zakaza/17-6881-17/.</w:t>
      </w:r>
    </w:p>
    <w:p w:rsidR="00B83E8D" w:rsidRPr="00467B95"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Признать жалобу на действия (бездействие) заказчика, оператора электронной площадки при проведении аукциона на право заключения договора на поставку обоснованной. Комиссия ФАС России. Решение по делу № 223ФЗ-212/18 [Электронный ресурс] // Правовые акты Федеральной антимонопольной службы. – Режим доступа: https://solutions.fas.gov.ru/ca/upravlenie-kontrolya-razmescheniya-gosudarstvennogo-zakaza/17-25130-18.</w:t>
      </w:r>
    </w:p>
    <w:p w:rsidR="00B83E8D" w:rsidRDefault="00B83E8D" w:rsidP="005A3DF4">
      <w:pPr>
        <w:pStyle w:val="a7"/>
        <w:widowControl w:val="0"/>
        <w:numPr>
          <w:ilvl w:val="0"/>
          <w:numId w:val="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Признать жалобу на действия (бездействие) заказчика при проведении открытого запроса предложений в электронной форме на право заключения договора на выполнение работ обоснованной в части неправомерного принятия Заказчиком решения об отказе от проведения запроса предложений. Комиссия ФАС России. Решение по делу № 223ФЗ-155/18 [Электронный ресурс] // Правовые акты Федеральной антимонопольной службы. – Режим доступа: https://solutions.fas.gov.ru/ca/upravlenie-kontrolya-razmescheniya-gosudarstvennogo-zakaza/17-17754-18. </w:t>
      </w:r>
    </w:p>
    <w:p w:rsidR="00B83E8D" w:rsidRPr="00B83E8D" w:rsidRDefault="00B83E8D" w:rsidP="005A3DF4">
      <w:pPr>
        <w:widowControl w:val="0"/>
        <w:spacing w:after="0" w:line="240" w:lineRule="auto"/>
        <w:jc w:val="both"/>
        <w:rPr>
          <w:rFonts w:ascii="Times New Roman" w:hAnsi="Times New Roman"/>
          <w:sz w:val="28"/>
          <w:szCs w:val="28"/>
        </w:rPr>
      </w:pP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hAnsi="Times New Roman"/>
          <w:b/>
          <w:sz w:val="28"/>
          <w:szCs w:val="28"/>
        </w:rPr>
        <w:t>Актуальные проблемы возникновения юридического лица</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Ибрагимов Максим Лутфуллович</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БЮП-15-2 группы, 4 курса Институт права</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lastRenderedPageBreak/>
        <w:t>Статья посвящена анализу актуальных проблем возникновения юридического лица. Возникновения юридического лица в российском праве возможно законным путём, то есть в соответствии с установленным законом порядком, а также незаконным способом.</w:t>
      </w:r>
    </w:p>
    <w:p w:rsidR="00B83E8D" w:rsidRPr="00467B95" w:rsidRDefault="00B83E8D" w:rsidP="005A3DF4">
      <w:pPr>
        <w:widowControl w:val="0"/>
        <w:shd w:val="clear" w:color="auto" w:fill="FFFFFF"/>
        <w:spacing w:after="0" w:line="240" w:lineRule="auto"/>
        <w:ind w:firstLine="709"/>
        <w:contextualSpacing/>
        <w:jc w:val="both"/>
        <w:rPr>
          <w:rFonts w:ascii="Times New Roman" w:hAnsi="Times New Roman"/>
          <w:i/>
          <w:sz w:val="28"/>
          <w:szCs w:val="28"/>
        </w:rPr>
      </w:pPr>
      <w:r w:rsidRPr="00467B95">
        <w:rPr>
          <w:rFonts w:ascii="Times New Roman" w:eastAsia="Times New Roman" w:hAnsi="Times New Roman"/>
          <w:i/>
          <w:kern w:val="36"/>
          <w:sz w:val="28"/>
          <w:szCs w:val="28"/>
          <w:lang w:eastAsia="ru-RU"/>
        </w:rPr>
        <w:t>На этапе регистрации юридического лица возникают некоторые проблемы, которые заслуживают внимания и решения.</w:t>
      </w: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 xml:space="preserve">Также, в настоящее время достаточно остро стоит вопрос подставных фирм, фирм-однодневок, деятельность которых причиняет огромный ущерб экономике нашего государства. В связи с чем, является актуальным исследование вопроса уголовной ответственности в данной сфере. </w:t>
      </w:r>
    </w:p>
    <w:p w:rsidR="00B83E8D" w:rsidRDefault="00B83E8D" w:rsidP="005A3DF4">
      <w:pPr>
        <w:widowControl w:val="0"/>
        <w:spacing w:after="0" w:line="240" w:lineRule="auto"/>
        <w:ind w:firstLine="709"/>
        <w:jc w:val="both"/>
        <w:rPr>
          <w:rFonts w:ascii="Times New Roman" w:eastAsia="Times New Roman" w:hAnsi="Times New Roman"/>
          <w:b/>
          <w:i/>
          <w:kern w:val="36"/>
          <w:sz w:val="28"/>
          <w:szCs w:val="28"/>
          <w:lang w:eastAsia="ru-RU"/>
        </w:rPr>
      </w:pPr>
    </w:p>
    <w:p w:rsidR="00B83E8D" w:rsidRPr="00467B95" w:rsidRDefault="00B83E8D" w:rsidP="005A3DF4">
      <w:pPr>
        <w:widowControl w:val="0"/>
        <w:spacing w:after="0" w:line="240" w:lineRule="auto"/>
        <w:ind w:firstLine="709"/>
        <w:jc w:val="both"/>
        <w:rPr>
          <w:rFonts w:ascii="Times New Roman" w:hAnsi="Times New Roman"/>
          <w:sz w:val="28"/>
          <w:szCs w:val="28"/>
        </w:rPr>
      </w:pPr>
      <w:r w:rsidRPr="00BB233B">
        <w:rPr>
          <w:rFonts w:ascii="Times New Roman" w:eastAsia="Times New Roman" w:hAnsi="Times New Roman"/>
          <w:i/>
          <w:kern w:val="36"/>
          <w:sz w:val="28"/>
          <w:szCs w:val="28"/>
          <w:lang w:eastAsia="ru-RU"/>
        </w:rPr>
        <w:t>Ключевые слова и словосочетания</w:t>
      </w:r>
      <w:r w:rsidRPr="00467B95">
        <w:rPr>
          <w:rFonts w:ascii="Times New Roman" w:eastAsia="Times New Roman" w:hAnsi="Times New Roman"/>
          <w:i/>
          <w:kern w:val="36"/>
          <w:sz w:val="28"/>
          <w:szCs w:val="28"/>
          <w:lang w:eastAsia="ru-RU"/>
        </w:rPr>
        <w:t xml:space="preserve">: Возникновения юридического лица, регистрация юридического лица, гражданское право, уголовное право, фирмы-однодневки, </w:t>
      </w:r>
      <w:r w:rsidRPr="00467B95">
        <w:rPr>
          <w:rFonts w:ascii="Times New Roman" w:hAnsi="Times New Roman"/>
          <w:i/>
          <w:sz w:val="28"/>
          <w:szCs w:val="28"/>
        </w:rPr>
        <w:t>образование юридического лица, подложные документы, подставные лица.</w:t>
      </w:r>
      <w:r w:rsidRPr="00467B95">
        <w:rPr>
          <w:rFonts w:ascii="Times New Roman" w:hAnsi="Times New Roman"/>
          <w:sz w:val="28"/>
          <w:szCs w:val="28"/>
        </w:rPr>
        <w:t xml:space="preserve"> </w:t>
      </w:r>
    </w:p>
    <w:p w:rsidR="00B83E8D" w:rsidRPr="00467B95" w:rsidRDefault="00B83E8D" w:rsidP="005A3DF4">
      <w:pPr>
        <w:widowControl w:val="0"/>
        <w:spacing w:after="0" w:line="240" w:lineRule="auto"/>
        <w:ind w:firstLine="709"/>
        <w:jc w:val="both"/>
        <w:rPr>
          <w:rFonts w:ascii="Times New Roman" w:hAnsi="Times New Roman"/>
          <w:sz w:val="28"/>
          <w:szCs w:val="28"/>
        </w:rPr>
      </w:pP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Прежде всего, для регистрации юридического лица, гражданин, который совершает подачу документов в уполномоченный орган, должен обладать гражданской правосубъектностью. А главной особенностью возникновения правоспособности и дееспособности является дата регистрации юридического лица.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Именно на этом этапе возникают большинство проблем с регистрацией. Банальная проблема, это неполно собранный пакет документов или же неправильно составленный. С помощью анализа практики были выявлены более серьёзные проблемы, которые могут возникнуть в момент регистрации юридического лица:</w:t>
      </w:r>
    </w:p>
    <w:p w:rsidR="00B83E8D" w:rsidRPr="00467B95" w:rsidRDefault="00B83E8D" w:rsidP="005A3DF4">
      <w:pPr>
        <w:widowControl w:val="0"/>
        <w:numPr>
          <w:ilvl w:val="0"/>
          <w:numId w:val="10"/>
        </w:numPr>
        <w:spacing w:after="0" w:line="240" w:lineRule="auto"/>
        <w:ind w:left="0" w:firstLine="709"/>
        <w:jc w:val="both"/>
        <w:rPr>
          <w:rFonts w:ascii="Times New Roman" w:hAnsi="Times New Roman"/>
          <w:color w:val="000000"/>
          <w:sz w:val="28"/>
          <w:szCs w:val="28"/>
        </w:rPr>
      </w:pPr>
      <w:r w:rsidRPr="00467B95">
        <w:rPr>
          <w:rFonts w:ascii="Times New Roman" w:hAnsi="Times New Roman"/>
          <w:color w:val="000000"/>
          <w:sz w:val="28"/>
          <w:szCs w:val="28"/>
        </w:rPr>
        <w:t>использование недостоверных сведений о деятельности организации;</w:t>
      </w:r>
    </w:p>
    <w:p w:rsidR="00B83E8D" w:rsidRPr="00467B95" w:rsidRDefault="00B83E8D" w:rsidP="005A3DF4">
      <w:pPr>
        <w:widowControl w:val="0"/>
        <w:numPr>
          <w:ilvl w:val="0"/>
          <w:numId w:val="10"/>
        </w:numPr>
        <w:spacing w:after="0" w:line="240" w:lineRule="auto"/>
        <w:ind w:left="0" w:firstLine="709"/>
        <w:jc w:val="both"/>
        <w:rPr>
          <w:rFonts w:ascii="Times New Roman" w:hAnsi="Times New Roman"/>
          <w:color w:val="000000"/>
          <w:sz w:val="28"/>
          <w:szCs w:val="28"/>
        </w:rPr>
      </w:pPr>
      <w:r w:rsidRPr="00467B95">
        <w:rPr>
          <w:rFonts w:ascii="Times New Roman" w:hAnsi="Times New Roman"/>
          <w:color w:val="000000"/>
          <w:sz w:val="28"/>
          <w:szCs w:val="28"/>
        </w:rPr>
        <w:t>использование недостоверных сведений об адресе;</w:t>
      </w:r>
    </w:p>
    <w:p w:rsidR="00B83E8D" w:rsidRPr="00467B95" w:rsidRDefault="00B83E8D" w:rsidP="005A3DF4">
      <w:pPr>
        <w:widowControl w:val="0"/>
        <w:numPr>
          <w:ilvl w:val="0"/>
          <w:numId w:val="10"/>
        </w:numPr>
        <w:spacing w:after="0" w:line="240" w:lineRule="auto"/>
        <w:ind w:left="0" w:firstLine="709"/>
        <w:jc w:val="both"/>
        <w:rPr>
          <w:rFonts w:ascii="Times New Roman" w:hAnsi="Times New Roman"/>
          <w:color w:val="000000"/>
          <w:sz w:val="28"/>
          <w:szCs w:val="28"/>
        </w:rPr>
      </w:pPr>
      <w:r w:rsidRPr="00467B95">
        <w:rPr>
          <w:rFonts w:ascii="Times New Roman" w:hAnsi="Times New Roman"/>
          <w:color w:val="000000"/>
          <w:sz w:val="28"/>
          <w:szCs w:val="28"/>
        </w:rPr>
        <w:t>использование адресов «массовой регистрации».</w:t>
      </w:r>
    </w:p>
    <w:p w:rsidR="00B83E8D" w:rsidRPr="00467B95" w:rsidRDefault="00B83E8D"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Все это может стать причиной отказа в регистрации юридического лица.</w:t>
      </w:r>
    </w:p>
    <w:p w:rsidR="00B83E8D" w:rsidRPr="00467B95" w:rsidRDefault="00B83E8D"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Данные проблемы дают большую нагрузку на работу органов в лице ФНС. Ведь доскональная проверка каждого зарегистрированного лица занимает определенное количество времени</w:t>
      </w:r>
    </w:p>
    <w:p w:rsidR="00B83E8D" w:rsidRPr="00467B95" w:rsidRDefault="00B83E8D"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Одним из путей решения «детских болезней» ввести пошлину на повторную подачу документов для регистрации юридического лица, если в случае второй подачи документов будут выявлены те пункты, которые были перечислены выше. Это поможет разгрузить государственные органы, т.к. у граждан будет стимул в очередной раз проверить в соответствии с заданной формой документы. Как показывает практика, материальное ограничение имеет действенный способ.</w:t>
      </w:r>
    </w:p>
    <w:p w:rsidR="00B83E8D" w:rsidRPr="00467B95" w:rsidRDefault="00B83E8D"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lang w:eastAsia="ru-RU"/>
        </w:rPr>
        <w:t xml:space="preserve">На основе приведенного отчета статистики Федеральной налоговой </w:t>
      </w:r>
      <w:r w:rsidRPr="00467B95">
        <w:rPr>
          <w:rFonts w:ascii="Times New Roman" w:hAnsi="Times New Roman"/>
          <w:color w:val="000000"/>
          <w:sz w:val="28"/>
          <w:szCs w:val="28"/>
          <w:lang w:eastAsia="ru-RU"/>
        </w:rPr>
        <w:lastRenderedPageBreak/>
        <w:t xml:space="preserve">службы за 2017 год, </w:t>
      </w:r>
      <w:r w:rsidRPr="00467B95">
        <w:rPr>
          <w:rFonts w:ascii="Times New Roman" w:hAnsi="Times New Roman"/>
          <w:color w:val="000000"/>
          <w:sz w:val="28"/>
          <w:szCs w:val="28"/>
          <w:shd w:val="clear" w:color="auto" w:fill="FFFFFF"/>
        </w:rPr>
        <w:t>в ЕГРЮЛ было обнаружено 285 тысяч компаний, которые имели признак «массового руководителя». Более 28 тысяч компаний предоставили недостоверные сведения о руководителе организации. Еще 160 тысяч компаний имеют признак «массовый учредитель», около 13 тысяч таких компаний предоставило недостоверные сведения о своих учредителях. А по признаку «адреса массовой регистрации» было обнаружено в реестре более 530 тысяч организаций. Стоит полагать, что каждый год, цифры выявленных фиктивных организаций не особо изменяются [1].</w:t>
      </w:r>
    </w:p>
    <w:p w:rsidR="00B83E8D" w:rsidRPr="00467B95" w:rsidRDefault="00B83E8D"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Внесение в реестр ложных сведений о юридическом лице носит, безусловно, пагубный характер. На основании статистики Генеральной прокуратуры Российской федерации, за период от 2017 года по 2019 год было зарегистрировано более 261 тысячи преступлений в сфере экономической деятельности. Из них, более 47 тысяч преступлений были совершенны с января по апрель 2019 года [2].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силу ст. 8 Конституции РФ [3] в нашем государстве установлена свобода экономической деятельности. Однако, несмотря на  все принимаемые государством меры по улучшению, развитию, совершенствовании экономики и ее механизмов проблема преступлений в данной сфере не исчезает и всегда остается актуальной,  в том числе весьма остро стоит проблема  фиктивных юридических лиц.</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90-е годы появилось понятие «фирма-однодневка», с тех пор эта проблема актуальна и по сей день. Борьба с ними ведется во всех экономических сферах, в том числе предусмотрена уголовная ответственность за создание фирмы-однодневки. </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Ответственность за незаконное образование юридического лица установлена в ст.173.1 УК РФ [4], которая была введена Федеральным законом от 7 декабря 2011 г. № 419-ФЗ [5].</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В связи с таким нововведением возникли опасения в том, что у правоохранительных органов появился достаточно мощный рычаг воздействия на бизнес. Формулировки статей весьма размыты и неконкретны, и с учетом популярности среди российского бизнеса «номинальных» схем под новую статью попадает очень широкий круг лиц.</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Раньше в УК РФ существовала ст. 173, устанавливающая ответственность за лжепредпринимательство [6]. В 2010 году эта статья была исключена из Уголовного кодекса, и вместо нее в конце 2011 года были приняты поправки в виде статей 173.1 и 173.2 УК РФ. В СМИ указанные нововведения получили название «закон о фирмах-однодневках». </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В настоящее время данные статьи действуют в редакции Федерального закона от 30 марта 2015 г. № 67-ФЗ [7], существенно повышающей их правоприменительный потенциал.</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Появление фирм-однодневок связано с принятием Федерального Закона 1994 г. «О предприятиях и предпринимательской деятельности», а окончательно обосновались они на российской деловой арене в начале девяностых годов. В то время, когда бизнес был «амнистирован» и </w:t>
      </w:r>
      <w:r w:rsidRPr="00467B95">
        <w:rPr>
          <w:rFonts w:ascii="Times New Roman" w:hAnsi="Times New Roman"/>
          <w:sz w:val="28"/>
          <w:szCs w:val="28"/>
          <w:lang w:eastAsia="ru-RU"/>
        </w:rPr>
        <w:lastRenderedPageBreak/>
        <w:t>легализован [7, c. 221].</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Встраивание фирм-однодневок в цепочку хозяйственных связей может преследовать цели совершения других преступлений в сфере экономической деятельности (напр., уклонения от уплаты налогов, мошенничества, незаконного получения кредитов и пр.). Подобные «фирмы» не обладают хозяйственной самостоятельностью, будучи созданы без намерения вести предпринимательскую деятельность. В качестве их учредителей (участников) и/или органов управления часто выступают подставные лица, в то время как реальные руководители, оставаясь неизвестными для государственных органов, могут использовать эти фирмы в незаконных целях.</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В настоящее время само по себе создание такого юридического лица либо использование документов в указанных целях запрещено и уголовно наказуемо согласно статьям 173.1 и 173.2 УК РФ (независимо от целей, в которых такое лицо могло быть создано).</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Статья 173.1 УК РФ в качестве преступления признает образование (создание, реорганизацию) юридического лица через подставных лиц, а также представление в орган, осуществляющий государственную регистрацию юридических лиц и индивидуальных предпринимателей, данных, повлекшее внесение в единый государственный реестр юридических лиц сведений о подставных лицах. </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Давая уголовно-правовую оценку, подчеркнем: основным объектом преступления, предусмотренного ст. 173.1 УК РФ, является установленная законом экономическая, в том числе предпринимательская деятельность, а факультативным объектом выступают интересы службы в компании и интересы потребителей.</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Объективная сторона рассматриваемого преступного деяния выражается в образовании (создании, реорганизации) юридического лица с использование услуг подставных лиц, а также посредством предоставления в регистрирующий орган документы, в результате чего в ЕГРЮЛ были внесены данные о подставных лиц.</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Как мы уже ранее писали, что преступление, предусмотренное ст. 173.1 УК РФ, представляет общественную опасность отношениям в сфере предпринимательской деятельности и посягает на интересы законного предпринимательства.</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Понятие подставных лиц приведено в примечании к ст. 173.1 УК РФ, к ним относится:</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лица, выступающие в качестве учредителя, участника юридического лица, или являющиеся органами управления;</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данные о них были внесены в ЕГРЮЛ в результате заблуждения этих лиц или если они заведомо предоставили информацию о себе;</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лица, которые являются органами управления юридического лица, у которых отсутствует цель управления юридическим лицом.</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Таким образом, необходимо учитывать, что само по себе создание юридического лица (первичная регистрация, реорганизация) с </w:t>
      </w:r>
      <w:r w:rsidRPr="00467B95">
        <w:rPr>
          <w:rFonts w:ascii="Times New Roman" w:hAnsi="Times New Roman"/>
          <w:sz w:val="28"/>
          <w:szCs w:val="28"/>
          <w:lang w:eastAsia="ru-RU"/>
        </w:rPr>
        <w:lastRenderedPageBreak/>
        <w:t>использованием подставных лиц является уголовно наказуемым деянием, независимо от цели такого создания.</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Что касается подставных лиц, то необходимо отметить, что под данную категорию попадают, прежде всего, номинальные директора, т.е. лица, которые формально находятся в ЕГРЮЛ в качестве директоров, получающие некоторое вознаграждение (либо без него), но реальные функции управления юридическим лицом не осуществляющие.</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Аналогично касается и учредителей юридического лица, без ведома которых или же путем введения в заблуждение было зарегистрировано юридическое лицо.</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То есть сам факт использования в регистрации юридического лица, включая смену учредителей, руководителей в данном юридическом лице, с использованием номинальных директоров, либо подставных учредителей, является основанием для привлечения к уголовной ответственности.</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Субъективная сторона данного преступления характеризуется наличием прямого умысла в действиях лица. При этом умысел должен быть у всех лиц, причастных к государственной регистрации юридического лица с использованием подставных лиц, либо фальсификации сведений в ЕГРЮЛ (касательно п. «б» ч. 2 ст. 173.1 УК РФ).</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Субъектом преступления является лицо, использующее подставных лиц для создания или реорганизации юридического лица. Понятие подставного лица раскрывается в примечании к статье.</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Субъектом преступления по ст. 173.1. УК РФ является вменяемой физическое лицо, достигшее возраста 16 лет.</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Преступление признается оконченным с момента внесения регистрирующим органом соответствующей записи в государственный реестр юридических лиц.</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К квалифицирующим признакам данного состава относится совершение деяния: а) лицом с использованием своего служебного положения; б) группой лиц по предварительному сговору.</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Санкция ст. 173.1 УК РФ предусматривает следующие виды наказаний:</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штраф;</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-принудительные работы;</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лишение свободы;</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обязательные работы.</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Чаще всего суды применяют наказание в виде лишения свободы, штраф и  обязательные работы назначаются достаточно редко.</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Нормы ст. 173.2 УК РФ предусматривают ответственность за совершение таких деяний как:</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1. Предоставление документа, удостоверяющего личность, или выдача доверенности, если эти действия совершены для внесения в единый государственный реестр юридических лиц сведений о подставном лице [4];</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2. Приобретение документа, удостоверяющего личность, или использование персональных данных, полученных незаконным путем, если </w:t>
      </w:r>
      <w:r w:rsidRPr="00467B95">
        <w:rPr>
          <w:rFonts w:ascii="Times New Roman" w:hAnsi="Times New Roman"/>
          <w:sz w:val="28"/>
          <w:szCs w:val="28"/>
          <w:lang w:eastAsia="ru-RU"/>
        </w:rPr>
        <w:lastRenderedPageBreak/>
        <w:t>эти деяния совершены для внесения в единый государственный реестр юридических лиц сведений о подставном лице [4].</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Говоря о данном преступлении, нужно отметить, что в уголовно-правовой литературе некоторые ученые усмотрели в ст. 173.2 УК РФ признаки приготовления к незаконному образованию (созданию, реорганизации) юридического лица (ст. 173 1 УК РФ). </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Так, Л.Д. Ермакова писала, что  «…по существу это создание условий для совершения преступления, предусмотренного ст. 173.1 УК РФ, в результате усилий разных лиц: одни приискивают средства совершения преступления, т.е. совершают приготовительные действия (см. ч. 1 ст. 30 УК), другие содействуют его совершению путем предоставления этих средств (см. ч. 5 ст. 33 УК)…» [9, с. 411].</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Однако с данным утверждением сложно согласиться. Суть в том, что состав преступления по ст. 173.1 УК РФ  имеет место быть только в тех случаях, когда использовались подставные лица. </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Следовательно, в качестве обязательного условия наступления ответственности по ст.173.1 УК РФ наличие заблуждение соответствующего лица, очевидно вызванное обманом или злоупотреблением доверия.</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Незаконное использование документов для образования (создания, реорганизации) юридического лица включает в себя использование обмана или злоупотребление доверием в целях получения документа, подтверждающего личность. А приобретение документа может включать в себя и такие действия как получение документа на возмездной, безвозмездной основе, документ, полученный посредством его нахождения или похищения (примечание к ст. 173.2 УК РФ) [10, c. 157]. </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Вместе с тем преступление, закрепленное в ч.1 ст. 173.2 УК РФ, вообще не предполагает возможности заблуждения лица. </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Соответственно введение в заблуждение лиц, обладающих необходимыми документами, не относится к обязательным условиям наступления ответственности по   ст. 173.2 УК РФ, а для того, чтобы наступила ответственность по ст. 173.1 УК РФ наличие указанного признака является обязательным.</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На основании всего изложенного мы можем сделать вывод о том, что деяние, установленное в ст. 173.2 УК РФ, может рассматривать как подготовка к совершению преступления по ст. 173.1 УК РФ только если имело место быть приобретение документов, подтверждающие личность, либо использование персональных данных посредством обмана или введения лица в заблуждение.</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Однако даже в такой ситуации незаконное использование документов для образования (создания, реорганизации) юридического лица нельзя расценивать  как приготовление к совершению преступления, закрепленного ст. 173.1 УК РФ. </w:t>
      </w:r>
    </w:p>
    <w:p w:rsidR="00B83E8D" w:rsidRPr="00467B95" w:rsidRDefault="00B83E8D" w:rsidP="005A3DF4">
      <w:pPr>
        <w:widowControl w:val="0"/>
        <w:spacing w:after="0" w:line="240" w:lineRule="auto"/>
        <w:ind w:firstLine="709"/>
        <w:jc w:val="both"/>
        <w:rPr>
          <w:rFonts w:ascii="Times New Roman" w:hAnsi="Times New Roman"/>
          <w:sz w:val="28"/>
          <w:szCs w:val="28"/>
          <w:highlight w:val="green"/>
          <w:lang w:eastAsia="ru-RU"/>
        </w:rPr>
      </w:pPr>
      <w:r w:rsidRPr="00467B95">
        <w:rPr>
          <w:rFonts w:ascii="Times New Roman" w:hAnsi="Times New Roman"/>
          <w:sz w:val="28"/>
          <w:szCs w:val="28"/>
          <w:lang w:eastAsia="ru-RU"/>
        </w:rPr>
        <w:t xml:space="preserve">При наличии условий, которые мы выше обозначили, содеянное лицом должно квалифицироваться по совокупности преступлений. Если же умысел </w:t>
      </w:r>
      <w:r w:rsidRPr="00467B95">
        <w:rPr>
          <w:rFonts w:ascii="Times New Roman" w:hAnsi="Times New Roman"/>
          <w:sz w:val="28"/>
          <w:szCs w:val="28"/>
          <w:lang w:eastAsia="ru-RU"/>
        </w:rPr>
        <w:lastRenderedPageBreak/>
        <w:t>на незаконное образование (создание, реорганизацию) юридического лица не был реализован лицом по обстоятельствам, не зависящие от него, то в таком случае содеянное образует лишь состав незаконного использования документов для образования (создания, реорганизации) юридического лица. В связи с чем, проблема применения нормы об ответственности по ст.173.1 УК РФ к незаконному использованию документов для образования (создания, реорганизации) юридического лица является неактуальной, так как нормы о покушении (ч.2  ст. 30 УК РФ) применяются только к преступлениям категории тяжких и особо тяжких, а рассматриваемые деяния к ним не относятся.</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В связи с чем, мы можем сделать вывод о самостоятельности норм ст.ст. 173.1 и 173.2 УК РФ по отношению к друг другу.</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Деяния, предусмотренные ч. 1 и 2 ст. 173.2 УК РФ, относятся к преступлениям небольшой тяжести (ч. 2 ст. 15 УК РФ).</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Срок давности привлечения к уголовной ответственности по статье 173.2 УК РФ составляет 2 года.</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Части 1 и 2 статьи 173.2 УК РФ предусматривают два самостоятельных состава преступления, которые ниже будут проанализированы отдельно. Объектом преступления в обоих случаях, как и в предыдущей статье, является установленный законом порядок регистрации юридических лиц.</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Предоставление паспорта или выдача доверенности (ч. 1 ст. 173.2 УК РФ)</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Состав преступления – формальный. Преступление следует считать оконченным с момента предоставления паспорта или вручения доверенности лицу, планирующему использовать данные документы для внесения в ЕГРЮЛ сведений о подставном лице. Если попытка передачи была предпринята, но лицо (адресат) по каким-либо причинам не смогло получить эти документы (например, если они передавались не напрямую, а через посредника или иным образом), то имеет место покушение на преступление.</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Объективную сторону составляют активные действия виновного по предоставлению другому лицу документа, удостоверяющего личность, или выдаче другому лицу доверенности (для их последующего использования другим лицом для внесения в ЕГРЮЛ сведений о подставном лице). Сам факт создания (государственной регистрации) такого юридического лица, а равно его использования для совершения преступлений, на наличие состава преступления по части 1 статьи 173.2 УК РФ не влияет.</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Предоставление документов может осуществляться как непосредственно, так и через третьих лиц, которые могут быть как осведомлены, так и не осведомлены о цели такого предоставления. В случае осведомленности таких посредников о целях предоставления документов, их действия могут быть квалифицированы как соучастие.</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Передача документа возможна на различных стадиях – при подготовке учредительных документов будущего юридического лица, при предоставлении документа нотариусу для удостоверения подписи на </w:t>
      </w:r>
      <w:r w:rsidRPr="00467B95">
        <w:rPr>
          <w:rFonts w:ascii="Times New Roman" w:hAnsi="Times New Roman"/>
          <w:sz w:val="28"/>
          <w:szCs w:val="28"/>
          <w:lang w:eastAsia="ru-RU"/>
        </w:rPr>
        <w:lastRenderedPageBreak/>
        <w:t>заявлении о государственной регистрации, при предъявлении документа в регистрирующем органе.</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Субъектом преступления  является  физическое лицо 16-летнего возраста, которое предоставило документ, подтверждающий личность, либо выдавшее доверенность. В случае, когда доверенность предоставляется от имени юридического лица, к ответственности привлекается лицо, которое выдало эту доверенность в силу своих полномочий.</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Субъективная сторона преступления характеризуется прямым умыслом: лицо, предоставляющее паспорт или выдающее доверенность, должно осознавать, что данные документы будут использованы в целях внесения в ЕГРЮЛ сведений о подставном лице (причем, не обязательно для последующего совершения преступлений). То есть. цель, для которой создается юридическое лицо или вносятся изменения, в данном случае значения не имеет.</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Если лицо, представившее документ либо выдавшее доверенность, было введено в заблуждение относительно преступных целей по внесению в ЕГРЮЛ сведений о подставном лице, такое лицо не подлежит уголовной ответственности по части 1 статьи 173.2 УК РФ.</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Приобретение паспорта или использование персональных данных, полученных незаконным путем (часть 2 статьи 173.2 УК РФ)</w:t>
      </w:r>
    </w:p>
    <w:p w:rsidR="00B83E8D" w:rsidRPr="00467B95" w:rsidRDefault="00B83E8D" w:rsidP="005A3DF4">
      <w:pPr>
        <w:widowControl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Для целей данной части «приобретением» паспорта может являться его покупка, безвозмездное принятие, хищение, присвоение найденного или похищенного паспорта, завладение им путем обмана или злоупотребления доверием, то есть любые случаи, когда паспорт вышел из обладания своего владельца, как по доброй воле последнего, так и против его воли.</w:t>
      </w:r>
    </w:p>
    <w:p w:rsidR="00B83E8D" w:rsidRPr="00467B95" w:rsidRDefault="00B83E8D" w:rsidP="005A3DF4">
      <w:pPr>
        <w:pStyle w:val="ad"/>
        <w:suppressAutoHyphens w:val="0"/>
        <w:spacing w:line="240" w:lineRule="auto"/>
        <w:rPr>
          <w:szCs w:val="28"/>
        </w:rPr>
      </w:pPr>
      <w:r w:rsidRPr="00467B95">
        <w:rPr>
          <w:szCs w:val="28"/>
        </w:rPr>
        <w:t>Преступление по части 2 статьи 173.2 (если речь идет о приобретении паспорта) считается оконченным с момента завладения лицом чужим паспортом, независимо от факта его последующего использования (при наличии у данного лица цели внесения в ЕГРЮЛ сведений о подставном лице). Если паспорт похищен без указанной цели, такое хищение должно квалифицироваться по части 2 статьи 325 УК РФ.</w:t>
      </w:r>
    </w:p>
    <w:p w:rsidR="00B83E8D" w:rsidRPr="00467B95" w:rsidRDefault="00B83E8D" w:rsidP="005A3DF4">
      <w:pPr>
        <w:pStyle w:val="ad"/>
        <w:suppressAutoHyphens w:val="0"/>
        <w:spacing w:line="240" w:lineRule="auto"/>
        <w:rPr>
          <w:szCs w:val="28"/>
        </w:rPr>
      </w:pPr>
      <w:r w:rsidRPr="00467B95">
        <w:rPr>
          <w:szCs w:val="28"/>
        </w:rPr>
        <w:t>Санкция ст. 173.2 УК РФ предусматривает следующие виды наказаний:</w:t>
      </w:r>
    </w:p>
    <w:p w:rsidR="00B83E8D" w:rsidRPr="00467B95" w:rsidRDefault="00B83E8D" w:rsidP="005A3DF4">
      <w:pPr>
        <w:pStyle w:val="ad"/>
        <w:suppressAutoHyphens w:val="0"/>
        <w:spacing w:line="240" w:lineRule="auto"/>
        <w:rPr>
          <w:szCs w:val="28"/>
        </w:rPr>
      </w:pPr>
      <w:r w:rsidRPr="00467B95">
        <w:rPr>
          <w:szCs w:val="28"/>
        </w:rPr>
        <w:t>- штраф;</w:t>
      </w:r>
    </w:p>
    <w:p w:rsidR="00B83E8D" w:rsidRPr="00467B95" w:rsidRDefault="00B83E8D" w:rsidP="005A3DF4">
      <w:pPr>
        <w:pStyle w:val="ad"/>
        <w:suppressAutoHyphens w:val="0"/>
        <w:spacing w:line="240" w:lineRule="auto"/>
        <w:rPr>
          <w:szCs w:val="28"/>
        </w:rPr>
      </w:pPr>
      <w:r w:rsidRPr="00467B95">
        <w:rPr>
          <w:szCs w:val="28"/>
        </w:rPr>
        <w:t>-принудительные работы;</w:t>
      </w:r>
    </w:p>
    <w:p w:rsidR="00B83E8D" w:rsidRPr="00467B95" w:rsidRDefault="00B83E8D" w:rsidP="005A3DF4">
      <w:pPr>
        <w:pStyle w:val="ad"/>
        <w:suppressAutoHyphens w:val="0"/>
        <w:spacing w:line="240" w:lineRule="auto"/>
        <w:rPr>
          <w:szCs w:val="28"/>
        </w:rPr>
      </w:pPr>
      <w:r w:rsidRPr="00467B95">
        <w:rPr>
          <w:szCs w:val="28"/>
        </w:rPr>
        <w:t>- лишение свободы.</w:t>
      </w:r>
    </w:p>
    <w:p w:rsidR="00B83E8D" w:rsidRPr="00467B95" w:rsidRDefault="00B83E8D" w:rsidP="005A3DF4">
      <w:pPr>
        <w:pStyle w:val="ad"/>
        <w:suppressAutoHyphens w:val="0"/>
        <w:spacing w:line="240" w:lineRule="auto"/>
        <w:rPr>
          <w:szCs w:val="28"/>
        </w:rPr>
      </w:pPr>
      <w:r w:rsidRPr="00467B95">
        <w:rPr>
          <w:szCs w:val="28"/>
        </w:rPr>
        <w:t>При этом суды чаще всего назначают в виде обязательных работ.</w:t>
      </w:r>
    </w:p>
    <w:p w:rsidR="00B83E8D" w:rsidRPr="00467B95" w:rsidRDefault="00B83E8D" w:rsidP="005A3DF4">
      <w:pPr>
        <w:pStyle w:val="ad"/>
        <w:suppressAutoHyphens w:val="0"/>
        <w:spacing w:line="240" w:lineRule="auto"/>
        <w:rPr>
          <w:szCs w:val="28"/>
        </w:rPr>
      </w:pPr>
      <w:r w:rsidRPr="00467B95">
        <w:rPr>
          <w:szCs w:val="28"/>
        </w:rPr>
        <w:t>Таким образом, мы выяснили, что составы, закрепленные в ст.ст. 173.1 и 173.2 УК РФ разграничиваются по объективной стороне.</w:t>
      </w:r>
    </w:p>
    <w:p w:rsidR="00B83E8D" w:rsidRPr="00BB233B" w:rsidRDefault="00B83E8D" w:rsidP="005A3DF4">
      <w:pPr>
        <w:pStyle w:val="a7"/>
        <w:widowControl w:val="0"/>
        <w:spacing w:after="0" w:line="240" w:lineRule="auto"/>
        <w:ind w:left="1429"/>
        <w:jc w:val="both"/>
        <w:rPr>
          <w:rFonts w:ascii="Times New Roman" w:hAnsi="Times New Roman"/>
          <w:sz w:val="28"/>
          <w:szCs w:val="28"/>
        </w:rPr>
      </w:pPr>
      <w:r w:rsidRPr="00BB233B">
        <w:rPr>
          <w:rFonts w:ascii="Times New Roman" w:hAnsi="Times New Roman"/>
          <w:sz w:val="28"/>
          <w:szCs w:val="28"/>
        </w:rPr>
        <w:t>Список использованных источников</w:t>
      </w:r>
    </w:p>
    <w:p w:rsidR="00B83E8D" w:rsidRPr="00BB233B" w:rsidRDefault="00B83E8D" w:rsidP="005A3DF4">
      <w:pPr>
        <w:pStyle w:val="a7"/>
        <w:widowControl w:val="0"/>
        <w:numPr>
          <w:ilvl w:val="0"/>
          <w:numId w:val="9"/>
        </w:numPr>
        <w:spacing w:after="0" w:line="240" w:lineRule="auto"/>
        <w:ind w:left="0" w:firstLine="709"/>
        <w:contextualSpacing w:val="0"/>
        <w:jc w:val="both"/>
        <w:rPr>
          <w:rFonts w:ascii="Times New Roman" w:hAnsi="Times New Roman"/>
          <w:sz w:val="28"/>
          <w:szCs w:val="28"/>
        </w:rPr>
      </w:pPr>
      <w:r w:rsidRPr="00BB233B">
        <w:rPr>
          <w:rFonts w:ascii="Times New Roman" w:hAnsi="Times New Roman"/>
          <w:sz w:val="28"/>
          <w:szCs w:val="28"/>
        </w:rPr>
        <w:t>Деятельность ФНС России. [Электронный ресурс] // Федеральная Налоговая Служба РФ. – Режим доступа: https://www.nalog.ru/rn77/news/activities_fts/6979157/</w:t>
      </w:r>
    </w:p>
    <w:p w:rsidR="00B83E8D" w:rsidRPr="00467B95" w:rsidRDefault="00B83E8D" w:rsidP="005A3DF4">
      <w:pPr>
        <w:pStyle w:val="a7"/>
        <w:widowControl w:val="0"/>
        <w:numPr>
          <w:ilvl w:val="0"/>
          <w:numId w:val="9"/>
        </w:numPr>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t>Портал правовой статистики [Электронный ресурс] // Генеральная прокуратура РФ. – Режим доступа: http://crimestat.ru/offenses_chart</w:t>
      </w:r>
    </w:p>
    <w:p w:rsidR="00B83E8D" w:rsidRPr="00467B95" w:rsidRDefault="00B83E8D" w:rsidP="005A3DF4">
      <w:pPr>
        <w:pStyle w:val="a7"/>
        <w:widowControl w:val="0"/>
        <w:numPr>
          <w:ilvl w:val="0"/>
          <w:numId w:val="9"/>
        </w:numPr>
        <w:spacing w:after="0" w:line="240" w:lineRule="auto"/>
        <w:ind w:left="0" w:firstLine="709"/>
        <w:contextualSpacing w:val="0"/>
        <w:jc w:val="both"/>
        <w:rPr>
          <w:rFonts w:ascii="Times New Roman" w:hAnsi="Times New Roman" w:cs="Times New Roman"/>
          <w:sz w:val="28"/>
          <w:szCs w:val="28"/>
        </w:rPr>
      </w:pPr>
      <w:r w:rsidRPr="00467B95">
        <w:rPr>
          <w:rFonts w:ascii="Times New Roman" w:hAnsi="Times New Roman" w:cs="Times New Roman"/>
          <w:sz w:val="28"/>
          <w:szCs w:val="28"/>
        </w:rPr>
        <w:lastRenderedPageBreak/>
        <w:t>Конституция Российской Федерации: принята всенародным голосованием 12.12.1993 г. (с учетом поправок, внесенных Законами РФ о поправках к Конституции РФ от 30.12.2008 N 6-ФКЗ, от 30.12.2008 N 7-ФКЗ, от 05.02.2014 N 2-ФКЗ, от 21.07.2014 N 11-ФКЗ) // Собрание законодательства РФ. 2014. N 31. Ст. 4398</w:t>
      </w:r>
    </w:p>
    <w:p w:rsidR="00B83E8D" w:rsidRPr="00467B95" w:rsidRDefault="00B83E8D" w:rsidP="005A3DF4">
      <w:pPr>
        <w:pStyle w:val="a7"/>
        <w:widowControl w:val="0"/>
        <w:numPr>
          <w:ilvl w:val="0"/>
          <w:numId w:val="9"/>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Уголовный кодекс Российской Федерации: федеральный закон от 13.06.1996 N 63-ФЗ (ред. от 03.10.2018) [Электронный ресурс] // СПС «Консультант плюс». – Режим доступа: http://www.consultant.ru/cons/cgi/online.cgi?base=LAW&amp;n=296703&amp;dst=4294967295&amp;cacheid=877B632A0F9899D2E1B414264238B74D&amp;mode=rubr&amp;req=doc&amp;rnd=FA43C5894C1A77CDA7C23326E2C3487A#09820128013358681</w:t>
      </w:r>
    </w:p>
    <w:p w:rsidR="00B83E8D" w:rsidRPr="00467B95" w:rsidRDefault="00B83E8D" w:rsidP="005A3DF4">
      <w:pPr>
        <w:pStyle w:val="a7"/>
        <w:widowControl w:val="0"/>
        <w:numPr>
          <w:ilvl w:val="0"/>
          <w:numId w:val="9"/>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внесении изменений в Уголовный кодекс Российской Федерации и статью 151 Уголовно-процессуального кодекса Российской Федерации: федеральный закон от 07.12.2011 N 419-ФЗ [Электронный ресурс] // СПС «Консультант плюс». – Режим доступа: http://www.consultant.ru/cons/cgi/online.cgi?req=doc&amp;base=LAW&amp;n=122869&amp;fld=134&amp;dst=1000000001,0&amp;rnd=0.474311735282825#06777025682840668</w:t>
      </w:r>
    </w:p>
    <w:p w:rsidR="00B83E8D" w:rsidRPr="00467B95" w:rsidRDefault="00B83E8D" w:rsidP="005A3DF4">
      <w:pPr>
        <w:pStyle w:val="a7"/>
        <w:widowControl w:val="0"/>
        <w:numPr>
          <w:ilvl w:val="0"/>
          <w:numId w:val="9"/>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Ответственность за создание фирм-однодневок [Электронный ресурс] // Частный бухгалтер для вашего бизнеса. – Режим доступа: https://grbuh.msk.ru/stati/article_post/otvetstvennost-za-sozdaniye-firm-odnodnevok</w:t>
      </w:r>
    </w:p>
    <w:p w:rsidR="00B83E8D" w:rsidRPr="00467B95" w:rsidRDefault="00B83E8D" w:rsidP="005A3DF4">
      <w:pPr>
        <w:pStyle w:val="a7"/>
        <w:widowControl w:val="0"/>
        <w:numPr>
          <w:ilvl w:val="0"/>
          <w:numId w:val="9"/>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внесении изменений в отдельные законодательные акты Российской Федерации в части обеспечения достоверности сведений, представляемых при государственной регистрации юридических лиц и индивидуальных предпринимателей: федеральный закон от 30.03.2015 N 67-ФЗ (ред. от 29.06.2015)  [Электронный ресурс] // СПС «Консультант плюс». – Режим доступа: http://www.consultant.ru/cons/cgi/online.cgi?req=doc&amp;ts=49487243008050464311286375&amp;cacheid=2FE1733B27EDABC8B1A709F1874D4394&amp;mode=splus&amp;base=LAW&amp;n=182041&amp;rnd=5737F5AA35831812AB5D78463E2B9FF6#08825042418564478</w:t>
      </w:r>
    </w:p>
    <w:p w:rsidR="00B83E8D" w:rsidRPr="00467B95" w:rsidRDefault="00B83E8D" w:rsidP="005A3DF4">
      <w:pPr>
        <w:pStyle w:val="a7"/>
        <w:widowControl w:val="0"/>
        <w:numPr>
          <w:ilvl w:val="0"/>
          <w:numId w:val="9"/>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Благова Г.А. Фирмы-однодневки: понятие и меры борьбы с ними / Благова Г.А., Буркова Л.Н.  // В сборнике: Наука в современном информационном обществе Материалы IX международной научно-практической конференции. н.-и. ц. «Академический». - 2016. - С. 221-223</w:t>
      </w:r>
    </w:p>
    <w:p w:rsidR="00B83E8D" w:rsidRPr="00467B95" w:rsidRDefault="00B83E8D" w:rsidP="005A3DF4">
      <w:pPr>
        <w:pStyle w:val="a7"/>
        <w:widowControl w:val="0"/>
        <w:numPr>
          <w:ilvl w:val="0"/>
          <w:numId w:val="9"/>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Комментарий к Уголовному кодексу Российской Федерации / отв. ред. А.И. Рарог. - М.:Проспект, 2016. – 994 с.</w:t>
      </w:r>
    </w:p>
    <w:p w:rsidR="00B83E8D" w:rsidRPr="00467B95" w:rsidRDefault="00B83E8D" w:rsidP="005A3DF4">
      <w:pPr>
        <w:pStyle w:val="a7"/>
        <w:widowControl w:val="0"/>
        <w:numPr>
          <w:ilvl w:val="0"/>
          <w:numId w:val="9"/>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Петухов Е.В. Особенности квалификации незаконного использования документов для образования (создания, реорганизации) юридического лица / Е.В. Петухов // Общество и право. - 2014. - №4. - С. 156-158</w:t>
      </w:r>
    </w:p>
    <w:p w:rsidR="00B83E8D" w:rsidRPr="00467B95" w:rsidRDefault="00B83E8D" w:rsidP="005A3DF4">
      <w:pPr>
        <w:pStyle w:val="ad"/>
        <w:suppressAutoHyphens w:val="0"/>
        <w:spacing w:line="240" w:lineRule="auto"/>
        <w:rPr>
          <w:szCs w:val="28"/>
        </w:rPr>
      </w:pPr>
    </w:p>
    <w:p w:rsidR="00D601A8" w:rsidRDefault="00D601A8" w:rsidP="005A3DF4">
      <w:pPr>
        <w:widowControl w:val="0"/>
        <w:spacing w:after="0" w:line="240" w:lineRule="auto"/>
        <w:ind w:firstLine="709"/>
        <w:jc w:val="center"/>
        <w:rPr>
          <w:rFonts w:ascii="Times New Roman" w:hAnsi="Times New Roman"/>
          <w:b/>
          <w:sz w:val="28"/>
          <w:szCs w:val="28"/>
          <w:shd w:val="clear" w:color="auto" w:fill="FFFFFF"/>
        </w:rPr>
      </w:pPr>
    </w:p>
    <w:p w:rsidR="00D601A8" w:rsidRDefault="00D601A8" w:rsidP="005A3DF4">
      <w:pPr>
        <w:widowControl w:val="0"/>
        <w:spacing w:after="0" w:line="240" w:lineRule="auto"/>
        <w:ind w:firstLine="709"/>
        <w:jc w:val="center"/>
        <w:rPr>
          <w:rFonts w:ascii="Times New Roman" w:hAnsi="Times New Roman"/>
          <w:b/>
          <w:sz w:val="28"/>
          <w:szCs w:val="28"/>
          <w:shd w:val="clear" w:color="auto" w:fill="FFFFFF"/>
        </w:rPr>
      </w:pPr>
    </w:p>
    <w:p w:rsidR="00B83E8D" w:rsidRPr="00467B95" w:rsidRDefault="00B83E8D"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shd w:val="clear" w:color="auto" w:fill="FFFFFF"/>
        </w:rPr>
        <w:lastRenderedPageBreak/>
        <w:t>Анализ судебной практики по спорам, связанным с неисполнением лизингодателем обязанностей по договорам финансовой аренды (лизинга)</w:t>
      </w:r>
    </w:p>
    <w:p w:rsidR="00B83E8D" w:rsidRPr="00467B95" w:rsidRDefault="00B83E8D" w:rsidP="005A3DF4">
      <w:pPr>
        <w:widowControl w:val="0"/>
        <w:shd w:val="clear" w:color="auto" w:fill="FFFFFF"/>
        <w:spacing w:after="0" w:line="240" w:lineRule="auto"/>
        <w:ind w:firstLine="709"/>
        <w:contextualSpacing/>
        <w:rPr>
          <w:rFonts w:ascii="Times New Roman" w:eastAsia="Times New Roman" w:hAnsi="Times New Roman"/>
          <w:kern w:val="36"/>
          <w:sz w:val="28"/>
          <w:szCs w:val="28"/>
          <w:lang w:eastAsia="ru-RU"/>
        </w:rPr>
      </w:pP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Исаева Виктория Викторовна,</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бакалавр</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val="en-US" w:eastAsia="ru-RU"/>
        </w:rPr>
        <w:t>E</w:t>
      </w:r>
      <w:r w:rsidRPr="00467B95">
        <w:rPr>
          <w:rFonts w:ascii="Times New Roman" w:eastAsia="Times New Roman" w:hAnsi="Times New Roman"/>
          <w:kern w:val="36"/>
          <w:sz w:val="28"/>
          <w:szCs w:val="28"/>
          <w:lang w:eastAsia="ru-RU"/>
        </w:rPr>
        <w:t>-</w:t>
      </w:r>
      <w:r w:rsidRPr="00467B95">
        <w:rPr>
          <w:rFonts w:ascii="Times New Roman" w:eastAsia="Times New Roman" w:hAnsi="Times New Roman"/>
          <w:kern w:val="36"/>
          <w:sz w:val="28"/>
          <w:szCs w:val="28"/>
          <w:lang w:val="en-US" w:eastAsia="ru-RU"/>
        </w:rPr>
        <w:t>mail</w:t>
      </w:r>
      <w:r w:rsidRPr="00467B95">
        <w:rPr>
          <w:rFonts w:ascii="Times New Roman" w:eastAsia="Times New Roman" w:hAnsi="Times New Roman"/>
          <w:kern w:val="36"/>
          <w:sz w:val="28"/>
          <w:szCs w:val="28"/>
          <w:lang w:eastAsia="ru-RU"/>
        </w:rPr>
        <w:t>: 25259</w:t>
      </w:r>
      <w:r w:rsidRPr="00467B95">
        <w:rPr>
          <w:rFonts w:ascii="Times New Roman" w:eastAsia="Times New Roman" w:hAnsi="Times New Roman"/>
          <w:kern w:val="36"/>
          <w:sz w:val="28"/>
          <w:szCs w:val="28"/>
          <w:lang w:val="en-US" w:eastAsia="ru-RU"/>
        </w:rPr>
        <w:t>v</w:t>
      </w:r>
      <w:r w:rsidRPr="00467B95">
        <w:rPr>
          <w:rFonts w:ascii="Times New Roman" w:eastAsia="Times New Roman" w:hAnsi="Times New Roman"/>
          <w:kern w:val="36"/>
          <w:sz w:val="28"/>
          <w:szCs w:val="28"/>
          <w:lang w:eastAsia="ru-RU"/>
        </w:rPr>
        <w:t>@</w:t>
      </w:r>
      <w:r w:rsidRPr="00467B95">
        <w:rPr>
          <w:rFonts w:ascii="Times New Roman" w:eastAsia="Times New Roman" w:hAnsi="Times New Roman"/>
          <w:kern w:val="36"/>
          <w:sz w:val="28"/>
          <w:szCs w:val="28"/>
          <w:lang w:val="en-US" w:eastAsia="ru-RU"/>
        </w:rPr>
        <w:t>mail</w:t>
      </w:r>
      <w:r w:rsidRPr="00467B95">
        <w:rPr>
          <w:rFonts w:ascii="Times New Roman" w:eastAsia="Times New Roman" w:hAnsi="Times New Roman"/>
          <w:kern w:val="36"/>
          <w:sz w:val="28"/>
          <w:szCs w:val="28"/>
          <w:lang w:eastAsia="ru-RU"/>
        </w:rPr>
        <w:t>.</w:t>
      </w:r>
      <w:r w:rsidRPr="00467B95">
        <w:rPr>
          <w:rFonts w:ascii="Times New Roman" w:eastAsia="Times New Roman" w:hAnsi="Times New Roman"/>
          <w:kern w:val="36"/>
          <w:sz w:val="28"/>
          <w:szCs w:val="28"/>
          <w:lang w:val="en-US" w:eastAsia="ru-RU"/>
        </w:rPr>
        <w:t>ru</w:t>
      </w:r>
      <w:r w:rsidRPr="00467B95">
        <w:rPr>
          <w:rFonts w:ascii="Times New Roman" w:eastAsia="Times New Roman" w:hAnsi="Times New Roman"/>
          <w:kern w:val="36"/>
          <w:sz w:val="28"/>
          <w:szCs w:val="28"/>
          <w:lang w:eastAsia="ru-RU"/>
        </w:rPr>
        <w:t>; тел.: +79046236406</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ул. Гоголя, 41, г. Владивосток, Приморский край, Россия, 690014</w:t>
      </w:r>
    </w:p>
    <w:p w:rsidR="00B83E8D" w:rsidRPr="00467B95" w:rsidRDefault="00B83E8D" w:rsidP="005A3DF4">
      <w:pPr>
        <w:widowControl w:val="0"/>
        <w:shd w:val="clear" w:color="auto" w:fill="FFFFFF"/>
        <w:spacing w:after="0" w:line="240" w:lineRule="auto"/>
        <w:ind w:firstLine="709"/>
        <w:contextualSpacing/>
        <w:jc w:val="center"/>
        <w:rPr>
          <w:rFonts w:ascii="Times New Roman" w:hAnsi="Times New Roman"/>
          <w:sz w:val="28"/>
          <w:szCs w:val="28"/>
        </w:rPr>
      </w:pP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highlight w:val="yellow"/>
          <w:lang w:eastAsia="ru-RU"/>
        </w:rPr>
      </w:pPr>
      <w:r w:rsidRPr="00467B95">
        <w:rPr>
          <w:rFonts w:ascii="Times New Roman" w:hAnsi="Times New Roman"/>
          <w:i/>
          <w:sz w:val="28"/>
          <w:szCs w:val="28"/>
        </w:rPr>
        <w:t>В настоящее время, когда у многих предприятий наблюдается дефицит финансовых средств для осуществления и планомерного развития своей деятельности, а также отсутствует возможность привлечения больших объемов заемного капитала – финансовая аренда (лизинг) является наиболее эффективной формой развития предпринимательства.</w:t>
      </w: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eastAsia="ru-RU"/>
        </w:rPr>
      </w:pP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BD279C">
        <w:rPr>
          <w:rFonts w:ascii="Times New Roman" w:eastAsia="Times New Roman" w:hAnsi="Times New Roman"/>
          <w:i/>
          <w:kern w:val="36"/>
          <w:sz w:val="28"/>
          <w:szCs w:val="28"/>
          <w:lang w:eastAsia="ru-RU"/>
        </w:rPr>
        <w:t>Ключевые слова и словосочетания: лизинг</w:t>
      </w:r>
      <w:r w:rsidRPr="00467B95">
        <w:rPr>
          <w:rFonts w:ascii="Times New Roman" w:eastAsia="Times New Roman" w:hAnsi="Times New Roman"/>
          <w:i/>
          <w:kern w:val="36"/>
          <w:sz w:val="28"/>
          <w:szCs w:val="28"/>
          <w:lang w:eastAsia="ru-RU"/>
        </w:rPr>
        <w:t>, договор финансовой аренды (лизинга), обязательства, ответственность, лизингодатель, лизингополучатель.</w:t>
      </w: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Analysis of judicial practice on disputes connected with the failure of the lessor obligations under contracts of financial rent (leasing)</w:t>
      </w: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At present, when many enterprises have a shortage of financial resources for the implementation and systematic development of their activities, and there is no possibility of attracting large amounts of borrowed capital – financial rent (leasing) is the most effective form of business development.</w:t>
      </w: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B83E8D" w:rsidRPr="00467B95" w:rsidRDefault="00B83E8D"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BD279C">
        <w:rPr>
          <w:rFonts w:ascii="Times New Roman" w:eastAsia="Times New Roman" w:hAnsi="Times New Roman"/>
          <w:i/>
          <w:kern w:val="36"/>
          <w:sz w:val="28"/>
          <w:szCs w:val="28"/>
          <w:lang w:val="en-US" w:eastAsia="ru-RU"/>
        </w:rPr>
        <w:t>Keywords and phrases: leasing</w:t>
      </w:r>
      <w:r w:rsidRPr="00467B95">
        <w:rPr>
          <w:rFonts w:ascii="Times New Roman" w:eastAsia="Times New Roman" w:hAnsi="Times New Roman"/>
          <w:i/>
          <w:kern w:val="36"/>
          <w:sz w:val="28"/>
          <w:szCs w:val="28"/>
          <w:lang w:val="en-US" w:eastAsia="ru-RU"/>
        </w:rPr>
        <w:t>, financial rent (leasing), obligations, responsibility, lessor, lessee.</w:t>
      </w:r>
    </w:p>
    <w:p w:rsidR="00B83E8D" w:rsidRPr="00467B95" w:rsidRDefault="00B83E8D" w:rsidP="005A3DF4">
      <w:pPr>
        <w:pStyle w:val="4"/>
        <w:keepNext w:val="0"/>
        <w:widowControl w:val="0"/>
        <w:spacing w:before="0" w:after="0"/>
        <w:ind w:firstLine="709"/>
        <w:rPr>
          <w:b w:val="0"/>
          <w:lang w:val="en-US"/>
        </w:rPr>
      </w:pPr>
    </w:p>
    <w:p w:rsidR="00B83E8D" w:rsidRPr="00467B95" w:rsidRDefault="00B83E8D" w:rsidP="005A3DF4">
      <w:pPr>
        <w:pStyle w:val="4"/>
        <w:keepNext w:val="0"/>
        <w:widowControl w:val="0"/>
        <w:spacing w:before="0" w:after="0"/>
        <w:ind w:firstLine="709"/>
        <w:rPr>
          <w:b w:val="0"/>
        </w:rPr>
      </w:pPr>
      <w:r w:rsidRPr="00467B95">
        <w:rPr>
          <w:b w:val="0"/>
        </w:rPr>
        <w:t>Актуальность данной темы обусловлена тем, что увеличение количества заключаемых договоров финансовой аренды (лизинга) повлекло за собой и увеличение числа споров, возникающих между участниками лизинговых правоотношений, и, как следствие, формирование судебной практики Арбитражных судов, связанной, в том числе, с неисполнением лизингодателем обязанностей по договорам финансовой аренды (лизинга).</w:t>
      </w:r>
    </w:p>
    <w:p w:rsidR="00B83E8D" w:rsidRPr="00467B95" w:rsidRDefault="00B83E8D" w:rsidP="005A3DF4">
      <w:pPr>
        <w:widowControl w:val="0"/>
        <w:spacing w:after="0" w:line="240" w:lineRule="auto"/>
        <w:ind w:firstLine="709"/>
        <w:jc w:val="both"/>
        <w:rPr>
          <w:rFonts w:ascii="Times New Roman" w:eastAsia="Times New Roman" w:hAnsi="Times New Roman"/>
          <w:bCs/>
          <w:sz w:val="28"/>
          <w:szCs w:val="28"/>
        </w:rPr>
      </w:pPr>
      <w:r w:rsidRPr="00467B95">
        <w:rPr>
          <w:rFonts w:ascii="Times New Roman" w:eastAsia="Times New Roman" w:hAnsi="Times New Roman"/>
          <w:bCs/>
          <w:sz w:val="28"/>
          <w:szCs w:val="28"/>
        </w:rPr>
        <w:t xml:space="preserve">Важнейшим аспектом стабильности и прочности договорных отношений, а также успешной реализации договора лизинга служит выполнение сторонами обязанностей, предусмотренных указанным договором. Неисполнение или ненадлежащее выполнение договорных обязательств свидетельствует о нарушении сторонами условий договора финансовой аренды (лизинга). Указанные нарушения могут повлечь за собой </w:t>
      </w:r>
      <w:r w:rsidRPr="00467B95">
        <w:rPr>
          <w:rFonts w:ascii="Times New Roman" w:eastAsia="Times New Roman" w:hAnsi="Times New Roman"/>
          <w:bCs/>
          <w:sz w:val="28"/>
          <w:szCs w:val="28"/>
        </w:rPr>
        <w:lastRenderedPageBreak/>
        <w:t>причинение значительного ущерба стороне, надлежаще исполнявшей условия договора, или даже способствовать лишению того, на что могла рассчитывать сторона, заключая указанную сделку. В целях восстановления нарушенных прав, в том числе предотвращения новых нарушений установлена гражданско-правовая ответственность за неисполнение контрагентом обязанностей по гражданско-правовому договору.</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Наличие в арбитражной практике споров, связанных с нарушением лизингодателем обязанностей по договорам лизинга, обуславливает дальнейшее исследование и усовершенствование правового регулирования ответственности сторон данного договора, которое является основой стабильности участников лизингового рынка и упорядочивания экономических отношений в целом.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результате анализа судебной практики арбитражных судов Дальневосточного федерального округа по рассмотрению споров, связанных с неисполнением лизингодателем обязанностей по договорам финансовой аренды (лизинга) было выявлено 5 споров данной категории, предметом иска которых является взыскание лизингополучателем неосновательного обогащения. Основанием иска группы споров является факт возникновения неосновательного обогащения на стороне лизингодателя и факт неисполнения обязанности по возврату лизингополучателю неосновательно приобретенного или сбереженного имущества. Истцы в качестве доказательств нарушения ответчиком договорных обязанностей, а именно сбережения имущества за счет лизингополучателя,   предоставляют платежные поручения об уплате лизинговых платежей и сумм страхового возмещения, а в качестве доказательств невозврата сумм неосновательного обогащения предоставляют письма и претензии, направленные ответчику (лизингодателю) с целью урегулирования спора в досудебном порядке.</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В соответствии с пунктом 3.1 постановления Пленума Высшего Арбитражного Суда Российской Федерации от 14.03.2014 г. № 17 «Об отдельных вопросах, связанных с договором выкупного лизинга» (далее – Постановление № 17) расторжение договора выкупного лизинга, не должно влечь за собой получение лизингодателем таких благ, которые поставили бы его в лучшее имущественное положение, чем то, в котором он находился бы при выполнении лизингополучателем условий договора.  В связи с этим расторжение договора выкупного лизинга порождает необходимость соотнести взаимные предоставления сторон по договору, которые были совершены до момента его расторжения, и определить завершающую обязанность одной стороны в отношении другой [1]. Несмотря на данные положения, стоит обратить внимание на то, что правила, устанавливающие порядок расчета сальдо взаимных обязательств, которые предусмотрены Постановлением № 17, представляют лишь разъяснения высшей судебной инстанции, но не носят императивный характер, поскольку не являются нормами законодательства.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Кроме того, согласно правовой позиции, содержащейся в </w:t>
      </w:r>
      <w:r w:rsidRPr="00467B95">
        <w:rPr>
          <w:rFonts w:ascii="Times New Roman" w:eastAsia="Times New Roman" w:hAnsi="Times New Roman"/>
          <w:sz w:val="28"/>
          <w:szCs w:val="28"/>
        </w:rPr>
        <w:lastRenderedPageBreak/>
        <w:t>информационном письме Президиума ВАС РФ от 11.01.2000 № 49 "Обзор практики рассмотрения споров, связанных с применением норм о неосновательном обогащении", при расторжении договора сторона не лишена права истребовать ранее исполненное, если другая сторона неосновательно обогатилась [2]. Также стоит учесть, что бремя доказывания реальной возможности извлечения доходов от использования ответчиком (лизингодателем) неосновательно приобретенного имущества и размера такого дохода возложено на истца (лизингополучателя).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качестве иллюстрации послужит пример решения Арбитражного суда Приморского края от 16 апреля 2018 г. по делу № А51-13806/2017 [3]. Лизингополучатель обратился в суд с иском о взыскании сумы неосновательного обогащения и процентов за неправомерное пользование чужими денежными средствами. Истец ссылался на возникновение на стороне лизингодателя неосновательного обогащения, составляющее разницу между суммой закрытия сделки, и полученными ответчиком после гибели предмета лизинга средствами, которые должны идти в зачет исполнения обязательств истца по закрытию сделки, в том числе текущими лизинговыми платежами и суммой страхового возмещения. Разрешая спор, суд установил, что в связи с гибелью предмета лизинга, признание данного события страховым случаем, с учетом определенной судом суммы закрытия сделки, стороны должны заключить соглашение о расторжении договора, определив завершающие обязанности сторон. Судом также установлено, что на стороне ответчика возникло неосновательное обогащение в виде полученного сверх причитающейся суммы закрытия сделки страхового возмещения. Арбитражный суд на основе исследования всех доказательств, представленных в материалы дела, в соответствии с положениями о неосновательном обогащении решил удовлетворить требования лизингополучателя в полном объеме.</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Предметом доказывания данной категории дел является: факт приобретения или сбережения лизингодателем денежных средств за счет лизингополучателя, отсутствие установленных законом или договором оснований для приобретения этих средств и непосредственно размер неосновательного обогащения. Таким образом, о возникновении обязательств из неосновательного обогащения, в том числе приобретения или сбережения имущества можно говорить во всех случаях, когда действия одной из сторон приводят к противоправному результату – безосновательному возникновению имущественных выгод.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Еще одной распространенной категорией споров, связанных с неисполнением лизингодателем обязанностей по договорам финансовой аренды являются споры, о признании недействительными договора лизинга и  применение последствий недействительности сделки. В результате анализа было выявлено 2 спора данной категории. Основание иска о признании сделки недействительной образуют факт совершения сделки и факт ее недействительности. На основании пункта 2 статьи 166 ГК РФ требование о </w:t>
      </w:r>
      <w:r w:rsidRPr="00467B95">
        <w:rPr>
          <w:rFonts w:ascii="Times New Roman" w:eastAsia="Times New Roman" w:hAnsi="Times New Roman"/>
          <w:sz w:val="28"/>
          <w:szCs w:val="28"/>
        </w:rPr>
        <w:lastRenderedPageBreak/>
        <w:t>признании сделки недействительной может быть предъявлено стороной сделки или иным лицом, указанным в законе [4]. В исследованных спорах истцами были неправильно установлены основания иска и, как следствие, отказ суда в удовлетворении заявленных требований.</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С.М. Едомина под недействительностью понимает «отрицание правом тех юридических последствий, на которые была направлена сделка-волеизъявление» [5, с.20]. В силу пункта 8 постановления Пленума Верховного Суда Российской Федерации от 23.06.2015 № 25 «О применении судами некоторых положений раздела I части первой Гражданского кодекса Российской Федерации» сделка, совершенная в обход закона с противоправной целью, может быть признана недействительной [6].</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Признание сделки недействительной является универсальным способом защиты гражданских прав, осуществляемым исключительно в судебном порядке путем использования процессуальной исковой формы защиты права. Иски о признании сделки недействительной направлены на установление судом отсутствия определенного правоотношения между сторонами указанного выше договора. Такая сделка не является юридическим фактом и не влечет за собой юридические последствия, предусмотренные сторонами при ее заключении.</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Частной категорией споров, связанных с неисполнением лизингодателем обязанностей по договорам финансовой аренды (лизинга) являются споры, о признании права собственности на предмет выкупного лизинга, передаче истцу паспорта транспортного средства и акта передачи предмета лизинга в собственность. Основание иска группы споров составляет факт выплаты лизингополучателем всех лизинговых платежей, в том числе выкупной стоимости имущества и невыполнение обязанности по передаче лизингополучателю необходимых документов для оформления права собственности на предмет выкупного лизинга.</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Договором лизинга на основании пункта 1 статьи 19 Закона о лизинге может быть предусмотрен, переход в собственность лизингополучателя предмета лизинга по истечении срока договора лизинга или до его истечения [7]. Кроме того, в силу общих положений ГК РФ об аренде, а именно в соответствии с пунктом 1 статьи 624 после уплаты предусмотренной выкупной цены предмет лизинга переходит в собственность лизингополучателя [4].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Так, в решении Хабаровского края от 17 апреля 2018 г. по делу № А73-19260/2017 [8] общество обратилось в суд с иском о признании права собственности на транспортное средство, являющееся предметом лизинга и передачи документов для оформления права собственности. Заявленные требования истец мотивировал выплатой всех лизинговых платежей и выкупной стоимости имущества по договору финансовой аренды, и отказом лизингодателя предоставить акт приема-передачи предмета лизинга и паспорт транспортного средства, необходимые для надлежащего оформления права собственности. Арбитражный суд посчитал исковые требования </w:t>
      </w:r>
      <w:r w:rsidRPr="00467B95">
        <w:rPr>
          <w:rFonts w:ascii="Times New Roman" w:eastAsia="Times New Roman" w:hAnsi="Times New Roman"/>
          <w:sz w:val="28"/>
          <w:szCs w:val="28"/>
        </w:rPr>
        <w:lastRenderedPageBreak/>
        <w:t>подлежащими удовлетворению, исходил из того, что  лизингополучателем исполнена обязанность по выплате лизингополучателем всех платежей и выкупной стоимости предмета лизинга. В связи с чем, суд посчитал отказ лизингодателя в передаче права собственности на предмет лизинга неправомерным.</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Специальными нормами о лизинге ответственность за данный вид нарушения не предусмотрена. При этом надлежащее исполнение данной обязанности следует из необходимости обеспечения гарантий прав лизингополучателя при реализации договора выкупного лизинга.</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Путем исследования особенностей ответственности лизингодателя за нарушения договорных обязательств, был выделен наиболее редкий вид споров, а именно, споры о расторжении договора финансовой аренды (лизинга) и взыскании уплаченного аванса. Основание иска составляет факт заключения договора лизинга и факт существенных нарушений его условий, выразившихся в невыполнения обязанности ответчиком (лизингодателем) по приобретению и передаче предмета лизинга в срок, указанный в договоре. В обоснование неисполнения ответчиком условий соглашения, лизингополучатель предоставляет в суд письмо с просьбой сообщить об обстоятельствах отправки имущества и возможности его получения в определенную дату либо о причинах отсутствия у ответчика возможности отправить имущество в установленные сроки. Кроме того истец предоставляет претензию, направленную ответчику, с требованиями о возврате авансового платежа и предложении расторгнуть договор лизинга.</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hAnsi="Times New Roman"/>
          <w:sz w:val="28"/>
          <w:szCs w:val="28"/>
        </w:rPr>
        <w:t>Однако согласно пункту 4 статьи 15 Закона о лизинге по договору лизинга арендодатель обязуется приобрести в собственность указанное арендатором имущество у определенного им продавца и предоставить арендатору это имущество за плату во временное владение и пользование [7].</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Следует отметить, что ни специальные положения ГК РФ о финансовой аренде, ни положения Закона о лизинге, к сожалению, не содержат норм об ответственности лизингодателя за данный вид нарушений.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Представляется, что в случае нарушения лизингодателем обязанности по передаче имущества, лизингополучатель должен руководствоваться общими положениями ГК РФ об аренде. Так, в соответствии с частью 2 статьи 668 ГК РФ  арендатор вправе потребовать расторжения договора и возмещения убытков, в случае, когда имущество, являющееся предметом договора финансовой аренды, не передано арендатору в указанный в этом договоре срок [4]. Кроме того, данная норма содержит уточнение о том, что арендатор может воспользоваться данным правом только в случае, если просрочка допущена по обстоятельствам, за которые отвечает арендодатель.</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Для расторжения договора лизинга по решению суда необходимо наступление определенных обстоятельств, предусмотренных законом или договором. Более того, бремя доказывания указанных обстоятельств ложиться на заинтересованную в расторжении договора сторону, а именно на лизингополучателя в спорах, связанных с неисполнением лизингодателем </w:t>
      </w:r>
      <w:r w:rsidRPr="00467B95">
        <w:rPr>
          <w:rFonts w:ascii="Times New Roman" w:eastAsia="Times New Roman" w:hAnsi="Times New Roman"/>
          <w:sz w:val="28"/>
          <w:szCs w:val="28"/>
        </w:rPr>
        <w:lastRenderedPageBreak/>
        <w:t>обязанностей по договорам финансовой аренды (лизинга).</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Таким образом, по результатам анализа судебной практики было выявлено 9 споров, связанных с неисполнением лизингодателем обязанностей по договорам финансовой аренды (лизинга):</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- 5 споров о взыскании неосновательного обогащения, в 4 спорах судом удовлетворены заявленные требования и лишь в 1 отказано.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- 2 спора  о признании сделки недействительной,  применении последствий недействительности сделки. В обоих случаях суд не нашел законных оснований для удовлетворения заявленных требований истца.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- 1 спор о признании права собственности на предмет выкупного лизинга, передаче паспорта транспортного средства и акта передачи предмета выкупного лизинга в собственность. Суд удовлетворил заявленные требования.</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- 1 спор о расторжении договора финансовой аренды (лизинга) и взыскании уплаченного аванса.  Суд удовлетворил заявленные требования.</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Сравнительно – правовой анализ свидетельствует о том, что в большинстве случаев по спорам, связанным с нарушением обязательств лизингодателем, Арбитражные суды удовлетворяют иски и признают требования лизингополучателя законными и обоснованными.</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Рассмотрев все аспекты ненадлежащего исполнения договора лизинга по материалам арбитражной практики Дальневосточного федерального округа, были выявлены следующие причины, порождающие споры:</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споры о взыскании неосновательного обогащения возникают по причине того, что стороны не могут урегулировать спор в досудебном порядке, а именно не могут соотнести взаимные предоставления по договору лизинга, совершенные до момента его расторжения, и определить завершающую обязанность одной стороны в отношении другой. Для уменьшения количества судебных дел данной категории, целесообразно сторонам при заключении договора финансовой аренды (лизинга) более детально прописывать условия и порядок взаиморасчетов при досрочном прекращении указанного договора.</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в спорах о признании сделки недействительной,  применении последствий недействительности сделки при возбуждении производства по делу истцами (лизингополучателями) был выбран ненадлежащий способ защиты гражданских прав.</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спор о признании права собственности на предмет выкупного лизинга и передаче документов возникают по причине того, что стороны не предусмотрели в договоре очередность исполнения обязанностей. Представляется, что для урегулирования данного вопроса, в случае, когда договором предусмотрено, что оплата страховой премии при страховании предмета лизинга осуществляется лизингополучателем, целесообразно предусмотреть пункт в договоре, согласно которому передача необходимых документов для надлежащего оформления права собственности  будет происходить после компенсации расходов по уплате страховой премии.</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lastRenderedPageBreak/>
        <w:t>- в споре о расторжении договора финансовой аренды (лизинга) и взыскании уплаченного аванса главной причиной, несоблюдения лизингодателем сроков передачи имущества и не поставка имущества, является нарушение договорной дисциплины со стороны лизингодателя. Для уменьшения количества споров данной категории целесообразно в договоре предусмотреть пункт, согласно которому, в случае непоставки предмета лизинга в срок, лизингодатель будет вынужден платить пени за каждый день прострочки, кроме того необходимо установить размер (ставку) пени.</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 xml:space="preserve">Вопрос об ответственности сторон по договору финансовой аренды (лизинга) не получил всестороннего освещения в нормах ГК РФ, регламентирующих лизинговые отношения. Более того, не решил данную проблему обеспечения детального регулирования ответственности и Федеральный закон от 29.10.1998 г. № 164-ФЗ «О финансовой аренде (лизинге)». В указанных нормативно-правовых актах, отсутствуют какие - либо правила, которые регулировали бы особенности ответственности сторон по договору финансовой аренды (лизинга) за нарушение его условий.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Таким образом, ключевой проблемой применения норм законодательства о финансовой аренде (лизинге), арбитражными судами в ходе привлечения сторон договора к ответственности за неисполнение договорных обязанностей, является  отсутствие четкого законодательного регулирования ответственности сторон данного договора, которое выражается в нехватке специальных норм. Арбитражные суды к отношениям, вытекающим из договора лизинга, вынуждены применять общие положения ГК об ответственности за нарушения обязательств. Результативным решением данной проблемы, видится договорное регулирование всех условий соглашения, в том числе детальное регулирование положений об ответственности сторон условиями договора. Представляется, что только с помощью корректных условий договора об ответственности, сторонам удастся избежать  последующих споров, а в случае их возникновения восстановить нарушенные права и законные интересы.</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Несмотря на активное развитие лизинговой деятельности в России, его правовое регулирование не является совершенным и вызывает трудности в процессе правоприменения. Для уменьшения количества судебных дел по спорам, связанным с нарушениями сторон по договору лизинга, в первую очередь необходимо  усовершенствовать законодательство о финансовой аренде (лизинге), в частности,  найти объективное решение в аспекте наказания за невыполнение или ненадлежащее выполнение обязательств по указанному договору.</w:t>
      </w:r>
    </w:p>
    <w:p w:rsidR="00B83E8D" w:rsidRPr="00DE49DB" w:rsidRDefault="00B83E8D" w:rsidP="005A3DF4">
      <w:pPr>
        <w:widowControl w:val="0"/>
        <w:spacing w:after="0" w:line="240" w:lineRule="auto"/>
        <w:ind w:firstLine="709"/>
        <w:jc w:val="center"/>
        <w:rPr>
          <w:rFonts w:ascii="Times New Roman" w:hAnsi="Times New Roman"/>
          <w:sz w:val="28"/>
          <w:szCs w:val="28"/>
        </w:rPr>
      </w:pPr>
      <w:r>
        <w:rPr>
          <w:rFonts w:ascii="Times New Roman" w:hAnsi="Times New Roman"/>
          <w:sz w:val="28"/>
          <w:szCs w:val="28"/>
        </w:rPr>
        <w:t>Список использованных источников</w:t>
      </w:r>
    </w:p>
    <w:p w:rsidR="00B83E8D" w:rsidRPr="00467B95" w:rsidRDefault="00B83E8D"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Об отдельных вопросах, связанных с договором выкупного лизинга: постановление Президиума Высшего Арбитражного суда РФ от 14.03.2014 № 17 [Электронный ресурс] // СПС «КонсультантПлюс». – Режим доступа: http://www.consultant.ru/document/cons_doc_LAW_161313/</w:t>
      </w:r>
    </w:p>
    <w:p w:rsidR="00B83E8D" w:rsidRPr="00467B95" w:rsidRDefault="00B83E8D"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Обзор практики рассмотрения споров, связанных с применением норм </w:t>
      </w:r>
      <w:r w:rsidRPr="00467B95">
        <w:rPr>
          <w:rFonts w:ascii="Times New Roman" w:hAnsi="Times New Roman"/>
          <w:sz w:val="28"/>
          <w:szCs w:val="28"/>
        </w:rPr>
        <w:lastRenderedPageBreak/>
        <w:t>о неосновательном обогащении: информационное письмо Президиума Высшего Арбитражного суда РФ от 11.01.2000 № 49 [Электронный ресурс] // СПС «КонсультантПлюс». – Режим доступа: http://www.consultant.ru/document/cons_doc_LAW_25979/39347a24981b8d4975175f0b50c7103ecbc15d98/</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О взыскании неосновательного обогащения: решение Арбитражного суда Приморского края от 16 апреля 2018 по делу № А51-13806/2017  [Электронный ресурс] // Судебные и нормативные акты РФ. – Режим доступа: http://sudact.ru/arbitral/doc/DcUVPDztAH19</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Гражданский кодекс Российской Федерации. Часть первая, вторая, третья, четвертая: по сост. на 20 января 2019 г. – Новосибирск: Норматика, 2019.– 607 с.</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Едомина С.М. Правовые последствия признания гражданско – правовых сделок недействительными [Электронный ресурс] / С.М. Едомина // Интернет-журнал «Правовая реформа». – 2016. – № 2. – Режим доступа: https://elibrary.ru/item.asp?id=29035504</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О применении судами некоторых положений раздела I части первой Гражданского кодекса Российской Федерации: постановление Пленума Верховного Суда РФ от 23.06.2015 № 25 [Электронный ресурс] // СПС «КонсультантПлюс». – Режим доступа: http://www.consultant.ru/document/cons_doc_LAW_181602/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О финансовой аренде (лизинге): федеральный закон от 29.10.1998 № 164-ФЗ (ред. от 16.10.2017) [Электронный ресурс] // СПС «КонсультантПлюс». – Режим доступа:  http://www.consultant.ru/document/cons_doc_LAW_20780/</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8 О признании права собственности на предмет лизинга и передаче документов: решение Арбитражного суда Хабаровского края от 17.04.2018 по делу № А73-19260/2017 [Электронный ресурс] // Судебные и нормативные акты РФ. – Режим доступа: http://sudact.ru/arbitral/doc/yKoSKbBaivmY</w:t>
      </w:r>
    </w:p>
    <w:p w:rsidR="00B83E8D" w:rsidRPr="00467B95" w:rsidRDefault="00B83E8D" w:rsidP="005A3DF4">
      <w:pPr>
        <w:widowControl w:val="0"/>
        <w:spacing w:after="0" w:line="240" w:lineRule="auto"/>
        <w:ind w:firstLine="709"/>
        <w:jc w:val="both"/>
        <w:rPr>
          <w:rFonts w:ascii="Times New Roman" w:hAnsi="Times New Roman"/>
          <w:sz w:val="28"/>
          <w:szCs w:val="28"/>
        </w:rPr>
      </w:pPr>
    </w:p>
    <w:p w:rsidR="00B83E8D" w:rsidRPr="00467B95" w:rsidRDefault="00B83E8D" w:rsidP="005A3DF4">
      <w:pPr>
        <w:widowControl w:val="0"/>
        <w:spacing w:after="0" w:line="240" w:lineRule="auto"/>
        <w:ind w:firstLine="709"/>
        <w:jc w:val="center"/>
        <w:rPr>
          <w:rFonts w:ascii="Times New Roman" w:eastAsia="Times New Roman" w:hAnsi="Times New Roman"/>
          <w:b/>
          <w:sz w:val="28"/>
          <w:szCs w:val="28"/>
        </w:rPr>
      </w:pPr>
      <w:r w:rsidRPr="00467B95">
        <w:rPr>
          <w:rFonts w:ascii="Times New Roman" w:hAnsi="Times New Roman"/>
          <w:b/>
          <w:sz w:val="28"/>
          <w:szCs w:val="28"/>
        </w:rPr>
        <w:t>Права и обязанности родителей в отношении детей: лишение родительских прав</w:t>
      </w: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rPr>
      </w:pP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lang w:val="en-US"/>
        </w:rPr>
      </w:pPr>
      <w:r w:rsidRPr="00467B95">
        <w:rPr>
          <w:rFonts w:ascii="Times New Roman" w:eastAsia="Times New Roman" w:hAnsi="Times New Roman"/>
          <w:sz w:val="28"/>
          <w:szCs w:val="28"/>
          <w:lang w:val="en-US"/>
        </w:rPr>
        <w:t>Rights and obligations of parents in relation to children: deprivation of parental rights</w:t>
      </w:r>
    </w:p>
    <w:p w:rsidR="00B83E8D" w:rsidRPr="00467B95" w:rsidRDefault="00B83E8D" w:rsidP="005A3DF4">
      <w:pPr>
        <w:widowControl w:val="0"/>
        <w:spacing w:after="0" w:line="240" w:lineRule="auto"/>
        <w:ind w:firstLine="709"/>
        <w:jc w:val="center"/>
        <w:rPr>
          <w:rFonts w:ascii="Times New Roman" w:eastAsia="Times New Roman" w:hAnsi="Times New Roman"/>
          <w:color w:val="000000"/>
          <w:sz w:val="28"/>
          <w:szCs w:val="28"/>
          <w:lang w:val="en-US"/>
        </w:rPr>
      </w:pP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lang w:val="en-US"/>
        </w:rPr>
      </w:pPr>
      <w:r w:rsidRPr="00467B95">
        <w:rPr>
          <w:rFonts w:ascii="Times New Roman" w:eastAsia="Times New Roman" w:hAnsi="Times New Roman"/>
          <w:sz w:val="28"/>
          <w:szCs w:val="28"/>
        </w:rPr>
        <w:t>Капитулина</w:t>
      </w:r>
      <w:r w:rsidRPr="00467B95">
        <w:rPr>
          <w:rFonts w:ascii="Times New Roman" w:eastAsia="Times New Roman" w:hAnsi="Times New Roman"/>
          <w:sz w:val="28"/>
          <w:szCs w:val="28"/>
          <w:lang w:val="en-US"/>
        </w:rPr>
        <w:t xml:space="preserve"> </w:t>
      </w:r>
      <w:r w:rsidRPr="00467B95">
        <w:rPr>
          <w:rFonts w:ascii="Times New Roman" w:eastAsia="Times New Roman" w:hAnsi="Times New Roman"/>
          <w:sz w:val="28"/>
          <w:szCs w:val="28"/>
        </w:rPr>
        <w:t>Анастасия</w:t>
      </w:r>
      <w:r w:rsidRPr="00467B95">
        <w:rPr>
          <w:rFonts w:ascii="Times New Roman" w:eastAsia="Times New Roman" w:hAnsi="Times New Roman"/>
          <w:sz w:val="28"/>
          <w:szCs w:val="28"/>
          <w:lang w:val="en-US"/>
        </w:rPr>
        <w:t xml:space="preserve"> </w:t>
      </w:r>
      <w:r w:rsidRPr="00467B95">
        <w:rPr>
          <w:rFonts w:ascii="Times New Roman" w:eastAsia="Times New Roman" w:hAnsi="Times New Roman"/>
          <w:sz w:val="28"/>
          <w:szCs w:val="28"/>
        </w:rPr>
        <w:t>Вячеславовна</w:t>
      </w: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lang w:val="en-US"/>
        </w:rPr>
      </w:pP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lang w:val="en-US"/>
        </w:rPr>
      </w:pPr>
      <w:r w:rsidRPr="00467B95">
        <w:rPr>
          <w:rFonts w:ascii="Times New Roman" w:eastAsia="Times New Roman" w:hAnsi="Times New Roman"/>
          <w:sz w:val="28"/>
          <w:szCs w:val="28"/>
          <w:lang w:val="en-US"/>
        </w:rPr>
        <w:t>Kapitulina Anastasiya Vyacheslavovna</w:t>
      </w: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lang w:val="en-US"/>
        </w:rPr>
      </w:pP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lang w:val="en-US"/>
        </w:rPr>
      </w:pPr>
      <w:r w:rsidRPr="00467B95">
        <w:rPr>
          <w:rFonts w:ascii="Times New Roman" w:eastAsia="Times New Roman" w:hAnsi="Times New Roman"/>
          <w:sz w:val="28"/>
          <w:szCs w:val="28"/>
        </w:rPr>
        <w:t>Владивостокский государственный университет экономики и сервиса. Владивосток</w:t>
      </w:r>
      <w:r w:rsidRPr="00467B95">
        <w:rPr>
          <w:rFonts w:ascii="Times New Roman" w:eastAsia="Times New Roman" w:hAnsi="Times New Roman"/>
          <w:sz w:val="28"/>
          <w:szCs w:val="28"/>
          <w:lang w:val="en-US"/>
        </w:rPr>
        <w:t xml:space="preserve">. </w:t>
      </w:r>
      <w:r w:rsidRPr="00467B95">
        <w:rPr>
          <w:rFonts w:ascii="Times New Roman" w:eastAsia="Times New Roman" w:hAnsi="Times New Roman"/>
          <w:sz w:val="28"/>
          <w:szCs w:val="28"/>
        </w:rPr>
        <w:t>Россия</w:t>
      </w: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lang w:val="en-US"/>
        </w:rPr>
        <w:t xml:space="preserve">Vladivostok State University of Economics and Service. Vladivostok. </w:t>
      </w:r>
      <w:r w:rsidRPr="00467B95">
        <w:rPr>
          <w:rFonts w:ascii="Times New Roman" w:eastAsia="Times New Roman" w:hAnsi="Times New Roman"/>
          <w:sz w:val="28"/>
          <w:szCs w:val="28"/>
        </w:rPr>
        <w:t>Russia</w:t>
      </w: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rPr>
      </w:pP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rPr>
        <w:lastRenderedPageBreak/>
        <w:t>ул. Гоголя, 41, г. Владивосток, Приморский край, Россия, 690014</w:t>
      </w:r>
    </w:p>
    <w:p w:rsidR="00B83E8D" w:rsidRPr="00467B95" w:rsidRDefault="00B83E8D"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val="en-US" w:eastAsia="ru-RU"/>
        </w:rPr>
        <w:t>E</w:t>
      </w:r>
      <w:r w:rsidRPr="00467B95">
        <w:rPr>
          <w:rFonts w:ascii="Times New Roman" w:eastAsia="Times New Roman" w:hAnsi="Times New Roman"/>
          <w:kern w:val="36"/>
          <w:sz w:val="28"/>
          <w:szCs w:val="28"/>
          <w:lang w:eastAsia="ru-RU"/>
        </w:rPr>
        <w:t>-</w:t>
      </w:r>
      <w:r w:rsidRPr="00467B95">
        <w:rPr>
          <w:rFonts w:ascii="Times New Roman" w:eastAsia="Times New Roman" w:hAnsi="Times New Roman"/>
          <w:kern w:val="36"/>
          <w:sz w:val="28"/>
          <w:szCs w:val="28"/>
          <w:lang w:val="en-US" w:eastAsia="ru-RU"/>
        </w:rPr>
        <w:t>mail</w:t>
      </w:r>
      <w:r w:rsidRPr="00467B95">
        <w:rPr>
          <w:rFonts w:ascii="Times New Roman" w:eastAsia="Times New Roman" w:hAnsi="Times New Roman"/>
          <w:kern w:val="36"/>
          <w:sz w:val="28"/>
          <w:szCs w:val="28"/>
          <w:lang w:eastAsia="ru-RU"/>
        </w:rPr>
        <w:t xml:space="preserve">: </w:t>
      </w:r>
      <w:r w:rsidRPr="00467B95">
        <w:rPr>
          <w:rFonts w:ascii="Times New Roman" w:eastAsia="Times New Roman" w:hAnsi="Times New Roman"/>
          <w:kern w:val="36"/>
          <w:sz w:val="28"/>
          <w:szCs w:val="28"/>
          <w:lang w:val="en-US" w:eastAsia="ru-RU"/>
        </w:rPr>
        <w:t>anastasiya</w:t>
      </w:r>
      <w:r w:rsidRPr="00467B95">
        <w:rPr>
          <w:rFonts w:ascii="Times New Roman" w:eastAsia="Times New Roman" w:hAnsi="Times New Roman"/>
          <w:kern w:val="36"/>
          <w:sz w:val="28"/>
          <w:szCs w:val="28"/>
          <w:lang w:eastAsia="ru-RU"/>
        </w:rPr>
        <w:t>.</w:t>
      </w:r>
      <w:r w:rsidRPr="00467B95">
        <w:rPr>
          <w:rFonts w:ascii="Times New Roman" w:eastAsia="Times New Roman" w:hAnsi="Times New Roman"/>
          <w:kern w:val="36"/>
          <w:sz w:val="28"/>
          <w:szCs w:val="28"/>
          <w:lang w:val="en-US" w:eastAsia="ru-RU"/>
        </w:rPr>
        <w:t>kapitulina</w:t>
      </w:r>
      <w:r w:rsidRPr="00467B95">
        <w:rPr>
          <w:rFonts w:ascii="Times New Roman" w:eastAsia="Times New Roman" w:hAnsi="Times New Roman"/>
          <w:kern w:val="36"/>
          <w:sz w:val="28"/>
          <w:szCs w:val="28"/>
          <w:lang w:eastAsia="ru-RU"/>
        </w:rPr>
        <w:t>@</w:t>
      </w:r>
      <w:r w:rsidRPr="00467B95">
        <w:rPr>
          <w:rFonts w:ascii="Times New Roman" w:eastAsia="Times New Roman" w:hAnsi="Times New Roman"/>
          <w:kern w:val="36"/>
          <w:sz w:val="28"/>
          <w:szCs w:val="28"/>
          <w:lang w:val="en-US" w:eastAsia="ru-RU"/>
        </w:rPr>
        <w:t>bk</w:t>
      </w:r>
      <w:r w:rsidRPr="00467B95">
        <w:rPr>
          <w:rFonts w:ascii="Times New Roman" w:eastAsia="Times New Roman" w:hAnsi="Times New Roman"/>
          <w:kern w:val="36"/>
          <w:sz w:val="28"/>
          <w:szCs w:val="28"/>
          <w:lang w:eastAsia="ru-RU"/>
        </w:rPr>
        <w:t>.</w:t>
      </w:r>
      <w:r w:rsidRPr="00467B95">
        <w:rPr>
          <w:rFonts w:ascii="Times New Roman" w:eastAsia="Times New Roman" w:hAnsi="Times New Roman"/>
          <w:kern w:val="36"/>
          <w:sz w:val="28"/>
          <w:szCs w:val="28"/>
          <w:lang w:val="en-US" w:eastAsia="ru-RU"/>
        </w:rPr>
        <w:t>ru</w:t>
      </w:r>
      <w:r w:rsidRPr="00467B95">
        <w:rPr>
          <w:rFonts w:ascii="Times New Roman" w:eastAsia="Times New Roman" w:hAnsi="Times New Roman"/>
          <w:kern w:val="36"/>
          <w:sz w:val="28"/>
          <w:szCs w:val="28"/>
          <w:lang w:eastAsia="ru-RU"/>
        </w:rPr>
        <w:t>; тел.: +79143445235</w:t>
      </w:r>
    </w:p>
    <w:p w:rsidR="00B83E8D" w:rsidRPr="00467B95" w:rsidRDefault="00B83E8D" w:rsidP="005A3DF4">
      <w:pPr>
        <w:widowControl w:val="0"/>
        <w:spacing w:after="0" w:line="240" w:lineRule="auto"/>
        <w:ind w:firstLine="709"/>
        <w:jc w:val="center"/>
        <w:rPr>
          <w:rFonts w:ascii="Times New Roman" w:eastAsia="Times New Roman" w:hAnsi="Times New Roman"/>
          <w:sz w:val="28"/>
          <w:szCs w:val="28"/>
          <w:highlight w:val="cyan"/>
        </w:rPr>
      </w:pPr>
    </w:p>
    <w:p w:rsidR="00B83E8D" w:rsidRPr="00F91B34" w:rsidRDefault="00B83E8D" w:rsidP="005A3DF4">
      <w:pPr>
        <w:widowControl w:val="0"/>
        <w:spacing w:after="0" w:line="240" w:lineRule="auto"/>
        <w:ind w:firstLine="709"/>
        <w:jc w:val="both"/>
        <w:rPr>
          <w:rFonts w:ascii="Times New Roman" w:hAnsi="Times New Roman"/>
          <w:i/>
          <w:sz w:val="28"/>
          <w:szCs w:val="28"/>
        </w:rPr>
      </w:pPr>
      <w:r w:rsidRPr="00F91B34">
        <w:rPr>
          <w:rFonts w:ascii="Times New Roman" w:hAnsi="Times New Roman"/>
          <w:i/>
          <w:sz w:val="28"/>
          <w:szCs w:val="28"/>
        </w:rPr>
        <w:t>Предметом исследования являются такие процессы как лишение и ограничение родительских прав, права и обязанности родителей в отношении детей.</w:t>
      </w: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rPr>
      </w:pPr>
      <w:r w:rsidRPr="00F91B34">
        <w:rPr>
          <w:rFonts w:ascii="Times New Roman" w:eastAsia="Times New Roman" w:hAnsi="Times New Roman"/>
          <w:i/>
          <w:sz w:val="28"/>
          <w:szCs w:val="28"/>
        </w:rPr>
        <w:t xml:space="preserve">С целью получения наиболее достоверных научных результатов был использован ряд общенаучных (системно-структурный, формально-логический методы) и специальных юридических методов познания (сравнительно-правовой и формально-юридический методы). </w:t>
      </w: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rPr>
      </w:pPr>
      <w:r w:rsidRPr="00F91B34">
        <w:rPr>
          <w:rFonts w:ascii="Times New Roman" w:hAnsi="Times New Roman"/>
          <w:i/>
          <w:sz w:val="28"/>
          <w:szCs w:val="28"/>
        </w:rPr>
        <w:t xml:space="preserve">Актуальность рассматриваемой темы заключается в том что, несовершеннолетние дети являются одной из главных категорий населения, так как они уязвимы и чаще всего подвержены различного рода насилию. Судебная практика, показывает, что заметное место занимают дела связанные с применением семейного законодательства. Они включают в себя дела, одинаковые по своему характеру, которые затрагивают интересы детей, родителей и супругов. Сложность таких дела, состоит из правильной оценки ситуации, а так же содержанием норм семейного законодательства в деле. Как правило, не возникает сложности в рассмотрении таких дел как, о расторжении брака. А вот ограничение и лишение родительских прав, требуют от суда немедленного внимания, потому что речь идет о судьбе ребенка.За многие годы подходы к лишению и ограничению родительских прав не изменились, и остались на том же уровне. Здесь необходимо усилить меры направленные на защиту прав и интересов детей. А так же усилить ответственность родителей. </w:t>
      </w:r>
    </w:p>
    <w:p w:rsidR="00B83E8D" w:rsidRPr="00F91B34" w:rsidRDefault="00B83E8D" w:rsidP="005A3DF4">
      <w:pPr>
        <w:widowControl w:val="0"/>
        <w:spacing w:after="0" w:line="240" w:lineRule="auto"/>
        <w:ind w:firstLine="709"/>
        <w:jc w:val="both"/>
        <w:rPr>
          <w:rStyle w:val="fontstyle01"/>
          <w:rFonts w:ascii="Times New Roman" w:hAnsi="Times New Roman"/>
          <w:i/>
          <w:sz w:val="28"/>
          <w:szCs w:val="28"/>
        </w:rPr>
      </w:pP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rPr>
      </w:pPr>
      <w:r w:rsidRPr="00F91B34">
        <w:rPr>
          <w:rFonts w:ascii="Times New Roman" w:eastAsia="Times New Roman" w:hAnsi="Times New Roman"/>
          <w:i/>
          <w:sz w:val="28"/>
          <w:szCs w:val="28"/>
        </w:rPr>
        <w:t xml:space="preserve">Ключевые слова: </w:t>
      </w:r>
      <w:r w:rsidRPr="00F91B34">
        <w:rPr>
          <w:rFonts w:ascii="Times New Roman" w:hAnsi="Times New Roman"/>
          <w:i/>
          <w:color w:val="000000"/>
          <w:sz w:val="28"/>
          <w:szCs w:val="28"/>
        </w:rPr>
        <w:t>лишение родительских прав, ограничение родительских прав, гражданский брак, установление отцовства, содержание детей, законные представители, несовершеннолетние</w:t>
      </w: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highlight w:val="yellow"/>
        </w:rPr>
      </w:pP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lang w:val="en-US"/>
        </w:rPr>
      </w:pPr>
      <w:r w:rsidRPr="00F91B34">
        <w:rPr>
          <w:rFonts w:ascii="Times New Roman" w:eastAsia="Times New Roman" w:hAnsi="Times New Roman"/>
          <w:i/>
          <w:sz w:val="28"/>
          <w:szCs w:val="28"/>
          <w:lang w:val="en-US"/>
        </w:rPr>
        <w:t>The subject of the research is such processes as deprivation and restriction of parental rights, rights and obligations of parents towards children.</w:t>
      </w: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lang w:val="en-US"/>
        </w:rPr>
      </w:pPr>
      <w:r w:rsidRPr="00F91B34">
        <w:rPr>
          <w:rFonts w:ascii="Times New Roman" w:eastAsia="Times New Roman" w:hAnsi="Times New Roman"/>
          <w:i/>
          <w:sz w:val="28"/>
          <w:szCs w:val="28"/>
          <w:lang w:val="en-US"/>
        </w:rPr>
        <w:t>In order to obtain the most reliable scientific results, a number of general scientific (system-structural, formal-logical and hermeneutical methods) and special legal methods of cognition (comparative-legal and formal-legal methods) were used.</w:t>
      </w: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lang w:val="en-US"/>
        </w:rPr>
      </w:pPr>
      <w:r w:rsidRPr="00F91B34">
        <w:rPr>
          <w:rFonts w:ascii="Times New Roman" w:eastAsia="Times New Roman" w:hAnsi="Times New Roman"/>
          <w:i/>
          <w:sz w:val="28"/>
          <w:szCs w:val="28"/>
          <w:lang w:val="en-US"/>
        </w:rPr>
        <w:t xml:space="preserve">The relevance of the topic under consideration is that minor children are one of the main categories of the population, as they are vulnerable and most often subject to various kinds of violence. Judicial practice shows that a significant place is occupied by cases related to the application of family law. They include cases of the same nature that affect the interests of children, parents and spouses. The complexity of such cases consists of a correct assessment of the situation, as well as the content of the norms of family law in the case. As a rule, there is no difficulty in handling such cases as divorce. But the restriction and deprivation of parental </w:t>
      </w:r>
      <w:r w:rsidRPr="00F91B34">
        <w:rPr>
          <w:rFonts w:ascii="Times New Roman" w:eastAsia="Times New Roman" w:hAnsi="Times New Roman"/>
          <w:i/>
          <w:sz w:val="28"/>
          <w:szCs w:val="28"/>
          <w:lang w:val="en-US"/>
        </w:rPr>
        <w:lastRenderedPageBreak/>
        <w:t>rights require immediate attention from the court, because it is about the fate of the child. For many years, approaches to deprivation and restriction of parental rights have not changed, and remained at the same level. Here it is necessary to strengthen measures aimed at protecting the rights and interests of children. And also strengthen the responsibility of parents.</w:t>
      </w: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lang w:val="en-US"/>
        </w:rPr>
      </w:pPr>
    </w:p>
    <w:p w:rsidR="00B83E8D" w:rsidRPr="00F91B34" w:rsidRDefault="00B83E8D" w:rsidP="005A3DF4">
      <w:pPr>
        <w:widowControl w:val="0"/>
        <w:spacing w:after="0" w:line="240" w:lineRule="auto"/>
        <w:ind w:firstLine="709"/>
        <w:jc w:val="both"/>
        <w:rPr>
          <w:rFonts w:ascii="Times New Roman" w:eastAsia="Times New Roman" w:hAnsi="Times New Roman"/>
          <w:i/>
          <w:sz w:val="28"/>
          <w:szCs w:val="28"/>
          <w:lang w:val="en-US"/>
        </w:rPr>
      </w:pPr>
      <w:r w:rsidRPr="00F91B34">
        <w:rPr>
          <w:rFonts w:ascii="Times New Roman" w:eastAsia="Times New Roman" w:hAnsi="Times New Roman"/>
          <w:i/>
          <w:sz w:val="28"/>
          <w:szCs w:val="28"/>
          <w:lang w:val="en-US"/>
        </w:rPr>
        <w:t>Keywords: deprivation of parental rights, restriction of parental rights, civil marriage, establishing paternity, maintenance of children, legal representatives, minors</w:t>
      </w:r>
    </w:p>
    <w:p w:rsidR="00B83E8D" w:rsidRPr="00467B95" w:rsidRDefault="00B83E8D" w:rsidP="005A3DF4">
      <w:pPr>
        <w:widowControl w:val="0"/>
        <w:spacing w:after="0" w:line="240" w:lineRule="auto"/>
        <w:ind w:firstLine="709"/>
        <w:jc w:val="both"/>
        <w:rPr>
          <w:rFonts w:ascii="Times New Roman" w:hAnsi="Times New Roman"/>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Актуальность рассматриваемой темы заключается в том что, несовершеннолетние дети являются одной из главных категорий населения, так как они уязвимы и чаще всего подвержены различного рода насилию.</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Судебная практика, показывает, что заметное место занимают дела связанные с применением семейного законодательства. Они включают в себя дела, одинаковые по своему характеру, которые затрагивают интересы детей, родителей и супругов. Сложность таких дела, состоит из правильной оценки ситуации, а так же содержанием норм семейного законодательства в деле. Как правило, не возникает сложности в рассмотрении таких дел как, о расторжении брака. А вот ограничение и лишение родительских прав, требуют от суда немедленного внимания, потому что речь идет о судьбе ребенка.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Родительские обязанности регламентированы главой 12 Семейного Кодекса РФ[1], каждая из статей которой разъясняет </w:t>
      </w:r>
      <w:r w:rsidRPr="00467B95">
        <w:rPr>
          <w:rFonts w:ascii="Times New Roman" w:hAnsi="Times New Roman"/>
          <w:bCs/>
          <w:sz w:val="28"/>
          <w:szCs w:val="28"/>
        </w:rPr>
        <w:t>суть прав и обязанностей родителей разных категорий</w:t>
      </w:r>
      <w:r w:rsidRPr="00467B95">
        <w:rPr>
          <w:rFonts w:ascii="Times New Roman" w:hAnsi="Times New Roman"/>
          <w:sz w:val="28"/>
          <w:szCs w:val="28"/>
        </w:rPr>
        <w:t> – семейных пар, одиночек, несовершеннолетних, усыновителей и т.д. в разных жизненных обстоятельствах.</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 многие годы подходы к лишению и ограничению родительских прав не изменились, и остались на том же уровне. Здесь необходимо усилить меры направленные на защиту прав и интересов детей. А так же усилить ответственность родителей.</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Законодательно родители и их ребенок наделены определенными правами. Все они прописаны в действующем Семейном Кодексе Российской Федерации. Несовершеннолетние дети не имеют никаких обязанностей перед своими родителями в силу своего возраста. Они могут возникнуть уже по достижению совершеннолетия. Родители являются первоочередными лицами, которые осуществляют воспитание ребенка. Родительскими привилегиями обладают либо биологические мать и отец, либо усыновитель.</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Гипотеза исследования – несмотря на то, что семейные правоотношения регламентируются одновременно несколькими правовыми отраслями, законодателю сложно предусмотреть все  возможные сценарии их развития и возникающие в обыденной жизни ситуации. Нередко домашний уют скрывает за собой и негативные моменты.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Цель работы заключается в рассмотрении вопроса о процессе лишения и ограничения, родительских прав с изучением практики на примере </w:t>
      </w:r>
      <w:r w:rsidRPr="00467B95">
        <w:rPr>
          <w:rFonts w:ascii="Times New Roman" w:hAnsi="Times New Roman"/>
          <w:sz w:val="28"/>
          <w:szCs w:val="28"/>
        </w:rPr>
        <w:lastRenderedPageBreak/>
        <w:t>различных государств. Для достижения указанной цели необходимо решить ряд задач: родительских прав; изучить процесс отличия на примере нормативно – правовых основании лишения и ограничения, родительских прав; проанализировать основания и в том числе порядок лишения и ограничения родительских прав; рассмотреть порядок восстановления родительских прав; выявить основные проблемы правового регулирования института ограничения и лишения родительских прав в Российской Федерации.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Предметом исследования являются такие процессы как лишение и ограничение родительских прав, права и обязанности родителей в отношении детей.Рассмотрение многочисленных работ специалистов в данной области изучения вопроса таких как: Старосельцева М. М; Пчелинцева Л. М.;Ильина О. Ю; ШерстневаК. С.; Беспалов  Ю. Ф.; Михеева Л. Ю.; Смирновская С. И. и  другие. </w:t>
      </w:r>
    </w:p>
    <w:p w:rsidR="00B83E8D" w:rsidRPr="00467B95" w:rsidRDefault="00B83E8D" w:rsidP="005A3DF4">
      <w:pPr>
        <w:widowControl w:val="0"/>
        <w:spacing w:after="0" w:line="240" w:lineRule="auto"/>
        <w:ind w:firstLine="709"/>
        <w:jc w:val="both"/>
        <w:rPr>
          <w:rFonts w:ascii="Times New Roman" w:eastAsia="Times New Roman" w:hAnsi="Times New Roman"/>
          <w:sz w:val="28"/>
          <w:szCs w:val="28"/>
        </w:rPr>
      </w:pPr>
      <w:r w:rsidRPr="00467B95">
        <w:rPr>
          <w:rFonts w:ascii="Times New Roman" w:eastAsia="Times New Roman" w:hAnsi="Times New Roman"/>
          <w:sz w:val="28"/>
          <w:szCs w:val="28"/>
        </w:rPr>
        <w:t>Методология нашего исследования включает ряд общенаучных (системно-структурный, формально-логический) и специальных юридических методов познания (сравнительно-правовой и формально-юридический методы).</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Родительские обязанности регламентированы главой 12 Семейного Кодекса РФ[1], каждая из статей которой разъясняет </w:t>
      </w:r>
      <w:r w:rsidRPr="00467B95">
        <w:rPr>
          <w:rFonts w:ascii="Times New Roman" w:hAnsi="Times New Roman"/>
          <w:bCs/>
          <w:sz w:val="28"/>
          <w:szCs w:val="28"/>
        </w:rPr>
        <w:t>суть прав и обязанностей родителей разных категорий</w:t>
      </w:r>
      <w:r w:rsidRPr="00467B95">
        <w:rPr>
          <w:rFonts w:ascii="Times New Roman" w:hAnsi="Times New Roman"/>
          <w:sz w:val="28"/>
          <w:szCs w:val="28"/>
        </w:rPr>
        <w:t> – семейных пар, одиночек, несовершеннолетних, усыновителей и т.д. в разных жизненных обстоятельствах.</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Несовершеннолетние дети не имеют никаких обязанностей перед своими родителями в силу своего возраста. Они могут возникнуть уже по достижению совершеннолетия.Родные мать и отец должны защищать права и интересы ребенка. Если они пренебрегают этой обязанностью или злоупотребляют, то защиту прав несовершеннолетнего ребенка осуществляют соответствующие органы.</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Несмотря на то, что семейные правоотношения регламентируются одновременно несколькими правовыми отраслями, законодателю сложно предусмотреть все  возможные сценарии их развития и возникающие в обыденной жизни ситуации. Нередко домашний уют скрывает за собой и негативные моменты.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Сегодня правоотношения между родителями и детьми, а также вопросы ответственности в семье, предусмотрены в рамках: Семейного; Административного; Гражданского законодательства. Кроме того, отдельные аспекты правоотношений и взаимной ответственности уточняются нормами социального закона и отдельными правовыми актами, а ключевые принципы определены Конституцией Российской Федерации. Конституцией обозначается основная родительская обязанность по воспитанию своих детей и ответственность за получение ими образования. Среди международных норм, регламентирующей вопрос обязанностей родителей и детей,  является Конвенция о правах ребенка[2]. Главный, основополагающий российский закон – это Семейный кодекс [1]. Именно он определяет права и обязанности </w:t>
      </w:r>
      <w:r w:rsidRPr="00467B95">
        <w:rPr>
          <w:rFonts w:ascii="Times New Roman" w:hAnsi="Times New Roman"/>
          <w:sz w:val="28"/>
          <w:szCs w:val="28"/>
        </w:rPr>
        <w:lastRenderedPageBreak/>
        <w:t xml:space="preserve">родителей.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Реализация родительских обязанностей в отношении своих несовершеннолетних детей, всегда требует совершения волевых действий, в частности, при совершении действий, связанных с представительством. Помимо того, воспитание детей предполагает достаточную зрелость родителя. В контексте этого возникает немало проблем при реализации родительских прав со стороны недееспособных и несовершеннолетних родителей.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Далее хотелось бы рассмотреть международную практику в этой области.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Обязанности родителей по содержанию несовершеннолетних детей являются наиболее устоявшимся институтом семейного права любого современного государства. Более того, данный институт является настолько устоявшимся и естественным элементом семейных отношений, что мы обнаружим его на любой стадии развития общественных отношений, в том числе и существовавших в до государственную эпоху. В современном мире, достаточно много проблем в каждом государстве, связанных с правами и обязанностями родителей. Как было сказано выше, институт защиты детей не развивается, а стоит на месте, по крайней мере, в России. Рассмотрим далее на примере разных государств, обязанности родителей в отношении детей.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Обязанности родителей в отношении детей во Франции.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соответствии со ст. 371-1 Гражданского кодекса Франции «родительские права являются совокупностью правомочий и обязанностей, имеют конечной целью защиту интересов ребенка», однако возникающие споры, связанные с разногласиями по вопросам воспитания детей, рассматриваются судьей по семейным делам (ст. 373-2 Гражданского кодекса Франции)[7].</w:t>
      </w:r>
    </w:p>
    <w:p w:rsidR="00B83E8D" w:rsidRPr="00467B95" w:rsidRDefault="00B83E8D" w:rsidP="005A3DF4">
      <w:pPr>
        <w:widowControl w:val="0"/>
        <w:spacing w:after="0" w:line="240" w:lineRule="auto"/>
        <w:ind w:firstLine="709"/>
        <w:jc w:val="both"/>
        <w:rPr>
          <w:rFonts w:ascii="Times New Roman" w:hAnsi="Times New Roman"/>
          <w:color w:val="505050"/>
          <w:sz w:val="28"/>
          <w:szCs w:val="28"/>
        </w:rPr>
      </w:pPr>
      <w:r w:rsidRPr="00467B95">
        <w:rPr>
          <w:rFonts w:ascii="Times New Roman" w:hAnsi="Times New Roman"/>
          <w:sz w:val="28"/>
          <w:szCs w:val="28"/>
        </w:rPr>
        <w:t>Здесь мы наблюдаем схожесть Французского и Российскогозаконодательства. Как и в России, законодательство Франции не допускает отказа от родительских прав. Родительскими правами и обязанностями, родители наделяются сразу, как только решили обзавестись потомками. Во Франции согласно (ст. 376 Гражданского кодека Франции) «законодатель предоставляет возможность родителям обратиться к судье с просьбой о передаче, полной или частичной, своих полномочий по осуществлению родительских прав третьему лицу, члену семьи, близкому родственнику, достойному доверия, учреждению, уполномоченному принимать детей, или службе социальной помощи детям департамента»[7]</w:t>
      </w:r>
      <w:r w:rsidRPr="00467B95">
        <w:rPr>
          <w:rFonts w:ascii="Times New Roman" w:hAnsi="Times New Roman"/>
          <w:color w:val="505050"/>
          <w:sz w:val="28"/>
          <w:szCs w:val="28"/>
        </w:rPr>
        <w:t>.</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Проанализировав данную статью можно прийти к выводу, что во Франции закреплена всяческая помощь родителям, как юридическая, так и психологическая. Данная информация дает понять, о схожести и в то же время некоторых различиях Французского и Российского законодательства. В рассматриваемом государстве законодатель не спешит сразу лишать родителя, его родительских прав, а приостанавливает их, или же передает третьему лицу на определенный срок. Этот способ является довольно </w:t>
      </w:r>
      <w:r w:rsidRPr="00467B95">
        <w:rPr>
          <w:rFonts w:ascii="Times New Roman" w:hAnsi="Times New Roman"/>
          <w:sz w:val="28"/>
          <w:szCs w:val="28"/>
        </w:rPr>
        <w:lastRenderedPageBreak/>
        <w:t xml:space="preserve">эффективным, в защите прав и интересов ребенка, поскольку оставляет ребенка в  привычной для него сфере, это позволяет избежать психологической травмы для ребенка.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Обязанности родителей в отношении детей в Финляндии.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законодательстве Финляндии, очень остро стоит вопрос о обязанностях родителей.  В соответствии со ст. 2 Закона Финляндии « О защите детей» Родители обладают только правом опеки над ребенка, в то время как в России закреплены понятие «родительские права» и «законные представители» [8].</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Проанализировав данную статью Закона Финляндии «О защите детей» можно сделать вывод, что законодательство Финляндии четко показывает, что родители (законные представители) и опекуны имеют равные права и обязанности. В России это не так. В Финляндии запрещены физические наказание (здесь подразумеваются ругательства, крики, избиение и т.д.), это наказывается очень строго. Взять, к примеру, когда родители просто повысили голос на своего ребенка, за непослушание. Соседи услышали, вызвали службу защиты детей, и ребенка без объяснения просто забирают из семьи, до выяснения обстоятельств. Такая система защиты, с одной стороны очень эффективная, в защите прав ребенка, но и в то же время отрицательно складывается на воспитании детей. Дети попросту становятся разбалованными. В Финляндии, дети обладают большими обязанностями и правами, нежели их родители. В России иначе. Со стороны общества предлагается большой оббьем помощи и поддержки процессу воспитания детей. В рассматриваемом государстве очень хорошо развиты социальные службы, в которые можно обратиться в любой момент, и по любым вопросам. Если социальные службы Финляндии, изучив ситуацию в семье, наблюдают, что родителям необходима помощь в воспитании их детей, то такой семье назначается персональный социальный работник. Который разрабатывает план поддержки данной семьи, и закрепляется за ними на неопределенное время.  В законодательстве Финляндии, четко прописаны права и обязанности ребенка в любом возрасте (например, в 6 лет ребенок обязан получать дошкольное образование, но в порядке исключения имеет право пойти в школу) и так для каждого этапа развития ребенка. </w:t>
      </w:r>
    </w:p>
    <w:p w:rsidR="00B83E8D" w:rsidRPr="00F91B34"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Проанализировав </w:t>
      </w:r>
      <w:r w:rsidRPr="00F91B34">
        <w:rPr>
          <w:rFonts w:ascii="Times New Roman" w:hAnsi="Times New Roman"/>
          <w:sz w:val="28"/>
          <w:szCs w:val="28"/>
        </w:rPr>
        <w:t xml:space="preserve">вышесказанное, можно сделать вывод о том, что Россия и Финляндия в сфере прав и обязанностей детей и родителей кардинально отличаются. И Российское законодательство, более эффективно подходит к вопросу, о лишении и ограничении родительских прав. </w:t>
      </w:r>
    </w:p>
    <w:p w:rsidR="00B83E8D" w:rsidRPr="00F91B34" w:rsidRDefault="00B83E8D" w:rsidP="005A3DF4">
      <w:pPr>
        <w:widowControl w:val="0"/>
        <w:spacing w:after="0" w:line="240" w:lineRule="auto"/>
        <w:ind w:firstLine="709"/>
        <w:jc w:val="both"/>
        <w:rPr>
          <w:rFonts w:ascii="Times New Roman" w:hAnsi="Times New Roman"/>
          <w:sz w:val="28"/>
          <w:szCs w:val="28"/>
        </w:rPr>
      </w:pPr>
      <w:r w:rsidRPr="00F91B34">
        <w:rPr>
          <w:rFonts w:ascii="Times New Roman" w:hAnsi="Times New Roman"/>
          <w:sz w:val="28"/>
          <w:szCs w:val="28"/>
        </w:rPr>
        <w:t>Обязанности родителей в отношении детей в Италии.</w:t>
      </w:r>
    </w:p>
    <w:p w:rsidR="00B83E8D" w:rsidRPr="00F91B34" w:rsidRDefault="00B83E8D" w:rsidP="005A3DF4">
      <w:pPr>
        <w:widowControl w:val="0"/>
        <w:spacing w:after="0" w:line="240" w:lineRule="auto"/>
        <w:ind w:firstLine="709"/>
        <w:jc w:val="both"/>
        <w:rPr>
          <w:rFonts w:ascii="Times New Roman" w:hAnsi="Times New Roman"/>
          <w:sz w:val="28"/>
          <w:szCs w:val="28"/>
          <w:shd w:val="clear" w:color="auto" w:fill="FFFFFF"/>
        </w:rPr>
      </w:pPr>
      <w:r w:rsidRPr="00F91B34">
        <w:rPr>
          <w:rStyle w:val="ae"/>
          <w:rFonts w:ascii="Times New Roman" w:hAnsi="Times New Roman"/>
          <w:b w:val="0"/>
          <w:sz w:val="28"/>
          <w:szCs w:val="28"/>
          <w:shd w:val="clear" w:color="auto" w:fill="FFFFFF"/>
        </w:rPr>
        <w:t>В Конституции Итальянской республики в  ст. 30 говорится о  том, что «</w:t>
      </w:r>
      <w:r w:rsidRPr="00F91B34">
        <w:rPr>
          <w:rFonts w:ascii="Times New Roman" w:hAnsi="Times New Roman"/>
          <w:sz w:val="28"/>
          <w:szCs w:val="28"/>
          <w:shd w:val="clear" w:color="auto" w:fill="FFFFFF"/>
        </w:rPr>
        <w:t xml:space="preserve">Родители обязаны и вправе содержать, обучать и воспитывать детей, даже если они рождены вне брака. В случае недееспособности родителей, закон определяет способы исполнения их обязанностей. Закон обеспечивает детям, рожденным вне брака, всю защиту юридического и нравственного характера, совместимую с правами членов законной семьи. Закон устанавливает порядок </w:t>
      </w:r>
      <w:r w:rsidRPr="00F91B34">
        <w:rPr>
          <w:rFonts w:ascii="Times New Roman" w:hAnsi="Times New Roman"/>
          <w:sz w:val="28"/>
          <w:szCs w:val="28"/>
          <w:shd w:val="clear" w:color="auto" w:fill="FFFFFF"/>
        </w:rPr>
        <w:lastRenderedPageBreak/>
        <w:t>и пределы поиска отцовства»[9].</w:t>
      </w:r>
    </w:p>
    <w:p w:rsidR="00B83E8D" w:rsidRPr="00F91B34" w:rsidRDefault="00B83E8D" w:rsidP="005A3DF4">
      <w:pPr>
        <w:widowControl w:val="0"/>
        <w:spacing w:after="0" w:line="240" w:lineRule="auto"/>
        <w:ind w:firstLine="709"/>
        <w:jc w:val="both"/>
        <w:rPr>
          <w:rFonts w:ascii="Times New Roman" w:hAnsi="Times New Roman"/>
          <w:sz w:val="28"/>
          <w:szCs w:val="28"/>
          <w:shd w:val="clear" w:color="auto" w:fill="FFFFFF"/>
        </w:rPr>
      </w:pPr>
      <w:r w:rsidRPr="00F91B34">
        <w:rPr>
          <w:rFonts w:ascii="Times New Roman" w:hAnsi="Times New Roman"/>
          <w:sz w:val="28"/>
          <w:szCs w:val="28"/>
          <w:shd w:val="clear" w:color="auto" w:fill="FFFFFF"/>
        </w:rPr>
        <w:t xml:space="preserve">Положения данной статьи, дают понять, что дети, которые рождены вне брака обладают равными правами и обязанностями, как и дети, рожденные в браке. Это является эффективным способом защиты прав и интересов ребенка. В итальянском законодательстве, родители обязаны содержать, обучать и воспитывать своих детей, так же как и в любом другом государстве. </w:t>
      </w:r>
    </w:p>
    <w:p w:rsidR="00B83E8D" w:rsidRPr="00F91B34" w:rsidRDefault="00B83E8D" w:rsidP="005A3DF4">
      <w:pPr>
        <w:widowControl w:val="0"/>
        <w:spacing w:after="0" w:line="240" w:lineRule="auto"/>
        <w:ind w:firstLine="709"/>
        <w:jc w:val="both"/>
        <w:rPr>
          <w:rFonts w:ascii="Times New Roman" w:hAnsi="Times New Roman"/>
          <w:sz w:val="28"/>
          <w:szCs w:val="28"/>
          <w:shd w:val="clear" w:color="auto" w:fill="FFFFFF"/>
        </w:rPr>
      </w:pPr>
      <w:r w:rsidRPr="00F91B34">
        <w:rPr>
          <w:rStyle w:val="ae"/>
          <w:rFonts w:ascii="Times New Roman" w:hAnsi="Times New Roman"/>
          <w:b w:val="0"/>
          <w:color w:val="333333"/>
          <w:sz w:val="28"/>
          <w:szCs w:val="28"/>
          <w:shd w:val="clear" w:color="auto" w:fill="FFFFFF"/>
        </w:rPr>
        <w:t> </w:t>
      </w:r>
      <w:r w:rsidRPr="00F91B34">
        <w:rPr>
          <w:rStyle w:val="ae"/>
          <w:rFonts w:ascii="Times New Roman" w:hAnsi="Times New Roman"/>
          <w:b w:val="0"/>
          <w:sz w:val="28"/>
          <w:szCs w:val="28"/>
          <w:shd w:val="clear" w:color="auto" w:fill="FFFFFF"/>
        </w:rPr>
        <w:t>В статье 147 Гражданского Кодекса Италии, говорится об обязанностях родителей в отношении детей. Здесь «</w:t>
      </w:r>
      <w:r w:rsidRPr="00F91B34">
        <w:rPr>
          <w:rFonts w:ascii="Times New Roman" w:hAnsi="Times New Roman"/>
          <w:sz w:val="28"/>
          <w:szCs w:val="28"/>
          <w:shd w:val="clear" w:color="auto" w:fill="FFFFFF"/>
        </w:rPr>
        <w:t>Брак налагает на супругов обязанность содержать, обучать и воспитывать своих детей, с учетом их способностей, предрасположенности и стремлений»[10].</w:t>
      </w:r>
    </w:p>
    <w:p w:rsidR="00B83E8D" w:rsidRPr="00467B95" w:rsidRDefault="00B83E8D" w:rsidP="005A3DF4">
      <w:pPr>
        <w:widowControl w:val="0"/>
        <w:spacing w:after="0" w:line="240" w:lineRule="auto"/>
        <w:ind w:firstLine="709"/>
        <w:jc w:val="both"/>
        <w:rPr>
          <w:rFonts w:ascii="Times New Roman" w:hAnsi="Times New Roman"/>
          <w:sz w:val="28"/>
          <w:szCs w:val="28"/>
          <w:shd w:val="clear" w:color="auto" w:fill="FFFFFF"/>
        </w:rPr>
      </w:pPr>
      <w:r w:rsidRPr="00F91B34">
        <w:rPr>
          <w:rFonts w:ascii="Times New Roman" w:hAnsi="Times New Roman"/>
          <w:sz w:val="28"/>
          <w:szCs w:val="28"/>
          <w:shd w:val="clear" w:color="auto" w:fill="FFFFFF"/>
        </w:rPr>
        <w:t>Проанализировав данную статью, можно сделать</w:t>
      </w:r>
      <w:r w:rsidRPr="00467B95">
        <w:rPr>
          <w:rFonts w:ascii="Times New Roman" w:hAnsi="Times New Roman"/>
          <w:sz w:val="28"/>
          <w:szCs w:val="28"/>
          <w:shd w:val="clear" w:color="auto" w:fill="FFFFFF"/>
        </w:rPr>
        <w:t xml:space="preserve"> вывод, что законодательство Италии, накладывает обязанность по воспитанию детей на обоих родителей. Это означает, что родитель все вопросы по воспитанию своих детей, должны решать совместно. Здесь супруги обладают равенством, не только как супруги, но и как родители. Положение данной статьи, не говорит о том, что все решения по поводу воспитания детей должны происходить исключительно совместно, каждый родителей имеет право на свой вклад в воспитание ребенка. Это положение, схоже с Российским законодательством.</w:t>
      </w:r>
    </w:p>
    <w:p w:rsidR="00B83E8D" w:rsidRPr="00467B95" w:rsidRDefault="00B83E8D"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В статье 148 Гражданского кодекса Италии говорится об участии в расходах «Оба супруга обязаны выполнять обязанности, указанные в предыдущей статье, каждый в зависимости от своих средств и своих профессиональных или домашних возможностей. Когда у родителей нет средств, другие родственники, в порядке близости родства, обязаны предоставлять родителям необходимые средства, чтобы они могли выполнять свои обязанности по отношению к своим детям»[10].</w:t>
      </w:r>
    </w:p>
    <w:p w:rsidR="00B83E8D" w:rsidRPr="00467B95" w:rsidRDefault="00B83E8D"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 xml:space="preserve">Исходя из этой статьи, можно сделать вывод, о том, что бабушки и дедушки, а так же любые ближайшие родственники обязаны помочь в содержании детей, когда у законных представителей нет такой возможности. Здесь мы наблюдаем отличие от Российского законодательства. В России, суд не может обязать ближайших родственников в этом. Все обязанности по воспитанию детей, накладываются исключительно на родителей ребенка.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Обязанности родителей в отношении детей в Германии.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Законодательство Германии, очень строго подходит к правам ребенка. В германии понятие «семья» носит важный характер, под этим понятием подразумеваются отношения между родителями и детьми. Права и обязанности родителей в Германии, регламентируются Конституцией. Здесь законодательство накладывает на обоих родителей равные права и обязанности по содержанию своих детей. Но здесь хотелось бы отметить отличие Германского и Итальянского законодателя, о правах и обязанностях родителей внебрачных детей. В германии обязанности, в отношении таких детей, законодатель накладывает исключительно на мать.  В то время как в Италии, такими правами обладают оба родителя.  В германском законодательстве достаточно много законов, которые регламентируют права </w:t>
      </w:r>
      <w:r w:rsidRPr="00467B95">
        <w:rPr>
          <w:rFonts w:ascii="Times New Roman" w:hAnsi="Times New Roman"/>
          <w:sz w:val="28"/>
          <w:szCs w:val="28"/>
        </w:rPr>
        <w:lastRenderedPageBreak/>
        <w:t xml:space="preserve">и обязанности родителей, а так же защиту прав и интересов ребенка, например: Закон Германии «О детях и молодёжи», Закон Германии «Об охране матерей» и т.д. Немецкое законодательство, в первую очередь обязывает родителей в контроле свое ребенка. </w:t>
      </w:r>
    </w:p>
    <w:p w:rsidR="00B83E8D" w:rsidRPr="00467B95" w:rsidRDefault="00B83E8D"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В гл. 5. ст. 1626 Гражданского уложения германии говорится: «Отец и мать имеют право и обязаны заботиться о несовершеннолетнем ребенке (родительское попечение). Родительская забота охватывает заботу о личности ребенка (опека над ребенком) и об имуществе ребенка (распоряжение родителей имуществом ребенка).При уходе и воспитании родители учитывают растущую способность и растущую потребность ребенка к самостоятельным действиям с осознанием своей ответственности. Они обсуждают с ребенком, насколько это возможно в соответствии с уровнем его развития, вопросы родительского попечения и стремятся к достижению согласия»[11].</w:t>
      </w:r>
    </w:p>
    <w:p w:rsidR="00B83E8D" w:rsidRPr="00467B95" w:rsidRDefault="00B83E8D"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Проанализировав данную стать, можно сделать вывод о  том, что обязанности родителей в отношении детей, растут вместе с ребенком. Конечно чем младше ребенок, тем строже ответственность родителей. Здесь указывается на то, что родители обязаны, советоваться с ребенком, в силу его возраста, о том, что ему нравится и интересно, и любыми способами должны достигать идиллии со своими детьми. Немецкие родители, очень строго подходят к финансовому вопросу в воспитании своих детей. Изначально, планируя ребенка, родители рассматривают все возможные расходы, и только тогда когда они будут уверены, в том, что они смогут должным образом обеспечить своего ребенка, заводят его. Конечно, бывают разные ситуации, здесь законодательство германии говорит о том, что любая семья в германии находится под защитой государства. Об этом говорится в части 1 статьи 6 Конституции Германии [12].В поддержку данной статьи можно привести пример. Например, если ребенок германской семьи серьезно болен, то государство берет на себя все расходы по его лечению. Здесь хотелось бы отметить, что в России, существуют лишь фонды помощи сбора средств на лечение. Российское законодательство не берет на себя обязанность по расходам на лечение, больных деток. Это очень печальный факт.</w:t>
      </w:r>
    </w:p>
    <w:p w:rsidR="00B83E8D" w:rsidRPr="00467B95" w:rsidRDefault="00B83E8D"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xml:space="preserve">Таким образом, из вышесказанного, можно сделать вывод, что Германское законодательство, эффективно подходит к вопросу защиты прав и интересов ребенка, и семьи в целом, в сравнении с Россией. Вообще в принципе в Германии вопрос о зачатии ребенка, рассматривается немецкими семьями более ответственно, нежели российскими семьями.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Обязанности родителей в отношении детей в Англии.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Английском законодательстве существует Закон «О детях»(</w:t>
      </w:r>
      <w:r w:rsidRPr="00467B95">
        <w:rPr>
          <w:rFonts w:ascii="Times New Roman" w:hAnsi="Times New Roman"/>
          <w:sz w:val="28"/>
          <w:szCs w:val="28"/>
          <w:lang w:val="en-US"/>
        </w:rPr>
        <w:t>ChildrenAct</w:t>
      </w:r>
      <w:r w:rsidRPr="00467B95">
        <w:rPr>
          <w:rFonts w:ascii="Times New Roman" w:hAnsi="Times New Roman"/>
          <w:sz w:val="28"/>
          <w:szCs w:val="28"/>
        </w:rPr>
        <w:t xml:space="preserve"> 2004) , в котором четко прописаны все формы и методы воспитания ребенка, а так же родительские права и обязанности в отношении детей. Данный закон был создан с целью, помочь местным органам власти, в улучшении регулирования интересов детей.  </w:t>
      </w:r>
    </w:p>
    <w:p w:rsidR="00B83E8D" w:rsidRPr="00467B95" w:rsidRDefault="00B83E8D"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sz w:val="28"/>
          <w:szCs w:val="28"/>
        </w:rPr>
        <w:t xml:space="preserve">Согласно ст. 1 Закона «О детях» </w:t>
      </w:r>
      <w:r w:rsidRPr="00467B95">
        <w:rPr>
          <w:rFonts w:ascii="Times New Roman" w:hAnsi="Times New Roman"/>
          <w:sz w:val="28"/>
          <w:szCs w:val="28"/>
          <w:shd w:val="clear" w:color="auto" w:fill="FFFFFF"/>
        </w:rPr>
        <w:t xml:space="preserve">родительская ответственность (права) - </w:t>
      </w:r>
      <w:r w:rsidRPr="00467B95">
        <w:rPr>
          <w:rFonts w:ascii="Times New Roman" w:hAnsi="Times New Roman"/>
          <w:sz w:val="28"/>
          <w:szCs w:val="28"/>
          <w:shd w:val="clear" w:color="auto" w:fill="FFFFFF"/>
        </w:rPr>
        <w:lastRenderedPageBreak/>
        <w:t>есть все права, обязанности, полномочия, ответственность, которые по закону родитель ребенка имеет по отношению к ребенку и его имуществу. При осуществлении своих прав родители должны принимать во внимание возраст, взрослость и понимание ребенка в конкретном вопросе, который должен быть решен: чем старше ребенок, тем больше внимания родитель должен уделять его желанием и намерениям [13].</w:t>
      </w:r>
    </w:p>
    <w:p w:rsidR="00B83E8D" w:rsidRPr="00467B95" w:rsidRDefault="00B83E8D"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В Английском законодательстве, как и в Итальянском обязанности, по воспитанию внебрачных детей, накладываются на обоих родителей. Так же, как и в Германском законодательстве, родители должны, воспитывать своих детей в соответствии с их развитием. На каждом этапе развития ребенка, родители интересуются его мнением его интересами, и действуют в соответствии с ними. Чем старше становится ребенок, тем больше у родителей обязанностей в отношении него. </w:t>
      </w:r>
    </w:p>
    <w:p w:rsidR="00B83E8D" w:rsidRPr="00467B95" w:rsidRDefault="00B83E8D"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В Англии очень эффективно подходят к вопросу, об обязанностях несовершеннолетних родителей. Здесь соответственно  родители не состоят в браке, поскольку сами не являются совершеннолетними лицами. Таким образом, они не имеют полной дееспособности в своих родительских правах и обязанностях. Конечно же, ребенок требует повышенного внимания, и должен воспитываться зрелым лицом. В таком случае Английский законодатель, разрешает несовершеннолетним родителям проживать вместе с ребенком и учувствовать в его воспитании. Это позволяет защитить права и обязанности не только родителей, но и детей. </w:t>
      </w:r>
    </w:p>
    <w:p w:rsidR="00B83E8D" w:rsidRPr="00467B95" w:rsidRDefault="00B83E8D"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Таким образом, рассмотрев международную практику обязанностей родителей в отношении детей, можно сделать вывод, о том, что в каждом случае родители обязаны воспитывать своего ребенка должным образом. В некоторых государствах защита прав и интересов детей развита более эффективно, и наоборот. </w:t>
      </w:r>
      <w:r w:rsidRPr="00467B95">
        <w:rPr>
          <w:rFonts w:ascii="Times New Roman" w:hAnsi="Times New Roman"/>
          <w:sz w:val="28"/>
          <w:szCs w:val="28"/>
        </w:rPr>
        <w:t>Обязанности родителей в отношении детей, глубоко рассмотрены в каждом народе мира и их государств.</w:t>
      </w:r>
    </w:p>
    <w:p w:rsidR="00B83E8D" w:rsidRPr="00F91B34" w:rsidRDefault="00B83E8D"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Проанализировав законодательство Финляндии, хочется выделить, что оно является более эффективным. Если совместить законодательство Финляндии и России, получится идеальная модель системы защиты прав и интересов детей. Такая модель, должна содержать в себе все гарантии поддержки родителей и семьи как Финляндии, и порядок лишения и ограничения, родительских прав как в России. Так же в современное российское законодательство, можно добавить функцию материальной помощи государства, как в Германии, благодаря которой, серьезно больные российские дети, смогут своевременно получить бесплатную медицинскую помощь</w:t>
      </w:r>
      <w:r w:rsidRPr="00F91B34">
        <w:rPr>
          <w:rFonts w:ascii="Times New Roman" w:hAnsi="Times New Roman"/>
          <w:color w:val="000000"/>
          <w:sz w:val="28"/>
          <w:szCs w:val="28"/>
          <w:shd w:val="clear" w:color="auto" w:fill="FFFFFF"/>
        </w:rPr>
        <w:t xml:space="preserve">. В таком случае права и интересы ребенка будут максимально защищены. </w:t>
      </w:r>
    </w:p>
    <w:p w:rsidR="00B83E8D" w:rsidRPr="00467B95" w:rsidRDefault="00B83E8D" w:rsidP="005A3DF4">
      <w:pPr>
        <w:widowControl w:val="0"/>
        <w:shd w:val="clear" w:color="auto" w:fill="FFFFFF"/>
        <w:spacing w:after="0" w:line="240" w:lineRule="auto"/>
        <w:ind w:firstLine="709"/>
        <w:jc w:val="both"/>
        <w:rPr>
          <w:rFonts w:ascii="Times New Roman" w:eastAsia="Times New Roman" w:hAnsi="Times New Roman"/>
          <w:b/>
          <w:color w:val="000000" w:themeColor="text1"/>
          <w:sz w:val="28"/>
          <w:szCs w:val="28"/>
          <w:lang w:eastAsia="ru-RU"/>
        </w:rPr>
      </w:pPr>
      <w:r w:rsidRPr="00F91B34">
        <w:rPr>
          <w:rStyle w:val="ae"/>
          <w:rFonts w:ascii="Times New Roman" w:hAnsi="Times New Roman"/>
          <w:b w:val="0"/>
          <w:color w:val="000000"/>
          <w:sz w:val="28"/>
          <w:szCs w:val="28"/>
          <w:shd w:val="clear" w:color="auto" w:fill="FFFFFF"/>
        </w:rPr>
        <w:t>В сентябре 2016 года уполномоченным при президенте РФ по правам ребенка была назначена Кузнецова Анна Юрьевна. В одной из бесед с Борисом Клином, своих она говорит: «</w:t>
      </w:r>
      <w:r w:rsidRPr="00F91B34">
        <w:rPr>
          <w:rFonts w:ascii="Times New Roman" w:hAnsi="Times New Roman"/>
          <w:color w:val="000000"/>
          <w:sz w:val="28"/>
          <w:szCs w:val="28"/>
          <w:shd w:val="clear" w:color="auto" w:fill="FFFFFF"/>
        </w:rPr>
        <w:t xml:space="preserve">Могу сказать одно — если каждый будет чувствовать личную ответственность перед детьми, можно многое сделать. Авторитет института очень сильный. Но если говорить сухим </w:t>
      </w:r>
      <w:r w:rsidRPr="00F91B34">
        <w:rPr>
          <w:rFonts w:ascii="Times New Roman" w:hAnsi="Times New Roman"/>
          <w:color w:val="000000"/>
          <w:sz w:val="28"/>
          <w:szCs w:val="28"/>
          <w:shd w:val="clear" w:color="auto" w:fill="FFFFFF"/>
        </w:rPr>
        <w:lastRenderedPageBreak/>
        <w:t>языком, то появление</w:t>
      </w:r>
      <w:r w:rsidRPr="00467B95">
        <w:rPr>
          <w:rFonts w:ascii="Times New Roman" w:hAnsi="Times New Roman"/>
          <w:color w:val="000000"/>
          <w:sz w:val="28"/>
          <w:szCs w:val="28"/>
          <w:shd w:val="clear" w:color="auto" w:fill="FFFFFF"/>
        </w:rPr>
        <w:t xml:space="preserve"> подобного закона в первую очередь не допустит ликвидации или слияния института уполномоченного по правам ребенка с институтом уполномоченного по правам человека, во-вторых, наделит институт детских омбудсменов новыми полномочиями и выровняет их положение в регионах, тем самым обеспечив равную защиту детских прав»[4].Проанализировав ее слова, можно сделать вывод о том, что Анна Юрьевна, выделяет институт уполномоченного по правам ребенка, как важный действующий орган, который не потерпит слияния с другими институтами. Так же наделение новыми полномочиями института детских омбудсменов, даст дальнейшее развитие этой сферы, и обеспечит защиту детских прав по всем регионам. Это действительно очень правильная мысль, которая поможет улучшить защиту прав ребенка. </w:t>
      </w:r>
    </w:p>
    <w:p w:rsidR="00B83E8D" w:rsidRPr="00467B95" w:rsidRDefault="00B83E8D" w:rsidP="005A3DF4">
      <w:pPr>
        <w:widowControl w:val="0"/>
        <w:shd w:val="clear" w:color="auto" w:fill="FFFFFF"/>
        <w:spacing w:after="0" w:line="240" w:lineRule="auto"/>
        <w:ind w:firstLine="709"/>
        <w:jc w:val="both"/>
        <w:rPr>
          <w:rFonts w:ascii="Times New Roman" w:eastAsia="Times New Roman" w:hAnsi="Times New Roman"/>
          <w:color w:val="000000" w:themeColor="text1"/>
          <w:sz w:val="28"/>
          <w:szCs w:val="28"/>
          <w:lang w:eastAsia="ru-RU"/>
        </w:rPr>
      </w:pPr>
      <w:r w:rsidRPr="00467B95">
        <w:rPr>
          <w:rFonts w:ascii="Times New Roman" w:eastAsia="Times New Roman" w:hAnsi="Times New Roman"/>
          <w:color w:val="000000" w:themeColor="text1"/>
          <w:sz w:val="28"/>
          <w:szCs w:val="28"/>
          <w:lang w:eastAsia="ru-RU"/>
        </w:rPr>
        <w:t xml:space="preserve">Понятно, что многие родители в силу недостатка своих правовых знаний, а так же из-за состояния своего здоровья и других социальных проблем, не могут должным образом защитить права своих детей. И очень часто наоборот ведут себя таким образом, что самих детей приходится защищать от их же родителей. </w:t>
      </w:r>
    </w:p>
    <w:p w:rsidR="00B83E8D" w:rsidRPr="00467B95" w:rsidRDefault="00B83E8D" w:rsidP="005A3DF4">
      <w:pPr>
        <w:widowControl w:val="0"/>
        <w:spacing w:after="0" w:line="240" w:lineRule="auto"/>
        <w:ind w:firstLine="709"/>
        <w:contextualSpacing/>
        <w:jc w:val="both"/>
        <w:rPr>
          <w:rFonts w:ascii="Times New Roman" w:hAnsi="Times New Roman"/>
          <w:color w:val="111111"/>
          <w:sz w:val="28"/>
          <w:szCs w:val="28"/>
          <w:shd w:val="clear" w:color="auto" w:fill="FFFFFF"/>
        </w:rPr>
      </w:pPr>
      <w:r w:rsidRPr="00467B95">
        <w:rPr>
          <w:rFonts w:ascii="Times New Roman" w:hAnsi="Times New Roman"/>
          <w:color w:val="111111"/>
          <w:sz w:val="28"/>
          <w:szCs w:val="28"/>
          <w:shd w:val="clear" w:color="auto" w:fill="FFFFFF"/>
        </w:rPr>
        <w:t xml:space="preserve">Каждый ребенок, чьи интересы и права подверглись нарушению, вправе самостоятельно обратится в любой орган, который занимается этими вопросами[3]. На сегодняшний день в нашем в обществе, в целом, сформировалась ситуация, когда даже не все взрослые знают свои права и способны их защитить. </w:t>
      </w:r>
    </w:p>
    <w:p w:rsidR="00B83E8D" w:rsidRPr="00467B95" w:rsidRDefault="00B83E8D" w:rsidP="005A3DF4">
      <w:pPr>
        <w:widowControl w:val="0"/>
        <w:spacing w:after="0" w:line="240" w:lineRule="auto"/>
        <w:ind w:firstLine="709"/>
        <w:contextualSpacing/>
        <w:jc w:val="both"/>
        <w:rPr>
          <w:rFonts w:ascii="Times New Roman" w:hAnsi="Times New Roman"/>
          <w:color w:val="111111"/>
          <w:sz w:val="28"/>
          <w:szCs w:val="28"/>
          <w:shd w:val="clear" w:color="auto" w:fill="FFFFFF"/>
        </w:rPr>
      </w:pPr>
      <w:r w:rsidRPr="00467B95">
        <w:rPr>
          <w:rFonts w:ascii="Times New Roman" w:hAnsi="Times New Roman"/>
          <w:color w:val="111111"/>
          <w:sz w:val="28"/>
          <w:szCs w:val="28"/>
          <w:shd w:val="clear" w:color="auto" w:fill="FFFFFF"/>
        </w:rPr>
        <w:t>Исходя из этого, делаем вывод, что государство нуждаетсяв обеспечении квалифицированной юридической помощи не только родителей, но и самих несовершеннолетних. Таким образом, защита прав и интересов детей зависит от социальных служб, которые в полной мере могут обеспечить данную защиту и юридическую помощь, в то время как родители самих несовершеннолетних не могут этого сделать.</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Законодательно родители и их ребенок наделены определенными правами. Обязанностями обладают только родители по отношению к своим детям. Как мы уже знаем, все они прописаны в действующем Семейном Кодексе Российской Федерации.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первую очередь родители имеют право на воспитание и образование своего ребенка и обязаны должным образом воспитывать и защищать своих детей.</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Дети в свою очередь, не имеют никаких обязанностей в отношении родителей, ввиду своего возраста, они приобретают обязанности, в отношении родителей по достижению совершеннолетия.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Согласно ст. 63 и ст. 64 Семейного кодекса РФ (от 29.12.1995 № 223 – ФЗ): Родители в отношении своего ребенка имеют право«на воспитание ребенка и его образование; на защиту его интересов»[1].</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Резюмируя вышесказанное, можно сделать вывод, о том, что если родители наделены правами и обязанностями, в отношении своих детей, то это уже говорит о возможности их защиты. Защита вышеупомянутых прав, </w:t>
      </w:r>
      <w:r w:rsidRPr="00467B95">
        <w:rPr>
          <w:rFonts w:ascii="Times New Roman" w:hAnsi="Times New Roman"/>
          <w:sz w:val="28"/>
          <w:szCs w:val="28"/>
        </w:rPr>
        <w:lastRenderedPageBreak/>
        <w:t>требуется в случае их нарушения (например, когда ребенка удерживают другие лица, вопреки желанию ребенка и родителей, при отсутствии на то законных оснований). В статье 68 Семейного кодекса Российской Федерации (от 29.12.1995 № 223 – ФЗ) говорится о функции защиты родительских прав, которая закрепляет «возможность возврата родителями своего ребенка от любого незаконно его удерживающего лица»[1]. Здесь конкретно обозначен порядок и способы защиты родительских прав. В связи с этим можно сделать вывод, об отсутствии в семейном праве такого самостоятельного института – как защита родительских прав, поэтому изучение данного вопроса является актуальным.</w:t>
      </w:r>
    </w:p>
    <w:p w:rsidR="00B83E8D" w:rsidRPr="00467B95" w:rsidRDefault="00B83E8D" w:rsidP="005A3DF4">
      <w:pPr>
        <w:widowControl w:val="0"/>
        <w:spacing w:after="0" w:line="240" w:lineRule="auto"/>
        <w:ind w:firstLine="709"/>
        <w:contextualSpacing/>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Исходя из этого, мы видим, что конституция нашего государства, включила в себя все основные положения конвенции о правах ребенка. Это говорит о том что, тема защиты прав ребенка, в нашей стране должна решаться эффективно, но на деле, это не так [15]. Тема проблемы защиты прав детей, остается актуальной, и становится все более распространенной. Законодатель охватывает все аспекты этой области, но на практике это не применяется. Здесь мы можем сделать вывод о том, что в нашем государстве, в нашей стране, существует достаточно большое количество организации, которые по своей природе призваны защищать права и интересы ребенка, а, как и с помощью каких инструментов, они будут это делать, четко прописано в законе.  В настоящее время очень часто права детей подвергаются нарушению, это показывает статистика, а так же ежегодно проводящиеся опросы. Современное российское законодательство, практически в полном объеме соответствует международным стандартам. Но с каждым годом статистика нарушенных прав детей растет, здесь возникает вопрос, почему, же так происходит. Для современного общества и государства этот вопрос, очень труден. Нельзя же за один день, год, сделать всех родителей страны ответственными за своих детей, нельзя увеличить материальное состояние каждой семьи, невозможно применением  административных мер избавиться от нищеты. Найти пути решения этих проблем, сейчас главная задача для государства и общества в целом. </w:t>
      </w:r>
    </w:p>
    <w:p w:rsidR="00B83E8D" w:rsidRPr="00467B95" w:rsidRDefault="00B83E8D"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На основании вышеизложенного, мне удалось получить следующие основные выводы: </w:t>
      </w:r>
      <w:r w:rsidRPr="00467B95">
        <w:rPr>
          <w:rFonts w:ascii="Times New Roman" w:hAnsi="Times New Roman"/>
          <w:sz w:val="28"/>
          <w:szCs w:val="28"/>
        </w:rPr>
        <w:t xml:space="preserve">исследование понятие «ограничение» и «лишение» родительских прав, позволило понять, что это две разные по своей правовой природе меры, однако многие путают их или не могут найти существенной разницы. Это связано с тем, что между данными мерами существует очень тонкая грань, и они наделены определенными схожими чертами, например: одинаковая цель — защита детей от негативного влияния родителей; единственно возможный способ применения — только через суд; схожая сущность наказания — отбирание ребенка у родителей с лишением их прав воспитывать его; обратимый характер — при наличии достаточных оснований оба вида наказания могут быть отменены в судебном порядке; сохранение за родителем некоторых обязанностей по отношению к ребенку — в частности, он все равно должен продолжать оказывать ему финансовую </w:t>
      </w:r>
      <w:r w:rsidRPr="00467B95">
        <w:rPr>
          <w:rFonts w:ascii="Times New Roman" w:hAnsi="Times New Roman"/>
          <w:sz w:val="28"/>
          <w:szCs w:val="28"/>
        </w:rPr>
        <w:lastRenderedPageBreak/>
        <w:t xml:space="preserve">помощь (платить алименты)[14]; изучив права и обязанности родителей и детей, можно прийти к выводу, что кроме схожести этих схожих характеристик, данные меры имеют и существенные отличия. Прежде всего, ограничение прав является более мягкой мерой и может применяться в качестве предупреждения перед крайним способом воздействия на родителя, а именно лишением его прав. Это происходит, когда нарушения присутствуют, однако для полного лишения прав достаточных оснований нет. Вторым отличием является наличие при ограничении временных рамок. Так, родителю предоставляется шестимесячный срок после отбирания у него ребенка, в течение которого он должен устранить все имеющиеся негативные факторы влияния. В это время представители органов опеки и попечительства могут наведываться к отцу или матери, проверять его состояние, опрашивать соседей или коллег и т. п. Если будет установлено, что родитель изменил свое поведение в лучшую сторону и ему не опасно отдавать несовершеннолетнего, меру могут и отменить; изучив международную практику обязанностей родителей в отношении детей, дает понять, что обязанности по воспитанию своих детей, идентичны в любой стране, а вот права и обязанности детей, в отношении к родителям отличаются. Таким образом, обязанности родителей по содержанию несовершеннолетних детей являются наиболее устоявшимся институтом семейного права любого государства. Однако во всех случаях, если никаких изменений в аморальном поведении родителей не происходит, всегда дальнейшим действием может стать инициирование полного лишения прав. В этом случае вернуть ребенка будет намного сложнее, поскольку эта мера применяется бессрочно, вплоть до его совершеннолетия.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 же отличие в ограничении и лишении родительских прав, заключается в том, что при ограничении родителю могут предоставить возможность видеться с ребенком.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Это установлено законодательно, а именно ст. 75 СК РФ[1]. Однако данная возможность будет только в том случае, если подобные встречи не будут оказывать никакого негативного влияния на несовершеннолетнего. После полного лишения прав любые контакты с ним, в том числе и личные встречи, не допускаются.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при ограничении родитель может претендовать на получение имущества ребенка в случае его смерти, то есть быть его наследником. После лишения прав такая возможность уже не будет предоставляться — все имущественные связи между ними будут прерваны. Ребенок же имеет право на наследство, а также на пользование жилплощадью отца или матери в каждом из этих случаев. Еще одно право, которое сохраняется за родителем при ограничении его прав — это возможность требовать алименты со своего ребенка (например, в случае наступления нетрудоспособности).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 же стоит, отметить, что после снятия родительского ограничения ребёнок не обязательно вернётся в семью. Данный вопрос останется на усмотрение суда, будет решаться отдельно и в интересах несовершеннолетнего. Последствия лишения родительских прав, как для </w:t>
      </w:r>
      <w:r w:rsidRPr="00467B95">
        <w:rPr>
          <w:rFonts w:ascii="Times New Roman" w:hAnsi="Times New Roman"/>
          <w:sz w:val="28"/>
          <w:szCs w:val="28"/>
        </w:rPr>
        <w:lastRenderedPageBreak/>
        <w:t>матери, так и для отца, являются почти одинаковыми.</w:t>
      </w:r>
    </w:p>
    <w:p w:rsidR="00B83E8D" w:rsidRPr="00467B95" w:rsidRDefault="00B83E8D" w:rsidP="005A3DF4">
      <w:pPr>
        <w:widowControl w:val="0"/>
        <w:spacing w:after="0" w:line="240" w:lineRule="auto"/>
        <w:ind w:firstLine="709"/>
        <w:jc w:val="both"/>
        <w:rPr>
          <w:rFonts w:ascii="Times New Roman" w:hAnsi="Times New Roman"/>
          <w:color w:val="000000" w:themeColor="text1"/>
          <w:sz w:val="28"/>
          <w:szCs w:val="28"/>
          <w:shd w:val="clear" w:color="auto" w:fill="FFFFFF"/>
        </w:rPr>
      </w:pPr>
      <w:r w:rsidRPr="00467B95">
        <w:rPr>
          <w:rFonts w:ascii="Times New Roman" w:hAnsi="Times New Roman"/>
          <w:color w:val="000000" w:themeColor="text1"/>
          <w:sz w:val="28"/>
          <w:szCs w:val="28"/>
        </w:rPr>
        <w:t xml:space="preserve">Для укрепления родительского авторитета в современных условиях, имеет значение непосредственное развитие института защиты родительских прав, а также </w:t>
      </w:r>
      <w:r w:rsidRPr="00467B95">
        <w:rPr>
          <w:rFonts w:ascii="Times New Roman" w:hAnsi="Times New Roman"/>
          <w:color w:val="000000" w:themeColor="text1"/>
          <w:sz w:val="28"/>
          <w:szCs w:val="28"/>
          <w:shd w:val="clear" w:color="auto" w:fill="FFFFFF"/>
        </w:rPr>
        <w:t xml:space="preserve">необходимо уделить должное внимание в введении профилактической работы в области семейных проблем, что позволит более эффективно защищать права родителей и детей. Усовершенствование данного института позволит, сократить гражданские браки, а так же, количество родителей лишенных родительских прав. </w:t>
      </w:r>
    </w:p>
    <w:p w:rsidR="00B83E8D" w:rsidRPr="00DE49DB" w:rsidRDefault="00B83E8D" w:rsidP="005A3DF4">
      <w:pPr>
        <w:widowControl w:val="0"/>
        <w:spacing w:after="0" w:line="240" w:lineRule="auto"/>
        <w:ind w:firstLine="709"/>
        <w:jc w:val="center"/>
        <w:rPr>
          <w:rFonts w:ascii="Times New Roman" w:hAnsi="Times New Roman"/>
          <w:sz w:val="28"/>
          <w:szCs w:val="28"/>
        </w:rPr>
      </w:pPr>
      <w:r>
        <w:rPr>
          <w:rFonts w:ascii="Times New Roman" w:hAnsi="Times New Roman"/>
          <w:sz w:val="28"/>
          <w:szCs w:val="28"/>
        </w:rPr>
        <w:t>Список использованных источников</w:t>
      </w:r>
    </w:p>
    <w:p w:rsidR="00B83E8D" w:rsidRPr="007C364C" w:rsidRDefault="00B83E8D" w:rsidP="005A3DF4">
      <w:pPr>
        <w:pStyle w:val="a7"/>
        <w:widowControl w:val="0"/>
        <w:tabs>
          <w:tab w:val="left" w:pos="0"/>
          <w:tab w:val="left" w:pos="142"/>
        </w:tabs>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 xml:space="preserve">1 </w:t>
      </w:r>
      <w:r w:rsidRPr="007C364C">
        <w:rPr>
          <w:rFonts w:ascii="Times New Roman" w:hAnsi="Times New Roman" w:cs="Times New Roman"/>
          <w:color w:val="000000" w:themeColor="text1"/>
          <w:sz w:val="28"/>
          <w:szCs w:val="28"/>
        </w:rPr>
        <w:t xml:space="preserve">Семейный кодекс Российской Федерации: федеральный закон от 29.12.1995 №  223-ФЗ (ред. от 18.03.2019)[Электронный ресурс] // СПС «КонсультантПлюс». – Режим доступа: </w:t>
      </w:r>
      <w:hyperlink r:id="rId77" w:history="1">
        <w:r w:rsidRPr="007C364C">
          <w:rPr>
            <w:rStyle w:val="a8"/>
            <w:rFonts w:ascii="Times New Roman" w:hAnsi="Times New Roman" w:cs="Times New Roman"/>
            <w:color w:val="000000" w:themeColor="text1"/>
            <w:sz w:val="28"/>
            <w:szCs w:val="28"/>
            <w:u w:val="none"/>
          </w:rPr>
          <w:t>http://www.consultant.ru/document/cons_doc_LAW_8982</w:t>
        </w:r>
      </w:hyperlink>
    </w:p>
    <w:p w:rsidR="00B83E8D" w:rsidRPr="007C364C" w:rsidRDefault="00B83E8D" w:rsidP="005A3DF4">
      <w:pPr>
        <w:widowControl w:val="0"/>
        <w:spacing w:after="0" w:line="240" w:lineRule="auto"/>
        <w:ind w:firstLine="709"/>
        <w:contextualSpacing/>
        <w:jc w:val="both"/>
        <w:rPr>
          <w:rFonts w:ascii="Times New Roman" w:hAnsi="Times New Roman"/>
          <w:color w:val="000000" w:themeColor="text1"/>
          <w:sz w:val="28"/>
          <w:szCs w:val="28"/>
        </w:rPr>
      </w:pPr>
      <w:r w:rsidRPr="007C364C">
        <w:rPr>
          <w:rFonts w:ascii="Times New Roman" w:hAnsi="Times New Roman"/>
          <w:color w:val="000000" w:themeColor="text1"/>
          <w:sz w:val="28"/>
          <w:szCs w:val="28"/>
        </w:rPr>
        <w:t>2 Конвенция о правах ребенка одобрена Генеральной Ассамблеей  ООН</w:t>
      </w:r>
      <w:bookmarkStart w:id="13" w:name="_Hlk9332782"/>
      <w:r w:rsidRPr="007C364C">
        <w:rPr>
          <w:rFonts w:ascii="Times New Roman" w:hAnsi="Times New Roman"/>
          <w:color w:val="000000" w:themeColor="text1"/>
          <w:sz w:val="28"/>
          <w:szCs w:val="28"/>
        </w:rPr>
        <w:t xml:space="preserve">: конвенция от 20.11.1989 (ред. от 15.09.1990) [Электронный ресурс] // СПС «КонсультантПлюс». Режим доступа:  </w:t>
      </w:r>
      <w:bookmarkEnd w:id="13"/>
      <w:r w:rsidR="000C05CA" w:rsidRPr="007C364C">
        <w:rPr>
          <w:rFonts w:ascii="Times New Roman" w:hAnsi="Times New Roman"/>
          <w:color w:val="000000" w:themeColor="text1"/>
          <w:sz w:val="28"/>
          <w:szCs w:val="28"/>
          <w:lang w:val="en-US"/>
        </w:rPr>
        <w:fldChar w:fldCharType="begin"/>
      </w:r>
      <w:r w:rsidRPr="007C364C">
        <w:rPr>
          <w:rFonts w:ascii="Times New Roman" w:hAnsi="Times New Roman"/>
          <w:color w:val="000000" w:themeColor="text1"/>
          <w:sz w:val="28"/>
          <w:szCs w:val="28"/>
          <w:lang w:val="en-US"/>
        </w:rPr>
        <w:instrText>HYPERLINK</w:instrText>
      </w:r>
      <w:r w:rsidRPr="007C364C">
        <w:rPr>
          <w:rFonts w:ascii="Times New Roman" w:hAnsi="Times New Roman"/>
          <w:color w:val="000000" w:themeColor="text1"/>
          <w:sz w:val="28"/>
          <w:szCs w:val="28"/>
        </w:rPr>
        <w:instrText xml:space="preserve"> "</w:instrText>
      </w:r>
      <w:r w:rsidRPr="007C364C">
        <w:rPr>
          <w:rFonts w:ascii="Times New Roman" w:hAnsi="Times New Roman"/>
          <w:color w:val="000000" w:themeColor="text1"/>
          <w:sz w:val="28"/>
          <w:szCs w:val="28"/>
          <w:lang w:val="en-US"/>
        </w:rPr>
        <w:instrText>http</w:instrText>
      </w:r>
      <w:r w:rsidRPr="007C364C">
        <w:rPr>
          <w:rFonts w:ascii="Times New Roman" w:hAnsi="Times New Roman"/>
          <w:color w:val="000000" w:themeColor="text1"/>
          <w:sz w:val="28"/>
          <w:szCs w:val="28"/>
        </w:rPr>
        <w:instrText>://</w:instrText>
      </w:r>
      <w:r w:rsidRPr="007C364C">
        <w:rPr>
          <w:rFonts w:ascii="Times New Roman" w:hAnsi="Times New Roman"/>
          <w:color w:val="000000" w:themeColor="text1"/>
          <w:sz w:val="28"/>
          <w:szCs w:val="28"/>
          <w:lang w:val="en-US"/>
        </w:rPr>
        <w:instrText>www</w:instrText>
      </w:r>
      <w:r w:rsidRPr="007C364C">
        <w:rPr>
          <w:rFonts w:ascii="Times New Roman" w:hAnsi="Times New Roman"/>
          <w:color w:val="000000" w:themeColor="text1"/>
          <w:sz w:val="28"/>
          <w:szCs w:val="28"/>
        </w:rPr>
        <w:instrText>.</w:instrText>
      </w:r>
      <w:r w:rsidRPr="007C364C">
        <w:rPr>
          <w:rFonts w:ascii="Times New Roman" w:hAnsi="Times New Roman"/>
          <w:color w:val="000000" w:themeColor="text1"/>
          <w:sz w:val="28"/>
          <w:szCs w:val="28"/>
          <w:lang w:val="en-US"/>
        </w:rPr>
        <w:instrText>consultant</w:instrText>
      </w:r>
      <w:r w:rsidRPr="007C364C">
        <w:rPr>
          <w:rFonts w:ascii="Times New Roman" w:hAnsi="Times New Roman"/>
          <w:color w:val="000000" w:themeColor="text1"/>
          <w:sz w:val="28"/>
          <w:szCs w:val="28"/>
        </w:rPr>
        <w:instrText>.</w:instrText>
      </w:r>
      <w:r w:rsidRPr="007C364C">
        <w:rPr>
          <w:rFonts w:ascii="Times New Roman" w:hAnsi="Times New Roman"/>
          <w:color w:val="000000" w:themeColor="text1"/>
          <w:sz w:val="28"/>
          <w:szCs w:val="28"/>
          <w:lang w:val="en-US"/>
        </w:rPr>
        <w:instrText>ru</w:instrText>
      </w:r>
      <w:r w:rsidRPr="007C364C">
        <w:rPr>
          <w:rFonts w:ascii="Times New Roman" w:hAnsi="Times New Roman"/>
          <w:color w:val="000000" w:themeColor="text1"/>
          <w:sz w:val="28"/>
          <w:szCs w:val="28"/>
        </w:rPr>
        <w:instrText>/</w:instrText>
      </w:r>
      <w:r w:rsidRPr="007C364C">
        <w:rPr>
          <w:rFonts w:ascii="Times New Roman" w:hAnsi="Times New Roman"/>
          <w:color w:val="000000" w:themeColor="text1"/>
          <w:sz w:val="28"/>
          <w:szCs w:val="28"/>
          <w:lang w:val="en-US"/>
        </w:rPr>
        <w:instrText>document</w:instrText>
      </w:r>
      <w:r w:rsidRPr="007C364C">
        <w:rPr>
          <w:rFonts w:ascii="Times New Roman" w:hAnsi="Times New Roman"/>
          <w:color w:val="000000" w:themeColor="text1"/>
          <w:sz w:val="28"/>
          <w:szCs w:val="28"/>
        </w:rPr>
        <w:instrText xml:space="preserve">/ </w:instrText>
      </w:r>
      <w:r w:rsidRPr="007C364C">
        <w:rPr>
          <w:rFonts w:ascii="Times New Roman" w:hAnsi="Times New Roman"/>
          <w:color w:val="000000" w:themeColor="text1"/>
          <w:sz w:val="28"/>
          <w:szCs w:val="28"/>
          <w:lang w:val="en-US"/>
        </w:rPr>
        <w:instrText>cons</w:instrText>
      </w:r>
      <w:r w:rsidRPr="007C364C">
        <w:rPr>
          <w:rFonts w:ascii="Times New Roman" w:hAnsi="Times New Roman"/>
          <w:color w:val="000000" w:themeColor="text1"/>
          <w:sz w:val="28"/>
          <w:szCs w:val="28"/>
        </w:rPr>
        <w:instrText>_</w:instrText>
      </w:r>
      <w:r w:rsidRPr="007C364C">
        <w:rPr>
          <w:rFonts w:ascii="Times New Roman" w:hAnsi="Times New Roman"/>
          <w:color w:val="000000" w:themeColor="text1"/>
          <w:sz w:val="28"/>
          <w:szCs w:val="28"/>
          <w:lang w:val="en-US"/>
        </w:rPr>
        <w:instrText>doc</w:instrText>
      </w:r>
      <w:r w:rsidRPr="007C364C">
        <w:rPr>
          <w:rFonts w:ascii="Times New Roman" w:hAnsi="Times New Roman"/>
          <w:color w:val="000000" w:themeColor="text1"/>
          <w:sz w:val="28"/>
          <w:szCs w:val="28"/>
        </w:rPr>
        <w:instrText>_</w:instrText>
      </w:r>
      <w:r w:rsidRPr="007C364C">
        <w:rPr>
          <w:rFonts w:ascii="Times New Roman" w:hAnsi="Times New Roman"/>
          <w:color w:val="000000" w:themeColor="text1"/>
          <w:sz w:val="28"/>
          <w:szCs w:val="28"/>
          <w:lang w:val="en-US"/>
        </w:rPr>
        <w:instrText>LAW</w:instrText>
      </w:r>
      <w:r w:rsidRPr="007C364C">
        <w:rPr>
          <w:rFonts w:ascii="Times New Roman" w:hAnsi="Times New Roman"/>
          <w:color w:val="000000" w:themeColor="text1"/>
          <w:sz w:val="28"/>
          <w:szCs w:val="28"/>
        </w:rPr>
        <w:instrText xml:space="preserve">_9959/" </w:instrText>
      </w:r>
      <w:r w:rsidR="000C05CA" w:rsidRPr="007C364C">
        <w:rPr>
          <w:rFonts w:ascii="Times New Roman" w:hAnsi="Times New Roman"/>
          <w:color w:val="000000" w:themeColor="text1"/>
          <w:sz w:val="28"/>
          <w:szCs w:val="28"/>
          <w:lang w:val="en-US"/>
        </w:rPr>
        <w:fldChar w:fldCharType="separate"/>
      </w:r>
      <w:r w:rsidRPr="007C364C">
        <w:rPr>
          <w:rStyle w:val="a8"/>
          <w:rFonts w:ascii="Times New Roman" w:hAnsi="Times New Roman"/>
          <w:color w:val="000000" w:themeColor="text1"/>
          <w:sz w:val="28"/>
          <w:szCs w:val="28"/>
          <w:u w:val="none"/>
          <w:lang w:val="en-US"/>
        </w:rPr>
        <w:t>http</w:t>
      </w:r>
      <w:r w:rsidRPr="007C364C">
        <w:rPr>
          <w:rStyle w:val="a8"/>
          <w:rFonts w:ascii="Times New Roman" w:hAnsi="Times New Roman"/>
          <w:color w:val="000000" w:themeColor="text1"/>
          <w:sz w:val="28"/>
          <w:szCs w:val="28"/>
          <w:u w:val="none"/>
        </w:rPr>
        <w:t>://</w:t>
      </w:r>
      <w:r w:rsidRPr="007C364C">
        <w:rPr>
          <w:rStyle w:val="a8"/>
          <w:rFonts w:ascii="Times New Roman" w:hAnsi="Times New Roman"/>
          <w:color w:val="000000" w:themeColor="text1"/>
          <w:sz w:val="28"/>
          <w:szCs w:val="28"/>
          <w:u w:val="none"/>
          <w:lang w:val="en-US"/>
        </w:rPr>
        <w:t>www</w:t>
      </w:r>
      <w:r w:rsidRPr="007C364C">
        <w:rPr>
          <w:rStyle w:val="a8"/>
          <w:rFonts w:ascii="Times New Roman" w:hAnsi="Times New Roman"/>
          <w:color w:val="000000" w:themeColor="text1"/>
          <w:sz w:val="28"/>
          <w:szCs w:val="28"/>
          <w:u w:val="none"/>
        </w:rPr>
        <w:t>.</w:t>
      </w:r>
      <w:r w:rsidRPr="007C364C">
        <w:rPr>
          <w:rStyle w:val="a8"/>
          <w:rFonts w:ascii="Times New Roman" w:hAnsi="Times New Roman"/>
          <w:color w:val="000000" w:themeColor="text1"/>
          <w:sz w:val="28"/>
          <w:szCs w:val="28"/>
          <w:u w:val="none"/>
          <w:lang w:val="en-US"/>
        </w:rPr>
        <w:t>consultant</w:t>
      </w:r>
      <w:r w:rsidRPr="007C364C">
        <w:rPr>
          <w:rStyle w:val="a8"/>
          <w:rFonts w:ascii="Times New Roman" w:hAnsi="Times New Roman"/>
          <w:color w:val="000000" w:themeColor="text1"/>
          <w:sz w:val="28"/>
          <w:szCs w:val="28"/>
          <w:u w:val="none"/>
        </w:rPr>
        <w:t>.</w:t>
      </w:r>
      <w:r w:rsidRPr="007C364C">
        <w:rPr>
          <w:rStyle w:val="a8"/>
          <w:rFonts w:ascii="Times New Roman" w:hAnsi="Times New Roman"/>
          <w:color w:val="000000" w:themeColor="text1"/>
          <w:sz w:val="28"/>
          <w:szCs w:val="28"/>
          <w:u w:val="none"/>
          <w:lang w:val="en-US"/>
        </w:rPr>
        <w:t>ru</w:t>
      </w:r>
      <w:r w:rsidRPr="007C364C">
        <w:rPr>
          <w:rStyle w:val="a8"/>
          <w:rFonts w:ascii="Times New Roman" w:hAnsi="Times New Roman"/>
          <w:color w:val="000000" w:themeColor="text1"/>
          <w:sz w:val="28"/>
          <w:szCs w:val="28"/>
          <w:u w:val="none"/>
        </w:rPr>
        <w:t>/</w:t>
      </w:r>
      <w:r w:rsidRPr="007C364C">
        <w:rPr>
          <w:rStyle w:val="a8"/>
          <w:rFonts w:ascii="Times New Roman" w:hAnsi="Times New Roman"/>
          <w:color w:val="000000" w:themeColor="text1"/>
          <w:sz w:val="28"/>
          <w:szCs w:val="28"/>
          <w:u w:val="none"/>
          <w:lang w:val="en-US"/>
        </w:rPr>
        <w:t>document</w:t>
      </w:r>
      <w:r w:rsidRPr="007C364C">
        <w:rPr>
          <w:rStyle w:val="a8"/>
          <w:rFonts w:ascii="Times New Roman" w:hAnsi="Times New Roman"/>
          <w:color w:val="000000" w:themeColor="text1"/>
          <w:sz w:val="28"/>
          <w:szCs w:val="28"/>
          <w:u w:val="none"/>
        </w:rPr>
        <w:t xml:space="preserve">/ </w:t>
      </w:r>
      <w:r w:rsidRPr="007C364C">
        <w:rPr>
          <w:rStyle w:val="a8"/>
          <w:rFonts w:ascii="Times New Roman" w:hAnsi="Times New Roman"/>
          <w:color w:val="000000" w:themeColor="text1"/>
          <w:sz w:val="28"/>
          <w:szCs w:val="28"/>
          <w:u w:val="none"/>
          <w:lang w:val="en-US"/>
        </w:rPr>
        <w:t>cons</w:t>
      </w:r>
      <w:r w:rsidRPr="007C364C">
        <w:rPr>
          <w:rStyle w:val="a8"/>
          <w:rFonts w:ascii="Times New Roman" w:hAnsi="Times New Roman"/>
          <w:color w:val="000000" w:themeColor="text1"/>
          <w:sz w:val="28"/>
          <w:szCs w:val="28"/>
          <w:u w:val="none"/>
        </w:rPr>
        <w:t>_</w:t>
      </w:r>
      <w:r w:rsidRPr="007C364C">
        <w:rPr>
          <w:rStyle w:val="a8"/>
          <w:rFonts w:ascii="Times New Roman" w:hAnsi="Times New Roman"/>
          <w:color w:val="000000" w:themeColor="text1"/>
          <w:sz w:val="28"/>
          <w:szCs w:val="28"/>
          <w:u w:val="none"/>
          <w:lang w:val="en-US"/>
        </w:rPr>
        <w:t>doc</w:t>
      </w:r>
      <w:r w:rsidRPr="007C364C">
        <w:rPr>
          <w:rStyle w:val="a8"/>
          <w:rFonts w:ascii="Times New Roman" w:hAnsi="Times New Roman"/>
          <w:color w:val="000000" w:themeColor="text1"/>
          <w:sz w:val="28"/>
          <w:szCs w:val="28"/>
          <w:u w:val="none"/>
        </w:rPr>
        <w:t>_</w:t>
      </w:r>
      <w:r w:rsidRPr="007C364C">
        <w:rPr>
          <w:rStyle w:val="a8"/>
          <w:rFonts w:ascii="Times New Roman" w:hAnsi="Times New Roman"/>
          <w:color w:val="000000" w:themeColor="text1"/>
          <w:sz w:val="28"/>
          <w:szCs w:val="28"/>
          <w:u w:val="none"/>
          <w:lang w:val="en-US"/>
        </w:rPr>
        <w:t>LAW</w:t>
      </w:r>
      <w:r w:rsidRPr="007C364C">
        <w:rPr>
          <w:rStyle w:val="a8"/>
          <w:rFonts w:ascii="Times New Roman" w:hAnsi="Times New Roman"/>
          <w:color w:val="000000" w:themeColor="text1"/>
          <w:sz w:val="28"/>
          <w:szCs w:val="28"/>
          <w:u w:val="none"/>
        </w:rPr>
        <w:t>_9959/</w:t>
      </w:r>
      <w:r w:rsidR="000C05CA" w:rsidRPr="007C364C">
        <w:rPr>
          <w:rFonts w:ascii="Times New Roman" w:hAnsi="Times New Roman"/>
          <w:color w:val="000000" w:themeColor="text1"/>
          <w:sz w:val="28"/>
          <w:szCs w:val="28"/>
          <w:lang w:val="en-US"/>
        </w:rPr>
        <w:fldChar w:fldCharType="end"/>
      </w:r>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eastAsiaTheme="majorEastAsia" w:hAnsi="Times New Roman"/>
          <w:bCs/>
          <w:color w:val="000000" w:themeColor="text1"/>
          <w:sz w:val="28"/>
          <w:szCs w:val="28"/>
        </w:rPr>
        <w:t>3  Об уполномоченных по правам ребенка в Российской Федерации: Федеральный закон от 27.12.2018 № 501 – ФЗ (ред. от. 31.01.2016)</w:t>
      </w:r>
      <w:r w:rsidRPr="007C364C">
        <w:rPr>
          <w:rFonts w:ascii="Times New Roman" w:hAnsi="Times New Roman"/>
          <w:color w:val="000000" w:themeColor="text1"/>
          <w:sz w:val="28"/>
          <w:szCs w:val="28"/>
        </w:rPr>
        <w:t xml:space="preserve">[Электронный ресурс] // СПС «КонсультантПлюс». – Режим доступа: </w:t>
      </w:r>
      <w:hyperlink r:id="rId78" w:history="1">
        <w:r w:rsidRPr="007C364C">
          <w:rPr>
            <w:rStyle w:val="a8"/>
            <w:rFonts w:ascii="Times New Roman" w:hAnsi="Times New Roman"/>
            <w:color w:val="000000" w:themeColor="text1"/>
            <w:sz w:val="28"/>
            <w:szCs w:val="28"/>
            <w:u w:val="none"/>
          </w:rPr>
          <w:t>http://www.consultant.ru/ document/cons_doc_LAW_314643/</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color w:val="000000" w:themeColor="text1"/>
          <w:sz w:val="28"/>
          <w:szCs w:val="28"/>
        </w:rPr>
        <w:t xml:space="preserve">4 Интервью Бориса Клина с Уполномоченным по правам ребенка при Президенте РФ по правам ребенка Анной Кузнецовой 30 декабря 2016 года [Электронный ресурс] // </w:t>
      </w:r>
      <w:r w:rsidRPr="007C364C">
        <w:rPr>
          <w:rFonts w:ascii="Times New Roman" w:hAnsi="Times New Roman"/>
          <w:color w:val="000000" w:themeColor="text1"/>
          <w:sz w:val="28"/>
          <w:szCs w:val="28"/>
          <w:lang w:val="en-US"/>
        </w:rPr>
        <w:t>tass</w:t>
      </w:r>
      <w:r w:rsidRPr="007C364C">
        <w:rPr>
          <w:rFonts w:ascii="Times New Roman" w:hAnsi="Times New Roman"/>
          <w:color w:val="000000" w:themeColor="text1"/>
          <w:sz w:val="28"/>
          <w:szCs w:val="28"/>
        </w:rPr>
        <w:t>.</w:t>
      </w:r>
      <w:r w:rsidRPr="007C364C">
        <w:rPr>
          <w:rFonts w:ascii="Times New Roman" w:hAnsi="Times New Roman"/>
          <w:color w:val="000000" w:themeColor="text1"/>
          <w:sz w:val="28"/>
          <w:szCs w:val="28"/>
          <w:lang w:val="en-US"/>
        </w:rPr>
        <w:t>ru</w:t>
      </w:r>
      <w:r w:rsidRPr="007C364C">
        <w:rPr>
          <w:rFonts w:ascii="Times New Roman" w:hAnsi="Times New Roman"/>
          <w:color w:val="000000" w:themeColor="text1"/>
          <w:sz w:val="28"/>
          <w:szCs w:val="28"/>
        </w:rPr>
        <w:t xml:space="preserve"> – Режим доступа: </w:t>
      </w:r>
      <w:hyperlink r:id="rId79" w:history="1">
        <w:r w:rsidRPr="007C364C">
          <w:rPr>
            <w:rStyle w:val="a8"/>
            <w:rFonts w:ascii="Times New Roman" w:hAnsi="Times New Roman"/>
            <w:color w:val="000000" w:themeColor="text1"/>
            <w:sz w:val="28"/>
            <w:szCs w:val="28"/>
            <w:u w:val="none"/>
          </w:rPr>
          <w:t>https://tass.ru/interviews/3917127</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color w:val="000000" w:themeColor="text1"/>
          <w:sz w:val="28"/>
          <w:szCs w:val="28"/>
        </w:rPr>
        <w:t xml:space="preserve">5 Конституция Российской Федерации (принята всенародным голосованием 12.12.1993)  (ред. 21.07.2014) № 11-ФКЗ [Электронный ресурс] // СПС «КонсультантПлюс». – Режим доступа: </w:t>
      </w:r>
      <w:hyperlink r:id="rId80" w:history="1">
        <w:r w:rsidRPr="007C364C">
          <w:rPr>
            <w:rStyle w:val="a8"/>
            <w:rFonts w:ascii="Times New Roman" w:hAnsi="Times New Roman"/>
            <w:color w:val="000000" w:themeColor="text1"/>
            <w:sz w:val="28"/>
            <w:szCs w:val="28"/>
            <w:u w:val="none"/>
          </w:rPr>
          <w:t>http://www.consultant.ru/document/cons_doc_LAW_28399/</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color w:val="000000" w:themeColor="text1"/>
          <w:sz w:val="28"/>
          <w:szCs w:val="28"/>
        </w:rPr>
        <w:t>6 Ильина О. Ю. Интересы ребенка в семейном праве Российской Федерации/ О.Ю. Ильина. - М.: Юрайт, 2014. 210 с.</w:t>
      </w:r>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color w:val="000000" w:themeColor="text1"/>
          <w:sz w:val="28"/>
          <w:szCs w:val="28"/>
        </w:rPr>
        <w:t xml:space="preserve">7 Гражданский кодекс Франции / [Электронный ресурс] // </w:t>
      </w:r>
      <w:r w:rsidRPr="007C364C">
        <w:rPr>
          <w:rFonts w:ascii="Times New Roman" w:hAnsi="Times New Roman"/>
          <w:color w:val="000000" w:themeColor="text1"/>
          <w:sz w:val="28"/>
          <w:szCs w:val="28"/>
          <w:lang w:val="en-US"/>
        </w:rPr>
        <w:t>pnu</w:t>
      </w:r>
      <w:r w:rsidRPr="007C364C">
        <w:rPr>
          <w:rFonts w:ascii="Times New Roman" w:hAnsi="Times New Roman"/>
          <w:color w:val="000000" w:themeColor="text1"/>
          <w:sz w:val="28"/>
          <w:szCs w:val="28"/>
        </w:rPr>
        <w:t>.</w:t>
      </w:r>
      <w:r w:rsidRPr="007C364C">
        <w:rPr>
          <w:rFonts w:ascii="Times New Roman" w:hAnsi="Times New Roman"/>
          <w:color w:val="000000" w:themeColor="text1"/>
          <w:sz w:val="28"/>
          <w:szCs w:val="28"/>
          <w:lang w:val="en-US"/>
        </w:rPr>
        <w:t>edu</w:t>
      </w:r>
      <w:r w:rsidRPr="007C364C">
        <w:rPr>
          <w:rFonts w:ascii="Times New Roman" w:hAnsi="Times New Roman"/>
          <w:color w:val="000000" w:themeColor="text1"/>
          <w:sz w:val="28"/>
          <w:szCs w:val="28"/>
        </w:rPr>
        <w:t>. – Режим доступа:</w:t>
      </w:r>
      <w:hyperlink r:id="rId81" w:history="1">
        <w:r w:rsidRPr="007C364C">
          <w:rPr>
            <w:rStyle w:val="a8"/>
            <w:rFonts w:ascii="Times New Roman" w:hAnsi="Times New Roman"/>
            <w:color w:val="000000" w:themeColor="text1"/>
            <w:sz w:val="28"/>
            <w:szCs w:val="28"/>
            <w:u w:val="none"/>
          </w:rPr>
          <w:t>http://pnu.edu.ru/ru/faculties/full_time/uf/iogip/study/studentsbooks/</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shd w:val="clear" w:color="auto" w:fill="FFFFFF"/>
        </w:rPr>
      </w:pPr>
      <w:r w:rsidRPr="007C364C">
        <w:rPr>
          <w:rFonts w:ascii="Times New Roman" w:hAnsi="Times New Roman"/>
          <w:color w:val="000000" w:themeColor="text1"/>
          <w:sz w:val="28"/>
          <w:szCs w:val="28"/>
          <w:shd w:val="clear" w:color="auto" w:fill="FFFFFF"/>
        </w:rPr>
        <w:t xml:space="preserve">8 О детях (ChildrenAct 1989) // </w:t>
      </w:r>
      <w:r w:rsidRPr="007C364C">
        <w:rPr>
          <w:rFonts w:ascii="Times New Roman" w:hAnsi="Times New Roman"/>
          <w:color w:val="000000" w:themeColor="text1"/>
          <w:sz w:val="28"/>
          <w:szCs w:val="28"/>
        </w:rPr>
        <w:t xml:space="preserve">[Электронный ресурс] // </w:t>
      </w:r>
      <w:r w:rsidRPr="007C364C">
        <w:rPr>
          <w:rFonts w:ascii="Times New Roman" w:hAnsi="Times New Roman"/>
          <w:color w:val="000000" w:themeColor="text1"/>
          <w:sz w:val="28"/>
          <w:szCs w:val="28"/>
          <w:lang w:val="en-US"/>
        </w:rPr>
        <w:t>legislation</w:t>
      </w:r>
      <w:r w:rsidRPr="007C364C">
        <w:rPr>
          <w:rFonts w:ascii="Times New Roman" w:hAnsi="Times New Roman"/>
          <w:color w:val="000000" w:themeColor="text1"/>
          <w:sz w:val="28"/>
          <w:szCs w:val="28"/>
        </w:rPr>
        <w:t>.</w:t>
      </w:r>
      <w:r w:rsidRPr="007C364C">
        <w:rPr>
          <w:rFonts w:ascii="Times New Roman" w:hAnsi="Times New Roman"/>
          <w:color w:val="000000" w:themeColor="text1"/>
          <w:sz w:val="28"/>
          <w:szCs w:val="28"/>
          <w:lang w:val="en-US"/>
        </w:rPr>
        <w:t>gov</w:t>
      </w:r>
      <w:r w:rsidRPr="007C364C">
        <w:rPr>
          <w:rFonts w:ascii="Times New Roman" w:hAnsi="Times New Roman"/>
          <w:color w:val="000000" w:themeColor="text1"/>
          <w:sz w:val="28"/>
          <w:szCs w:val="28"/>
        </w:rPr>
        <w:t xml:space="preserve">. – Режим доступа: </w:t>
      </w:r>
      <w:hyperlink r:id="rId82" w:history="1">
        <w:r w:rsidRPr="007C364C">
          <w:rPr>
            <w:rStyle w:val="a8"/>
            <w:rFonts w:ascii="Times New Roman" w:hAnsi="Times New Roman"/>
            <w:color w:val="000000" w:themeColor="text1"/>
            <w:sz w:val="28"/>
            <w:szCs w:val="28"/>
            <w:u w:val="none"/>
            <w:shd w:val="clear" w:color="auto" w:fill="FFFFFF"/>
          </w:rPr>
          <w:t>http://www.legislation.gov.uk/ukpga/1996/27/contents</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color w:val="000000" w:themeColor="text1"/>
          <w:sz w:val="28"/>
          <w:szCs w:val="28"/>
          <w:shd w:val="clear" w:color="auto" w:fill="FFFFFF"/>
        </w:rPr>
        <w:t xml:space="preserve">9 Гражданское уложение Германии// </w:t>
      </w:r>
      <w:r w:rsidRPr="007C364C">
        <w:rPr>
          <w:rFonts w:ascii="Times New Roman" w:hAnsi="Times New Roman"/>
          <w:color w:val="000000" w:themeColor="text1"/>
          <w:sz w:val="28"/>
          <w:szCs w:val="28"/>
        </w:rPr>
        <w:t xml:space="preserve">[Электронный ресурс] // </w:t>
      </w:r>
      <w:r w:rsidRPr="007C364C">
        <w:rPr>
          <w:rFonts w:ascii="Times New Roman" w:hAnsi="Times New Roman"/>
          <w:color w:val="000000" w:themeColor="text1"/>
          <w:sz w:val="28"/>
          <w:szCs w:val="28"/>
          <w:lang w:val="en-US"/>
        </w:rPr>
        <w:t>pnu</w:t>
      </w:r>
      <w:r w:rsidRPr="007C364C">
        <w:rPr>
          <w:rFonts w:ascii="Times New Roman" w:hAnsi="Times New Roman"/>
          <w:color w:val="000000" w:themeColor="text1"/>
          <w:sz w:val="28"/>
          <w:szCs w:val="28"/>
        </w:rPr>
        <w:t>.</w:t>
      </w:r>
      <w:r w:rsidRPr="007C364C">
        <w:rPr>
          <w:rFonts w:ascii="Times New Roman" w:hAnsi="Times New Roman"/>
          <w:color w:val="000000" w:themeColor="text1"/>
          <w:sz w:val="28"/>
          <w:szCs w:val="28"/>
          <w:lang w:val="en-US"/>
        </w:rPr>
        <w:t>edu</w:t>
      </w:r>
      <w:r w:rsidRPr="007C364C">
        <w:rPr>
          <w:rFonts w:ascii="Times New Roman" w:hAnsi="Times New Roman"/>
          <w:color w:val="000000" w:themeColor="text1"/>
          <w:sz w:val="28"/>
          <w:szCs w:val="28"/>
        </w:rPr>
        <w:t>. – Режим доступа:</w:t>
      </w:r>
      <w:hyperlink r:id="rId83" w:history="1">
        <w:r w:rsidRPr="007C364C">
          <w:rPr>
            <w:rStyle w:val="a8"/>
            <w:rFonts w:ascii="Times New Roman" w:hAnsi="Times New Roman"/>
            <w:color w:val="000000" w:themeColor="text1"/>
            <w:sz w:val="28"/>
            <w:szCs w:val="28"/>
            <w:u w:val="none"/>
          </w:rPr>
          <w:t>http://pnu.edu.ru/ru/faculties/full_time/uf/iogip/study/studentsbooks/histsources2/igpzio63/</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bCs/>
          <w:color w:val="000000" w:themeColor="text1"/>
          <w:sz w:val="28"/>
          <w:szCs w:val="28"/>
        </w:rPr>
        <w:t>10 Основной закон Федеративной Республики Германии от 23 мая 1949 года //Бундесгетцблат //</w:t>
      </w:r>
      <w:r w:rsidRPr="007C364C">
        <w:rPr>
          <w:rFonts w:ascii="Times New Roman" w:hAnsi="Times New Roman"/>
          <w:color w:val="000000" w:themeColor="text1"/>
          <w:sz w:val="28"/>
          <w:szCs w:val="28"/>
          <w:shd w:val="clear" w:color="auto" w:fill="FFFFFF"/>
        </w:rPr>
        <w:t xml:space="preserve"> [Электронный ресурс] // Режим доступа: </w:t>
      </w:r>
      <w:hyperlink r:id="rId84" w:history="1">
        <w:r w:rsidRPr="007C364C">
          <w:rPr>
            <w:rStyle w:val="a8"/>
            <w:rFonts w:ascii="Times New Roman" w:hAnsi="Times New Roman"/>
            <w:color w:val="000000" w:themeColor="text1"/>
            <w:sz w:val="28"/>
            <w:szCs w:val="28"/>
            <w:u w:val="none"/>
          </w:rPr>
          <w:t>https://www.1000dokumente.de/?c=dokument_de&amp;dokument=0014_gru&amp;l=ru&amp;object=translation</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bCs/>
          <w:color w:val="000000" w:themeColor="text1"/>
          <w:sz w:val="28"/>
          <w:szCs w:val="28"/>
        </w:rPr>
        <w:lastRenderedPageBreak/>
        <w:t>11 Г</w:t>
      </w:r>
      <w:r w:rsidRPr="007C364C">
        <w:rPr>
          <w:rFonts w:ascii="Times New Roman" w:hAnsi="Times New Roman"/>
          <w:color w:val="000000" w:themeColor="text1"/>
          <w:sz w:val="28"/>
          <w:szCs w:val="28"/>
        </w:rPr>
        <w:t>ражданский кодекс Италии//</w:t>
      </w:r>
      <w:r w:rsidRPr="007C364C">
        <w:rPr>
          <w:rFonts w:ascii="Times New Roman" w:hAnsi="Times New Roman"/>
          <w:bCs/>
          <w:color w:val="000000" w:themeColor="text1"/>
          <w:sz w:val="28"/>
          <w:szCs w:val="28"/>
        </w:rPr>
        <w:t>Книга четвертая //[</w:t>
      </w:r>
      <w:r w:rsidRPr="007C364C">
        <w:rPr>
          <w:rFonts w:ascii="Times New Roman" w:hAnsi="Times New Roman"/>
          <w:color w:val="000000" w:themeColor="text1"/>
          <w:sz w:val="28"/>
          <w:szCs w:val="28"/>
          <w:shd w:val="clear" w:color="auto" w:fill="FFFFFF"/>
        </w:rPr>
        <w:t xml:space="preserve">Электронный ресурс] // </w:t>
      </w:r>
      <w:r w:rsidRPr="007C364C">
        <w:rPr>
          <w:rFonts w:ascii="Times New Roman" w:hAnsi="Times New Roman"/>
          <w:color w:val="000000" w:themeColor="text1"/>
          <w:sz w:val="28"/>
          <w:szCs w:val="28"/>
          <w:shd w:val="clear" w:color="auto" w:fill="FFFFFF"/>
          <w:lang w:val="en-US"/>
        </w:rPr>
        <w:t>spravochnick</w:t>
      </w:r>
      <w:r w:rsidRPr="007C364C">
        <w:rPr>
          <w:rFonts w:ascii="Times New Roman" w:hAnsi="Times New Roman"/>
          <w:color w:val="000000" w:themeColor="text1"/>
          <w:sz w:val="28"/>
          <w:szCs w:val="28"/>
          <w:shd w:val="clear" w:color="auto" w:fill="FFFFFF"/>
        </w:rPr>
        <w:t>.</w:t>
      </w:r>
      <w:r w:rsidRPr="007C364C">
        <w:rPr>
          <w:rFonts w:ascii="Times New Roman" w:hAnsi="Times New Roman"/>
          <w:color w:val="000000" w:themeColor="text1"/>
          <w:sz w:val="28"/>
          <w:szCs w:val="28"/>
          <w:shd w:val="clear" w:color="auto" w:fill="FFFFFF"/>
          <w:lang w:val="en-US"/>
        </w:rPr>
        <w:t>ru</w:t>
      </w:r>
      <w:r w:rsidRPr="007C364C">
        <w:rPr>
          <w:rFonts w:ascii="Times New Roman" w:hAnsi="Times New Roman"/>
          <w:color w:val="000000" w:themeColor="text1"/>
          <w:sz w:val="28"/>
          <w:szCs w:val="28"/>
          <w:shd w:val="clear" w:color="auto" w:fill="FFFFFF"/>
        </w:rPr>
        <w:t xml:space="preserve">. - Режим доступа: </w:t>
      </w:r>
      <w:hyperlink r:id="rId85" w:history="1">
        <w:r w:rsidRPr="007C364C">
          <w:rPr>
            <w:rStyle w:val="a8"/>
            <w:rFonts w:ascii="Times New Roman" w:hAnsi="Times New Roman"/>
            <w:color w:val="000000" w:themeColor="text1"/>
            <w:sz w:val="28"/>
            <w:szCs w:val="28"/>
            <w:u w:val="none"/>
          </w:rPr>
          <w:t>https://spravochnick.ru/pravo_i_yurisprudenciya/ grazhdanskiy_kodeks/grazhdanskiy_kodeks_italii/</w:t>
        </w:r>
      </w:hyperlink>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color w:val="000000" w:themeColor="text1"/>
          <w:sz w:val="28"/>
          <w:szCs w:val="28"/>
        </w:rPr>
        <w:t>12 Конституция Итальянской республики от 1 января 1948 года // LA COSTITUZIONE DELLA REPUBBLICA ITALIANA // [</w:t>
      </w:r>
      <w:r w:rsidRPr="007C364C">
        <w:rPr>
          <w:rFonts w:ascii="Times New Roman" w:hAnsi="Times New Roman"/>
          <w:color w:val="000000" w:themeColor="text1"/>
          <w:sz w:val="28"/>
          <w:szCs w:val="28"/>
          <w:shd w:val="clear" w:color="auto" w:fill="FFFFFF"/>
        </w:rPr>
        <w:t xml:space="preserve">Электронный ресурс] // Режим доступа: </w:t>
      </w:r>
      <w:hyperlink r:id="rId86" w:history="1">
        <w:r w:rsidRPr="007C364C">
          <w:rPr>
            <w:rStyle w:val="a8"/>
            <w:rFonts w:ascii="Times New Roman" w:hAnsi="Times New Roman"/>
            <w:color w:val="000000" w:themeColor="text1"/>
            <w:sz w:val="28"/>
            <w:szCs w:val="28"/>
            <w:u w:val="none"/>
          </w:rPr>
          <w:t>http://www.russia-italia.com/documenti/costituzioneitalianarusso.pdf</w:t>
        </w:r>
      </w:hyperlink>
    </w:p>
    <w:p w:rsidR="00B83E8D" w:rsidRPr="007C364C" w:rsidRDefault="00B83E8D" w:rsidP="005A3DF4">
      <w:pPr>
        <w:widowControl w:val="0"/>
        <w:spacing w:after="0" w:line="240" w:lineRule="auto"/>
        <w:ind w:firstLine="709"/>
        <w:jc w:val="both"/>
        <w:textAlignment w:val="baseline"/>
        <w:rPr>
          <w:rFonts w:ascii="Times New Roman" w:hAnsi="Times New Roman"/>
          <w:color w:val="000000" w:themeColor="text1"/>
          <w:sz w:val="28"/>
          <w:szCs w:val="28"/>
        </w:rPr>
      </w:pPr>
      <w:r w:rsidRPr="007C364C">
        <w:rPr>
          <w:rFonts w:ascii="Times New Roman" w:hAnsi="Times New Roman"/>
          <w:color w:val="000000" w:themeColor="text1"/>
          <w:sz w:val="28"/>
          <w:szCs w:val="28"/>
        </w:rPr>
        <w:t>13 О защите детей: закон от 01.08.2014 // [</w:t>
      </w:r>
      <w:r w:rsidRPr="007C364C">
        <w:rPr>
          <w:rFonts w:ascii="Times New Roman" w:hAnsi="Times New Roman"/>
          <w:color w:val="000000" w:themeColor="text1"/>
          <w:sz w:val="28"/>
          <w:szCs w:val="28"/>
          <w:shd w:val="clear" w:color="auto" w:fill="FFFFFF"/>
        </w:rPr>
        <w:t xml:space="preserve">Электронный ресурс] // Режим доступа: </w:t>
      </w:r>
      <w:hyperlink r:id="rId87" w:history="1">
        <w:r w:rsidRPr="007C364C">
          <w:rPr>
            <w:rStyle w:val="a8"/>
            <w:rFonts w:ascii="Times New Roman" w:hAnsi="Times New Roman"/>
            <w:color w:val="000000" w:themeColor="text1"/>
            <w:sz w:val="28"/>
            <w:szCs w:val="28"/>
            <w:u w:val="none"/>
          </w:rPr>
          <w:t>http://mosaiikki.info/lakiasiat/files/Finlex-Zakon-o-zashcite-detei-ru20070417.pdf</w:t>
        </w:r>
      </w:hyperlink>
    </w:p>
    <w:p w:rsidR="00B83E8D" w:rsidRPr="007C364C" w:rsidRDefault="00B83E8D" w:rsidP="005A3DF4">
      <w:pPr>
        <w:widowControl w:val="0"/>
        <w:spacing w:after="0" w:line="240" w:lineRule="auto"/>
        <w:ind w:firstLine="709"/>
        <w:jc w:val="both"/>
        <w:textAlignment w:val="baseline"/>
        <w:rPr>
          <w:rFonts w:ascii="Times New Roman" w:hAnsi="Times New Roman"/>
          <w:color w:val="000000" w:themeColor="text1"/>
          <w:sz w:val="28"/>
          <w:szCs w:val="28"/>
        </w:rPr>
      </w:pPr>
      <w:r w:rsidRPr="007C364C">
        <w:rPr>
          <w:rFonts w:ascii="Times New Roman" w:hAnsi="Times New Roman"/>
          <w:color w:val="000000" w:themeColor="text1"/>
          <w:sz w:val="28"/>
          <w:szCs w:val="28"/>
        </w:rPr>
        <w:t>14 Шерстнева К. С. Взыскание алиментов на несовершеннолетних детей в твердой денежной сумме./ К.С. Шерстнева// Российская юстиция. — 2006. — № 6. — С. 25.</w:t>
      </w:r>
    </w:p>
    <w:p w:rsidR="00B83E8D" w:rsidRPr="007C364C" w:rsidRDefault="00B83E8D" w:rsidP="005A3DF4">
      <w:pPr>
        <w:widowControl w:val="0"/>
        <w:spacing w:after="0" w:line="240" w:lineRule="auto"/>
        <w:ind w:firstLine="709"/>
        <w:jc w:val="both"/>
        <w:rPr>
          <w:rFonts w:ascii="Times New Roman" w:hAnsi="Times New Roman"/>
          <w:color w:val="000000" w:themeColor="text1"/>
          <w:sz w:val="28"/>
          <w:szCs w:val="28"/>
        </w:rPr>
      </w:pPr>
      <w:r w:rsidRPr="007C364C">
        <w:rPr>
          <w:rFonts w:ascii="Times New Roman" w:hAnsi="Times New Roman"/>
          <w:color w:val="000000" w:themeColor="text1"/>
          <w:sz w:val="28"/>
          <w:szCs w:val="28"/>
        </w:rPr>
        <w:t>15 Королев Ю. А. Супруги, родители, дети / Ю.А. Королев. - М.: Юридическая литература, 2019. - 176 c.</w:t>
      </w:r>
    </w:p>
    <w:p w:rsidR="00B83E8D" w:rsidRDefault="00B83E8D" w:rsidP="005A3DF4">
      <w:pPr>
        <w:widowControl w:val="0"/>
        <w:spacing w:after="0" w:line="240" w:lineRule="auto"/>
        <w:ind w:firstLine="709"/>
        <w:jc w:val="both"/>
        <w:rPr>
          <w:rFonts w:ascii="Times New Roman" w:eastAsia="Times New Roman" w:hAnsi="Times New Roman"/>
          <w:color w:val="000000" w:themeColor="text1"/>
          <w:sz w:val="28"/>
          <w:szCs w:val="28"/>
        </w:rPr>
      </w:pP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rPr>
      </w:pPr>
      <w:r w:rsidRPr="00467B95">
        <w:rPr>
          <w:rFonts w:ascii="Times New Roman" w:hAnsi="Times New Roman"/>
          <w:b/>
          <w:sz w:val="28"/>
          <w:szCs w:val="28"/>
        </w:rPr>
        <w:t>Анализ судебной практики по спорам, связанным с неисполнением дольщиками обязанностей по договорам участия долевого строительства</w:t>
      </w: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rPr>
      </w:pPr>
    </w:p>
    <w:p w:rsidR="00B83E8D" w:rsidRPr="00467B95" w:rsidRDefault="00B83E8D"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Куприянова Валерия Александровна,</w:t>
      </w:r>
    </w:p>
    <w:p w:rsidR="00B83E8D" w:rsidRPr="00467B95" w:rsidRDefault="00B83E8D"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бакалавр</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 xml:space="preserve">Владивостокский государственный университет экономики и сервиса </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Россия. Владивосток</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lekka</w:t>
      </w:r>
      <w:r w:rsidRPr="00467B95">
        <w:rPr>
          <w:rFonts w:ascii="Times New Roman" w:hAnsi="Times New Roman"/>
          <w:sz w:val="28"/>
          <w:szCs w:val="28"/>
        </w:rPr>
        <w:t>_1997_2009@</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xml:space="preserve">; тел: +7 (917) 705-27-63 </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B83E8D" w:rsidRPr="00467B95" w:rsidRDefault="00B83E8D" w:rsidP="005A3DF4">
      <w:pPr>
        <w:widowControl w:val="0"/>
        <w:spacing w:after="0" w:line="240" w:lineRule="auto"/>
        <w:ind w:firstLine="709"/>
        <w:jc w:val="center"/>
        <w:rPr>
          <w:rFonts w:ascii="Times New Roman" w:hAnsi="Times New Roman"/>
          <w:sz w:val="28"/>
          <w:szCs w:val="28"/>
        </w:rPr>
      </w:pPr>
    </w:p>
    <w:p w:rsidR="00B83E8D" w:rsidRPr="00467B95" w:rsidRDefault="00B83E8D"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Сегодня в России долевое строительство является одним из наиболее актуальных направлений деятельности для строительных компаний, выступающих в качестве крупных застройщиков. Заключая договоры участия долевого строительства с гражданами, компании получают денежные средства, за счет которых осуществляют строительство объектов недвижимости. В свою очередь граждане получают в собственность объект недвижимости, определенный в договоре.</w:t>
      </w:r>
    </w:p>
    <w:p w:rsidR="00B83E8D" w:rsidRPr="00467B95" w:rsidRDefault="00B83E8D" w:rsidP="005A3DF4">
      <w:pPr>
        <w:widowControl w:val="0"/>
        <w:spacing w:after="0" w:line="240" w:lineRule="auto"/>
        <w:ind w:firstLine="709"/>
        <w:jc w:val="both"/>
        <w:rPr>
          <w:rFonts w:ascii="Times New Roman" w:hAnsi="Times New Roman"/>
          <w:i/>
          <w:sz w:val="28"/>
          <w:szCs w:val="28"/>
        </w:rPr>
      </w:pPr>
    </w:p>
    <w:p w:rsidR="00B83E8D" w:rsidRPr="00467B95" w:rsidRDefault="00B83E8D" w:rsidP="005A3DF4">
      <w:pPr>
        <w:widowControl w:val="0"/>
        <w:spacing w:after="0" w:line="240" w:lineRule="auto"/>
        <w:ind w:firstLine="709"/>
        <w:jc w:val="both"/>
        <w:rPr>
          <w:rFonts w:ascii="Times New Roman" w:hAnsi="Times New Roman"/>
          <w:i/>
          <w:sz w:val="28"/>
          <w:szCs w:val="28"/>
        </w:rPr>
      </w:pPr>
      <w:r w:rsidRPr="00D601A8">
        <w:rPr>
          <w:rFonts w:ascii="Times New Roman" w:hAnsi="Times New Roman"/>
          <w:i/>
          <w:sz w:val="28"/>
          <w:szCs w:val="28"/>
        </w:rPr>
        <w:t>Ключевые слова и словосочетания</w:t>
      </w:r>
      <w:r w:rsidRPr="00467B95">
        <w:rPr>
          <w:rFonts w:ascii="Times New Roman" w:hAnsi="Times New Roman"/>
          <w:i/>
          <w:sz w:val="28"/>
          <w:szCs w:val="28"/>
        </w:rPr>
        <w:t>: долевое строительство, договор участия в долевом строительстве, обязательства, застройщик, дольщик</w:t>
      </w:r>
    </w:p>
    <w:p w:rsidR="00B83E8D" w:rsidRPr="00467B95" w:rsidRDefault="00B83E8D" w:rsidP="005A3DF4">
      <w:pPr>
        <w:widowControl w:val="0"/>
        <w:spacing w:after="0" w:line="240" w:lineRule="auto"/>
        <w:ind w:firstLine="709"/>
        <w:jc w:val="both"/>
        <w:rPr>
          <w:rFonts w:ascii="Times New Roman" w:hAnsi="Times New Roman"/>
          <w:b/>
          <w:i/>
          <w:sz w:val="28"/>
          <w:szCs w:val="28"/>
        </w:rPr>
      </w:pPr>
    </w:p>
    <w:p w:rsidR="00B83E8D" w:rsidRPr="00467B95" w:rsidRDefault="00B83E8D"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Analysis of judicial practice on disputes connected with the failure by the shareholders responsibilities in the participation agreements of shared construction</w:t>
      </w:r>
    </w:p>
    <w:p w:rsidR="00B83E8D" w:rsidRPr="00467B95" w:rsidRDefault="00B83E8D" w:rsidP="005A3DF4">
      <w:pPr>
        <w:widowControl w:val="0"/>
        <w:spacing w:after="0" w:line="240" w:lineRule="auto"/>
        <w:ind w:firstLine="709"/>
        <w:jc w:val="center"/>
        <w:rPr>
          <w:rFonts w:ascii="Times New Roman" w:hAnsi="Times New Roman"/>
          <w:b/>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 xml:space="preserve">Today in Russia, shared construction is one of the most relevant activities for construction companies acting as major developers. By entering into contracts for </w:t>
      </w:r>
      <w:r w:rsidRPr="00467B95">
        <w:rPr>
          <w:rFonts w:ascii="Times New Roman" w:hAnsi="Times New Roman"/>
          <w:i/>
          <w:sz w:val="28"/>
          <w:szCs w:val="28"/>
          <w:lang w:val="en-US"/>
        </w:rPr>
        <w:lastRenderedPageBreak/>
        <w:t>the participation of shared construction with citizens, companies receive funds from which they carry out the construction of real estate. In turn, citizens receive ownership of the property specified in the contract.</w:t>
      </w:r>
    </w:p>
    <w:p w:rsidR="00B83E8D" w:rsidRPr="00467B95" w:rsidRDefault="00B83E8D" w:rsidP="005A3DF4">
      <w:pPr>
        <w:widowControl w:val="0"/>
        <w:spacing w:after="0" w:line="240" w:lineRule="auto"/>
        <w:ind w:firstLine="709"/>
        <w:jc w:val="both"/>
        <w:rPr>
          <w:rFonts w:ascii="Times New Roman" w:hAnsi="Times New Roman"/>
          <w:b/>
          <w:i/>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i/>
          <w:sz w:val="28"/>
          <w:szCs w:val="28"/>
          <w:lang w:val="en-US"/>
        </w:rPr>
      </w:pPr>
      <w:r w:rsidRPr="00D601A8">
        <w:rPr>
          <w:rFonts w:ascii="Times New Roman" w:hAnsi="Times New Roman"/>
          <w:i/>
          <w:sz w:val="28"/>
          <w:szCs w:val="28"/>
          <w:lang w:val="en-US"/>
        </w:rPr>
        <w:t>Keywords:</w:t>
      </w:r>
      <w:r w:rsidRPr="00467B95">
        <w:rPr>
          <w:rFonts w:ascii="Times New Roman" w:hAnsi="Times New Roman"/>
          <w:b/>
          <w:i/>
          <w:sz w:val="28"/>
          <w:szCs w:val="28"/>
          <w:lang w:val="en-US"/>
        </w:rPr>
        <w:t xml:space="preserve"> </w:t>
      </w:r>
      <w:r w:rsidRPr="00467B95">
        <w:rPr>
          <w:rFonts w:ascii="Times New Roman" w:hAnsi="Times New Roman"/>
          <w:i/>
          <w:sz w:val="28"/>
          <w:szCs w:val="28"/>
          <w:lang w:val="en-US"/>
        </w:rPr>
        <w:t>equity construction, contract of participation in equity construction, obligations, developer, shareholder</w:t>
      </w:r>
    </w:p>
    <w:p w:rsidR="00B83E8D" w:rsidRPr="005542CD" w:rsidRDefault="00B83E8D" w:rsidP="005A3DF4">
      <w:pPr>
        <w:widowControl w:val="0"/>
        <w:spacing w:after="0" w:line="240" w:lineRule="auto"/>
        <w:ind w:firstLine="709"/>
        <w:jc w:val="both"/>
        <w:rPr>
          <w:rFonts w:ascii="Times New Roman" w:hAnsi="Times New Roman"/>
          <w:i/>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 сегодняшний день в России участие в долевом строительстве является одним из способов получения доступного жилья в собственность. Однако для граждан существуют различные риски, связанные с заключением договоров. Например, просрочка обязательств застройщика по сдаче объекта в указанный в договоре срок, банкротство, заморозка строительства объекта недвижимости, риск стать обманутым дольщиком и попасть в реестр обманутых дольщиков.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Вместе с тем, неисполнение дольщиками встречных обязанностей по договорам способно негативно повлиять на финансово-экономическое состояние компаний-застройщиков. Несмотря на указанное обстоятельство, вопросу ответственности дольщиков за неисполнение и ненадлежащее исполнение своих договорных обязанностей уделяется куда меньше внимания в учебной и научной литературе, что обуславливает актуальность темы данной статьи.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Целью исследования выступает выявление типовых спорных ситуаций, вытекающих из неисполнения и ненадлежащего исполнения дольщиками обязанностей по договорам долевого участия в строительстве; выявление причин, порождающих данные споры и предложение путей их устранения.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Проанализирована юридическая практика применения судами общей юрисдикции норм законодательства об участии в долевом строительстве многоквартирных домов и иных объектов недвижимости и гражданского законодательства в количестве 27 гражданских дел, принятых за период с 2013 года по 2018 год включительно судами общей юрисдикции девятнадцати субъектов Российской Федерации, а именно: Краснодарский краевой суд (дело № 33-16319/2018 [1]), Нижегородский областной суд (дело № 33-8924/2017 [2]), Оренбургский областной суд (дело № 33-6006/2017 [3]), Самарский областной суд (дело № 33-3290/2018 [4]), Сахалинский областной суд (дело № 33-1276/2015 [5]), Алтайский краевой суд (дело № 33-2926/2015 [6]), Челябинский областной суд (дело № 11-470/2017 [7]), Абаканский городской суд (дело № 11-602/2016 [8]), Якутский городской суд (дело № 2-6304/2018 [9]), Верховный суд Республики Мордовия (дело № 33-1714/2018 [10], дело № 33-1066/2018 [11]), Верховный суд Чувашкой Республики (дело № 33-5187/2017 [12]), Московский городской суд (дело № 33-43934/2018 [13], № 33-272014/2018 [14] дело № 33-50826/2018 [15], дело № 33-34030/2018 [16]), Пермский краевой суд (дело № 33-11901/2017 [17]), Октябрьский районный суд г. Улан-Удэ (дело № 2-3074/2018 [18]), Центральный районный суд г. Тюмень (дело № 2-4906/2018 [19]), Люберецкий городской суд (дело № </w:t>
      </w:r>
      <w:r w:rsidRPr="00467B95">
        <w:rPr>
          <w:rFonts w:ascii="Times New Roman" w:hAnsi="Times New Roman"/>
          <w:sz w:val="28"/>
          <w:szCs w:val="28"/>
        </w:rPr>
        <w:lastRenderedPageBreak/>
        <w:t xml:space="preserve">2-3550/2017 [20]), Верховный суд Республики Башкортостан (дело № 33-13182 [21]), Хабаровский краевой суд (дело № 33-1270 [22]), Советский районный суд г. Краснодара (дело № 2-5844/2017 [23], дело № 4565/2018 [24]), Верховный суд Республики Башкортостан (дело № 33-7244/2016 [25]), Псковский областной суд (дело № 33-2051/2013 [26], дело № 33-175/2014 [27]).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результате проделанного исследования выявлено три категории споров, которые возникают между застройщиками (как истцами) и дольщиками (как ответчиками).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Первой категорией выступают споры о принудительном исполнении обязанностей по договорам участия в долевом строительстве (далее по тексту – ДДУ). Выявлено девять споров, в которых предметом исковых требований выступают – взыскание застройщиками основного долга по ДДУ с физических лиц – дольщиков.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Результаты решений по данной категории споров выглядят следующим образом: из девяти дел решений в пользу истцов вынесено в количестве семи, отказов в количестве двух. В процентном соотношении удовлетворено исковых заявлений по данной категории споров в количестве 78 %, отказано в количестве 22 %.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Интересно отметить позицию суда в одном из гражданских дел № 2-5844/2017 [10]. Суд исходил из того, что если указанные в дефектном акте недостатки в квартире: отсутствие горячей воды, проем канализационной трубы не расширен, в ванной комнате не заштукатурены щели, в комнате сбит угол не являются существенными, то объект недвижимости в таком состоянии принять можно, а в свою очередь поведение ответчика необходимо расценивать как уклонение от подписания акта приема-передачи. В таком случае, требования истца подлежат удовлетворению.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делу № 33-27204/2018 [3], суд исходил из следующего. Если стороны в договоре установили конкретный график, по которому ответчику необходимо осуществлять платежи, то факт осуществления платежа не в ту дату, что указана в графике – является нарушением условий договора. Таким образом, квитанции, представленные истцом, подтвердили, что дата, согласованная сторонами в договоре, и дата, указанная в квитанции, не совпадают, поэтому ответчик просрочил исполнение обязательств и требования необходимо удовлетворить.</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Проанализировав данную категорию споров, приходим к выводу, что сторонам ДДУ необходимо понимать все его существенные условия, единообразно понимать их и применять грамотно. Застройщикам, на наш взгляд, при необходимости надо прибегать к услугам экспертов для отстаивания своей позиции по делу, тем самым уменьшить риски неполучения денежных средств от дольщиков за построенные им объекты недвижимости по ДДУ. В свою очередь дольщикам хотелось бы порекомендовать сохранять все квитанции об уплате стоимости объекта недвижимости, так как для суда это является одним из существенных </w:t>
      </w:r>
      <w:r w:rsidRPr="00467B95">
        <w:rPr>
          <w:rFonts w:ascii="Times New Roman" w:hAnsi="Times New Roman"/>
          <w:sz w:val="28"/>
          <w:szCs w:val="28"/>
        </w:rPr>
        <w:lastRenderedPageBreak/>
        <w:t xml:space="preserve">доказательств, подтверждающее надлежащее исполнение обязанностей по ДДУ.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Вторая категория – споры о применении мер ответственности по договорам участия в долевом строительстве к дольщику. Выявлено пятнадцать споров, в которых предметом исковых требований выступают – взыскание неустойки, а также взыскание процентов за пользование чужими денежными средствами и суммы неосновательного обогащения застройщиками с дольщиков.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Результаты решений по данной категории споров выглядят следующим образом: из 15 дел решений в пользу истцов вынесено в количестве девяти, отказов в количестве шести. В процентном соотношении удовлетворено исковых заявлений по данной категории споров в количестве 60 %, отказано в количестве 40 %.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Считаем необходимым обратить внимание на решение судов, по которым в удовлетворении исковых требований отказано в полном объеме. В целом, принимая отказы, суды исходили из того, что истец либо не доказывает факт ненадлежащего исполнения обязательств ответчиком перед ним, либо злоупотребляет правами и пытается неосновательно взыскать денежные средства с ответчика. Например, в одном из дел (дело № 33-1270 [22]) суд указал, что отношения юридических лицо по поводу порядка взаиморасчетов не могут влиять на права и законные интересы ответчика, что подтверждает неверное поведение истца.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одном из дел (№ 33-11901/2017 [17]) фигурировал такой процессуальный аспект как пропуск срока исковой давности, безусловно ответчик об этом заявил в судебном заседании и требования не были удовлетворены.</w:t>
      </w:r>
    </w:p>
    <w:p w:rsidR="00B83E8D" w:rsidRPr="00467B95" w:rsidRDefault="00B83E8D"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rPr>
        <w:t xml:space="preserve">Интересно отметить, что в деле № 2-4906/2018 [19] суд частично удовлетворил заявленные требования, исходя из того, </w:t>
      </w:r>
      <w:r w:rsidRPr="00467B95">
        <w:rPr>
          <w:rFonts w:ascii="Times New Roman" w:hAnsi="Times New Roman"/>
          <w:sz w:val="28"/>
          <w:szCs w:val="28"/>
          <w:shd w:val="clear" w:color="auto" w:fill="FFFFFF"/>
        </w:rPr>
        <w:t xml:space="preserve">что стороны установили в договорах неустойку в виде пени, которая предполагает начисление 0,1 % на сумму долга за каждый день просрочки. Далее суд отметил, что за период, в течении которого ответчик просрочил исполнение обязательств на числилась неустойка в размере 2 721 532,60 рублей, что является существенной суммой для ответчика. Однако ответчиком было заявлено ходатайство о снижении размера неустойки.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shd w:val="clear" w:color="auto" w:fill="FFFFFF"/>
        </w:rPr>
        <w:t xml:space="preserve">При таких обстоятельствах суд принял решение о ее снижении, указав на норму ст. 333 ГК РФ [28, ст. 333], а также разъяснил, что с учетом степени вины ответчика, характера нарушения обязательства, периода просрочки исполнения обязательства, ввиду несоразмерности заявленного требования о взыскании неустойки последствиям нарушения обязательства, сумма пеней (неустойки) подлежит снижению до 500 000 рублей. Таким образом, мы видим, что неустойка снижена судом на 81, 6 %, что значительно превышает даже 50 %.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Третья категория – споры об изменении существенных условий договоров участия в долевом строительстве. Выявлено три спора, в которых </w:t>
      </w:r>
      <w:r w:rsidRPr="00467B95">
        <w:rPr>
          <w:rFonts w:ascii="Times New Roman" w:hAnsi="Times New Roman"/>
          <w:sz w:val="28"/>
          <w:szCs w:val="28"/>
        </w:rPr>
        <w:lastRenderedPageBreak/>
        <w:t xml:space="preserve">предметом исковых требований выступают – обязать дольщиков заключить дополнительное соглашение с застройщиками к ДДУ.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Результаты решений по данной категории споров выглядят следующим образом: из 3 дел решений в пользу истцов вынесено в количестве одного, отказов в количестве двух. В процентном соотношении удовлетворено исковых заявлений по данной категории споров в количестве 33 %, отказано в количестве 67 %.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Суд, рассматривая одно из гражданских дел, № 33-7244/2016 [26], по данной категории споров, принял решение об удовлетворении заявленных исковых требований в виду следующего. Истец доказал факт изменения проектной площади квартиры и фактической, путем предоставления приложения к ДДУ, в котором была указана проектная площадь квартиры, а также технический паспорт подтвердил, что общая площадь квартиры по итогам завершения строительства объекта недвижимости увеличилась.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Суд сопоставляя два доказательства согласился с доводами истца о том, что проектная площадь (площадь, прописанная изначально в ДДУ) меньше, чем фактическая площадь объекта недвижимости (установлена благодаря обмерам фактической площади). Таким образом, отметил важный аспект, поскольку сторонами спора была возможность изменения цены, условия и случаи ее изменения, и такой случай наступил, то истец вправе требовать от ответчика заключения дополнительного соглашения к ДДУ об изменении цены объекта недвижимости.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color w:val="000000"/>
          <w:sz w:val="28"/>
          <w:szCs w:val="28"/>
        </w:rPr>
        <w:t xml:space="preserve">По результатам исследования, путем проведения анализа судебной практики по </w:t>
      </w:r>
      <w:r w:rsidRPr="00467B95">
        <w:rPr>
          <w:rFonts w:ascii="Times New Roman" w:hAnsi="Times New Roman"/>
          <w:sz w:val="28"/>
          <w:szCs w:val="28"/>
        </w:rPr>
        <w:t>спорам, связанным с неисполнением дольщиками обязанностей по договорам участия долевого строительства, можем сделать следующие выводы.</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Во-первых, иногда присутствует проблема договорной дисциплины, которая может выражаться в неверном составлении и описании условий договора участия в долевом строительстве. Для того чтобы устранить данную проблему, на наш взгляд необходимо грамотно формулировать условия, случаи и возможности, при наступлении которых застройщик вправе требовать от дольщика произвести доплату по ДДУ в связи с изменением площади объекта недвижимости. Предлагаем следующую формулировку такого условия в ДДУ, в качестве отдельного пункта: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«Застройщик вправе требовать от дольщика заключения дополнительного соглашения к ДДУ об увеличении стоимости объекта долевого строительства при выполнении следующих условий:</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1) надлежащим образом уведомить дольщика, путем направления заказного письма с уведомлением о вручении, о готовности передать объект долевого строительства в собственность, в течение 10 дней с даты фактического завершения строительства и получения разрешения на ввод в эксплуатацию жилого дома;</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2) приложить документы, подтверждающие факт изменения площади квартиры по окончании строительства объекта долевого участия </w:t>
      </w:r>
      <w:r w:rsidRPr="00467B95">
        <w:rPr>
          <w:rFonts w:ascii="Times New Roman" w:hAnsi="Times New Roman"/>
          <w:sz w:val="28"/>
          <w:szCs w:val="28"/>
        </w:rPr>
        <w:lastRenderedPageBreak/>
        <w:t>(технический паспорт объекта, заключение БТИ, приложение к ДДУ, с обозначенной проектной площадью квартиры);</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3) предоставить наглядный расчет разницы, которую необходимо доплатить дольщику в связи с увеличением площади объекта долевого участия.</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При выполнении застройщиком вышеуказанных условий, подписание дополнительного соглашения к ДДУ для дольщика является обязательным».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На наш взгляд, если детально прописать процедуру заключения застройщиком дополнительного соглашения к ДДУ с дольщиком об увеличении цены ДДУ в связи с увеличением площади объекта долевого участия, тем меньше споров будет вызывать данное требование в дальнейшем, и застройщику не придётся обращаться в суд с иском к дольщикам о взыскании суммы основного долга по ДДУ, неустойки, а также о понуждении заключить дольщику с ним дополнительное соглашение к ДДУ.</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Во-вторых, застройщику необходимо помнить о том, что если он проводит экспертизу, чтобы доказать дольщику факт увеличения площади объекта долевого участия, то помимо экспертов и представителей от себя, необходимо уведомлять дольщика о проведении данного рода экспертизы. Иначе, дольщик в суде заявит о том, что экспертиза не проводилась в его присутствии, а, следовательно, ее результаты возможно фальсифицированы. При таких обстоятельствах суд назначает судебную экспертизу, которую застройщик повторно проводит за свой счет, что изначально не выгодно для него самого, а также затягивает сроки рассмотрения гражданского дела, поскольку на момент проведения экспертизы, в силу п. 3 ст. 216 ГПК РФ суд вправе приостановить производство по делу [29, ст. 216].</w:t>
      </w:r>
    </w:p>
    <w:p w:rsidR="00B83E8D" w:rsidRPr="00467B95" w:rsidRDefault="00B83E8D" w:rsidP="005A3DF4">
      <w:pPr>
        <w:widowControl w:val="0"/>
        <w:spacing w:after="0" w:line="240" w:lineRule="auto"/>
        <w:ind w:firstLine="709"/>
        <w:contextualSpacing/>
        <w:jc w:val="both"/>
        <w:rPr>
          <w:rFonts w:ascii="Times New Roman" w:hAnsi="Times New Roman"/>
          <w:sz w:val="28"/>
          <w:szCs w:val="28"/>
          <w:shd w:val="clear" w:color="auto" w:fill="FFFFFF"/>
        </w:rPr>
      </w:pPr>
      <w:r w:rsidRPr="00467B95">
        <w:rPr>
          <w:rFonts w:ascii="Times New Roman" w:hAnsi="Times New Roman"/>
          <w:sz w:val="28"/>
          <w:szCs w:val="28"/>
        </w:rPr>
        <w:t xml:space="preserve">В-третьих, на наш взгляд, необходимо в договоре прописывать что означает понятие «в течение … банковских дней», то есть указать, что банковские дни – это </w:t>
      </w:r>
      <w:r w:rsidRPr="00467B95">
        <w:rPr>
          <w:rFonts w:ascii="Times New Roman" w:hAnsi="Times New Roman"/>
          <w:sz w:val="28"/>
          <w:szCs w:val="28"/>
          <w:shd w:val="clear" w:color="auto" w:fill="FFFFFF"/>
        </w:rPr>
        <w:t xml:space="preserve">рабочие часы конкретного банка или период, в течение которого кредитное учреждение производит расчетные операции и обслуживание клиентов. Это необходимо сделать для того, чтобы дольщику было понятно, в какие конкретные сроки ему необходимо произвести оплату и не просрочить срок исполнения данной обязанности по ДДУ перед застройщиком. При этом, следует учитывать, что каждый банк вправе устанавливать свою продолжительность дня, и в связи с этим застройщику необходимо озаботиться и указать, что составляет банковский день в конкретном его банке. </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shd w:val="clear" w:color="auto" w:fill="FFFFFF"/>
        </w:rPr>
        <w:t>В-четвертых, необходимо учитывать, что иногда стороны неверно применяют нормы договора участия в долевом строительстве, поскольку нет требований, закрепленных в законодательстве. Для устранения таких неточностей, на наш взгляд целесообразно ввести новую норму в ФЗ «Об участии в долевом строительстве», которую можно сформулировать следующим образом: «</w:t>
      </w:r>
      <w:r w:rsidRPr="00467B95">
        <w:rPr>
          <w:rFonts w:ascii="Times New Roman" w:hAnsi="Times New Roman"/>
          <w:sz w:val="28"/>
          <w:szCs w:val="28"/>
        </w:rPr>
        <w:t xml:space="preserve">Факт передачи квартиры застройщиком дольщику по акту приема-передачи, не освобождает дольщика от обязанности погасить </w:t>
      </w:r>
      <w:r w:rsidRPr="00467B95">
        <w:rPr>
          <w:rFonts w:ascii="Times New Roman" w:hAnsi="Times New Roman"/>
          <w:sz w:val="28"/>
          <w:szCs w:val="28"/>
        </w:rPr>
        <w:lastRenderedPageBreak/>
        <w:t>долг по ДДУ, если на момент передачи квартиры таковой имеется». Данная норма отбросит все сомнения, и у дольщика не будет возникать вопросов должен он погасить долг или может уже не гасить его вовсе, а застройщик будет тем самым защищен от потери денежных средств.</w:t>
      </w:r>
    </w:p>
    <w:p w:rsidR="00B83E8D" w:rsidRPr="00467B95" w:rsidRDefault="00B83E8D"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В-пятых, для стороны ответчика по всем вышерассмотренным нами категориям споров целесообразно заявлять самостоятельно ходатайство об уменьшении размера неустойки, так как больше вероятности, что суд ее снизит. Однако следует учитывать, что дольщики – это физические лица, и суд может и без соответствующего ходатайства правомерно снизить ее размер на основании ст. 333 ГК РФ [25, ст. 333], но не стоит пренебрегать своими процессуальными правами и пользоваться ими необходимо в полной мере для разрешения спора и вынесения решения, которое будет наиболее выгодным даже для стороны ответчика.  </w:t>
      </w:r>
    </w:p>
    <w:p w:rsidR="00D601A8" w:rsidRPr="00467B95" w:rsidRDefault="00D601A8"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B83E8D" w:rsidRPr="00D601A8" w:rsidRDefault="00B83E8D" w:rsidP="005A3DF4">
      <w:pPr>
        <w:pStyle w:val="a7"/>
        <w:widowControl w:val="0"/>
        <w:numPr>
          <w:ilvl w:val="0"/>
          <w:numId w:val="11"/>
        </w:numPr>
        <w:spacing w:after="0" w:line="240" w:lineRule="auto"/>
        <w:ind w:left="0" w:firstLine="709"/>
        <w:jc w:val="both"/>
        <w:rPr>
          <w:rFonts w:ascii="Times New Roman" w:hAnsi="Times New Roman"/>
          <w:sz w:val="28"/>
          <w:szCs w:val="28"/>
        </w:rPr>
      </w:pPr>
      <w:r w:rsidRPr="00D601A8">
        <w:rPr>
          <w:rFonts w:ascii="Times New Roman" w:hAnsi="Times New Roman"/>
          <w:sz w:val="28"/>
          <w:szCs w:val="28"/>
        </w:rPr>
        <w:t>О взыскании задолженности по договору участия в долевом строительстве: апелляционное определение 33-16319/2018 Краснодарского краевого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денежных средств: апелляционное определение 33-8924/2017 Нижегородского областного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суммы по договору: апелляционное определение 33-6006/2017 Оренбургского областного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денежных средств: апелляционное определение 33-3290/2018 Самарского областного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денежных средств по договору: апелляционное определение 33-1276/2015 Сахалинского областного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договору участия в долевом строительстве: апелляционное определение 33-2926/2015 Алтайского краевого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договору участия в долевом строительстве: апелляционное определение 11-470/2017 Челябинского областного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договору участия в долевом строительстве: определение 11-602/2016 Абаканского городского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договору участия в долевом строительстве: решение 2-6304/2018 Якутского городского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lastRenderedPageBreak/>
        <w:t>О взыскании задолженности по договору подряда и соглашению о доплате, процентов за пользование чужими денежными средствами, процентов за пользование чужими денежными средствами по день фактической оплаты задолженности: апелляционное определение 33-1714/2018 Верховного суда Республики Мордовия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денежных средств по договору участия в долевом строительстве, неустойки, неосновательного обогащения, процентов за пользование чужими денежными средствами: апелляционное определение 33-1066/2018 Верховного суда Республики Мордовия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суммы неосновательного обогащения, процентов за пользование чужими денежными средствами: апелляционное определение 33-5187/2017 Верховного суда Чувашской Республики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color w:val="000000"/>
          <w:sz w:val="28"/>
          <w:szCs w:val="28"/>
          <w:shd w:val="clear" w:color="auto" w:fill="FFFFFF"/>
        </w:rPr>
        <w:t xml:space="preserve">О взыскании задолженности по договору и неустойки: </w:t>
      </w:r>
      <w:r w:rsidRPr="00467B95">
        <w:rPr>
          <w:rFonts w:ascii="Times New Roman" w:hAnsi="Times New Roman" w:cs="Times New Roman"/>
          <w:sz w:val="28"/>
          <w:szCs w:val="28"/>
        </w:rPr>
        <w:t>апелляционное определение 33-43934/2018 Московского городского суда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суммы основного долга по договору участия в долевом строительстве, о взыскании неустойки: апелляционное определение 33-27204/2018 Московского городского суда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уплате цены договора, о взыскании неустойки: апелляционное определение 33-50826/2018 Московского городского суда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денежной суммы, неустойки на денежную сумму и неустойку за уклонение от подписания акта сверки взаиморасчетов: апелляционное определение 33-34030/2018 Московского городского суда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договору участия в долевом строительстве, неустойки: апелляционное определение 33-11901/2017 Пермского краевого суда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договору участия в долевом строительстве, неустойки: решение 2-3074/2018 Октябрьского районного суда г. Улан-Удэ</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неустойки: решение 2-4906/2018 Центрального районного суда г. Тюмень</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задолженности по договору участия в долевом строительстве, неустойки: решение 2-3550/2017 Люберецкого городского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shd w:val="clear" w:color="auto" w:fill="FFFFFF"/>
        </w:rPr>
        <w:t>О взыскании неустойки</w:t>
      </w:r>
      <w:r w:rsidRPr="00467B95">
        <w:rPr>
          <w:rFonts w:ascii="Times New Roman" w:hAnsi="Times New Roman" w:cs="Times New Roman"/>
          <w:sz w:val="28"/>
          <w:szCs w:val="28"/>
        </w:rPr>
        <w:t xml:space="preserve">: апелляционное определение 33-13182 </w:t>
      </w:r>
      <w:r w:rsidRPr="00467B95">
        <w:rPr>
          <w:rFonts w:ascii="Times New Roman" w:hAnsi="Times New Roman" w:cs="Times New Roman"/>
          <w:sz w:val="28"/>
          <w:szCs w:val="28"/>
        </w:rPr>
        <w:lastRenderedPageBreak/>
        <w:t>Верховного суда Республики Башкортостан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неустойки: апелляционное определение 33-1270 Хабаровского краевого суда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неустойки, возмещении почтовых расходов: решение 2-5844/2017 Советского районного суда г. Краснодара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взыскании неустойки, судебных расходов: решение 2-4565/2018 Советского районного суда г. Краснодара</w:t>
      </w:r>
      <w:r w:rsidRPr="00467B95">
        <w:rPr>
          <w:rFonts w:ascii="Times New Roman" w:hAnsi="Times New Roman" w:cs="Times New Roman"/>
          <w:color w:val="000000"/>
          <w:sz w:val="28"/>
          <w:szCs w:val="28"/>
          <w:shd w:val="clear" w:color="auto" w:fill="FFFFFF"/>
        </w:rPr>
        <w:t xml:space="preserve"> </w:t>
      </w:r>
      <w:r w:rsidRPr="00467B95">
        <w:rPr>
          <w:rFonts w:ascii="Times New Roman" w:hAnsi="Times New Roman" w:cs="Times New Roman"/>
          <w:sz w:val="28"/>
          <w:szCs w:val="28"/>
        </w:rPr>
        <w:t>[Электронный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Об обязании заключить дополнительное соглашение к договору: апелляционное определение 33-7244/2016 Верховного суда Республики Башкортостан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Об обязании заключить дополнительное соглашение к договору долевого участия в строительстве: апелляционное определение 33-2051/2013 Псковского областного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Об обязании заключить дополнительное соглашение к договору долевого участия в строительстве: апелляционное определение 33-175/2014 Псковского областного суда [Электронный ресурс] // Судакт. – Режим доступа: http://sudact.ru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Гражданский кодекс Российской Федерации. Часть первая: федеральный закон от 30.11.1994 г. № 51-ФЗ (ред. от 03.08.2018) [Электронный ресурс] // СПС «КонсультантПлюс». – Режим доступа: http://www.consultant.ru</w:t>
      </w:r>
    </w:p>
    <w:p w:rsidR="00B83E8D" w:rsidRPr="00467B95" w:rsidRDefault="00B83E8D" w:rsidP="005A3DF4">
      <w:pPr>
        <w:pStyle w:val="a7"/>
        <w:widowControl w:val="0"/>
        <w:numPr>
          <w:ilvl w:val="0"/>
          <w:numId w:val="11"/>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Гражданский процессуальный кодекс Российской Федерации: федеральный закон от 14.11.2002 г. № 138-ФЗ (ред. от 27.12.2018) [Электронный ресурс] // СПС «КонсультантПлюс». – Режим доступа: http://www.consultant.ru</w:t>
      </w:r>
    </w:p>
    <w:p w:rsidR="00B83E8D" w:rsidRPr="00467B95" w:rsidRDefault="00B83E8D" w:rsidP="005A3DF4">
      <w:pPr>
        <w:widowControl w:val="0"/>
        <w:spacing w:after="0" w:line="240" w:lineRule="auto"/>
        <w:ind w:firstLine="709"/>
        <w:jc w:val="both"/>
        <w:rPr>
          <w:rFonts w:ascii="Times New Roman" w:hAnsi="Times New Roman"/>
          <w:sz w:val="28"/>
          <w:szCs w:val="28"/>
        </w:rPr>
      </w:pP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b/>
          <w:kern w:val="36"/>
          <w:sz w:val="28"/>
          <w:szCs w:val="28"/>
        </w:rPr>
      </w:pPr>
      <w:r w:rsidRPr="00467B95">
        <w:rPr>
          <w:rFonts w:ascii="Times New Roman" w:hAnsi="Times New Roman"/>
          <w:b/>
          <w:kern w:val="36"/>
          <w:sz w:val="28"/>
          <w:szCs w:val="28"/>
        </w:rPr>
        <w:t>Правовое регулирование оказания услуг потенциально опасных для жизни и здоровья граждан</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b/>
          <w:kern w:val="36"/>
          <w:sz w:val="28"/>
          <w:szCs w:val="28"/>
        </w:rPr>
      </w:pP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kern w:val="36"/>
          <w:sz w:val="28"/>
          <w:szCs w:val="28"/>
        </w:rPr>
      </w:pPr>
      <w:r w:rsidRPr="00467B95">
        <w:rPr>
          <w:rFonts w:ascii="Times New Roman" w:hAnsi="Times New Roman"/>
          <w:kern w:val="36"/>
          <w:sz w:val="28"/>
          <w:szCs w:val="28"/>
        </w:rPr>
        <w:t>Лимачко Павел Сергеевич</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kern w:val="36"/>
          <w:sz w:val="28"/>
          <w:szCs w:val="28"/>
        </w:rPr>
      </w:pPr>
      <w:r w:rsidRPr="00467B95">
        <w:rPr>
          <w:rFonts w:ascii="Times New Roman" w:hAnsi="Times New Roman"/>
          <w:kern w:val="36"/>
          <w:sz w:val="28"/>
          <w:szCs w:val="28"/>
        </w:rPr>
        <w:t>Бакалавр</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i/>
          <w:kern w:val="36"/>
          <w:sz w:val="28"/>
          <w:szCs w:val="28"/>
        </w:rPr>
      </w:pPr>
      <w:r w:rsidRPr="00467B95">
        <w:rPr>
          <w:rFonts w:ascii="Times New Roman" w:hAnsi="Times New Roman"/>
          <w:i/>
          <w:kern w:val="36"/>
          <w:sz w:val="28"/>
          <w:szCs w:val="28"/>
        </w:rPr>
        <w:t>Владивостокский государственный университет экономики и сервиса</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i/>
          <w:kern w:val="36"/>
          <w:sz w:val="28"/>
          <w:szCs w:val="28"/>
        </w:rPr>
      </w:pPr>
      <w:r w:rsidRPr="00467B95">
        <w:rPr>
          <w:rFonts w:ascii="Times New Roman" w:hAnsi="Times New Roman"/>
          <w:i/>
          <w:kern w:val="36"/>
          <w:sz w:val="28"/>
          <w:szCs w:val="28"/>
        </w:rPr>
        <w:t>Россия. Владивосток</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kern w:val="36"/>
          <w:sz w:val="28"/>
          <w:szCs w:val="28"/>
        </w:rPr>
      </w:pPr>
      <w:r w:rsidRPr="00467B95">
        <w:rPr>
          <w:rFonts w:ascii="Times New Roman" w:hAnsi="Times New Roman"/>
          <w:kern w:val="36"/>
          <w:sz w:val="28"/>
          <w:szCs w:val="28"/>
          <w:lang w:val="en-US"/>
        </w:rPr>
        <w:t>E</w:t>
      </w:r>
      <w:r w:rsidRPr="00467B95">
        <w:rPr>
          <w:rFonts w:ascii="Times New Roman" w:hAnsi="Times New Roman"/>
          <w:kern w:val="36"/>
          <w:sz w:val="28"/>
          <w:szCs w:val="28"/>
        </w:rPr>
        <w:t>-</w:t>
      </w:r>
      <w:r w:rsidRPr="00467B95">
        <w:rPr>
          <w:rFonts w:ascii="Times New Roman" w:hAnsi="Times New Roman"/>
          <w:kern w:val="36"/>
          <w:sz w:val="28"/>
          <w:szCs w:val="28"/>
          <w:lang w:val="en-US"/>
        </w:rPr>
        <w:t>mail</w:t>
      </w:r>
      <w:r w:rsidRPr="00467B95">
        <w:rPr>
          <w:rFonts w:ascii="Times New Roman" w:hAnsi="Times New Roman"/>
          <w:kern w:val="36"/>
          <w:sz w:val="28"/>
          <w:szCs w:val="28"/>
        </w:rPr>
        <w:t xml:space="preserve">: </w:t>
      </w:r>
      <w:r w:rsidRPr="00467B95">
        <w:rPr>
          <w:rFonts w:ascii="Times New Roman" w:hAnsi="Times New Roman"/>
          <w:kern w:val="36"/>
          <w:sz w:val="28"/>
          <w:szCs w:val="28"/>
          <w:lang w:val="en-US"/>
        </w:rPr>
        <w:t>limachko</w:t>
      </w:r>
      <w:r w:rsidRPr="00467B95">
        <w:rPr>
          <w:rFonts w:ascii="Times New Roman" w:hAnsi="Times New Roman"/>
          <w:kern w:val="36"/>
          <w:sz w:val="28"/>
          <w:szCs w:val="28"/>
        </w:rPr>
        <w:t>1997.97@</w:t>
      </w:r>
      <w:r w:rsidRPr="00467B95">
        <w:rPr>
          <w:rFonts w:ascii="Times New Roman" w:hAnsi="Times New Roman"/>
          <w:kern w:val="36"/>
          <w:sz w:val="28"/>
          <w:szCs w:val="28"/>
          <w:lang w:val="en-US"/>
        </w:rPr>
        <w:t>mail</w:t>
      </w:r>
      <w:r w:rsidRPr="00467B95">
        <w:rPr>
          <w:rFonts w:ascii="Times New Roman" w:hAnsi="Times New Roman"/>
          <w:kern w:val="36"/>
          <w:sz w:val="28"/>
          <w:szCs w:val="28"/>
        </w:rPr>
        <w:t>.</w:t>
      </w:r>
      <w:r w:rsidRPr="00467B95">
        <w:rPr>
          <w:rFonts w:ascii="Times New Roman" w:hAnsi="Times New Roman"/>
          <w:kern w:val="36"/>
          <w:sz w:val="28"/>
          <w:szCs w:val="28"/>
          <w:lang w:val="en-US"/>
        </w:rPr>
        <w:t>ru</w:t>
      </w:r>
      <w:r w:rsidRPr="00467B95">
        <w:rPr>
          <w:rFonts w:ascii="Times New Roman" w:hAnsi="Times New Roman"/>
          <w:kern w:val="36"/>
          <w:sz w:val="28"/>
          <w:szCs w:val="28"/>
        </w:rPr>
        <w:t>; тел.: +79149610891</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kern w:val="36"/>
          <w:sz w:val="28"/>
          <w:szCs w:val="28"/>
        </w:rPr>
      </w:pPr>
      <w:r w:rsidRPr="00467B95">
        <w:rPr>
          <w:rFonts w:ascii="Times New Roman" w:hAnsi="Times New Roman"/>
          <w:kern w:val="36"/>
          <w:sz w:val="28"/>
          <w:szCs w:val="28"/>
        </w:rPr>
        <w:t>ул. Гоголя, 41, г. Владивосток, Приморский край, Россия, 690014</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kern w:val="36"/>
          <w:sz w:val="28"/>
          <w:szCs w:val="28"/>
        </w:rPr>
      </w:pP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rPr>
      </w:pPr>
      <w:r w:rsidRPr="00467B95">
        <w:rPr>
          <w:rFonts w:ascii="Times New Roman" w:hAnsi="Times New Roman"/>
          <w:i/>
          <w:kern w:val="36"/>
          <w:sz w:val="28"/>
          <w:szCs w:val="28"/>
        </w:rPr>
        <w:t xml:space="preserve">Статья посвящена такой актуальной в настоящее время проблеме, как оказания недобросовестными предпринимателями услуг, опасных для </w:t>
      </w:r>
      <w:r w:rsidRPr="00467B95">
        <w:rPr>
          <w:rFonts w:ascii="Times New Roman" w:hAnsi="Times New Roman"/>
          <w:i/>
          <w:kern w:val="36"/>
          <w:sz w:val="28"/>
          <w:szCs w:val="28"/>
        </w:rPr>
        <w:lastRenderedPageBreak/>
        <w:t xml:space="preserve">жизни и здоровья. Особенно остро эта проблема наблюдается в таких сферах предпринимательской деятельности, как развлекательная, медицинская, а также сфера оказания услуг перевозки пассажиров и другие. В связи с чем появляется необходимость определения правовых подходов к понимаю таких услуг и их правового регулирования.  </w:t>
      </w:r>
    </w:p>
    <w:p w:rsidR="00844289" w:rsidRDefault="00844289" w:rsidP="005A3DF4">
      <w:pPr>
        <w:widowControl w:val="0"/>
        <w:shd w:val="clear" w:color="auto" w:fill="FFFFFF"/>
        <w:spacing w:after="0" w:line="240" w:lineRule="auto"/>
        <w:ind w:firstLine="709"/>
        <w:contextualSpacing/>
        <w:jc w:val="both"/>
        <w:rPr>
          <w:rFonts w:ascii="Times New Roman" w:hAnsi="Times New Roman"/>
          <w:b/>
          <w:i/>
          <w:kern w:val="36"/>
          <w:sz w:val="28"/>
          <w:szCs w:val="28"/>
        </w:rPr>
      </w:pP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rPr>
      </w:pPr>
      <w:r w:rsidRPr="00223E99">
        <w:rPr>
          <w:rFonts w:ascii="Times New Roman" w:hAnsi="Times New Roman"/>
          <w:i/>
          <w:kern w:val="36"/>
          <w:sz w:val="28"/>
          <w:szCs w:val="28"/>
        </w:rPr>
        <w:t>Ключевые слова и словосочетания:</w:t>
      </w:r>
      <w:r w:rsidRPr="00467B95">
        <w:rPr>
          <w:rFonts w:ascii="Times New Roman" w:hAnsi="Times New Roman"/>
          <w:i/>
          <w:kern w:val="36"/>
          <w:sz w:val="28"/>
          <w:szCs w:val="28"/>
        </w:rPr>
        <w:t xml:space="preserve"> услуга, потребитель, предприниматель, безопасность, законодательство, уголовная ответственность</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rPr>
      </w:pP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b/>
          <w:kern w:val="36"/>
          <w:sz w:val="28"/>
          <w:szCs w:val="28"/>
          <w:lang w:val="en-US"/>
        </w:rPr>
      </w:pPr>
      <w:r w:rsidRPr="00467B95">
        <w:rPr>
          <w:rFonts w:ascii="Times New Roman" w:hAnsi="Times New Roman"/>
          <w:b/>
          <w:kern w:val="36"/>
          <w:sz w:val="28"/>
          <w:szCs w:val="28"/>
          <w:lang w:val="en-US"/>
        </w:rPr>
        <w:t>Legal regulation of the provision of services potentially hazardous to life and health of citizens</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lang w:val="en-US"/>
        </w:rPr>
      </w:pP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lang w:val="en-US"/>
        </w:rPr>
      </w:pPr>
      <w:r w:rsidRPr="00467B95">
        <w:rPr>
          <w:rFonts w:ascii="Times New Roman" w:hAnsi="Times New Roman"/>
          <w:i/>
          <w:kern w:val="36"/>
          <w:sz w:val="28"/>
          <w:szCs w:val="28"/>
          <w:lang w:val="en-US"/>
        </w:rPr>
        <w:t>The article is devoted to such urgent problems as the provision of services available to life and health by unscrupulous entrepreneurs. In particular, there are problems with business activities, both in the field of entertainment, and in the field of passenger transport. In this regard, there is a need to define legal approaches.</w:t>
      </w:r>
    </w:p>
    <w:p w:rsidR="00844289" w:rsidRPr="005542CD"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lang w:val="en-US"/>
        </w:rPr>
      </w:pP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lang w:val="en-US"/>
        </w:rPr>
      </w:pPr>
      <w:r w:rsidRPr="00223E99">
        <w:rPr>
          <w:rFonts w:ascii="Times New Roman" w:hAnsi="Times New Roman"/>
          <w:i/>
          <w:kern w:val="36"/>
          <w:sz w:val="28"/>
          <w:szCs w:val="28"/>
          <w:lang w:val="en-US"/>
        </w:rPr>
        <w:t>Keywords:</w:t>
      </w:r>
      <w:r w:rsidRPr="00467B95">
        <w:rPr>
          <w:rFonts w:ascii="Times New Roman" w:hAnsi="Times New Roman"/>
          <w:b/>
          <w:i/>
          <w:kern w:val="36"/>
          <w:sz w:val="28"/>
          <w:szCs w:val="28"/>
          <w:lang w:val="en-US"/>
        </w:rPr>
        <w:t xml:space="preserve"> </w:t>
      </w:r>
      <w:r w:rsidRPr="00467B95">
        <w:rPr>
          <w:rFonts w:ascii="Times New Roman" w:hAnsi="Times New Roman"/>
          <w:i/>
          <w:kern w:val="36"/>
          <w:sz w:val="28"/>
          <w:szCs w:val="28"/>
          <w:lang w:val="en-US"/>
        </w:rPr>
        <w:t>service, consumer, entrepreneur, safety, legislation, administrative responsibility, criminal liability</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i/>
          <w:kern w:val="36"/>
          <w:sz w:val="28"/>
          <w:szCs w:val="28"/>
          <w:lang w:val="en-US"/>
        </w:rPr>
      </w:pP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Определение «услуг» дается в Федеральном законе «О защите прав потребителей» [1]. Из данного Закона можно вычленить следующее определение, согласно которому услугами является определенные действия или уже комплекс определённых действий, которые совершаются лицом, то есть, исполнителем в интересах, или же по заказу, другой стороны, то есть потребителя, который в свою очередь ею пользуется. Обязательное условие предоставления услуги – это то, что она должна удовлетворять цели потребителя. Также, стоит отметить, что услуга может быть исполнена сторонами при заключении возмездного договора. Необходимо иметь в виду такой факт, что оказание услуг представляет собой совершение действий, направленных на удовлетворение различных потребностей человека, в результате чего может наступить вред здоровью различной степени тяжести. Среди таких услуг можно выделить антисанитарное обслуживание сотрудниками медицинских учреждений; предоставление услуг различных аттракционов, которые в свою очередь могут являться опасными для жизни и здоровья потребителя тем, что могут являться в нефункционирующем состоянии. Подобное состояние аттракционов можно объяснить тем, что банально существует человеческий фактор, который может привести к определенным поломкам механизмов, из-за которых, допустим, могут не сработать ремни безопасности. Так же стоит выделить услуги перевозочной деятельности, что находит свое отражение в услугах такси или же городские автобусные перевозки. Опасность в данных услугах может заключаться, допустим, в том, что услуга также предоставляется с определенными </w:t>
      </w:r>
      <w:r w:rsidRPr="00467B95">
        <w:rPr>
          <w:rFonts w:ascii="Times New Roman" w:hAnsi="Times New Roman"/>
          <w:sz w:val="28"/>
          <w:szCs w:val="28"/>
        </w:rPr>
        <w:lastRenderedPageBreak/>
        <w:t>нарушениями. К подобным нарушениям можно отнести, осуществление перевозочной деятельности с превышением максимального числа пассажиров [2, с. 142].</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 xml:space="preserve">Законодательно определение безопасности жизни и здоровья закреплено в следующих нормативных правовых актах. Так, например, Федеральный закон «О промышленной безопасности опасных производственных объектов» определяет безопасность опасных производственных объектов как состояние защищенности жизненно важных интересов личности и общества от аварий на опасных производственных объектах и последствий указанных аварий [3]. В соответствии с Федеральным законом «О безопасности дорожного движения» безопасность дорожного движения – состояние данного процесса, отражающее степень защищенности его участников от дорожно-транспортных происшествий и их последствий [4]. Из этих двух определений можно сделать вывод о том, под оказанием услуг, не отвечающих требованиям безопасности жизни или здоровью граждан, понимается выполнение субъектом таких действий, которые выполняются для удовлетворения потребностей гражданина, исполнитель, имея определенный умысел нарушает требования безопасности наносит непоправимый вред гражданам, которым оказывает ту или иную услугу. </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Одним из крайних правовых средств противодействия оказанию предпринимателями опасных для жизни и здоровья услуг выступает запрет, предусмотренный Уголовным законом, который находит отражение в ч. 1 ст. 238 УК РФ. Данная норма предусматривает ответственность за оказание опасных услуг в виде штрафа, либо обязательными работами, либо ограничением свободы, либо принудительными работами [5].</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В рамках привлечения к уголовной ответственности услуги, оказываемые гражданам должны иметь определенную степень опасности. Имеется ряд ученых, которые ведут дискуссию на данную тему. Они говорят о том, опасность, от данных услуг должна быть фактическая, то есть она уже нанесла определенный вред для гражданина, но также есть ученые, которые против данного утверждения, они ссылаются на то, что достаточно иметь оснований того, что услуга может нанести вред, то есть достаточно предположить о ее опасности, чтобы они являлись предметом преступления [6]. По нашему мнению, допустим применительно к сбыту товаров, который также прописан той же статьей вред, который может быть причинен гражданам необходимо выявлять фактически, то есть путем различных исследований и проверок. Касательно оказания услуг, то здесь имеет место то, что невозможно выявить фактическую опасность их оказания. Необходимо выявлять нарушения оказания услуг на уровне их соответствия законам и различным актам, независимо нанесли ли данные услуги вред для гражданина или нет.</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 xml:space="preserve">Одним из субъектов правоотношения «потребитель - исполнитель - услуга» является потребитель. Согласно Федеральному закону «О защите прав потребителей», потребитель – «гражданин, имеющий намерение </w:t>
      </w:r>
      <w:r w:rsidRPr="00467B95">
        <w:rPr>
          <w:rFonts w:ascii="Times New Roman" w:hAnsi="Times New Roman"/>
          <w:kern w:val="36"/>
          <w:sz w:val="28"/>
          <w:szCs w:val="28"/>
        </w:rPr>
        <w:lastRenderedPageBreak/>
        <w:t>заказать или приобрести либо заказывающий, приобретающий или использующий товары (работы, услуги) исключительно для личных, семейных, домашних и иных нужд, не связанных с осуществлением предпринимательской деятельности». Необходимо отметить, что потребитель – это определённый субъект, обладающий дееспособностью и правоспособностью, который в свою очередь имеет намерение воспользоваться или получить определённые услуги для личных целей. Далее, необходимо дать определение исполнителю. Исполнитель – «организация независимо от ее организационно-правовой формы, а также индивидуальный предприниматель, выполняющие работы или оказывающие услуги потребителям по возмездному договору». Как уже было сказано ранее, на законодательном уровне определение «услуг» отражено в Федеральном Законе «О защите прав потребителей», согласно нему, услугой являются определенные действия, совершаемые исполнителем для потребителя, данная услугам должна отвечать определенным целям, для которых ее оказывают, также для ее оказания необходимо заключения возмездного договора между названными ранее субъектами.</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 xml:space="preserve">В уголовном законе, а именно в ст. 2 УК РФ закреплены важнейшие задачи по охране общественных отношений. К ним относятся: охрана прав и свобод человека, собственности, общественного порядка и общественной безопасности, окружающей среды, конституционного строя Российской Федерации от преступных посягательств, обеспечение мира и безопасности человечества, а также предупреждение преступлений. Права граждан на охрану здоровья закреплены в Конституции РФ. </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Опасность развлекательных услуг, как мы указывали ранее, заключается в том, что предприниматели игнорируют требования, закрепленные в законодательстве, эти требования касаются безопасности, которые необходимо соблюдать при проектировании, изготовлении, проверке и испытаниях, эксплуатации и утилизации таких аттракционов, как механизированные, немеханизированные, а также вспомогательных устройств аттракционов, например, таких как платформы, лестницы, настилы, ограждения, временные трибуны, палатки, шатры, навесы, рекламные стойки и тому подобное, и используемых совместно с аттракционами или устанавливаемых в парках, торгово-развлекательных центрах, ярмарках и других общественных местах. К опасным факторам можно отнести: механические опасности (опасности, связанные с интенсивностью и продолжительностью сил, действующих со стороны элементов системы удерживания пассажира в связи с интенсивностью и продолжительностью ускорений и толчков) из-за которых может произойти вред здоровью людей различной степени тяжести от временного расстройства здоровья до летального исхода [7].</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 xml:space="preserve">Говоря о предпринимателях, оказывающих услуги пассажирских перевозок, то тут стоит сказать, что услуги пассажирских перевозок являются опасными для жизни и здоровья потребителей тогда, когда исполнитель не </w:t>
      </w:r>
      <w:r w:rsidRPr="00467B95">
        <w:rPr>
          <w:rFonts w:ascii="Times New Roman" w:hAnsi="Times New Roman"/>
          <w:kern w:val="36"/>
          <w:sz w:val="28"/>
          <w:szCs w:val="28"/>
        </w:rPr>
        <w:lastRenderedPageBreak/>
        <w:t>поддерживает автотранспортное средство в технически исправном состоянии в соответствии с установленными нормами, правилами и процедурами технического обслуживания и ремонта автотранспортных средств. Исполнитель услуги должен располагать организационно-технологическими возможностями для обеспечения хранения автотранспортных средств, их технического обслуживания и ремонта, своевременного проведения государственных технических осмотров, предрейсовых и послерейсовых технических осмотров, приобретения запасных частей и материалов, экипировки, информационного обеспечения и т. п.</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В качестве примера данного положения приведен пример решения суда в Петропавловске-Камчатском, в отношении гражданина К. Гражданин К, являясь сотрудником организации, оказывающая услуги по перевозке пассажиров, то есть водителем такси, выполнял услуги по перевозке пассажиров, но его остановили сотрудники полиции. Ими был осуществлен осмотр автомобиля, в процессе которого были обнаружены определенные нарушения, из-за которых пользоваться автомобилем запрещается, он знал о них, однако все равно осуществлял свою деятельность. Сотрудники полиции в отношении этого гражданина вынесли постановление [8]. Данный пример говорит нам о том, что данный гражданин, проигнорировав факт дефекта автомобиля, продолжил свою деятельность из-за чего произошла авария, в результате которой был нанесен тяжкий вред здоровью гражданам, воспользовавшиеся данной услугой. В результате данного инцидента этого гражданина привлекли к уголовной ответственности за оказание опасной для жизни и здоровья услуги.</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Причиной тому служит правовая неграмотность производителей и предпринимателей, которые в свою очередь понимают, что совершили общественно опасное деяние, но и в то же время не имеют понятия, какое именно: уголовно-наказуемое, или административное правонарушение, которое порой может освободить правоохранительные органы от должной оценки таких действий, как того требует уголовный закон. В настоящее время среди теоретиков и правоохранительных органов отсутствует единое понимание сущности состава преступления, предусмотренного ч.1 ст. 238 УК РФ.</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Субъект преступления по ч. 1 ст. 238 УК РФ - это владелец или директор определённой организации, которая оказывает определенные услуги гражданам, то есть потребителям, в свою очередь эти услуги могут нанести определенный вред. Это утверждение базируется на Федеральном законе «О защите прав потребителей». Согласно которому исполнителем услуг является организация, вне зависимости от того, как она устроена, будь это юридическое лицо или же индивидуальный предприниматель, которые оказывают услуги гражданам на основании возмездного договора.</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 xml:space="preserve">Поэтому, есть основания полагать то, что сотрудники данных предприятий, которые на основании трудового договора никак не представляют организацию в отношениях с гражданами, то есть </w:t>
      </w:r>
      <w:r w:rsidRPr="00467B95">
        <w:rPr>
          <w:rFonts w:ascii="Times New Roman" w:hAnsi="Times New Roman"/>
          <w:kern w:val="36"/>
          <w:sz w:val="28"/>
          <w:szCs w:val="28"/>
        </w:rPr>
        <w:lastRenderedPageBreak/>
        <w:t>потребителями, они не заключают каких-либо договор на оказание платных услуг, допустим медицинских, не могут привлекаться к уголовной ответственности по данной статье.</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Но это лишь одна сторона данного утверждения. С другой стороны, никто не отменяет такой факт, что если при оказании какой-либо услуги, возьмем в пример платные услуги стоматолога, был нанесен пациенту тяжкий вред здоровью или вообще смерти, то можно данного исполнителя медицинской услуги можно привлечь к уголовной ответственности, но уже по другим статьям. Например, причинение тяжкого вреда здоровью по неосторожности, но никак за оказание опасных для жизни и здоровью услуг, так как это абсолютно иная квалификация деяния.</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Предметом преступления по ч. 1 ст. 238 УК РФ будут служить услуги, не отвечающие требованиям безопасности жизни и здоровья населению. Также, в качестве предмета преступления могут быть официальные документы, удостоверяющие соответствие требования безопасности. К таким документам можно отнести санитарно-гигиенический сертификат.</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 xml:space="preserve">Говоря об объекте данного деяния, стоит сказать, что им будут считаться те общественные отношения, которые возникают между лицом, оказывающим услуги, или же продавцом, или субъектом, подтверждающий соответствие услуг на требования законодательства по безопасности, и субъектом для которого их выполнили. Так же имеет место общественные отношения, обеспечивающие безопасное пользование услугами, без вреда для здоровья потребителей услуг.   </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Касательно объективной стороны, то она выражена в самом оказании опасной для жизни и здоровья услуге, а также в выдаче документа на их соответствие всем требованиям.</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Из этого следует, что для того чтобы доказать объективную сторону данного преступления необходимо прежде всего достоверно установить факт наличия опасности для жизни и здоровья потребителей в оказанной им услуге, при этом не в предполагаемой опасности.</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Субъективная сторона преступления ч. 1 ст. 238 УК РФ будет характеризоваться тем, что умысел в первую очередь прямой, данный факт доказывают некоторые ученые, занимающиеся проблематикой данной темы [9, с. 186]. Они, склоняются такого мнения, что лицо, оказавшее услугу, прекрасно понимало и не могло не знать о негативных последствиях своих действий, предвидело возможность или неизбежность наступления общественно опасных последствий и желало их наступления (ст. 25 УК РФ).</w:t>
      </w:r>
    </w:p>
    <w:p w:rsidR="00844289" w:rsidRPr="00467B95" w:rsidRDefault="00844289" w:rsidP="005A3DF4">
      <w:pPr>
        <w:widowControl w:val="0"/>
        <w:shd w:val="clear" w:color="auto" w:fill="FFFFFF"/>
        <w:spacing w:after="0" w:line="240" w:lineRule="auto"/>
        <w:ind w:firstLine="709"/>
        <w:contextualSpacing/>
        <w:jc w:val="both"/>
        <w:rPr>
          <w:rFonts w:ascii="Times New Roman" w:hAnsi="Times New Roman"/>
          <w:kern w:val="36"/>
          <w:sz w:val="28"/>
          <w:szCs w:val="28"/>
        </w:rPr>
      </w:pPr>
      <w:r w:rsidRPr="00467B95">
        <w:rPr>
          <w:rFonts w:ascii="Times New Roman" w:hAnsi="Times New Roman"/>
          <w:kern w:val="36"/>
          <w:sz w:val="28"/>
          <w:szCs w:val="28"/>
        </w:rPr>
        <w:t>Подводя итоги, мы выяснили, что нарушение предпринимателями правил, установленных в законодательстве, регламентирующие безопасность оказания услуг гражданам влечет уголовную ответственность по ч. 1 ст. 238 УК РФ. Однако, не стоит игнорировать тот факт, что помимо данной статьи, законодательство предусматривает и административную ответственность, но уже за совершенное предпринимателями правонарушение, влекущее менее общественно опасные последствия.</w:t>
      </w:r>
    </w:p>
    <w:p w:rsidR="00844289" w:rsidRPr="00467B95" w:rsidRDefault="00844289"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Список использованных источников</w:t>
      </w:r>
    </w:p>
    <w:p w:rsidR="00844289" w:rsidRPr="00223E99" w:rsidRDefault="00844289" w:rsidP="007F4EC1">
      <w:pPr>
        <w:pStyle w:val="a7"/>
        <w:widowControl w:val="0"/>
        <w:numPr>
          <w:ilvl w:val="0"/>
          <w:numId w:val="36"/>
        </w:numPr>
        <w:spacing w:after="0" w:line="240" w:lineRule="auto"/>
        <w:ind w:left="0" w:firstLine="709"/>
        <w:jc w:val="both"/>
        <w:rPr>
          <w:rFonts w:ascii="Times New Roman" w:eastAsiaTheme="minorEastAsia" w:hAnsi="Times New Roman"/>
          <w:sz w:val="28"/>
          <w:szCs w:val="28"/>
        </w:rPr>
      </w:pPr>
      <w:r w:rsidRPr="00223E99">
        <w:rPr>
          <w:rFonts w:ascii="Times New Roman" w:eastAsiaTheme="minorEastAsia" w:hAnsi="Times New Roman"/>
          <w:sz w:val="28"/>
          <w:szCs w:val="28"/>
        </w:rPr>
        <w:t>О защите прав потребителей: федеральный закон от 07.02.1992 №2300-1 ФЗ (ред. от 18.03.2019) [Электронный ресурс] // СПС «КонсультантПлюс». – Режим доступа: http://www.consultant.ru/document/cons_doc_LAW_305/.</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Томин В.Т. Комментарий к Уголовному кодексу РФ в 3 т. Том 3. Особенная часть. Разделы IX—xii / ред. В. Т. Томин, В. В. Сверчков. – 10-е изд., пер. и доп. – М.: Издательство Юрайт, 2018. – 481 с.</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О промышленной безопасности опасных производственных объектов: федеральный закон от 21.07.1997 № 116-ФЗ (ред. от 29.07.2018) [Электронный ресурс] // СПС «КонсультантПлюс».  Режим доступа: http://www.consultant.ru/document/cons_doc_LAW_15234/.</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О безопасности дорожного движения: федеральный закон от 10.12.1995 № 196-ФЗ (ред. от 27.12.2018) (с изм. и доп., вступ. в силу с 30.12.2018) [Электронный ресурс] // СПС «КонсультантПлюс». – Режим доступа: http://www.consultant.ru/document/cons_doc_LAW_8585/.</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Уголовный кодекс Российской Федерации от 13.06.1996 № 63-ФЗ (ред. от 29.05.2019) [Электронный ресурс] // СПС «КонсультантПлюс».   – Режим доступа: http://www.consultant.ru/document/cons_doc_LAW_10699/.</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Воронин В.В. Обстоятельства, подтверждающие наличие состава преступления, предусмотренного ст. 238 УК РФ [Электронный ресурс] / В.В. Воронин // Уголовный процесс. – 2008. – №12. – Режим доступа: https://e.ugpr.ru/article.aspx?aid=257699.</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ГОСТ 33807-2016 Безопасность аттракционов. Общие требования [Электронный ресурс] // СПС «Электронный фонд правовой и нормативно-технической документации». – Режим доступа: http://docs.cntd.ru/document/1200141158.</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По обвинению в совершении преступления, предусмотренного ч. 1 ст. 238 УК РФ: приговор № 1-357/2015 Петропавловск-Камчатского городского суда [Электронный ресурс] // Судебные и нормативные акты РФ. – Режим доступа: http://sudact.ru/regular/doc/4aDucBz1DUZT/?regular-txt=&amp;regular-case_doc=1.</w:t>
      </w:r>
    </w:p>
    <w:p w:rsidR="00844289" w:rsidRPr="00467B95" w:rsidRDefault="00844289" w:rsidP="007F4EC1">
      <w:pPr>
        <w:pStyle w:val="a7"/>
        <w:widowControl w:val="0"/>
        <w:numPr>
          <w:ilvl w:val="0"/>
          <w:numId w:val="36"/>
        </w:numPr>
        <w:spacing w:after="0" w:line="240" w:lineRule="auto"/>
        <w:ind w:left="0" w:firstLine="709"/>
        <w:jc w:val="both"/>
        <w:rPr>
          <w:rFonts w:ascii="Times New Roman" w:hAnsi="Times New Roman" w:cs="Times New Roman"/>
          <w:kern w:val="36"/>
          <w:sz w:val="28"/>
          <w:szCs w:val="28"/>
        </w:rPr>
      </w:pPr>
      <w:r w:rsidRPr="00467B95">
        <w:rPr>
          <w:rFonts w:ascii="Times New Roman" w:hAnsi="Times New Roman" w:cs="Times New Roman"/>
          <w:kern w:val="36"/>
          <w:sz w:val="28"/>
          <w:szCs w:val="28"/>
        </w:rPr>
        <w:t>Бурлаков В.Н. Охрана здоровья населения в сфере товарного рынка: уголовно-правовые и криминологические вопросы / В.Н. Бурлаков, В.Ф Щепельков, С.М Оленников, Н.И Пряхина, Я.П. Скоробогатько // Всероссийский криминологический журнал. – 2018. –  № 12. С. 178-179.</w:t>
      </w:r>
    </w:p>
    <w:p w:rsidR="00844289" w:rsidRPr="00467B95" w:rsidRDefault="00844289" w:rsidP="005A3DF4">
      <w:pPr>
        <w:widowControl w:val="0"/>
        <w:spacing w:after="0" w:line="240" w:lineRule="auto"/>
        <w:ind w:firstLine="709"/>
        <w:jc w:val="both"/>
        <w:rPr>
          <w:rFonts w:ascii="Times New Roman" w:eastAsiaTheme="minorEastAsia" w:hAnsi="Times New Roman"/>
          <w:sz w:val="28"/>
          <w:szCs w:val="28"/>
        </w:rPr>
      </w:pPr>
    </w:p>
    <w:p w:rsidR="00844289" w:rsidRPr="00467B95" w:rsidRDefault="00844289" w:rsidP="005A3DF4">
      <w:pPr>
        <w:widowControl w:val="0"/>
        <w:spacing w:after="0" w:line="240" w:lineRule="auto"/>
        <w:ind w:firstLine="709"/>
        <w:jc w:val="both"/>
        <w:rPr>
          <w:rFonts w:ascii="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Определение арбитрабильности корпоративных споров в свете арбитражной реформы в России: некоторые проблемные вопросы и пути их решения</w:t>
      </w: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lang w:val="en-US"/>
        </w:rPr>
      </w:pPr>
      <w:r w:rsidRPr="00467B95">
        <w:rPr>
          <w:rFonts w:ascii="Times New Roman" w:eastAsia="Times New Roman" w:hAnsi="Times New Roman"/>
          <w:sz w:val="28"/>
          <w:szCs w:val="28"/>
          <w:lang w:val="en-US"/>
        </w:rPr>
        <w:t>Determination of the arbitrability of corporate disputes in the light of the arbitration reform in Russia: some problematic issues and their solutions</w:t>
      </w:r>
    </w:p>
    <w:p w:rsidR="00844289" w:rsidRPr="005542CD" w:rsidRDefault="00844289"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rPr>
        <w:lastRenderedPageBreak/>
        <w:t>Ольховская</w:t>
      </w:r>
      <w:r w:rsidRPr="005542CD">
        <w:rPr>
          <w:rFonts w:ascii="Times New Roman" w:eastAsia="Times New Roman" w:hAnsi="Times New Roman"/>
          <w:sz w:val="28"/>
          <w:szCs w:val="28"/>
        </w:rPr>
        <w:t xml:space="preserve"> </w:t>
      </w:r>
      <w:r w:rsidRPr="00467B95">
        <w:rPr>
          <w:rFonts w:ascii="Times New Roman" w:eastAsia="Times New Roman" w:hAnsi="Times New Roman"/>
          <w:sz w:val="28"/>
          <w:szCs w:val="28"/>
        </w:rPr>
        <w:t>Екатерина</w:t>
      </w:r>
      <w:r w:rsidRPr="005542CD">
        <w:rPr>
          <w:rFonts w:ascii="Times New Roman" w:eastAsia="Times New Roman" w:hAnsi="Times New Roman"/>
          <w:sz w:val="28"/>
          <w:szCs w:val="28"/>
        </w:rPr>
        <w:t xml:space="preserve"> </w:t>
      </w:r>
      <w:r w:rsidRPr="00467B95">
        <w:rPr>
          <w:rFonts w:ascii="Times New Roman" w:eastAsia="Times New Roman" w:hAnsi="Times New Roman"/>
          <w:sz w:val="28"/>
          <w:szCs w:val="28"/>
        </w:rPr>
        <w:t>Антоновна</w:t>
      </w: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lang w:val="en-US"/>
        </w:rPr>
      </w:pPr>
      <w:r w:rsidRPr="00467B95">
        <w:rPr>
          <w:rFonts w:ascii="Times New Roman" w:eastAsia="Times New Roman" w:hAnsi="Times New Roman"/>
          <w:sz w:val="28"/>
          <w:szCs w:val="28"/>
        </w:rPr>
        <w:t>Владивостокский государственный университет экономики и сервиса. Владивосток</w:t>
      </w:r>
      <w:r w:rsidRPr="00467B95">
        <w:rPr>
          <w:rFonts w:ascii="Times New Roman" w:eastAsia="Times New Roman" w:hAnsi="Times New Roman"/>
          <w:sz w:val="28"/>
          <w:szCs w:val="28"/>
          <w:lang w:val="en-US"/>
        </w:rPr>
        <w:t xml:space="preserve">. </w:t>
      </w:r>
      <w:r w:rsidRPr="00467B95">
        <w:rPr>
          <w:rFonts w:ascii="Times New Roman" w:eastAsia="Times New Roman" w:hAnsi="Times New Roman"/>
          <w:sz w:val="28"/>
          <w:szCs w:val="28"/>
        </w:rPr>
        <w:t>Россия</w:t>
      </w: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lang w:val="en-US"/>
        </w:rPr>
      </w:pP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lang w:val="en-US"/>
        </w:rPr>
        <w:t xml:space="preserve">Vladivostok State University of Economics and Service. Vladivostok. </w:t>
      </w:r>
      <w:r w:rsidRPr="00467B95">
        <w:rPr>
          <w:rFonts w:ascii="Times New Roman" w:eastAsia="Times New Roman" w:hAnsi="Times New Roman"/>
          <w:sz w:val="28"/>
          <w:szCs w:val="28"/>
        </w:rPr>
        <w:t>Russia</w:t>
      </w: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rPr>
        <w:t>ул. Гоголя, 41, г. Владивосток, Приморский край, Россия, 690014</w:t>
      </w: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rPr>
      </w:pPr>
      <w:r w:rsidRPr="00467B95">
        <w:rPr>
          <w:rFonts w:ascii="Times New Roman" w:eastAsia="Times New Roman" w:hAnsi="Times New Roman"/>
          <w:sz w:val="28"/>
          <w:szCs w:val="28"/>
        </w:rPr>
        <w:t>E-mail: katerinakate18@mail.ru; тел.: +</w:t>
      </w:r>
      <w:r w:rsidRPr="00467B95">
        <w:rPr>
          <w:rFonts w:ascii="Times New Roman" w:hAnsi="Times New Roman"/>
          <w:color w:val="000000" w:themeColor="text1"/>
          <w:sz w:val="28"/>
          <w:szCs w:val="28"/>
        </w:rPr>
        <w:t>79841423278</w:t>
      </w:r>
    </w:p>
    <w:p w:rsidR="00844289" w:rsidRPr="00467B95" w:rsidRDefault="00844289" w:rsidP="005A3DF4">
      <w:pPr>
        <w:widowControl w:val="0"/>
        <w:spacing w:after="0" w:line="240" w:lineRule="auto"/>
        <w:ind w:firstLine="709"/>
        <w:jc w:val="center"/>
        <w:rPr>
          <w:rFonts w:ascii="Times New Roman" w:eastAsia="Times New Roman" w:hAnsi="Times New Roman"/>
          <w:sz w:val="28"/>
          <w:szCs w:val="28"/>
          <w:highlight w:val="cyan"/>
        </w:rPr>
      </w:pPr>
    </w:p>
    <w:p w:rsidR="00844289" w:rsidRPr="005D09E8" w:rsidRDefault="00844289" w:rsidP="005A3DF4">
      <w:pPr>
        <w:widowControl w:val="0"/>
        <w:spacing w:after="0" w:line="240" w:lineRule="auto"/>
        <w:ind w:firstLine="709"/>
        <w:jc w:val="both"/>
        <w:rPr>
          <w:rFonts w:ascii="Times New Roman" w:hAnsi="Times New Roman"/>
          <w:i/>
          <w:sz w:val="28"/>
          <w:szCs w:val="28"/>
        </w:rPr>
      </w:pPr>
      <w:r w:rsidRPr="005D09E8">
        <w:rPr>
          <w:rFonts w:ascii="Times New Roman" w:hAnsi="Times New Roman"/>
          <w:i/>
          <w:sz w:val="28"/>
          <w:szCs w:val="28"/>
        </w:rPr>
        <w:t>Для правовой системы России регулирование предпринимательской деятельности является относительно новой сферой. Еще не сложилась традиция арбитражного рассмотрения корпоративных споров, отсутствует единая позиция в практике, в теории вопрос арбитрабильности корпоративных споров остается дискуссионным. Цель нашего исследования определяется необходимостью многоаспектного изучения одного из наиболее актуальных вопросов арбитражного процесса о возможности рассмотрения корпоративных споров третейским судом.</w:t>
      </w:r>
    </w:p>
    <w:p w:rsidR="00844289" w:rsidRPr="005D09E8" w:rsidRDefault="00844289" w:rsidP="005A3DF4">
      <w:pPr>
        <w:widowControl w:val="0"/>
        <w:spacing w:after="0" w:line="240" w:lineRule="auto"/>
        <w:ind w:firstLine="709"/>
        <w:jc w:val="both"/>
        <w:rPr>
          <w:rStyle w:val="fontstyle01"/>
          <w:rFonts w:ascii="Times New Roman" w:hAnsi="Times New Roman"/>
          <w:i/>
          <w:sz w:val="28"/>
          <w:szCs w:val="28"/>
        </w:rPr>
      </w:pPr>
    </w:p>
    <w:p w:rsidR="00844289" w:rsidRPr="005D09E8" w:rsidRDefault="00844289" w:rsidP="005A3DF4">
      <w:pPr>
        <w:widowControl w:val="0"/>
        <w:spacing w:after="0" w:line="240" w:lineRule="auto"/>
        <w:ind w:firstLine="709"/>
        <w:jc w:val="both"/>
        <w:rPr>
          <w:rFonts w:ascii="Times New Roman" w:eastAsia="Times New Roman" w:hAnsi="Times New Roman"/>
          <w:i/>
          <w:sz w:val="28"/>
          <w:szCs w:val="28"/>
        </w:rPr>
      </w:pPr>
      <w:r w:rsidRPr="005D09E8">
        <w:rPr>
          <w:rFonts w:ascii="Times New Roman" w:eastAsia="Times New Roman" w:hAnsi="Times New Roman"/>
          <w:i/>
          <w:sz w:val="28"/>
          <w:szCs w:val="28"/>
        </w:rPr>
        <w:t xml:space="preserve">Ключевые слова: </w:t>
      </w:r>
      <w:r w:rsidRPr="005D09E8">
        <w:rPr>
          <w:rFonts w:ascii="Times New Roman" w:hAnsi="Times New Roman"/>
          <w:i/>
          <w:sz w:val="28"/>
          <w:szCs w:val="28"/>
        </w:rPr>
        <w:t>арбитрабильность, корпоративный спор, третейский суд, арбитражная оговорка, арбитражное соглашение</w:t>
      </w:r>
    </w:p>
    <w:p w:rsidR="00844289" w:rsidRPr="005D09E8" w:rsidRDefault="00844289" w:rsidP="005A3DF4">
      <w:pPr>
        <w:widowControl w:val="0"/>
        <w:spacing w:after="0" w:line="240" w:lineRule="auto"/>
        <w:ind w:firstLine="709"/>
        <w:jc w:val="both"/>
        <w:rPr>
          <w:rFonts w:ascii="Times New Roman" w:eastAsia="Times New Roman" w:hAnsi="Times New Roman"/>
          <w:i/>
          <w:sz w:val="28"/>
          <w:szCs w:val="28"/>
        </w:rPr>
      </w:pPr>
    </w:p>
    <w:p w:rsidR="00844289" w:rsidRPr="005D09E8" w:rsidRDefault="00844289" w:rsidP="005A3DF4">
      <w:pPr>
        <w:widowControl w:val="0"/>
        <w:spacing w:after="0" w:line="240" w:lineRule="auto"/>
        <w:ind w:firstLine="709"/>
        <w:jc w:val="both"/>
        <w:rPr>
          <w:rFonts w:ascii="Times New Roman" w:eastAsia="Times New Roman" w:hAnsi="Times New Roman"/>
          <w:i/>
          <w:sz w:val="28"/>
          <w:szCs w:val="28"/>
          <w:lang w:val="en-US"/>
        </w:rPr>
      </w:pPr>
      <w:r w:rsidRPr="005D09E8">
        <w:rPr>
          <w:rFonts w:ascii="Times New Roman" w:eastAsia="Times New Roman" w:hAnsi="Times New Roman"/>
          <w:i/>
          <w:sz w:val="28"/>
          <w:szCs w:val="28"/>
          <w:lang w:val="en-US"/>
        </w:rPr>
        <w:t>For the Russian legal system, business regulation is a relatively new area. The tradition of arbitration resolution of corporate disputes has not yet developed, there is no unified position in practice, in theory the question of the arbitrability of corporate disputes remains controversial. The purpose of our study is determined by the need for a multi-aspect study of one of the most pressing issues of the arbitration process about the possibility of arbitration</w:t>
      </w:r>
    </w:p>
    <w:p w:rsidR="00844289" w:rsidRPr="005D09E8" w:rsidRDefault="00844289" w:rsidP="005A3DF4">
      <w:pPr>
        <w:widowControl w:val="0"/>
        <w:spacing w:after="0" w:line="240" w:lineRule="auto"/>
        <w:ind w:firstLine="709"/>
        <w:jc w:val="both"/>
        <w:rPr>
          <w:rFonts w:ascii="Times New Roman" w:eastAsia="Times New Roman" w:hAnsi="Times New Roman"/>
          <w:i/>
          <w:sz w:val="28"/>
          <w:szCs w:val="28"/>
          <w:lang w:val="en-US"/>
        </w:rPr>
      </w:pPr>
    </w:p>
    <w:p w:rsidR="00844289" w:rsidRPr="005D09E8" w:rsidRDefault="00844289" w:rsidP="005A3DF4">
      <w:pPr>
        <w:widowControl w:val="0"/>
        <w:spacing w:after="0" w:line="240" w:lineRule="auto"/>
        <w:ind w:firstLine="709"/>
        <w:jc w:val="both"/>
        <w:rPr>
          <w:rFonts w:ascii="Times New Roman" w:hAnsi="Times New Roman"/>
          <w:i/>
          <w:sz w:val="28"/>
          <w:szCs w:val="28"/>
          <w:lang w:val="en-US"/>
        </w:rPr>
      </w:pPr>
      <w:r w:rsidRPr="005D09E8">
        <w:rPr>
          <w:rFonts w:ascii="Times New Roman" w:hAnsi="Times New Roman"/>
          <w:i/>
          <w:sz w:val="28"/>
          <w:szCs w:val="28"/>
          <w:lang w:val="en-US"/>
        </w:rPr>
        <w:t>Keywords: arbitrability, corporate dispute, arbitral tribunal, arbitration clause, arbitration agreement</w:t>
      </w:r>
    </w:p>
    <w:p w:rsidR="00844289" w:rsidRPr="00467B95" w:rsidRDefault="00844289" w:rsidP="005A3DF4">
      <w:pPr>
        <w:widowControl w:val="0"/>
        <w:spacing w:after="0" w:line="240" w:lineRule="auto"/>
        <w:ind w:firstLine="709"/>
        <w:jc w:val="both"/>
        <w:rPr>
          <w:rFonts w:ascii="Times New Roman" w:hAnsi="Times New Roman"/>
          <w:sz w:val="28"/>
          <w:szCs w:val="28"/>
          <w:lang w:val="en-US"/>
        </w:rPr>
      </w:pPr>
    </w:p>
    <w:p w:rsidR="00844289" w:rsidRPr="005D09E8"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Актуальность темы исследования. Осуществление</w:t>
      </w:r>
      <w:r w:rsidRPr="00467B95">
        <w:rPr>
          <w:rFonts w:ascii="Times New Roman" w:hAnsi="Times New Roman"/>
          <w:sz w:val="28"/>
          <w:szCs w:val="28"/>
        </w:rPr>
        <w:t xml:space="preserve"> арбитражной реформы в России выявило ряд проблем, характерных не только для конкретного государства, но и для всего международного коммерческого арбитража в целом. Следует к слову заметить, что международный коммерческий арбитраж является одной из самых сложных отраслей lex mercatoria. Причиной этого является не только множественность источников правового регулирования, но и серьезное влияние коммерческой и инвестиционных практик. Среди таких современных теоретических и практических проблем, стоящих перед исследователями, как, например, соотношение международного инвестиционного права и acquis communautaire [4] или особенности применения концепции issue estoppel в международном коммерческом арбитраже применительно к различным юрисдикциям [7], особо следует остановиться на проблеме определения арбитрабильности </w:t>
      </w:r>
      <w:r w:rsidRPr="00467B95">
        <w:rPr>
          <w:rFonts w:ascii="Times New Roman" w:hAnsi="Times New Roman"/>
          <w:sz w:val="28"/>
          <w:szCs w:val="28"/>
        </w:rPr>
        <w:lastRenderedPageBreak/>
        <w:t xml:space="preserve">корпоративных споров. Законодатель попытался внести ясность в данный вопрос путем принятия Федерального закона от 27.12.2018 №531-ФЗ «О внесении изменений в Федеральный закон “Об арбитраже (третейском разбирательстве) в Российской Федерации” и Федеральный закон “О рекламе”» [11], вступившего в силу 29 марта 2019 года, однако, как отмечают специалисты [12], многих коллизий так и не удалось решить. Тем не менее, возрастающая популярность арбитража (в том числе международного) обуславливает набирающую силу тенденцию решать корпоративные споры указанным </w:t>
      </w:r>
      <w:r w:rsidRPr="005D09E8">
        <w:rPr>
          <w:rFonts w:ascii="Times New Roman" w:hAnsi="Times New Roman"/>
          <w:sz w:val="28"/>
          <w:szCs w:val="28"/>
        </w:rPr>
        <w:t>способом.</w:t>
      </w:r>
    </w:p>
    <w:p w:rsidR="00844289" w:rsidRPr="005D09E8"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Постановка проблемы исследования. Арбитражная реформа в России имеет целью развитие эффективной системы разрешения коммерческих споров путем применения альтернативных способов, прежде всего третейского разбирательства. Поскольку государственные и третейские суды не являются одноуровневыми элементами правовой системы, то в целях определения круга дел, относящихся к их ведению, используется различные термин: «подведомственность» для государственного арбитража и «арбитрабильность» для третейского суда. Институт арбитрабильности формируют нормы национального права, поэтому его сложно унифицировать: даже Конвенция Организации Объединенных Наций о признании и приведении в исполнение иностранных арбитражных решений 1958 года (далее – Нью-Йоркская конвенция) не содержит правила определения арбитрабильности коммерческих споров, отдавая решение этого вопроса на усмотрение государств-участников (п. 1 ст. II) [6]. Как отмечают исследователи, эффективность Нью-Йоркской конвенции «зависит и от национальных законодательств, которые имплементируют эту конвенцию, и от интерпретации, осуществляемой государственными судами» [3]. Вследствие того, что компетенция третейского суда не возникает автоматически, возможен ряд сложностей ее определения, одной из которых является разрешение вопроса арбитрабильности корпоративного спора. Например, часть 7.1 статьи 7 Федерального закона от 29.12.2015 №382-ФЗ (ред. от 27.12.2018) «Об арбитраже (третейском разбирательстве) в Российской Федерации» (далее – Закон об арбитраже) устанавливает арбитрабильность корпоративных споров на основе заключенного арбитражного соглашения участников юридического лица или сделки [11], а в то же время часть 3 ст. 225.1 Арбитражного процессуального кодекса Российской Федерации (далее – АПК РФ) устанавливает арбитрабильность корпоративных споров лишь в том случае, если арбитражное соглашение было заключено между самим юридическим лицом и всеми его участниками [1]. Существующая коллизия усложняет определение арбитрабильности корпоративного спора не только в рамках третейского разбирательства, но и в случае рассмотрения дела международным коммерческим арбитражем.</w:t>
      </w:r>
    </w:p>
    <w:p w:rsidR="00844289" w:rsidRPr="005D09E8"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 xml:space="preserve">Цели исследования. Вышесказанное определяет цель нашего исследования – охарактеризовать наиболее часто возникающие проблемы определения арбитрабильности корпоративных споров в свете арбитражной </w:t>
      </w:r>
      <w:r w:rsidRPr="005D09E8">
        <w:rPr>
          <w:rFonts w:ascii="Times New Roman" w:hAnsi="Times New Roman"/>
          <w:sz w:val="28"/>
          <w:szCs w:val="28"/>
        </w:rPr>
        <w:lastRenderedPageBreak/>
        <w:t>реформы в России и предложить возможные пути их решения в рамках действующего российского законодательства.</w:t>
      </w:r>
    </w:p>
    <w:p w:rsidR="00844289" w:rsidRPr="005D09E8"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Предмет исследования составляют нормы и принципы международного права, а также российское законодательство, регулирующие институт арбитрабильности корпоративных споров.</w:t>
      </w:r>
    </w:p>
    <w:p w:rsidR="00844289" w:rsidRPr="005D09E8"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Источниковая база исследования представлена международными договорами по коммерческому арбитражу, российским законодательством, национальными и зарубежными научными исследованиями и иными источниками lex mercato</w:t>
      </w:r>
      <w:r w:rsidRPr="005D09E8">
        <w:rPr>
          <w:rFonts w:ascii="Times New Roman" w:hAnsi="Times New Roman"/>
          <w:sz w:val="28"/>
          <w:szCs w:val="28"/>
          <w:lang w:val="en-US"/>
        </w:rPr>
        <w:t>r</w:t>
      </w:r>
      <w:r w:rsidRPr="005D09E8">
        <w:rPr>
          <w:rFonts w:ascii="Times New Roman" w:hAnsi="Times New Roman"/>
          <w:sz w:val="28"/>
          <w:szCs w:val="28"/>
        </w:rPr>
        <w:t>ia.</w:t>
      </w:r>
    </w:p>
    <w:p w:rsidR="00844289" w:rsidRPr="005D09E8"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 xml:space="preserve">Методы исследования. При проведении исследования нами были использованы как </w:t>
      </w:r>
      <w:r w:rsidRPr="005D09E8">
        <w:rPr>
          <w:rFonts w:ascii="Times New Roman" w:eastAsia="Times New Roman" w:hAnsi="Times New Roman"/>
          <w:sz w:val="28"/>
          <w:szCs w:val="28"/>
        </w:rPr>
        <w:t>общенаучные методы научного познания (системно-структурный и формально-логический), так и специальные юридические (историко-правовой и формально-юридический).</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Основная часть. Общая формула критерия арбитрабильности споров содержится в части 3 статьи 1 Закона об</w:t>
      </w:r>
      <w:r w:rsidRPr="00467B95">
        <w:rPr>
          <w:rFonts w:ascii="Times New Roman" w:hAnsi="Times New Roman"/>
          <w:sz w:val="28"/>
          <w:szCs w:val="28"/>
        </w:rPr>
        <w:t xml:space="preserve"> арбитраже – это споры между сторонами гражданско-правовых отношений [11], и детализируется в постановлении Конституционного Суда Российской Федерации от 26.05.2011 № 10-11, подтверждающем принципы автономии воли и свободы договора, являющиеся основанием для легитимности добровольного отказа сторон от права на государственную судебную защиту: «стороны спора, заключая соглашение о его передаче на рассмотрение третейского суда и реализуя тем самым свое право на свободу договора, добровольно соглашаются подчиниться правилам, установленным для конкретного третейского суда» (абз. 8 п. 2) [14]. После введения в 2009 году в АПК РФ главы 28.1 «Рассмотрение дел по корпоративным спорам» была сформирована единая практика, установившая специальную подведомственность арбитражных судов в отношении корпоративных споров (п. 2 ч. 1 ст. 33 АПК РФ). Но в связи с арбитражной реформой последних трех лет арбитрабильность корпоративных споров была изменена (см. ч. 2 ст. 33 АПК РФ).</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Следует отметить, что против отнесения корпоративных споров к ведению третейских судов в отечественной научной литературе было высказано немало серьезных аргументов: потенциальное исключение участия в третейском разбирательстве третьих лиц («если же в отношении прав и обязанностей лица, не являющегося участником третейского разбирательства, третейским судом принято решение, то такое лицо фактически лишается права на судебную защиту, поскольку закон не позволяет ему обжаловать данное решение» [13, c. 23]), одновременно частный и публичный характер корпоративных споров («споры между участниками, сопровождающие административные разбирательства, и последующие судебные обжалования решений административных органов создают предпосылки для принятия противоречащих друг другу судебных актов … в рамках рассмотрения административных дел устанавливаются обстоятельства, имеющие значение для разрешения конфликта между субъектами корпоративных правоотношений» [16, С. 33]). Однако эти аргументы легко парируются, если </w:t>
      </w:r>
      <w:r w:rsidRPr="00467B95">
        <w:rPr>
          <w:rFonts w:ascii="Times New Roman" w:hAnsi="Times New Roman"/>
          <w:sz w:val="28"/>
          <w:szCs w:val="28"/>
        </w:rPr>
        <w:lastRenderedPageBreak/>
        <w:t>обратиться к конституционной норме, гарантирующей право каждого лица на защиту своих прав и интересов любыми, не противоречащими закону, способами. В таком аспекте А.И. Минина и А.И. Муранов усматривают презумпцию арбитрабильности корпоративных споров [9, С. 121]. Подтверждает позицию упомянутых ученых и А.С. Комаров, указывая, что «действующее российское право в принципе исходит из общей допустимости третейского разбирательства споров, которые могут возникать в процессе применения российского гражданского законодательства, относящегося к организационно-правовым формам предпринимательской деятельности, если иное прямо не предписано законом» [5].</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поддержку арбитрабильности корпоративных споров выступает реализация принципа автономии воли сторон путем заключения арбитражного соглашения (или же арбитражной оговорки). АПК РФ устанавливает конкретное основание для передачи корпоративных споров в арбитраж: если юридическое лицо, все участники юридического лица, а также иные лица, которые являются истцами или ответчиками в таких спорах, заключили третейское соглашение о передаче таких споров в третейский суд (ч. 3, 4 ст. 225.1). При этом Закон об арбитраже устанавливает требование к форме такого третейского соглашения (ч. 2 ст. 7) – только письменная, иначе такое соглашение будет являться недействительным. К этому виду договоров применяются и другие общие правила действительности сделок, в том числе и требования к правосубъектности участников.</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Актуальной на сегодняшний день остается проблема распространения арбитражной оговорки на лицо, которое, не являясь участником юридического лица, выступает с иском. В теории коммерческого арбитража рассматриваются две концепции – доктрина «снятия корпоративной вуали» и теория группы лиц. Несмотря на отсутствие их законодательного закрепления, арбитражная практика широко использует их для решения вопроса распространения действия арбитражного соглашения (арбитражной оговорки) на третьих лиц, не являющихся участниками такого соглашения. Как отмечают исследователи, «распространение арбитражной оговорки на третьих лиц в соответствии с доктриной «снятия корпоративной вуали» - исключительный случай, а не общее правило. Это выводится из принципа договорной природы третейского разбирательства. Арбитражное соглашение по общему правилу связывает только лиц, подписавших его. Исключение составляют лишь случаи, когда третье лицо, по сути, представляет собой alter ego одной из сторон соглашения» [8, с. 68]. Применение третейскими судами такой доктрины может помочь решить проблему, на которую указывала выше Е.Ю. Пашкова.</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Следующей проблемой определения арбитрабильности корпоративных споров выступает объем и формула арбитражной оговорки. Закон об арбитраже максимально расширяет ее - все или определенные споры (ч. 2 ст. 5). Однако необходимо осторожно подходить к определению объема арбитражной оговорки. Указание «всех споров» (что включает не только </w:t>
      </w:r>
      <w:r w:rsidRPr="00467B95">
        <w:rPr>
          <w:rFonts w:ascii="Times New Roman" w:hAnsi="Times New Roman"/>
          <w:sz w:val="28"/>
          <w:szCs w:val="28"/>
        </w:rPr>
        <w:lastRenderedPageBreak/>
        <w:t xml:space="preserve">корпоративные, но и любые другие споры) может привести к признанию арбитражного соглашения недействительным. Судебная практика подтверждает эту позицию: абстрактный характер арбитражной оговорки стал основанием для признания арбитражного соглашения незаключенным. Арбитражная оговорка звучала следующим образом: «любой спор, разногласие или претензия, связанные с созданием юридического лица, управлением им или участием в нем…» [15]. Суд мотивировал свое решение тем, что цитируемая оговорка «включает в себя не только корпоративные споры, которые закон об арбитраже (третейском разбирательстве) прямо разрешает предавать на третейское рассмотрение, но и любые иные споры» [15]. Ведущий эксперт в области международного коммерческого арбитража Г.Б. Борн советует использовать оговорку, которая «позволит уменьшить риски патологических дефектов, а также юридисдикционных и процессуальных споров» [3]: «все споры, претензии, разногласия и разногласия, связанные с настоящим Соглашением или возникающие из него (включая формирование, существование, срок действия, обязательность исполнения, исполнение или прекращение действия настоящего Соглашения) или предмет настоящего Соглашения, должны быть окончательно разрешены путем арбитража» [3]. На наш взгляд, в арбитражном соглашении необходимо использовать формулу, рекомендованную и закрепленную в регламенте третейского суда, в котором будет рассматриваться спор. Например, регламент Российского арбитражного центра закрепляет следующую формулу арбитражной оговорки для заключения между всеми участниками юридического лица и самим юридическим лицом (в форме отдельного документа, включения в соглашение участников, корпоративный договор и т.д.). Она подписывается всеми участниками юридического лица, самим юридическим лицом и иными лицами, выразившими волю на обязательность для них такого арбитражного соглашения. Данная арбитражная оговорка может быть также включена в договор между юридическим лицом и иным лицом (контрагентом юридического лица) для подписания ее всеми участниками юридического лица (в дополнение к общей рекомендованной арбитражной оговорке, заключаемой между юридическим лицом и иным лицом): «Любой спор, разногласие или претензия, связанные с созданием [полное наименование юридического лица, в отношении которого заключается арбитражное соглашение с указанием ОГРН] (далее – Юридическое лицо), управлением им или участием в нем, сторонами и/или участниками которых являются [указать подходящий термин: участники, акционеры, товарищи, учредители, члены], само Юридическое лицо, а также иные лица, выразившие волю на обязательность для них настоящего арбитражного соглашения [возможно сразу указать данные иного лица в качестве стороны арбитражного соглашения], разрешаются путем арбитража, администрируемого Арбитражным центром при автономной некоммерческой организации «Институт современного арбитража» в соответствии с положениями Арбитражного регламента. Лица, не являющиеся стороной </w:t>
      </w:r>
      <w:r w:rsidRPr="00467B95">
        <w:rPr>
          <w:rFonts w:ascii="Times New Roman" w:hAnsi="Times New Roman"/>
          <w:sz w:val="28"/>
          <w:szCs w:val="28"/>
        </w:rPr>
        <w:lastRenderedPageBreak/>
        <w:t>настоящего арбитражного соглашения, но вступающие в отношения с Юридическим лицом (контрагенты Юридического лица), вправе выразить волю на обязательность для них настоящего арбитражного соглашения путем заключения соответствующего арбитражного соглашения с Юридическим лицом. Стороны принимают на себя обязанность добровольно исполнять арбитражное решение [2, С. 5-6].</w:t>
      </w:r>
    </w:p>
    <w:p w:rsidR="00844289" w:rsidRPr="005D09E8"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Действующее законодательство позволяет включать формулу арбитражной оговорки сразу же в уставы юридических лиц (за исключением акционерных обществ с числом акционеров-владельцев голосующих акций одна тысяча и более, а также в публичных акционерных обществ). Устав, включающий такую арбитражную оговорку, или изменения в устав, включающий такую оговорку, а также любые изменения в такую арбитражную оговорку подлежат утверждению решением высшего органа юридического лица (собрания участников), принимаемым единогласно всеми участниками юридического лица. В данном случае рекомендуется следующая формула арбитражной оговорки: Любой спор, разногласие или претензия, связанные с созданием Юридического лица, управлением им или участием в нем, сторонами и/или участниками которых являются [указать подходящий термин: участники, акционеры, товарищи, учредители, члены], само Юридическое лицо, а также иные лица, выразившие волю на обязательность для них настоящего арбитражного соглашения, разрешаются путем арбитража, администрируемого Арбитражным центром при автономной некоммерческой организации «Институт современного арбитража» в соответствии с положениями Арбитражного регламента. Лица, не являющиеся стороной настоящего арбитражного соглашения, но вступающие в отношения с Юридическим лицом (контрагенты Юридического лица), вправе выразить волю на обязательность для них настоящего арбитражного соглашения путем заключения соответствующего арбитражного соглашения с Юридическим лицом. Настоящее арбитражное соглашение также распространяется на лиц, являющихся единоличными органами Юридического </w:t>
      </w:r>
      <w:r w:rsidRPr="005D09E8">
        <w:rPr>
          <w:rFonts w:ascii="Times New Roman" w:hAnsi="Times New Roman"/>
          <w:sz w:val="28"/>
          <w:szCs w:val="28"/>
        </w:rPr>
        <w:t>лица и членами коллегиальных органов Юридического лица. Стороны принимают на себя обязанность добровольно исполнять арбитражное решение [2, С. 6].</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5D09E8">
        <w:rPr>
          <w:rFonts w:ascii="Times New Roman" w:hAnsi="Times New Roman"/>
          <w:sz w:val="28"/>
          <w:szCs w:val="28"/>
        </w:rPr>
        <w:t>Выводы. Институт арбитрабильности корпоративных споров предусматривается международными</w:t>
      </w:r>
      <w:r w:rsidRPr="00467B95">
        <w:rPr>
          <w:rFonts w:ascii="Times New Roman" w:hAnsi="Times New Roman"/>
          <w:sz w:val="28"/>
          <w:szCs w:val="28"/>
        </w:rPr>
        <w:t xml:space="preserve"> договорами, однако регулируется каждым государством самостоятельно. Существенное влияние на его оказывает доктриной и арбитражная практика. Первая позволяет решить такие проблемы как защита прав третьих лиц в корпоративных спорах (доктрина «снятия корпоративной вуали»), а вторая – закрепить формулу арбитражной оговорки, которая позволит гарантировать действительность арбитражного соглашения и защитить интересы третьих лиц. Как выход, для этого необходимо ориентироваться на формулы регламентов третейских судов.</w:t>
      </w:r>
    </w:p>
    <w:p w:rsidR="00BE23A6" w:rsidRDefault="00BE23A6" w:rsidP="005A3DF4">
      <w:pPr>
        <w:widowControl w:val="0"/>
        <w:spacing w:after="0" w:line="240" w:lineRule="auto"/>
        <w:ind w:firstLine="709"/>
        <w:contextualSpacing/>
        <w:jc w:val="center"/>
        <w:rPr>
          <w:rFonts w:ascii="Times New Roman" w:eastAsia="Times New Roman" w:hAnsi="Times New Roman"/>
          <w:sz w:val="28"/>
          <w:szCs w:val="28"/>
          <w:lang w:eastAsia="ru-RU"/>
        </w:rPr>
      </w:pPr>
    </w:p>
    <w:p w:rsidR="005D09E8" w:rsidRPr="00467B95" w:rsidRDefault="005D09E8"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Список использованных источников</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 Арбитражный процессуальный кодекс Российской Федерации : федеральный закон от 24.07.2002 №95-ФЗ (ред. от 25.12.2018) [Электронный ресурс] // СПС «КонсультантПлюс». – Режим доступа: http://www.consultant.ru/document/cons_doc_LAW_37800/</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2 Арбитражный регламент: утвержден общим собранием учредителей АНО «ИСА» от 20.12.2016 г. протокол №7 (в ред. от 20.09.2017) [Электронный ресурс] // Российский арбитражный центр. – Режим доступа: https://centerarbitr.ru/wp-content/uploads/2017/09/Arbitration-Rules-20092017.pdf</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3 Ахмедов А. Международный коммерческий арбитраж от Гэри Борна [Электронный ресурс] / А. Ахмедов // Информационно-правовой портал «Закон.ру». – Режим доступа: </w:t>
      </w:r>
      <w:r w:rsidRPr="00467B95">
        <w:rPr>
          <w:rFonts w:ascii="Times New Roman" w:hAnsi="Times New Roman" w:cs="Times New Roman"/>
          <w:sz w:val="28"/>
          <w:szCs w:val="28"/>
          <w:lang w:val="en-US"/>
        </w:rPr>
        <w:t>https</w:t>
      </w:r>
      <w:r w:rsidRPr="00467B95">
        <w:rPr>
          <w:rFonts w:ascii="Times New Roman" w:hAnsi="Times New Roman" w:cs="Times New Roman"/>
          <w:sz w:val="28"/>
          <w:szCs w:val="28"/>
        </w:rPr>
        <w:t>://</w:t>
      </w:r>
      <w:r w:rsidRPr="00467B95">
        <w:rPr>
          <w:rFonts w:ascii="Times New Roman" w:hAnsi="Times New Roman" w:cs="Times New Roman"/>
          <w:sz w:val="28"/>
          <w:szCs w:val="28"/>
          <w:lang w:val="en-US"/>
        </w:rPr>
        <w:t>zakon</w:t>
      </w:r>
      <w:r w:rsidRPr="00467B95">
        <w:rPr>
          <w:rFonts w:ascii="Times New Roman" w:hAnsi="Times New Roman" w:cs="Times New Roman"/>
          <w:sz w:val="28"/>
          <w:szCs w:val="28"/>
        </w:rPr>
        <w:t>.</w:t>
      </w:r>
      <w:r w:rsidRPr="00467B95">
        <w:rPr>
          <w:rFonts w:ascii="Times New Roman" w:hAnsi="Times New Roman" w:cs="Times New Roman"/>
          <w:sz w:val="28"/>
          <w:szCs w:val="28"/>
          <w:lang w:val="en-US"/>
        </w:rPr>
        <w:t>ru</w:t>
      </w:r>
      <w:r w:rsidRPr="00467B95">
        <w:rPr>
          <w:rFonts w:ascii="Times New Roman" w:hAnsi="Times New Roman" w:cs="Times New Roman"/>
          <w:sz w:val="28"/>
          <w:szCs w:val="28"/>
        </w:rPr>
        <w:t>/</w:t>
      </w:r>
      <w:r w:rsidRPr="00467B95">
        <w:rPr>
          <w:rFonts w:ascii="Times New Roman" w:hAnsi="Times New Roman" w:cs="Times New Roman"/>
          <w:sz w:val="28"/>
          <w:szCs w:val="28"/>
          <w:lang w:val="en-US"/>
        </w:rPr>
        <w:t>blog</w:t>
      </w:r>
      <w:r w:rsidRPr="00467B95">
        <w:rPr>
          <w:rFonts w:ascii="Times New Roman" w:hAnsi="Times New Roman" w:cs="Times New Roman"/>
          <w:sz w:val="28"/>
          <w:szCs w:val="28"/>
        </w:rPr>
        <w:t>/2014/12/12/</w:t>
      </w:r>
      <w:r w:rsidRPr="00467B95">
        <w:rPr>
          <w:rFonts w:ascii="Times New Roman" w:hAnsi="Times New Roman" w:cs="Times New Roman"/>
          <w:sz w:val="28"/>
          <w:szCs w:val="28"/>
          <w:lang w:val="en-US"/>
        </w:rPr>
        <w:t>mezhdunarodnyj</w:t>
      </w:r>
      <w:r w:rsidRPr="00467B95">
        <w:rPr>
          <w:rFonts w:ascii="Times New Roman" w:hAnsi="Times New Roman" w:cs="Times New Roman"/>
          <w:sz w:val="28"/>
          <w:szCs w:val="28"/>
        </w:rPr>
        <w:t>_</w:t>
      </w:r>
      <w:r w:rsidRPr="00467B95">
        <w:rPr>
          <w:rFonts w:ascii="Times New Roman" w:hAnsi="Times New Roman" w:cs="Times New Roman"/>
          <w:sz w:val="28"/>
          <w:szCs w:val="28"/>
          <w:lang w:val="en-US"/>
        </w:rPr>
        <w:t>kommercheskij</w:t>
      </w:r>
      <w:r w:rsidRPr="00467B95">
        <w:rPr>
          <w:rFonts w:ascii="Times New Roman" w:hAnsi="Times New Roman" w:cs="Times New Roman"/>
          <w:sz w:val="28"/>
          <w:szCs w:val="28"/>
        </w:rPr>
        <w:t>_</w:t>
      </w:r>
      <w:r w:rsidRPr="00467B95">
        <w:rPr>
          <w:rFonts w:ascii="Times New Roman" w:hAnsi="Times New Roman" w:cs="Times New Roman"/>
          <w:sz w:val="28"/>
          <w:szCs w:val="28"/>
          <w:lang w:val="en-US"/>
        </w:rPr>
        <w:t>arbitrazh</w:t>
      </w:r>
      <w:r w:rsidRPr="00467B95">
        <w:rPr>
          <w:rFonts w:ascii="Times New Roman" w:hAnsi="Times New Roman" w:cs="Times New Roman"/>
          <w:sz w:val="28"/>
          <w:szCs w:val="28"/>
        </w:rPr>
        <w:t>_</w:t>
      </w:r>
      <w:r w:rsidRPr="00467B95">
        <w:rPr>
          <w:rFonts w:ascii="Times New Roman" w:hAnsi="Times New Roman" w:cs="Times New Roman"/>
          <w:sz w:val="28"/>
          <w:szCs w:val="28"/>
          <w:lang w:val="en-US"/>
        </w:rPr>
        <w:t>ot</w:t>
      </w:r>
      <w:r w:rsidRPr="00467B95">
        <w:rPr>
          <w:rFonts w:ascii="Times New Roman" w:hAnsi="Times New Roman" w:cs="Times New Roman"/>
          <w:sz w:val="28"/>
          <w:szCs w:val="28"/>
        </w:rPr>
        <w:t>_</w:t>
      </w:r>
      <w:r w:rsidRPr="00467B95">
        <w:rPr>
          <w:rFonts w:ascii="Times New Roman" w:hAnsi="Times New Roman" w:cs="Times New Roman"/>
          <w:sz w:val="28"/>
          <w:szCs w:val="28"/>
          <w:lang w:val="en-US"/>
        </w:rPr>
        <w:t>geri</w:t>
      </w:r>
      <w:r w:rsidRPr="00467B95">
        <w:rPr>
          <w:rFonts w:ascii="Times New Roman" w:hAnsi="Times New Roman" w:cs="Times New Roman"/>
          <w:sz w:val="28"/>
          <w:szCs w:val="28"/>
        </w:rPr>
        <w:t>_</w:t>
      </w:r>
      <w:r w:rsidRPr="00467B95">
        <w:rPr>
          <w:rFonts w:ascii="Times New Roman" w:hAnsi="Times New Roman" w:cs="Times New Roman"/>
          <w:sz w:val="28"/>
          <w:szCs w:val="28"/>
          <w:lang w:val="en-US"/>
        </w:rPr>
        <w:t>borna</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4</w:t>
      </w:r>
      <w:r w:rsidRPr="00467B95">
        <w:rPr>
          <w:rFonts w:ascii="Times New Roman" w:hAnsi="Times New Roman" w:cs="Times New Roman"/>
          <w:sz w:val="28"/>
          <w:szCs w:val="28"/>
          <w:lang w:val="en-US"/>
        </w:rPr>
        <w:t> </w:t>
      </w:r>
      <w:r w:rsidRPr="00467B95">
        <w:rPr>
          <w:rFonts w:ascii="Times New Roman" w:hAnsi="Times New Roman" w:cs="Times New Roman"/>
          <w:sz w:val="28"/>
          <w:szCs w:val="28"/>
        </w:rPr>
        <w:t>Исполинов А. Спустя год после решения Суда ЕС по делу Achmea: инвестарбитраж и международное инвестиционное право изгоняются из Европейского Союза [Электронный ресурс] / А. Исполинов // Информационно-правовой портал «Закон.ру». – Режим доступа: https://zakon.ru/blog/2019/4/30/spustya_god_posle_resheniya_suda_es_po_delu_achmea_investarbitrazh_i_mezhdunarodnoe_investicionnoe_p</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5 Комаров А.С. Некоторые замечания по поводу третейского разбирательства корпоративных споров [Электронный источник] / А.С. Комаров // Основные проблемы частного права: Сборник статей к юбилею доктора юридических наук, профессора А.Л. Маковского / Отв. ред. В.В. Витрянский, Е.А. Суханов. – М. : Статут, 2010. – С. 544 – 559. – Режим доступа: http://p.120-bal.ru/literatura/3197/index.html?page=2</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6 Конвенция Организации Объединенных Наций о признании и приведении в исполнение иностранных арбитражных решений (заключена в г. Нью-Йорке в 1958 г.) [Электронный ресурс] // СПС «КонсультантПлюс». – Режим доступа: http://www.consultant.ru/document/cons_doc_LAW_2692/</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7 Костин А. </w:t>
      </w:r>
      <w:r w:rsidRPr="00467B95">
        <w:rPr>
          <w:rFonts w:ascii="Times New Roman" w:hAnsi="Times New Roman" w:cs="Times New Roman"/>
          <w:sz w:val="28"/>
          <w:szCs w:val="28"/>
          <w:lang w:val="en-US"/>
        </w:rPr>
        <w:t>Issue</w:t>
      </w:r>
      <w:r w:rsidRPr="00467B95">
        <w:rPr>
          <w:rFonts w:ascii="Times New Roman" w:hAnsi="Times New Roman" w:cs="Times New Roman"/>
          <w:sz w:val="28"/>
          <w:szCs w:val="28"/>
        </w:rPr>
        <w:t xml:space="preserve"> </w:t>
      </w:r>
      <w:r w:rsidRPr="00467B95">
        <w:rPr>
          <w:rFonts w:ascii="Times New Roman" w:hAnsi="Times New Roman" w:cs="Times New Roman"/>
          <w:sz w:val="28"/>
          <w:szCs w:val="28"/>
          <w:lang w:val="en-US"/>
        </w:rPr>
        <w:t>estoppel</w:t>
      </w:r>
      <w:r w:rsidRPr="00467B95">
        <w:rPr>
          <w:rFonts w:ascii="Times New Roman" w:hAnsi="Times New Roman" w:cs="Times New Roman"/>
          <w:sz w:val="28"/>
          <w:szCs w:val="28"/>
        </w:rPr>
        <w:t xml:space="preserve"> (</w:t>
      </w:r>
      <w:r w:rsidRPr="00467B95">
        <w:rPr>
          <w:rFonts w:ascii="Times New Roman" w:hAnsi="Times New Roman" w:cs="Times New Roman"/>
          <w:sz w:val="28"/>
          <w:szCs w:val="28"/>
          <w:lang w:val="en-US"/>
        </w:rPr>
        <w:t>concentration</w:t>
      </w:r>
      <w:r w:rsidRPr="00467B95">
        <w:rPr>
          <w:rFonts w:ascii="Times New Roman" w:hAnsi="Times New Roman" w:cs="Times New Roman"/>
          <w:sz w:val="28"/>
          <w:szCs w:val="28"/>
        </w:rPr>
        <w:t xml:space="preserve"> </w:t>
      </w:r>
      <w:r w:rsidRPr="00467B95">
        <w:rPr>
          <w:rFonts w:ascii="Times New Roman" w:hAnsi="Times New Roman" w:cs="Times New Roman"/>
          <w:sz w:val="28"/>
          <w:szCs w:val="28"/>
          <w:lang w:val="en-US"/>
        </w:rPr>
        <w:t>des</w:t>
      </w:r>
      <w:r w:rsidRPr="00467B95">
        <w:rPr>
          <w:rFonts w:ascii="Times New Roman" w:hAnsi="Times New Roman" w:cs="Times New Roman"/>
          <w:sz w:val="28"/>
          <w:szCs w:val="28"/>
        </w:rPr>
        <w:t xml:space="preserve"> </w:t>
      </w:r>
      <w:r w:rsidRPr="00467B95">
        <w:rPr>
          <w:rFonts w:ascii="Times New Roman" w:hAnsi="Times New Roman" w:cs="Times New Roman"/>
          <w:sz w:val="28"/>
          <w:szCs w:val="28"/>
          <w:lang w:val="en-US"/>
        </w:rPr>
        <w:t>moyens</w:t>
      </w:r>
      <w:r w:rsidRPr="00467B95">
        <w:rPr>
          <w:rFonts w:ascii="Times New Roman" w:hAnsi="Times New Roman" w:cs="Times New Roman"/>
          <w:sz w:val="28"/>
          <w:szCs w:val="28"/>
        </w:rPr>
        <w:t>) и международный публичный порядок [Электронный ресурс] / А. Костин // Информационно-правовой портал «Закон.ру». – Режим доступа: https://zakon.ru/blog/2018/12/25/issue_estoppel_i_mezhdunarodnyj_publichnyj_poryadok</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8 Кофанов А. Применение доктрины «снятия корпоративной вуали» в международном коммерческом арбитраже / А. Кофанов // Актуальные проблемы предпринимательского права. - 2015. - Вып. IV. - С. 67-76.</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9 Минина А.И. Объективная арбитрабильность в законодательстве, доктрине и арбитражной практике России / А.И. Минина // Актуальные проблемы российского права. – 2014. – №1(38). – С. 115-134.</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10 О внесении изменений в Федеральный закон «Об арбитраже (третейском разбирательстве) в Российской Федерации» и Федеральный закон «О рекламе» : федеральный закон от 27.12.2018 №531-ФЗ </w:t>
      </w:r>
      <w:r w:rsidRPr="00467B95">
        <w:rPr>
          <w:rFonts w:ascii="Times New Roman" w:hAnsi="Times New Roman" w:cs="Times New Roman"/>
          <w:sz w:val="28"/>
          <w:szCs w:val="28"/>
        </w:rPr>
        <w:lastRenderedPageBreak/>
        <w:t>[Электронный ресурс] // СПС «КонсультантПлюс». – Режим доступа: www.consultant.ru/document/cons_doc_LAW_314652/</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11. Об арбитраже (третейском разбирательстве) в Российской Федерации : федеральный закон от 29.12.2015 №382-ФЗ (ред. от 27.12.2018) [Электронный ресурс] // СПС «КонсультантПлюс». – Режим доступа: http://www.consultant.ru/document/cons_doc_LAW_191301/</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12.</w:t>
      </w:r>
      <w:r w:rsidRPr="00467B95">
        <w:rPr>
          <w:rFonts w:ascii="Times New Roman" w:hAnsi="Times New Roman" w:cs="Times New Roman"/>
          <w:sz w:val="28"/>
          <w:szCs w:val="28"/>
          <w:lang w:val="en-US"/>
        </w:rPr>
        <w:t> </w:t>
      </w:r>
      <w:r w:rsidRPr="00467B95">
        <w:rPr>
          <w:rFonts w:ascii="Times New Roman" w:hAnsi="Times New Roman" w:cs="Times New Roman"/>
          <w:sz w:val="28"/>
          <w:szCs w:val="28"/>
        </w:rPr>
        <w:t>Панов А. Арбитраж в 2019 году – что принесет Федеральный закон от 27.12.2018 № 531-ФЗ «О внесении изменений в Федеральный закон “Об арбитраже ...” и Федеральный “О рекламе”»? [Электронный ресурс] / А. Панов // Информационно-правовой портал «Закон.ру». – Режим доступа: https://zakon.ru/blog/2018/12/29/arbitrazh_v_2019_godu__chto_prineset_federalnyj_zakon_ot_27122018__531-fz_o_vnesenii_izmenenij_v_fed</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13. Пашкова Е.Ю. Подведомственность арбитражным судам споров, возникающих из корпоративных правоотношений : автореф. дис. … канд. юрид. наук : 12.00.15 / Пашкова Елена Юрьевна. – М., 2006. - 24 с.</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14. По делу о проверке конституционности положений пункта 1 статьи 11 Гражданского кодекса Российской Федерации, пункта 2 статьи 1 Федерального закона «О третейских судах в Российской Федерации», статьи 28 Федерального закона «О государственной регистрации прав на недвижимое имущество и сделок с ним», пункта 1 статьи 33 и статьи 51 Федерального закона «Об ипотеке (залоге недвижимости)» в связи с запросом Высшего Арбитражного Суда Российской Федерации : постановление Конституционного Суда РФ от 26.05.2011 №10-П [Электронный ресурс] // СПС «КонсультантПлюс». – Режим доступа: http://www.consultant.ru/document/cons_doc_LAW_114541/.</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15. Постановление №Ф09-11086/16 Арбитражного суда Уральского округа </w:t>
      </w:r>
      <w:r w:rsidRPr="00467B95">
        <w:rPr>
          <w:rFonts w:ascii="Times New Roman" w:eastAsia="Calibri" w:hAnsi="Times New Roman" w:cs="Times New Roman"/>
          <w:sz w:val="28"/>
          <w:szCs w:val="28"/>
        </w:rPr>
        <w:t xml:space="preserve">[Электронный ресурс] // </w:t>
      </w:r>
      <w:r w:rsidRPr="00467B95">
        <w:rPr>
          <w:rFonts w:ascii="Times New Roman" w:hAnsi="Times New Roman" w:cs="Times New Roman"/>
          <w:sz w:val="28"/>
          <w:szCs w:val="28"/>
        </w:rPr>
        <w:t>Информационно-правовой портал «Гарант.ру»</w:t>
      </w:r>
      <w:r w:rsidRPr="00467B95">
        <w:rPr>
          <w:rFonts w:ascii="Times New Roman" w:eastAsia="Calibri" w:hAnsi="Times New Roman" w:cs="Times New Roman"/>
          <w:sz w:val="28"/>
          <w:szCs w:val="28"/>
        </w:rPr>
        <w:t>. – Режим доступа:</w:t>
      </w:r>
      <w:r w:rsidRPr="00467B95">
        <w:rPr>
          <w:rFonts w:ascii="Times New Roman" w:hAnsi="Times New Roman" w:cs="Times New Roman"/>
          <w:sz w:val="28"/>
          <w:szCs w:val="28"/>
        </w:rPr>
        <w:t xml:space="preserve"> http://base.garant.ru/38744373/.</w:t>
      </w:r>
    </w:p>
    <w:p w:rsidR="00844289" w:rsidRPr="00467B95" w:rsidRDefault="0084428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16. Тай Ю.В. Перемен! Мы ждем перемен / Ю.В. Тай // Закон. – 2015. – №10. – С. 30-34.</w:t>
      </w:r>
    </w:p>
    <w:p w:rsidR="00B83E8D" w:rsidRPr="00467B95" w:rsidRDefault="00B83E8D" w:rsidP="005A3DF4">
      <w:pPr>
        <w:widowControl w:val="0"/>
        <w:spacing w:after="0" w:line="240" w:lineRule="auto"/>
        <w:ind w:firstLine="709"/>
        <w:jc w:val="both"/>
        <w:rPr>
          <w:rFonts w:ascii="Times New Roman" w:hAnsi="Times New Roman"/>
          <w:sz w:val="28"/>
          <w:szCs w:val="28"/>
        </w:rPr>
      </w:pPr>
    </w:p>
    <w:p w:rsidR="00B83E8D" w:rsidRDefault="00B83E8D" w:rsidP="005A3DF4">
      <w:pPr>
        <w:widowControl w:val="0"/>
        <w:spacing w:after="0" w:line="240" w:lineRule="auto"/>
        <w:ind w:firstLine="709"/>
        <w:jc w:val="center"/>
        <w:rPr>
          <w:rFonts w:ascii="Times New Roman" w:hAnsi="Times New Roman"/>
          <w:b/>
          <w:sz w:val="28"/>
          <w:szCs w:val="28"/>
        </w:rPr>
      </w:pPr>
      <w:r w:rsidRPr="00C80C4D">
        <w:rPr>
          <w:rFonts w:ascii="Times New Roman" w:hAnsi="Times New Roman"/>
          <w:b/>
          <w:sz w:val="28"/>
          <w:szCs w:val="28"/>
        </w:rPr>
        <w:t>Возведение самовольной постройки как основание возникновения права на земельный участок</w:t>
      </w:r>
    </w:p>
    <w:p w:rsidR="00B83E8D" w:rsidRPr="00C80C4D" w:rsidRDefault="00B83E8D" w:rsidP="005A3DF4">
      <w:pPr>
        <w:widowControl w:val="0"/>
        <w:spacing w:after="0" w:line="240" w:lineRule="auto"/>
        <w:ind w:firstLine="709"/>
        <w:jc w:val="center"/>
        <w:rPr>
          <w:rFonts w:ascii="Times New Roman" w:hAnsi="Times New Roman"/>
          <w:b/>
          <w:sz w:val="28"/>
          <w:szCs w:val="28"/>
        </w:rPr>
      </w:pPr>
    </w:p>
    <w:p w:rsidR="00B83E8D" w:rsidRPr="00C80C4D" w:rsidRDefault="00B83E8D" w:rsidP="005A3DF4">
      <w:pPr>
        <w:widowControl w:val="0"/>
        <w:spacing w:after="0" w:line="240" w:lineRule="auto"/>
        <w:ind w:firstLine="709"/>
        <w:jc w:val="center"/>
        <w:rPr>
          <w:rFonts w:ascii="Times New Roman" w:hAnsi="Times New Roman"/>
          <w:b/>
          <w:sz w:val="28"/>
          <w:szCs w:val="28"/>
        </w:rPr>
      </w:pPr>
      <w:r w:rsidRPr="00C80C4D">
        <w:rPr>
          <w:rFonts w:ascii="Times New Roman" w:hAnsi="Times New Roman"/>
          <w:sz w:val="28"/>
          <w:szCs w:val="28"/>
        </w:rPr>
        <w:t>Осадчий Роман Эдуардович</w:t>
      </w:r>
    </w:p>
    <w:p w:rsidR="00B83E8D" w:rsidRPr="00C80C4D" w:rsidRDefault="00B83E8D" w:rsidP="005A3DF4">
      <w:pPr>
        <w:widowControl w:val="0"/>
        <w:spacing w:after="0" w:line="240" w:lineRule="auto"/>
        <w:ind w:firstLine="709"/>
        <w:jc w:val="center"/>
        <w:rPr>
          <w:rFonts w:ascii="Times New Roman" w:hAnsi="Times New Roman"/>
          <w:sz w:val="28"/>
          <w:szCs w:val="28"/>
        </w:rPr>
      </w:pPr>
      <w:r w:rsidRPr="00C80C4D">
        <w:rPr>
          <w:rFonts w:ascii="Times New Roman" w:hAnsi="Times New Roman"/>
          <w:sz w:val="28"/>
          <w:szCs w:val="28"/>
        </w:rPr>
        <w:t>бакалавр</w:t>
      </w:r>
    </w:p>
    <w:p w:rsidR="00B83E8D" w:rsidRPr="00C80C4D" w:rsidRDefault="00B83E8D" w:rsidP="005A3DF4">
      <w:pPr>
        <w:widowControl w:val="0"/>
        <w:spacing w:after="0" w:line="240" w:lineRule="auto"/>
        <w:ind w:firstLine="709"/>
        <w:jc w:val="center"/>
        <w:rPr>
          <w:rFonts w:ascii="Times New Roman" w:hAnsi="Times New Roman"/>
          <w:i/>
          <w:sz w:val="28"/>
          <w:szCs w:val="28"/>
        </w:rPr>
      </w:pPr>
      <w:r w:rsidRPr="00C80C4D">
        <w:rPr>
          <w:rFonts w:ascii="Times New Roman" w:hAnsi="Times New Roman"/>
          <w:i/>
          <w:sz w:val="28"/>
          <w:szCs w:val="28"/>
        </w:rPr>
        <w:t>Владивостокский государственный  университет экономики и сервиса</w:t>
      </w:r>
    </w:p>
    <w:p w:rsidR="00B83E8D" w:rsidRPr="00C80C4D" w:rsidRDefault="00B83E8D" w:rsidP="005A3DF4">
      <w:pPr>
        <w:widowControl w:val="0"/>
        <w:spacing w:after="0" w:line="240" w:lineRule="auto"/>
        <w:ind w:firstLine="709"/>
        <w:jc w:val="center"/>
        <w:rPr>
          <w:rFonts w:ascii="Times New Roman" w:hAnsi="Times New Roman"/>
          <w:i/>
          <w:sz w:val="28"/>
          <w:szCs w:val="28"/>
        </w:rPr>
      </w:pPr>
      <w:r w:rsidRPr="00C80C4D">
        <w:rPr>
          <w:rFonts w:ascii="Times New Roman" w:hAnsi="Times New Roman"/>
          <w:i/>
          <w:sz w:val="28"/>
          <w:szCs w:val="28"/>
        </w:rPr>
        <w:t>Россия. Владивосток</w:t>
      </w:r>
    </w:p>
    <w:p w:rsidR="00B83E8D" w:rsidRPr="00C80C4D" w:rsidRDefault="00B83E8D" w:rsidP="005A3DF4">
      <w:pPr>
        <w:widowControl w:val="0"/>
        <w:spacing w:after="0" w:line="240" w:lineRule="auto"/>
        <w:ind w:firstLine="709"/>
        <w:jc w:val="center"/>
        <w:rPr>
          <w:rFonts w:ascii="Times New Roman" w:hAnsi="Times New Roman"/>
          <w:sz w:val="28"/>
          <w:szCs w:val="28"/>
        </w:rPr>
      </w:pPr>
      <w:r w:rsidRPr="00C80C4D">
        <w:rPr>
          <w:rFonts w:ascii="Times New Roman" w:hAnsi="Times New Roman"/>
          <w:sz w:val="28"/>
          <w:szCs w:val="28"/>
          <w:lang w:val="en-US"/>
        </w:rPr>
        <w:t>E</w:t>
      </w:r>
      <w:r w:rsidRPr="00C80C4D">
        <w:rPr>
          <w:rFonts w:ascii="Times New Roman" w:hAnsi="Times New Roman"/>
          <w:sz w:val="28"/>
          <w:szCs w:val="28"/>
        </w:rPr>
        <w:t>-</w:t>
      </w:r>
      <w:r w:rsidRPr="00C80C4D">
        <w:rPr>
          <w:rFonts w:ascii="Times New Roman" w:hAnsi="Times New Roman"/>
          <w:sz w:val="28"/>
          <w:szCs w:val="28"/>
          <w:lang w:val="en-US"/>
        </w:rPr>
        <w:t>mail</w:t>
      </w:r>
      <w:r w:rsidRPr="00C80C4D">
        <w:rPr>
          <w:rFonts w:ascii="Times New Roman" w:hAnsi="Times New Roman"/>
          <w:sz w:val="28"/>
          <w:szCs w:val="28"/>
        </w:rPr>
        <w:t xml:space="preserve"> </w:t>
      </w:r>
      <w:r w:rsidRPr="00C80C4D">
        <w:rPr>
          <w:rFonts w:ascii="Times New Roman" w:hAnsi="Times New Roman"/>
          <w:sz w:val="28"/>
          <w:szCs w:val="28"/>
          <w:lang w:val="en-GB"/>
        </w:rPr>
        <w:t>osadchyroman</w:t>
      </w:r>
      <w:r w:rsidRPr="00C80C4D">
        <w:rPr>
          <w:rFonts w:ascii="Times New Roman" w:hAnsi="Times New Roman"/>
          <w:sz w:val="28"/>
          <w:szCs w:val="28"/>
        </w:rPr>
        <w:t>@</w:t>
      </w:r>
      <w:r w:rsidRPr="00C80C4D">
        <w:rPr>
          <w:rFonts w:ascii="Times New Roman" w:hAnsi="Times New Roman"/>
          <w:sz w:val="28"/>
          <w:szCs w:val="28"/>
          <w:lang w:val="en-US"/>
        </w:rPr>
        <w:t>gmail</w:t>
      </w:r>
      <w:r w:rsidRPr="00C80C4D">
        <w:rPr>
          <w:rFonts w:ascii="Times New Roman" w:hAnsi="Times New Roman"/>
          <w:sz w:val="28"/>
          <w:szCs w:val="28"/>
        </w:rPr>
        <w:t>.</w:t>
      </w:r>
      <w:r w:rsidRPr="00C80C4D">
        <w:rPr>
          <w:rFonts w:ascii="Times New Roman" w:hAnsi="Times New Roman"/>
          <w:sz w:val="28"/>
          <w:szCs w:val="28"/>
          <w:lang w:val="en-US"/>
        </w:rPr>
        <w:t>com</w:t>
      </w:r>
      <w:r w:rsidRPr="00C80C4D">
        <w:rPr>
          <w:rFonts w:ascii="Times New Roman" w:hAnsi="Times New Roman"/>
          <w:sz w:val="28"/>
          <w:szCs w:val="28"/>
        </w:rPr>
        <w:t>; +79089679434</w:t>
      </w:r>
    </w:p>
    <w:p w:rsidR="00A75F9F" w:rsidRPr="00467B95" w:rsidRDefault="00A75F9F"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A75F9F" w:rsidRPr="00467B95" w:rsidRDefault="00A75F9F" w:rsidP="005A3DF4">
      <w:pPr>
        <w:widowControl w:val="0"/>
        <w:spacing w:after="0" w:line="240" w:lineRule="auto"/>
        <w:ind w:firstLine="709"/>
        <w:jc w:val="center"/>
        <w:rPr>
          <w:rFonts w:ascii="Times New Roman" w:hAnsi="Times New Roman"/>
          <w:sz w:val="28"/>
          <w:szCs w:val="28"/>
        </w:rPr>
      </w:pPr>
    </w:p>
    <w:p w:rsidR="00A75F9F" w:rsidRPr="006279CC" w:rsidRDefault="00A75F9F"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6279CC">
        <w:rPr>
          <w:rFonts w:ascii="Times New Roman" w:eastAsia="Times New Roman" w:hAnsi="Times New Roman"/>
          <w:i/>
          <w:kern w:val="36"/>
          <w:sz w:val="28"/>
          <w:szCs w:val="28"/>
          <w:lang w:eastAsia="ru-RU"/>
        </w:rPr>
        <w:t>Аннотация: В статье рассматривается вопрос о возможности возведения и дальнейшей легализации самовольной постройки как основание возникновения права собственности на земельный участок.</w:t>
      </w:r>
    </w:p>
    <w:p w:rsidR="006279CC" w:rsidRPr="006279CC" w:rsidRDefault="006279CC" w:rsidP="005A3DF4">
      <w:pPr>
        <w:widowControl w:val="0"/>
        <w:spacing w:after="0" w:line="240" w:lineRule="auto"/>
        <w:ind w:firstLine="709"/>
        <w:jc w:val="both"/>
        <w:rPr>
          <w:rFonts w:ascii="Times New Roman" w:eastAsia="Times New Roman" w:hAnsi="Times New Roman"/>
          <w:i/>
          <w:kern w:val="36"/>
          <w:sz w:val="28"/>
          <w:szCs w:val="28"/>
          <w:lang w:eastAsia="ru-RU"/>
        </w:rPr>
      </w:pPr>
    </w:p>
    <w:p w:rsidR="00A75F9F" w:rsidRPr="00467B95" w:rsidRDefault="00A75F9F" w:rsidP="005A3DF4">
      <w:pPr>
        <w:widowControl w:val="0"/>
        <w:spacing w:after="0" w:line="240" w:lineRule="auto"/>
        <w:ind w:firstLine="709"/>
        <w:jc w:val="both"/>
        <w:rPr>
          <w:rFonts w:ascii="Times New Roman" w:eastAsia="Times New Roman" w:hAnsi="Times New Roman"/>
          <w:i/>
          <w:kern w:val="36"/>
          <w:sz w:val="28"/>
          <w:szCs w:val="28"/>
          <w:lang w:eastAsia="ru-RU"/>
        </w:rPr>
      </w:pPr>
      <w:r w:rsidRPr="006279CC">
        <w:rPr>
          <w:rFonts w:ascii="Times New Roman" w:eastAsia="Times New Roman" w:hAnsi="Times New Roman"/>
          <w:i/>
          <w:kern w:val="36"/>
          <w:sz w:val="28"/>
          <w:szCs w:val="28"/>
          <w:lang w:eastAsia="ru-RU"/>
        </w:rPr>
        <w:t>Ключевые слова, словосочетания:</w:t>
      </w:r>
      <w:r w:rsidRPr="00467B95">
        <w:rPr>
          <w:rFonts w:ascii="Times New Roman" w:eastAsia="Times New Roman" w:hAnsi="Times New Roman"/>
          <w:b/>
          <w:i/>
          <w:kern w:val="36"/>
          <w:sz w:val="28"/>
          <w:szCs w:val="28"/>
          <w:lang w:eastAsia="ru-RU"/>
        </w:rPr>
        <w:t xml:space="preserve"> </w:t>
      </w:r>
      <w:r w:rsidRPr="00467B95">
        <w:rPr>
          <w:rFonts w:ascii="Times New Roman" w:eastAsia="Times New Roman" w:hAnsi="Times New Roman"/>
          <w:i/>
          <w:kern w:val="36"/>
          <w:sz w:val="28"/>
          <w:szCs w:val="28"/>
          <w:lang w:eastAsia="ru-RU"/>
        </w:rPr>
        <w:t>постройка, самовольная, приобретение, собственность.</w:t>
      </w:r>
    </w:p>
    <w:p w:rsidR="00A75F9F" w:rsidRPr="00467B95" w:rsidRDefault="00A75F9F" w:rsidP="005A3DF4">
      <w:pPr>
        <w:widowControl w:val="0"/>
        <w:spacing w:after="0" w:line="240" w:lineRule="auto"/>
        <w:ind w:firstLine="709"/>
        <w:jc w:val="center"/>
        <w:rPr>
          <w:rFonts w:ascii="Times New Roman" w:eastAsia="Times New Roman" w:hAnsi="Times New Roman"/>
          <w:b/>
          <w:kern w:val="36"/>
          <w:sz w:val="28"/>
          <w:szCs w:val="28"/>
          <w:lang w:eastAsia="ru-RU"/>
        </w:rPr>
      </w:pPr>
    </w:p>
    <w:p w:rsidR="00A75F9F" w:rsidRPr="00467B95" w:rsidRDefault="00A75F9F" w:rsidP="005A3DF4">
      <w:pPr>
        <w:widowControl w:val="0"/>
        <w:spacing w:after="0" w:line="240" w:lineRule="auto"/>
        <w:ind w:firstLine="709"/>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b/>
          <w:kern w:val="36"/>
          <w:sz w:val="28"/>
          <w:szCs w:val="28"/>
          <w:lang w:val="en-US" w:eastAsia="ru-RU"/>
        </w:rPr>
        <w:t>The construction of unauthorized construction as the basis of the emergence of the right to land</w:t>
      </w:r>
    </w:p>
    <w:p w:rsidR="006279CC" w:rsidRPr="005542CD" w:rsidRDefault="00A75F9F" w:rsidP="005A3DF4">
      <w:pPr>
        <w:pStyle w:val="HTML"/>
        <w:widowControl w:val="0"/>
        <w:shd w:val="clear" w:color="auto" w:fill="FFFFFF"/>
        <w:ind w:firstLine="709"/>
        <w:rPr>
          <w:rFonts w:ascii="Times New Roman" w:hAnsi="Times New Roman" w:cs="Times New Roman"/>
          <w:b/>
          <w:i/>
          <w:sz w:val="28"/>
          <w:szCs w:val="28"/>
          <w:lang w:val="en-US"/>
        </w:rPr>
      </w:pPr>
      <w:r w:rsidRPr="00467B95">
        <w:rPr>
          <w:rFonts w:ascii="Times New Roman" w:hAnsi="Times New Roman" w:cs="Times New Roman"/>
          <w:b/>
          <w:i/>
          <w:sz w:val="28"/>
          <w:szCs w:val="28"/>
          <w:lang w:val="en-US"/>
        </w:rPr>
        <w:tab/>
      </w:r>
    </w:p>
    <w:p w:rsidR="00A75F9F" w:rsidRPr="006279CC" w:rsidRDefault="00A75F9F" w:rsidP="005A3DF4">
      <w:pPr>
        <w:pStyle w:val="HTML"/>
        <w:widowControl w:val="0"/>
        <w:shd w:val="clear" w:color="auto" w:fill="FFFFFF"/>
        <w:ind w:firstLine="709"/>
        <w:rPr>
          <w:rFonts w:ascii="Times New Roman" w:hAnsi="Times New Roman" w:cs="Times New Roman"/>
          <w:i/>
          <w:color w:val="212121"/>
          <w:sz w:val="28"/>
          <w:szCs w:val="28"/>
          <w:lang w:val="en-US"/>
        </w:rPr>
      </w:pPr>
      <w:r w:rsidRPr="006279CC">
        <w:rPr>
          <w:rFonts w:ascii="Times New Roman" w:hAnsi="Times New Roman" w:cs="Times New Roman"/>
          <w:i/>
          <w:sz w:val="28"/>
          <w:szCs w:val="28"/>
          <w:lang w:val="en-US"/>
        </w:rPr>
        <w:t xml:space="preserve">Annotation: </w:t>
      </w:r>
      <w:r w:rsidRPr="006279CC">
        <w:rPr>
          <w:rFonts w:ascii="Times New Roman" w:hAnsi="Times New Roman" w:cs="Times New Roman"/>
          <w:i/>
          <w:color w:val="212121"/>
          <w:sz w:val="28"/>
          <w:szCs w:val="28"/>
          <w:lang w:val="en-US"/>
        </w:rPr>
        <w:t>The article discusses the possibility of the construction and further legalization of unauthorized construction as the basis for the emergence of the right of ownership of a land plot.</w:t>
      </w:r>
    </w:p>
    <w:p w:rsidR="006279CC" w:rsidRPr="005542CD" w:rsidRDefault="00A75F9F" w:rsidP="005A3DF4">
      <w:pPr>
        <w:pStyle w:val="HTML"/>
        <w:widowControl w:val="0"/>
        <w:shd w:val="clear" w:color="auto" w:fill="FFFFFF"/>
        <w:ind w:firstLine="709"/>
        <w:rPr>
          <w:rFonts w:ascii="Times New Roman" w:hAnsi="Times New Roman" w:cs="Times New Roman"/>
          <w:i/>
          <w:sz w:val="28"/>
          <w:szCs w:val="28"/>
          <w:lang w:val="en-US"/>
        </w:rPr>
      </w:pPr>
      <w:r w:rsidRPr="006279CC">
        <w:rPr>
          <w:rFonts w:ascii="Times New Roman" w:hAnsi="Times New Roman" w:cs="Times New Roman"/>
          <w:i/>
          <w:sz w:val="28"/>
          <w:szCs w:val="28"/>
          <w:lang w:val="en-US"/>
        </w:rPr>
        <w:tab/>
      </w:r>
    </w:p>
    <w:p w:rsidR="00A75F9F" w:rsidRPr="00467B95" w:rsidRDefault="00A75F9F" w:rsidP="005A3DF4">
      <w:pPr>
        <w:pStyle w:val="HTML"/>
        <w:widowControl w:val="0"/>
        <w:shd w:val="clear" w:color="auto" w:fill="FFFFFF"/>
        <w:ind w:firstLine="709"/>
        <w:rPr>
          <w:rFonts w:ascii="Times New Roman" w:hAnsi="Times New Roman" w:cs="Times New Roman"/>
          <w:i/>
          <w:sz w:val="28"/>
          <w:szCs w:val="28"/>
          <w:lang w:val="en-US"/>
        </w:rPr>
      </w:pPr>
      <w:r w:rsidRPr="006279CC">
        <w:rPr>
          <w:rFonts w:ascii="Times New Roman" w:hAnsi="Times New Roman" w:cs="Times New Roman"/>
          <w:i/>
          <w:sz w:val="28"/>
          <w:szCs w:val="28"/>
          <w:lang w:val="en-US"/>
        </w:rPr>
        <w:t>Key words and phrases: construction</w:t>
      </w:r>
      <w:r w:rsidRPr="00467B95">
        <w:rPr>
          <w:rFonts w:ascii="Times New Roman" w:hAnsi="Times New Roman" w:cs="Times New Roman"/>
          <w:i/>
          <w:sz w:val="28"/>
          <w:szCs w:val="28"/>
          <w:lang w:val="en-US"/>
        </w:rPr>
        <w:t>, unauthorized, acquisition, property.</w:t>
      </w:r>
    </w:p>
    <w:p w:rsidR="00A75F9F" w:rsidRPr="00467B95" w:rsidRDefault="00A75F9F" w:rsidP="005A3DF4">
      <w:pPr>
        <w:pStyle w:val="HTML"/>
        <w:widowControl w:val="0"/>
        <w:shd w:val="clear" w:color="auto" w:fill="FFFFFF"/>
        <w:ind w:firstLine="709"/>
        <w:rPr>
          <w:rFonts w:ascii="Times New Roman" w:hAnsi="Times New Roman" w:cs="Times New Roman"/>
          <w:i/>
          <w:sz w:val="28"/>
          <w:szCs w:val="28"/>
          <w:lang w:val="en-US"/>
        </w:rPr>
      </w:pP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Проблема правового урегулирования отношений самовольной постройки и приобретение в собственность земельного участка под самовольной постройкой всегда вызвала Не так давно изменения претерпел и Федеральный закон «О государственной регистрации недвижимости», который пришел на замену Федеральному закону от «О государственной регистрации прав на недвижимое имущество и сделок с ним», а также Федеральному закону «О государственном кадастре недвижимости». </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Также правотворческая деятельность подвергла изменениям нормы Гражданского кодекса Российской Федерации, которая устанавливала правила для признания объекта самовольной постройкой. </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на данный момент статус самовольной постройки, а также земельного участка под самовольной постройкой является спорным и дискуссионным вопросом. </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Целью данной работы является исследование особенностей российского законодательства в сфере узаконивания самовольной постройки, так и земельного участка под самовольной постройкой. </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Ведением изменений Федеральным законом «О внесении изменений в статью 222 части первой Гражданского кодекса Российской Федерации и Федеральным законом «О введении в действие части первой Гражданского кодекса Российской Федерации», законодатель существенно расширил статью 222 Гражданского кодекса Российской Федерации. </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Данные изменения затронули как понятие самовольной постройки в целом, так и признаки для её узаконивания, в частности.</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Понятие самовольной постройки законодателем было существенно расширенно и определяется как: </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Здание, сооружение или другое строение, возведенные, созданные на земельном участке, не предоставленном в установленном порядке, или на земельном участке, разрешенное использование которого не допускает строительства на нем данного объекта, либо возведенные, созданные без получения на это необходимых разрешений или с нарушением градостроительных и строительных норм и правил [1].</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ab/>
        <w:t>Понятие самовольной постройки до введения изменения в статью 222 Гражданского кодекса Российской Федерации в 2015 году значительно отличалось от определения которое было закреплено до введения изменений Федеральным законом «О внесении изменений в статью 222 части первой Гражданского кодекса Российской Федерации и Федеральный закон «О введении в действие части первой Гражданского кодекса Российской Федерации»,  самовольная постройка определялась как жилой дом, другое строение, сооружение или иное недвижимое имущество, созданное на земельном участке, не отведенном для этих целей в порядке, установленном законом и иными правовыми актами, либо созданное без получения на это необходимых разрешений или с существенным нарушением градостроительных и строительных норм и правил [2].</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ab/>
        <w:t>При этом в двух этих изменениях уже отсутствовало положение о возможности регистрации прав на объект самовольного строительства при нахождении данного объекта на чужом земельном участке.</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статье 222 Гражданского кодекса Российской Федерации до вступления в силу Федерального закона «О внесении изменений в некоторые законодательные акты Российской Федерации по вопросу оформления в упрощённом порядке прав граждан на отдельные объекты недвижимого имущества», законодателем была предоставлена возможность приобретения права собственности на самовольную постройку на земельном участке не находящимся в собственности застройщика [3].</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мнению автора, данное положение закодателем следовало бы оставить, так как не всегда у лиц, которые осуществляют строительство самовольной постройки есть возможность в законном порядке получить в право собственности земельный участок, под которым находиться самовольная постройка.</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 правопременителем при рассмотрении данных споров для недопущения злоупотреблением такого права, следует исходить из учета разумности основываясь на общем праве, представляется ли возможным зарегистрировать право собственности на такую самовольную постройку.</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можно склоняться к выводу о том, что институт самовольной постройки закрепился на низком уровне. При том, что он подвергается изменениям со стороны законодателя, он все также остается до конца не раскрытым и не полным.</w:t>
      </w:r>
      <w:r w:rsidRPr="00467B95">
        <w:rPr>
          <w:rFonts w:ascii="Times New Roman" w:hAnsi="Times New Roman"/>
          <w:sz w:val="28"/>
          <w:szCs w:val="28"/>
        </w:rPr>
        <w:tab/>
      </w:r>
    </w:p>
    <w:p w:rsidR="00E471F6" w:rsidRPr="00DE49DB" w:rsidRDefault="00A75F9F"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ab/>
      </w:r>
      <w:r w:rsidR="00E471F6">
        <w:rPr>
          <w:rFonts w:ascii="Times New Roman" w:hAnsi="Times New Roman"/>
          <w:sz w:val="28"/>
          <w:szCs w:val="28"/>
        </w:rPr>
        <w:t>Список использованных источников</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Гражданский кодекс Российской Федерации (часть первая): федеральный закон от 30.11.1994 № 51-ФЗ (ред. от 05.05.2014) [Электронный ресурс] // СПС «КонсультантПлюс» – Режим доступа: consultantplus://offline/ ref=52C6357854262A1A5469B25D9B434E93B411B9</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Гражданский кодекс Российской Федерации (часть первая): федеральный закон от 30.11.1994 № 51-ФЗ (ред. от 03.01.2006) [Электронный ресурс] // СПС «КонсультантПлюс». – Режим доступа: consultantplus://offline/ref= DD75289144AE01C096631B647 </w:t>
      </w:r>
      <w:r w:rsidRPr="00467B95">
        <w:rPr>
          <w:rFonts w:ascii="Times New Roman" w:hAnsi="Times New Roman"/>
          <w:sz w:val="28"/>
          <w:szCs w:val="28"/>
        </w:rPr>
        <w:lastRenderedPageBreak/>
        <w:t>CE5953E4C7A98F9F2F00C6F20536720D 1096C8894BF2442 D8944FwCCCF</w:t>
      </w:r>
    </w:p>
    <w:p w:rsidR="00A75F9F" w:rsidRPr="00467B95" w:rsidRDefault="00A75F9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Гражданский кодекс Российской Федерации (часть первая): федеральный закон от 30.11.1994 № 51-ФЗ (ред. от 03.08.2018) [Электронный ресурс] // СПС «КонсультантПлюс» – Режим доступа: http://www.consultant.ru/document/ cons_doc_LAW_ 5142/ f670878d88ab83726bd1804b82668b84b027802e/</w:t>
      </w:r>
    </w:p>
    <w:p w:rsidR="00A75F9F" w:rsidRPr="00467B95" w:rsidRDefault="00A75F9F" w:rsidP="005A3DF4">
      <w:pPr>
        <w:widowControl w:val="0"/>
        <w:spacing w:after="0" w:line="240" w:lineRule="auto"/>
        <w:ind w:firstLine="709"/>
        <w:rPr>
          <w:rFonts w:ascii="Times New Roman" w:hAnsi="Times New Roman"/>
          <w:sz w:val="28"/>
          <w:szCs w:val="28"/>
        </w:rPr>
      </w:pPr>
    </w:p>
    <w:p w:rsidR="00A75F9F" w:rsidRPr="00467B95" w:rsidRDefault="00A75F9F"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rPr>
      </w:pPr>
      <w:r w:rsidRPr="00467B95">
        <w:rPr>
          <w:rFonts w:ascii="Times New Roman" w:eastAsia="Times New Roman" w:hAnsi="Times New Roman"/>
          <w:b/>
          <w:kern w:val="36"/>
          <w:sz w:val="28"/>
          <w:szCs w:val="28"/>
        </w:rPr>
        <w:t>Правовое регулирование деятельности управляющих компаний</w:t>
      </w:r>
    </w:p>
    <w:p w:rsidR="00A75F9F" w:rsidRPr="00467B95" w:rsidRDefault="00A75F9F"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rPr>
      </w:pPr>
    </w:p>
    <w:p w:rsidR="00A75F9F" w:rsidRPr="00467B95" w:rsidRDefault="00A75F9F"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rPr>
      </w:pPr>
      <w:r w:rsidRPr="00467B95">
        <w:rPr>
          <w:rFonts w:ascii="Times New Roman" w:eastAsia="Times New Roman" w:hAnsi="Times New Roman"/>
          <w:kern w:val="36"/>
          <w:sz w:val="28"/>
          <w:szCs w:val="28"/>
        </w:rPr>
        <w:t>Панков Дмитрий Викторович</w:t>
      </w:r>
    </w:p>
    <w:p w:rsidR="00A75F9F" w:rsidRPr="00467B95" w:rsidRDefault="00A75F9F"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rPr>
      </w:pPr>
      <w:r w:rsidRPr="00467B95">
        <w:rPr>
          <w:rFonts w:ascii="Times New Roman" w:eastAsia="Times New Roman" w:hAnsi="Times New Roman"/>
          <w:kern w:val="36"/>
          <w:sz w:val="28"/>
          <w:szCs w:val="28"/>
        </w:rPr>
        <w:t>Группы БЮП-15-02, 4 курса, Института права</w:t>
      </w:r>
    </w:p>
    <w:p w:rsidR="00A75F9F" w:rsidRPr="00467B95" w:rsidRDefault="00A75F9F"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rPr>
      </w:pPr>
      <w:r w:rsidRPr="00467B95">
        <w:rPr>
          <w:rFonts w:ascii="Times New Roman" w:eastAsia="Times New Roman" w:hAnsi="Times New Roman"/>
          <w:i/>
          <w:kern w:val="36"/>
          <w:sz w:val="28"/>
          <w:szCs w:val="28"/>
        </w:rPr>
        <w:t>Владивостокский государственный университет экономики и сервиса</w:t>
      </w:r>
    </w:p>
    <w:p w:rsidR="00A75F9F" w:rsidRPr="00467B95" w:rsidRDefault="00A75F9F"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rPr>
      </w:pPr>
      <w:r w:rsidRPr="00467B95">
        <w:rPr>
          <w:rFonts w:ascii="Times New Roman" w:eastAsia="Times New Roman" w:hAnsi="Times New Roman"/>
          <w:i/>
          <w:kern w:val="36"/>
          <w:sz w:val="28"/>
          <w:szCs w:val="28"/>
        </w:rPr>
        <w:t>Россия. Владивосток</w:t>
      </w:r>
    </w:p>
    <w:p w:rsidR="00A75F9F" w:rsidRPr="00467B95" w:rsidRDefault="00A75F9F"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rPr>
      </w:pPr>
    </w:p>
    <w:p w:rsidR="00A75F9F" w:rsidRPr="00467B95" w:rsidRDefault="00A75F9F"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rPr>
      </w:pPr>
      <w:r w:rsidRPr="00467B95">
        <w:rPr>
          <w:rFonts w:ascii="Times New Roman" w:eastAsia="Times New Roman" w:hAnsi="Times New Roman"/>
          <w:i/>
          <w:kern w:val="36"/>
          <w:sz w:val="28"/>
          <w:szCs w:val="28"/>
        </w:rPr>
        <w:t>Статья посвящена анализу особенностей выбора способов управления многоквартирных домов, в частности посредством деятельности управляющих организаций, а также определение и рассмотрение проблем, возникающих на практике в процессе управления такими домами со стороны управляющих организаций.</w:t>
      </w:r>
    </w:p>
    <w:p w:rsidR="00A75F9F" w:rsidRPr="00467B95" w:rsidRDefault="00A75F9F"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rPr>
      </w:pPr>
      <w:r w:rsidRPr="00467B95">
        <w:rPr>
          <w:rFonts w:ascii="Times New Roman" w:eastAsia="Times New Roman" w:hAnsi="Times New Roman"/>
          <w:i/>
          <w:kern w:val="36"/>
          <w:sz w:val="28"/>
          <w:szCs w:val="28"/>
        </w:rPr>
        <w:t>В сравнении с индивидуальным жилищным строительством, а также приобретением частных жилых домов, многоквартирные дома и квартиры в них являются более доступным видом жилья для различных социальных слоев населения, не имеющих высокого дохода.</w:t>
      </w:r>
    </w:p>
    <w:p w:rsidR="00A75F9F" w:rsidRPr="00467B95" w:rsidRDefault="00A75F9F"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rPr>
      </w:pPr>
      <w:r w:rsidRPr="00467B95">
        <w:rPr>
          <w:rFonts w:ascii="Times New Roman" w:eastAsia="Times New Roman" w:hAnsi="Times New Roman"/>
          <w:i/>
          <w:kern w:val="36"/>
          <w:sz w:val="28"/>
          <w:szCs w:val="28"/>
        </w:rPr>
        <w:t>Деятельность по управлению МКД профессиональных субъектов не подвергалась тщательному регулированию, отсутствовал жесткий перечень требований к таким субъектам на рынке жилищно-коммунальных отношений.</w:t>
      </w:r>
    </w:p>
    <w:p w:rsidR="00A75F9F" w:rsidRPr="00467B95" w:rsidRDefault="00A75F9F"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rPr>
      </w:pPr>
      <w:r w:rsidRPr="00467B95">
        <w:rPr>
          <w:rFonts w:ascii="Times New Roman" w:eastAsia="Times New Roman" w:hAnsi="Times New Roman"/>
          <w:i/>
          <w:kern w:val="36"/>
          <w:sz w:val="28"/>
          <w:szCs w:val="28"/>
        </w:rPr>
        <w:t>После 2014 года деятельность по управлению многоквартирными домами была добавлена в перечень лицензируемых, а управляющим организациям стало в обязательном порядке необходимо получать лицензию на право осуществления такой деятельности.</w:t>
      </w:r>
    </w:p>
    <w:p w:rsidR="00A75F9F" w:rsidRDefault="00A75F9F"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rPr>
      </w:pPr>
      <w:r w:rsidRPr="00467B95">
        <w:rPr>
          <w:rFonts w:ascii="Times New Roman" w:eastAsia="Times New Roman" w:hAnsi="Times New Roman"/>
          <w:i/>
          <w:kern w:val="36"/>
          <w:sz w:val="28"/>
          <w:szCs w:val="28"/>
        </w:rPr>
        <w:t>Помимо этого, сам институт лицензирования деятельности управляющих организаций по управлению многоквартирными домами в российском жилищном законодательстве является молодым, имеющий необходимость в постоянном совершенствовании нормативной базы как на основании уже существующих практических проблем, так и зарубежного опыта.</w:t>
      </w:r>
    </w:p>
    <w:p w:rsidR="0062058C" w:rsidRPr="00467B95" w:rsidRDefault="0062058C"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rPr>
      </w:pPr>
    </w:p>
    <w:p w:rsidR="0062058C" w:rsidRDefault="00A75F9F" w:rsidP="005A3DF4">
      <w:pPr>
        <w:widowControl w:val="0"/>
        <w:spacing w:after="0" w:line="240" w:lineRule="auto"/>
        <w:ind w:firstLine="709"/>
        <w:jc w:val="both"/>
        <w:rPr>
          <w:rFonts w:ascii="Times New Roman" w:hAnsi="Times New Roman"/>
          <w:i/>
          <w:color w:val="000000"/>
          <w:sz w:val="28"/>
          <w:szCs w:val="28"/>
        </w:rPr>
      </w:pPr>
      <w:r w:rsidRPr="00467B95">
        <w:rPr>
          <w:rFonts w:ascii="Times New Roman" w:hAnsi="Times New Roman"/>
          <w:i/>
          <w:color w:val="000000"/>
          <w:sz w:val="28"/>
          <w:szCs w:val="28"/>
        </w:rPr>
        <w:t>Ключевые слова и словосочетания: управление многоквартирными домами, выбор способа управления многоквартирными домами, управляющие организации, лицензирование деятельности по управлению многоквартирными домами, лицензия.</w:t>
      </w:r>
    </w:p>
    <w:p w:rsidR="00A75F9F" w:rsidRPr="00467B95" w:rsidRDefault="00DE0B8D" w:rsidP="005A3DF4">
      <w:pPr>
        <w:widowControl w:val="0"/>
        <w:spacing w:after="0" w:line="240" w:lineRule="auto"/>
        <w:ind w:firstLine="709"/>
        <w:jc w:val="both"/>
        <w:rPr>
          <w:rFonts w:ascii="Times New Roman" w:hAnsi="Times New Roman"/>
          <w:i/>
          <w:color w:val="000000"/>
          <w:sz w:val="28"/>
          <w:szCs w:val="28"/>
        </w:rPr>
      </w:pPr>
      <w:r w:rsidRPr="00467B95">
        <w:rPr>
          <w:rFonts w:ascii="Times New Roman" w:hAnsi="Times New Roman"/>
          <w:i/>
          <w:color w:val="000000"/>
          <w:sz w:val="28"/>
          <w:szCs w:val="28"/>
        </w:rPr>
        <w:t xml:space="preserve">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Важным аспектом поддержания общего имущества многоквартирного </w:t>
      </w:r>
      <w:r w:rsidRPr="00467B95">
        <w:rPr>
          <w:rFonts w:ascii="Times New Roman" w:hAnsi="Times New Roman"/>
          <w:color w:val="000000"/>
          <w:sz w:val="28"/>
          <w:szCs w:val="28"/>
        </w:rPr>
        <w:lastRenderedPageBreak/>
        <w:t xml:space="preserve">дома в надлежащем состоянии является установление такой обязанности в отношении собственников жилых помещений. </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rPr>
        <w:t>Часть 3 статьи 30 ЖК РФ устанавливает: «</w:t>
      </w:r>
      <w:r w:rsidRPr="00467B95">
        <w:rPr>
          <w:rFonts w:ascii="Times New Roman" w:hAnsi="Times New Roman"/>
          <w:color w:val="000000"/>
          <w:sz w:val="28"/>
          <w:szCs w:val="28"/>
          <w:shd w:val="clear" w:color="auto" w:fill="FFFFFF"/>
        </w:rPr>
        <w:t>Собственник жилого помещения несет бремя содержания общего имущества собственников помещений в соответствующем многоквартирном доме». [1]</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Помимо этого, часть 4 статьи 30 ЖК РФ дополнительно указывает на обязательность соблюдения собственниками помещений в МКД </w:t>
      </w:r>
      <w:hyperlink r:id="rId88" w:anchor="dst100021" w:history="1"/>
      <w:r w:rsidRPr="00467B95">
        <w:rPr>
          <w:rFonts w:ascii="Times New Roman" w:hAnsi="Times New Roman"/>
          <w:color w:val="000000"/>
          <w:sz w:val="28"/>
          <w:szCs w:val="28"/>
        </w:rPr>
        <w:t xml:space="preserve">правил </w:t>
      </w:r>
      <w:r w:rsidRPr="00467B95">
        <w:rPr>
          <w:rFonts w:ascii="Times New Roman" w:hAnsi="Times New Roman"/>
          <w:color w:val="000000"/>
          <w:sz w:val="28"/>
          <w:szCs w:val="28"/>
          <w:shd w:val="clear" w:color="auto" w:fill="FFFFFF"/>
        </w:rPr>
        <w:t xml:space="preserve">содержания общего имущества.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shd w:val="clear" w:color="auto" w:fill="FFFFFF"/>
        </w:rPr>
        <w:t xml:space="preserve">Данные правила установлены </w:t>
      </w:r>
      <w:r w:rsidRPr="00467B95">
        <w:rPr>
          <w:rFonts w:ascii="Times New Roman" w:hAnsi="Times New Roman"/>
          <w:color w:val="000000"/>
          <w:sz w:val="28"/>
          <w:szCs w:val="28"/>
        </w:rPr>
        <w:t>Постановлением Правительства РФ от 13.08.2006 N 491 (ред. от 15.12.2018) [2].</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Таким образом, данные нормы жилищного кодекса по своему содержанию являются обязывающими и не предполагают какой либо альтернативы в действиях, все собственники жилых помещений несут бремя обязанности по содержанию общего имущества многоквартирного дома.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rPr>
        <w:t>В тоже время, статьи 31 и 33 ЖК РФ предусматривают солидарную с собственником квартиры в МКД обязанность по содержанию общего имущества дома. В частности, такую обязанность несут дееспособные члены семьи собственника (</w:t>
      </w:r>
      <w:r w:rsidRPr="00467B95">
        <w:rPr>
          <w:rFonts w:ascii="Times New Roman" w:hAnsi="Times New Roman"/>
          <w:color w:val="000000"/>
          <w:sz w:val="28"/>
          <w:szCs w:val="28"/>
          <w:shd w:val="clear" w:color="auto" w:fill="FFFFFF"/>
        </w:rPr>
        <w:t xml:space="preserve">супруг, а также дети и родители собственника), а также иные дееспособные лица, вселенные и совместно проживающие с собственником.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shd w:val="clear" w:color="auto" w:fill="FFFFFF"/>
        </w:rPr>
        <w:t>Помимо этого, такая обязанность предусмотрена также и в отношении дееспособного гражданина, право пользования жилым помещением которому предоставлено по завещательному </w:t>
      </w:r>
      <w:hyperlink r:id="rId89" w:anchor="dst100062" w:history="1">
        <w:r w:rsidRPr="00467B95">
          <w:rPr>
            <w:rStyle w:val="a8"/>
            <w:rFonts w:ascii="Times New Roman" w:hAnsi="Times New Roman"/>
            <w:color w:val="000000"/>
            <w:sz w:val="28"/>
            <w:szCs w:val="28"/>
            <w:shd w:val="clear" w:color="auto" w:fill="FFFFFF"/>
          </w:rPr>
          <w:t>отказу</w:t>
        </w:r>
      </w:hyperlink>
      <w:r w:rsidRPr="00467B95">
        <w:rPr>
          <w:rFonts w:ascii="Times New Roman" w:hAnsi="Times New Roman"/>
          <w:color w:val="000000"/>
          <w:sz w:val="28"/>
          <w:szCs w:val="28"/>
        </w:rPr>
        <w:t>.</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Таким образом, круг лиц, обязанных содержать и поддерживать общее имущество многоквартирного дома состоит из собственников квартир дома, дееспособных членов семьи собственников и иных лиц, совместно проживающих с ним, граждан, имеющих право пользования помещением на основании завещательного отказа наследодателя.</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Как уже было указано выше, обязанность по содержанию и поддержанию общего имущества МКД в надлежащем состоянии лежит на строго определенном законом круге лиц, что обуславливает необходимость в управлении многоквартирным домом и выбор его способа.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Шумилин Г.Н. в своей статье справедливо указывает: «Говоря о содержании общего имущества в многоквартирном доме, важно отметить, что в основном это обязательственные отношения как между самими собственниками, так и между собственниками помещений и лицами, которым они делегируют свои полномочия по содержанию общего имущества» [3, с. 81].</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Автор данной работы разделяет отношения по содержанию многоквартирного дома, в частности его общего имущества на два вида: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во-первых, как уже было сказано выше, это отношения по взаимодействию самих собственников между собой для выполнения обязанности по содержанию, установленной ЖК РФ, в частности путем проведения общих собраний для выбора способа управления МКД, принятию </w:t>
      </w:r>
      <w:r w:rsidRPr="00467B95">
        <w:rPr>
          <w:rFonts w:ascii="Times New Roman" w:hAnsi="Times New Roman"/>
          <w:color w:val="000000"/>
          <w:sz w:val="28"/>
          <w:szCs w:val="28"/>
        </w:rPr>
        <w:lastRenderedPageBreak/>
        <w:t>иных решений по вопросам использования и содержания общего имущества;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 во-вторых, обязательственные отношения собственников помещений МКД и непосредственно управляющей организации, обязанности которых возникают в силу заключенного договора управления.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Считаю, что даже несмотря на делегирование бремени содержания МКД, а также его общего имущества управляющей организации, обязанность собственников в этом контексте  существует неразрывно с деятельностью такой организации по следующим причинам:</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1) Собственники выполняют обязанность по содержанию МКД, используя деятельность управляющих организаций, внося при этом платежи за содержание МКД, в том числе общего имущества, тем самым сокращая объем своей ответственности;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2) Собственники даже после передачи обязанности по управлению управляющей организации, принимают участие в общих собраниях по вопросам содержания МКД, в частности по изменению размера платежей за содержание общего имущества, изменения договора в части перечня услуг и работ, осуществляемых управляющей компанией и т.д.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Таким образом, посредством механизма управления МКД как профессиональной деятельности реализуется возможность собственников на передачу бремени содержания общего имущества в надлежащем и безопасном состоянии на специально созданных субъектов, тем самым временно снижая ответственность жильцов, но при этом не исключая ее.</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Отдельное внимание хотелось бы уделить нескольким принципам, которые не закреплены в жилищном законодательстве, но являются для целей написания данной бакалаврской работы базовыми при организации деятельности управляющих организаций на практике.</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 этом контексте согласен с позицией Степаева К.С., который в своей статье указывает: «Основными принципами управления многоквартирными домами на практике являются пообъектность и ориентированность на клиента» [4, с. 162].</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Принцип пообъектности при этом раскрывается в осуществлении управляющей организацией управления в отношении каждого отдельного МКД, учитывая при этом его техническое состояние, специфику общего имущества, в том числе земельного участка с элементами благоустройства и озеленения, прилегающего к дому, а также условия заключенного договора управления.</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Принцип ориентированности на клиента же обуславливает цель управления МКД, а также деятельности управляющих организаций. В частности такая деятельность должна обеспечивать безопасные и благоприятные условия для проживания собственников помещений, возможность свободного пользования общим имуществом без причинения вреда жизни и здоровью.</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Принцип ориентированности на клиента также характеризуется тем, что управление направлено на удовлетворение запросов собственников МКД. </w:t>
      </w:r>
      <w:r w:rsidRPr="00467B95">
        <w:rPr>
          <w:rFonts w:ascii="Times New Roman" w:hAnsi="Times New Roman"/>
          <w:color w:val="000000"/>
          <w:sz w:val="28"/>
          <w:szCs w:val="28"/>
        </w:rPr>
        <w:lastRenderedPageBreak/>
        <w:t xml:space="preserve">Помимо этого, управляющая организация действует в рамках полномочий и выполняет обязанности в соответствии с заключенным договором, отчитываясь собственникам об объеме и качестве оказываемых услуг и выполняемых работ.   </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rPr>
        <w:t>Основные цели управления содержатся в части 1 статьи 161 ЖК РФ, которая включает в себя следующее положение: «</w:t>
      </w:r>
      <w:r w:rsidRPr="00467B95">
        <w:rPr>
          <w:rFonts w:ascii="Times New Roman" w:hAnsi="Times New Roman"/>
          <w:color w:val="000000"/>
          <w:sz w:val="28"/>
          <w:szCs w:val="28"/>
          <w:shd w:val="clear" w:color="auto" w:fill="FFFFFF"/>
        </w:rPr>
        <w:t>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 [1].</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 Из содержания данной нормы можно вывести общие цели, которые преследовал законодатель при введении в жилищное право конструкции управления многоквартирными домами: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во-первых, сохранение МКД в состоянии, пригодном для проживания граждан, не допуская аварийности и ветхости таких домов;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во-вторых, защита жизни и здоровья граждан от возможного вреда, причиненного ненадлежащим содержанием как в целом дома, так и его общего имущества;</w:t>
      </w:r>
    </w:p>
    <w:p w:rsidR="00A75F9F" w:rsidRPr="0062058C"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в-третьих, обеспечение доступа к общему имуществу, в том числе для возможности реализации гражданами права на свободное пользование общим имуществом, а также поддержание механического и санитарного оборудования, которое входит в </w:t>
      </w:r>
      <w:r w:rsidRPr="0062058C">
        <w:rPr>
          <w:rFonts w:ascii="Times New Roman" w:hAnsi="Times New Roman"/>
          <w:color w:val="000000"/>
          <w:sz w:val="28"/>
          <w:szCs w:val="28"/>
          <w:shd w:val="clear" w:color="auto" w:fill="FFFFFF"/>
        </w:rPr>
        <w:t>его состав, в состоянии, которое обеспечивает беспрерывное его использование, в том числе для оказания коммунальных услуг;</w:t>
      </w:r>
      <w:r w:rsidRPr="0062058C">
        <w:rPr>
          <w:rFonts w:ascii="Times New Roman" w:hAnsi="Times New Roman"/>
          <w:color w:val="000000"/>
          <w:sz w:val="28"/>
          <w:szCs w:val="28"/>
        </w:rPr>
        <w:t xml:space="preserve"> </w:t>
      </w:r>
    </w:p>
    <w:p w:rsidR="00A75F9F" w:rsidRPr="0062058C" w:rsidRDefault="00A75F9F" w:rsidP="005A3DF4">
      <w:pPr>
        <w:pStyle w:val="1"/>
        <w:keepNext w:val="0"/>
        <w:keepLines w:val="0"/>
        <w:widowControl w:val="0"/>
        <w:shd w:val="clear" w:color="auto" w:fill="FFFFFF"/>
        <w:spacing w:before="0" w:line="240" w:lineRule="auto"/>
        <w:ind w:firstLine="709"/>
        <w:jc w:val="both"/>
        <w:rPr>
          <w:rFonts w:ascii="Times New Roman" w:hAnsi="Times New Roman" w:cs="Times New Roman"/>
          <w:b w:val="0"/>
          <w:color w:val="000000"/>
          <w:shd w:val="clear" w:color="auto" w:fill="FFFFFF"/>
        </w:rPr>
      </w:pPr>
      <w:r w:rsidRPr="0062058C">
        <w:rPr>
          <w:rFonts w:ascii="Times New Roman" w:hAnsi="Times New Roman" w:cs="Times New Roman"/>
          <w:b w:val="0"/>
          <w:color w:val="000000"/>
          <w:shd w:val="clear" w:color="auto" w:fill="FFFFFF"/>
        </w:rPr>
        <w:t>Возвращаясь к важной цели управления МКД, а именно обеспечение беспрепятственного доступа к общему имуществу дома, необходимо отметить, что реализация происходит как через управление управляющей организацией, так и через установленные законодательно гражданско-правовые средства защиты общего имущества.</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rPr>
      </w:pPr>
      <w:r w:rsidRPr="0062058C">
        <w:rPr>
          <w:color w:val="000000"/>
          <w:sz w:val="28"/>
          <w:szCs w:val="28"/>
          <w:shd w:val="clear" w:color="auto" w:fill="FFFFFF"/>
        </w:rPr>
        <w:t>В данном контексте интересна позиция Киракосян С.А., которая в своей работе указывает: «</w:t>
      </w:r>
      <w:r w:rsidRPr="0062058C">
        <w:rPr>
          <w:color w:val="000000"/>
          <w:sz w:val="28"/>
          <w:szCs w:val="28"/>
        </w:rPr>
        <w:t>Способами защиты</w:t>
      </w:r>
      <w:r w:rsidRPr="00467B95">
        <w:rPr>
          <w:color w:val="000000"/>
          <w:sz w:val="28"/>
          <w:szCs w:val="28"/>
        </w:rPr>
        <w:t xml:space="preserve"> права собственников помещений в многоквартирном доме на общее имущество являются негаторный и виндикационный иски. Правильное понимание и применение возможностей тех или иных способов защиты влияет непосредственно на результат разрешения спора и на достижение необходимого правового результата» [5].</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rPr>
      </w:pPr>
      <w:r w:rsidRPr="00467B95">
        <w:rPr>
          <w:color w:val="000000"/>
          <w:sz w:val="28"/>
          <w:szCs w:val="28"/>
        </w:rPr>
        <w:t xml:space="preserve">Достижение данной цели происходит через взаимодействие собственников (путем проведения общего собрания) с управляющей организацией, которая осуществляет управление конкретным МКД, путем предъявления такой организацией в интересах собственников виндикационных (истребование общего имущества из чужого незаконного владения), а также негаторных (устранение любых препятствий к пользованию общим имуществом со стороны собственников помещений в </w:t>
      </w:r>
      <w:r w:rsidRPr="00467B95">
        <w:rPr>
          <w:color w:val="000000"/>
          <w:sz w:val="28"/>
          <w:szCs w:val="28"/>
        </w:rPr>
        <w:lastRenderedPageBreak/>
        <w:t>доме) исков.</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rPr>
      </w:pPr>
      <w:r w:rsidRPr="00467B95">
        <w:rPr>
          <w:color w:val="000000"/>
          <w:sz w:val="28"/>
          <w:szCs w:val="28"/>
        </w:rPr>
        <w:tab/>
        <w:t>Помимо вышеперечисленных способов защиты собственниками общего имущества МКД, они вправе использовать и иные способы, установленные гражданским и жилищным законодательством, в том числе на подачу исков через управляющую организацию в интересах собственников о признании права на общее имущество, о признании права на такое имущество отсутствующим у иных лиц.</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shd w:val="clear" w:color="auto" w:fill="FFFFFF"/>
        </w:rPr>
      </w:pPr>
      <w:r w:rsidRPr="00467B95">
        <w:rPr>
          <w:color w:val="000000"/>
          <w:sz w:val="28"/>
          <w:szCs w:val="28"/>
          <w:shd w:val="clear" w:color="auto" w:fill="FFFFFF"/>
        </w:rPr>
        <w:t xml:space="preserve">Из этого можно сделать вывод о том, что управление многоквартирными домами как процесс, закрепленный жилищным законодательством, выполняет обширную группу целей. </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shd w:val="clear" w:color="auto" w:fill="FFFFFF"/>
        </w:rPr>
      </w:pPr>
      <w:r w:rsidRPr="00467B95">
        <w:rPr>
          <w:color w:val="000000"/>
          <w:sz w:val="28"/>
          <w:szCs w:val="28"/>
          <w:shd w:val="clear" w:color="auto" w:fill="FFFFFF"/>
        </w:rPr>
        <w:t>При этом, управление МКД управляющими организациями не ограничивается только содержанием общего имущества МКД и обеспечением собственников коммунальными ресурсами, а также способствует разрешению правовых споров, возникающих в процессе управления домом, и осуществляет от имени собственников и в их интересах защиту прав в отношении общего имущества.</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shd w:val="clear" w:color="auto" w:fill="FFFFFF"/>
        </w:rPr>
      </w:pPr>
      <w:r w:rsidRPr="00467B95">
        <w:rPr>
          <w:color w:val="000000"/>
          <w:sz w:val="28"/>
          <w:szCs w:val="28"/>
          <w:shd w:val="clear" w:color="auto" w:fill="FFFFFF"/>
        </w:rPr>
        <w:t>Верной в этом контексте представляется позиция Казакеевича Н.Ф., который указывает: «С точки зрения профессионализма в управлении многоквартирным домом, можно сделать вывод о том, что профессионально разрешить проблемы на практике могут только управляющая компания или ТСЖ, ибо превратить всех собственников помещений в многоквартирном доме в профессиональных управленцев даже теоретически не представляется возможным [6, с. 478].</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shd w:val="clear" w:color="auto" w:fill="FFFFFF"/>
        </w:rPr>
      </w:pPr>
      <w:r w:rsidRPr="00467B95">
        <w:rPr>
          <w:color w:val="000000"/>
          <w:sz w:val="28"/>
          <w:szCs w:val="28"/>
          <w:shd w:val="clear" w:color="auto" w:fill="FFFFFF"/>
        </w:rPr>
        <w:t xml:space="preserve">Таким образом, вышеперечисленные аспекты управления обуславливает его центральное значение для обеспечения прав интересов собственников жилых помещений, членов семьи собственников и иных лиц, совместно проживающих с ними, а также позволяет поддерживать многоквартирные дома как часть жилищного фонда РФ в надлежащем состоянии, исключая причинения вреда гражданам и окружающей среде. </w:t>
      </w:r>
    </w:p>
    <w:p w:rsidR="00A75F9F" w:rsidRPr="00467B95" w:rsidRDefault="00A75F9F" w:rsidP="005A3DF4">
      <w:pPr>
        <w:pStyle w:val="a9"/>
        <w:widowControl w:val="0"/>
        <w:shd w:val="clear" w:color="auto" w:fill="FFFFFF"/>
        <w:spacing w:before="0" w:beforeAutospacing="0" w:after="0" w:afterAutospacing="0"/>
        <w:ind w:firstLine="709"/>
        <w:jc w:val="both"/>
        <w:textAlignment w:val="baseline"/>
        <w:rPr>
          <w:color w:val="000000"/>
          <w:sz w:val="28"/>
          <w:szCs w:val="28"/>
          <w:shd w:val="clear" w:color="auto" w:fill="FFFFFF"/>
        </w:rPr>
      </w:pPr>
      <w:r w:rsidRPr="00467B95">
        <w:rPr>
          <w:color w:val="000000"/>
          <w:sz w:val="28"/>
          <w:szCs w:val="28"/>
        </w:rPr>
        <w:t>Переходя к рассмотрению такой важной процедуры как выбор собственниками помещений способа управления МКД, необходимо отметить, что законодательная конструкция выстроена через установление обязывающей нормы в отношении собственников.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 частности, часть 2 статьи 161 ЖК РФ обязывает собственников помещений в многоквартирном доме выбрать способ управления.</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При этом у собственников отсутствует возможность пользования общим имуществом МКД, эксплуатации дома в целом без выбранного из перечисленных законодателем способов управления.</w:t>
      </w:r>
    </w:p>
    <w:p w:rsidR="00A75F9F" w:rsidRPr="00467B95" w:rsidRDefault="00A75F9F" w:rsidP="005A3DF4">
      <w:pPr>
        <w:widowControl w:val="0"/>
        <w:shd w:val="clear" w:color="auto" w:fill="FFFFFF"/>
        <w:spacing w:after="0" w:line="240" w:lineRule="auto"/>
        <w:ind w:firstLine="709"/>
        <w:jc w:val="both"/>
        <w:outlineLvl w:val="0"/>
        <w:rPr>
          <w:rFonts w:ascii="Times New Roman" w:hAnsi="Times New Roman"/>
          <w:color w:val="000000"/>
          <w:sz w:val="28"/>
          <w:szCs w:val="28"/>
        </w:rPr>
      </w:pPr>
      <w:r w:rsidRPr="00467B95">
        <w:rPr>
          <w:rFonts w:ascii="Times New Roman" w:hAnsi="Times New Roman"/>
          <w:color w:val="000000"/>
          <w:sz w:val="28"/>
          <w:szCs w:val="28"/>
        </w:rPr>
        <w:t>В качестве причины введения такой обязывающей конструкции представляется:</w:t>
      </w:r>
    </w:p>
    <w:p w:rsidR="00A75F9F" w:rsidRPr="00467B95" w:rsidRDefault="00A75F9F" w:rsidP="005A3DF4">
      <w:pPr>
        <w:widowControl w:val="0"/>
        <w:shd w:val="clear" w:color="auto" w:fill="FFFFFF"/>
        <w:spacing w:after="0" w:line="240" w:lineRule="auto"/>
        <w:ind w:firstLine="709"/>
        <w:jc w:val="both"/>
        <w:outlineLvl w:val="0"/>
        <w:rPr>
          <w:rFonts w:ascii="Times New Roman" w:hAnsi="Times New Roman"/>
          <w:bCs/>
          <w:color w:val="000000"/>
          <w:kern w:val="36"/>
          <w:sz w:val="28"/>
          <w:szCs w:val="28"/>
        </w:rPr>
      </w:pPr>
      <w:r w:rsidRPr="00467B95">
        <w:rPr>
          <w:rFonts w:ascii="Times New Roman" w:hAnsi="Times New Roman"/>
          <w:color w:val="000000"/>
          <w:sz w:val="28"/>
          <w:szCs w:val="28"/>
        </w:rPr>
        <w:t xml:space="preserve">Во-первых, особый акцент законодателя на </w:t>
      </w:r>
      <w:r w:rsidRPr="00467B95">
        <w:rPr>
          <w:rFonts w:ascii="Times New Roman" w:hAnsi="Times New Roman"/>
          <w:bCs/>
          <w:color w:val="000000"/>
          <w:kern w:val="36"/>
          <w:sz w:val="28"/>
          <w:szCs w:val="28"/>
        </w:rPr>
        <w:t>обеспечении комфортного и безопасного проживания собственников МКД;</w:t>
      </w:r>
    </w:p>
    <w:p w:rsidR="00A75F9F" w:rsidRPr="00467B95" w:rsidRDefault="00A75F9F" w:rsidP="005A3DF4">
      <w:pPr>
        <w:widowControl w:val="0"/>
        <w:shd w:val="clear" w:color="auto" w:fill="FFFFFF"/>
        <w:spacing w:after="0" w:line="240" w:lineRule="auto"/>
        <w:ind w:firstLine="709"/>
        <w:jc w:val="both"/>
        <w:outlineLvl w:val="0"/>
        <w:rPr>
          <w:rFonts w:ascii="Times New Roman" w:hAnsi="Times New Roman"/>
          <w:bCs/>
          <w:color w:val="000000"/>
          <w:kern w:val="36"/>
          <w:sz w:val="28"/>
          <w:szCs w:val="28"/>
        </w:rPr>
      </w:pPr>
      <w:r w:rsidRPr="00467B95">
        <w:rPr>
          <w:rFonts w:ascii="Times New Roman" w:hAnsi="Times New Roman"/>
          <w:bCs/>
          <w:color w:val="000000"/>
          <w:kern w:val="36"/>
          <w:sz w:val="28"/>
          <w:szCs w:val="28"/>
        </w:rPr>
        <w:t xml:space="preserve">Во-вторых, поддержания имущества МКД в надлежащем для эксплуатации состоянии и готовности инженерных коммуникаций для </w:t>
      </w:r>
      <w:r w:rsidRPr="00467B95">
        <w:rPr>
          <w:rFonts w:ascii="Times New Roman" w:hAnsi="Times New Roman"/>
          <w:bCs/>
          <w:color w:val="000000"/>
          <w:kern w:val="36"/>
          <w:sz w:val="28"/>
          <w:szCs w:val="28"/>
        </w:rPr>
        <w:lastRenderedPageBreak/>
        <w:t>поставки коммунальных ресурсов, которые являются социально необходимыми;</w:t>
      </w:r>
    </w:p>
    <w:p w:rsidR="00A75F9F" w:rsidRPr="00467B95" w:rsidRDefault="00A75F9F" w:rsidP="005A3DF4">
      <w:pPr>
        <w:widowControl w:val="0"/>
        <w:shd w:val="clear" w:color="auto" w:fill="FFFFFF"/>
        <w:spacing w:after="0" w:line="240" w:lineRule="auto"/>
        <w:ind w:firstLine="709"/>
        <w:jc w:val="both"/>
        <w:outlineLvl w:val="0"/>
        <w:rPr>
          <w:rFonts w:ascii="Times New Roman" w:hAnsi="Times New Roman"/>
          <w:bCs/>
          <w:color w:val="000000"/>
          <w:kern w:val="36"/>
          <w:sz w:val="28"/>
          <w:szCs w:val="28"/>
        </w:rPr>
      </w:pPr>
      <w:r w:rsidRPr="00467B95">
        <w:rPr>
          <w:rFonts w:ascii="Times New Roman" w:hAnsi="Times New Roman"/>
          <w:bCs/>
          <w:color w:val="000000"/>
          <w:kern w:val="36"/>
          <w:sz w:val="28"/>
          <w:szCs w:val="28"/>
        </w:rPr>
        <w:t xml:space="preserve">В-третьих, заинтересованность государственных и муниципальных органов в поддержании жилищного фонда в надлежащем состоянии.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ЖК РФ устанавливает следующие способы управления МКД: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1) Непосредственно собственниками помещений (если их общее количество не превышает 30);</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2) Товариществом собственников жилья, жилищным кооперативом и иным специализированным кооперативом;</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3) Управляющей организацией.</w:t>
      </w:r>
    </w:p>
    <w:p w:rsidR="00A75F9F" w:rsidRPr="00467B95" w:rsidRDefault="00A75F9F" w:rsidP="005A3DF4">
      <w:pPr>
        <w:widowControl w:val="0"/>
        <w:shd w:val="clear" w:color="auto" w:fill="FFFFFF"/>
        <w:spacing w:after="0" w:line="240" w:lineRule="auto"/>
        <w:ind w:firstLine="709"/>
        <w:jc w:val="both"/>
        <w:outlineLvl w:val="0"/>
        <w:rPr>
          <w:rFonts w:ascii="Times New Roman" w:hAnsi="Times New Roman"/>
          <w:bCs/>
          <w:color w:val="000000"/>
          <w:kern w:val="36"/>
          <w:sz w:val="28"/>
          <w:szCs w:val="28"/>
        </w:rPr>
      </w:pPr>
      <w:r w:rsidRPr="00467B95">
        <w:rPr>
          <w:rFonts w:ascii="Times New Roman" w:hAnsi="Times New Roman"/>
          <w:bCs/>
          <w:color w:val="000000"/>
          <w:kern w:val="36"/>
          <w:sz w:val="28"/>
          <w:szCs w:val="28"/>
        </w:rPr>
        <w:t>Поэтому, к данному выбору собственникам помещений необходимо относится ответственно и в полной мере реализовывать предоставленное ЖК РФ право на выбор разных способов управления МКД.</w:t>
      </w:r>
    </w:p>
    <w:p w:rsidR="00A75F9F" w:rsidRPr="00467B95" w:rsidRDefault="00A75F9F" w:rsidP="005A3DF4">
      <w:pPr>
        <w:widowControl w:val="0"/>
        <w:shd w:val="clear" w:color="auto" w:fill="FFFFFF"/>
        <w:spacing w:after="0" w:line="240" w:lineRule="auto"/>
        <w:ind w:firstLine="709"/>
        <w:jc w:val="both"/>
        <w:outlineLvl w:val="0"/>
        <w:rPr>
          <w:rFonts w:ascii="Times New Roman" w:hAnsi="Times New Roman"/>
          <w:bCs/>
          <w:color w:val="000000"/>
          <w:kern w:val="36"/>
          <w:sz w:val="28"/>
          <w:szCs w:val="28"/>
        </w:rPr>
      </w:pPr>
      <w:r w:rsidRPr="00467B95">
        <w:rPr>
          <w:rFonts w:ascii="Times New Roman" w:hAnsi="Times New Roman"/>
          <w:bCs/>
          <w:color w:val="000000"/>
          <w:kern w:val="36"/>
          <w:sz w:val="28"/>
          <w:szCs w:val="28"/>
        </w:rPr>
        <w:t>Несмотря на обязательность выбора, собственники наделены широким объемом прав в отношении выбора способа управления.</w:t>
      </w:r>
    </w:p>
    <w:p w:rsidR="00A75F9F" w:rsidRPr="00467B95" w:rsidRDefault="00A75F9F" w:rsidP="005A3DF4">
      <w:pPr>
        <w:widowControl w:val="0"/>
        <w:shd w:val="clear" w:color="auto" w:fill="FFFFFF"/>
        <w:spacing w:after="0" w:line="240" w:lineRule="auto"/>
        <w:ind w:firstLine="709"/>
        <w:jc w:val="both"/>
        <w:outlineLvl w:val="0"/>
        <w:rPr>
          <w:rFonts w:ascii="Times New Roman" w:hAnsi="Times New Roman"/>
          <w:bCs/>
          <w:color w:val="000000"/>
          <w:kern w:val="36"/>
          <w:sz w:val="28"/>
          <w:szCs w:val="28"/>
        </w:rPr>
      </w:pPr>
      <w:r w:rsidRPr="00467B95">
        <w:rPr>
          <w:rFonts w:ascii="Times New Roman" w:hAnsi="Times New Roman"/>
          <w:bCs/>
          <w:color w:val="000000"/>
          <w:kern w:val="36"/>
          <w:sz w:val="28"/>
          <w:szCs w:val="28"/>
        </w:rPr>
        <w:t xml:space="preserve">В частности, часть 3 статьи 161 ЖК РФ предусматривает возможность собственников жилых помещений в МКД на общем собрании в любое время изменить способ управления, путем принятия соответствующего решения.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Исходя из этого, несмотря на обязательный характер выбора для собственников, у них имеется  альтернатива в выборе наиболее выгодного способа управления, исходя из потребностей самих собственников и их мнения, состояния многоквартирного дома, в том числе общего имущества, несения бремени расходов.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Существование в жилищном законодательстве разных способов управления МКД предполагает наличие особенностей, преимуществ и недостатков, которые представляется необходимым коротко осветить.</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При непосредственном управлении собственники помещений самостоятельно, напрямую взаимодействуют с коммунальными организациями, организациями по вывозу твердых бытовых отходов, заключают с ними договоры и контролируют выполнение ими своих обязательств.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Как справедливо отмечают Гаракоев М.И. и Маркина М.В. в своей работе: «Преимущество непосредственного управления домом заключается в экономии на оплате услуг управляющей организации. Эта система выгодна жильцам в тех случаях, когда речь идет о небольшом доме, где квартирами владеют не более 10 человек» [7, с. 27].</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Однако, главный недостаток такого способа управления заключается в самостоятельной и полной ответственности собственников МКД и отсутствие единой организации, ответственной за содержание дома.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При управлении товариществом собственников жилья, жилищным кооперативом необходимо предварительное создание и регистрация таких некоммерческих  организаций собственниками помещений МКД. Ответственность за надлежащее содержание общего имущества и оказание коммунальных услуг лежит на таком товариществе и кооперативе.</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lastRenderedPageBreak/>
        <w:t>Среди преимуществ управления товариществами и кооперативами хотелось бы выделить то, что организация формируется самими собственниками, а также на основании части 1 статьи 137 ЖК РФ заключать договоры управления МКД с управляющими организациями.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При управлении управляющей организацией она несет полную ответственность перед собственниками помещений МКД: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1) за качество выполняемых работ, оказываемых услуг по содержанию общего имущества дома в надлежащем состоянии,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2) за предоставление коммунальных услуг в зависимости от уровня благоустройства данного дома.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Положительным моментом управления МКД управляющей организацией является то, что ЖК РФ обязывает управляющего ежегодно в течение I квартала текущего года представить собственникам помещений в МКД в устной или письменной форме отчет о выполнении договора управления за предыдущий год.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Таким образом, с точки зрения передачи собственниками бремени ответственности по содержанию многоквартирного дома, в том числе общего имущества дома, а также необходимости контроля над оказанием коммунальных услуг соответствующими организациями, способ управления управляющими организациями является наиболее универсальным, поэтому требует тщательного рассмотрения и анализа преимуществ и недостатков.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Первостепенным этапом, необходимым для выбора управления МКД в лице управляющей организации, является созыв общего собрания собственников дома.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Данный выбор собственников помещений относится к исключительной компетенцией общего собрания собственников многоквартирного дома, поэтому, процедура выбора обязательно происходит через созыв и проведение общего собрания и голосования по повесткам дня с созданием условий, при которых каждый собственник имел возможность реализовать свое право голоса.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Необходимо отметить, что решение общего собрания, в том числе по вопросу выбора способа управления МКД, является обязательным для всех собственников.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Таким образом, в случае выбора одного из способов управления домом, все собственники помещений обязаны совершить необходимые действия для этого (принять участие в подготовке договора, заключить договор и т.д.).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Общее собрание собственников помещений в МКД может проводиться в различных формах, что позволяет использовать их в зависимости от необходимости быстроты принятия решения,  удобства организации собрания и других факторов.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 частности, ЖК РФ предусматривает, что общее собрание собственников помещений в многоквартирном доме может проводиться</w:t>
      </w:r>
      <w:bookmarkStart w:id="14" w:name="dst101466"/>
      <w:bookmarkEnd w:id="14"/>
      <w:r w:rsidRPr="00467B95">
        <w:rPr>
          <w:rFonts w:ascii="Times New Roman" w:hAnsi="Times New Roman"/>
          <w:color w:val="000000"/>
          <w:sz w:val="28"/>
          <w:szCs w:val="28"/>
        </w:rPr>
        <w:t xml:space="preserve"> в следующих формах:</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1) очного голосования (путем совместного присутствия лично </w:t>
      </w:r>
      <w:r w:rsidRPr="00467B95">
        <w:rPr>
          <w:rFonts w:ascii="Times New Roman" w:hAnsi="Times New Roman"/>
          <w:color w:val="000000"/>
          <w:sz w:val="28"/>
          <w:szCs w:val="28"/>
        </w:rPr>
        <w:lastRenderedPageBreak/>
        <w:t>собственников, либо их представителей помещений в данном доме для обсуждения вопросов повестки дня и принятия решений по вопросам, вынесенных на голосование);</w:t>
      </w:r>
      <w:bookmarkStart w:id="15" w:name="dst101467"/>
      <w:bookmarkEnd w:id="15"/>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2) заочного голосования (опросным путем или с использованием информационных систем, таких как ГИС ЖКХ, «Моя квартира» и иных);</w:t>
      </w:r>
      <w:bookmarkStart w:id="16" w:name="dst101468"/>
      <w:bookmarkEnd w:id="16"/>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3) очно-заочного голосования (совмещения вышеуказанных форм для возможности реализации права голоса всеми собственниками в многоквартирном доме).</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Таким образом, законодатель в части закрепления процедуры выбора способа управления МКД наделил собственников дома альтернативными способами проведений общих собраний, принятия решений.</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rPr>
        <w:t xml:space="preserve">В качестве обязательного условия для признания общего собрания состоявшимся часть 3 статьи 45 ЖК РФ устанавливает наличие кворума, а именно, </w:t>
      </w:r>
      <w:r w:rsidRPr="00467B95">
        <w:rPr>
          <w:rFonts w:ascii="Times New Roman" w:hAnsi="Times New Roman"/>
          <w:color w:val="000000"/>
          <w:sz w:val="28"/>
          <w:szCs w:val="28"/>
          <w:shd w:val="clear" w:color="auto" w:fill="FFFFFF"/>
        </w:rPr>
        <w:t>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Последствием проведения общего собрания без наличия необходимого кворума в соответствии со статьей 181.5 ГК РФ является его ничтожность, то есть недействительность уже с момента принятия решения в отсутствии необходимого числа участников собрания.</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shd w:val="clear" w:color="auto" w:fill="FFFFFF"/>
        </w:rPr>
        <w:t>Исходя из этого, председателю, секретарю общего собрания, а также иным участникам необходимо контролировать соблюдение всех условий правомочности собрания.</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Решение по вопросам, вынесенным на повестку общего собрания, в том числе по выбору способа управления многоквартирным домом документально оформляется протоколами и решениями.</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В соответствии с частью 1 статьи 46 ЖК РФ </w:t>
      </w:r>
      <w:r w:rsidRPr="00467B95">
        <w:rPr>
          <w:rFonts w:ascii="Times New Roman" w:hAnsi="Times New Roman"/>
          <w:color w:val="000000"/>
          <w:sz w:val="28"/>
          <w:szCs w:val="28"/>
          <w:shd w:val="clear" w:color="auto" w:fill="FFFFFF"/>
        </w:rPr>
        <w:t>решения и протокол общего собрания собственников помещений в многоквартирном доме относятся к официальным документам с позиции подтверждения определенных фактов (проведение общего собрания), а также установления прав и обязанностей, возложения их на собственников помещений в доме.</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Итоговое действие, которое должно совершить лицо, инициировавшее проведение общего собрания – предоставление подлинников решений и протокола общего собрания собственников помещений в многоквартирном доме в управляющую организацию.</w:t>
      </w:r>
    </w:p>
    <w:p w:rsidR="00A75F9F" w:rsidRPr="0062058C"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Таким образом, прослеживается связь управляющей компании и собственников помещений в многоквартирном доме уже на стадии принятия решения на общем собрании о выборе способа управления МКД, путем обязательного направления ей </w:t>
      </w:r>
      <w:r w:rsidRPr="0062058C">
        <w:rPr>
          <w:rFonts w:ascii="Times New Roman" w:hAnsi="Times New Roman"/>
          <w:color w:val="000000"/>
          <w:sz w:val="28"/>
          <w:szCs w:val="28"/>
          <w:shd w:val="clear" w:color="auto" w:fill="FFFFFF"/>
        </w:rPr>
        <w:t>итоговых документов такого собрания.</w:t>
      </w:r>
    </w:p>
    <w:p w:rsidR="00A75F9F" w:rsidRPr="0062058C"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62058C">
        <w:rPr>
          <w:rFonts w:ascii="Times New Roman" w:hAnsi="Times New Roman"/>
          <w:color w:val="000000"/>
          <w:sz w:val="28"/>
          <w:szCs w:val="28"/>
          <w:shd w:val="clear" w:color="auto" w:fill="FFFFFF"/>
        </w:rPr>
        <w:t>Необходимо также указать на наличие такого важного органа, осуществляющего взаимодействие с собственниками помещений в МКД, как совет многоквартирного дома (далее – совет).</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62058C">
        <w:rPr>
          <w:rFonts w:ascii="Times New Roman" w:hAnsi="Times New Roman"/>
          <w:color w:val="000000"/>
          <w:sz w:val="28"/>
          <w:szCs w:val="28"/>
          <w:shd w:val="clear" w:color="auto" w:fill="FFFFFF"/>
        </w:rPr>
        <w:t>Данный совет образуется в МКД из числа</w:t>
      </w:r>
      <w:r w:rsidRPr="00467B95">
        <w:rPr>
          <w:rFonts w:ascii="Times New Roman" w:hAnsi="Times New Roman"/>
          <w:color w:val="000000"/>
          <w:sz w:val="28"/>
          <w:szCs w:val="28"/>
          <w:shd w:val="clear" w:color="auto" w:fill="FFFFFF"/>
        </w:rPr>
        <w:t xml:space="preserve"> собственников, при отсутствии управления товариществом, кооперативом и наличием более 4 </w:t>
      </w:r>
      <w:r w:rsidRPr="00467B95">
        <w:rPr>
          <w:rFonts w:ascii="Times New Roman" w:hAnsi="Times New Roman"/>
          <w:color w:val="000000"/>
          <w:sz w:val="28"/>
          <w:szCs w:val="28"/>
          <w:shd w:val="clear" w:color="auto" w:fill="FFFFFF"/>
        </w:rPr>
        <w:lastRenderedPageBreak/>
        <w:t>квартир в доме, что как раз является актуальным для домов, управляемых управляющими организациями.</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При этом, в соответствии с частью 1 статьи 161.1 ЖК РФ избрание совета является обязательным для собственников и не требует какой-либо государственной регистрации.</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Функции совета представляется возможным разделить на определенные направления:</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1) Обеспечение исполнений решений общих собраний, в частности по вопросу выбора способа управления МКД, контроль над выполнением собственниками дома обязанностей, вытекающих из таких решений;</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2) Вынесение на рассмотрение общего собрания вопросов в качестве повестки (совет вправе по своей инициативе инициировать проведения собраний, исходя из потребностей собственников, состояния МКД);</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3) Осуществляет взаимодействие с управляющими организациями, в том числе контролирует процесс поставки собственникам коммунальных ресурсов.</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Таким образом, совет многоквартирного дома является важным звеном между собственниками дома и управляющей организацией в процессе управления. </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Также, важной частью проведения общего собрания собственников МКД является включение ряда обязательных сведений, которые должны быть отражены в решении по вопросам, вынесенным на повестку голосования, а также в протоколе.</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К таким сведениям часть 5.1 ЖК РФ относит:</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1) сведения о лице, участвующем в голосовании;</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3) решения по каждому вопросу повестки дня, выраженные формулировками "за", "против" или "воздержался".</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Таким образом, отсутствие указанных выше сведений в итоговых документах проведенного собственниками общего собрания по вопросу управления МКД, влечет к их недействительности и признанию собрания несостоявшимся.</w:t>
      </w:r>
    </w:p>
    <w:p w:rsidR="00A75F9F" w:rsidRPr="00467B95" w:rsidRDefault="00A75F9F" w:rsidP="005A3DF4">
      <w:pPr>
        <w:widowControl w:val="0"/>
        <w:shd w:val="clear" w:color="auto" w:fill="FFFFFF"/>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shd w:val="clear" w:color="auto" w:fill="FFFFFF"/>
        </w:rPr>
        <w:t xml:space="preserve">Иная же ситуация возникает, когда собственники помещений в многоквартирном доме не реализовали право выбора способа управления домом. </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 этом ключе важно понимать, что часть 4 статьи 161 ЖК РФ указывает в качестве основания для проведения органом муниципальной власти открытого конкурса по выбору управляющей организации, непринятие решения о выборе способа управления МКД собственниками в течение 6 месяцев.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Поэтому, для грамотного управления многоквартирным домом именно тем способом, который является максимально выгодным в конкретных </w:t>
      </w:r>
      <w:r w:rsidRPr="00467B95">
        <w:rPr>
          <w:rFonts w:ascii="Times New Roman" w:hAnsi="Times New Roman"/>
          <w:color w:val="000000"/>
          <w:sz w:val="28"/>
          <w:szCs w:val="28"/>
        </w:rPr>
        <w:lastRenderedPageBreak/>
        <w:t>обстоятельствах, собственники должны в течение 6 месяцев принять такое решение путем проведения общего собрания. В противном случае, орган местного самоуправления самостоятельно по своей инициативе осуществляет проведение конкурса и выбор управляющей организации.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Существование данного положения в жилищном законодательстве выполняет следующие задачи, а именно создание и обеспечение условий для безопасного использования собственниками жилищного фонда, в том числе многоквартирных домов, а также их общего имущества, защита прав собственников, а также предотвращение возможности  ветхого и аварийного состояния МКД.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Поддерживаю в этом ключе позицию Меркулова А.В., который в своей научной статье указывает: «Доверив выбор управляющей организации органу местного самоуправления, собственник не застрахован от формального подхода к разрешению этой ситуации. Однако, доверив свой выбор муниципалитету, собственники помещений в МКД в силу статьи 161 ЖК РФ обязаны заключить договор управления  управляющей организацией, выбранной по результатам открытого конкурса» [8, с. 212].</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Таким образом, к выбору способа управления МКД собственникам помещений в МКД необходимо подходить с пониманием ответственности за дальнейшее содержания дома, в том числе общего имущества, а также качества оказания услуг и выполнения работ по поставке коммунальных ресурсов.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После проведения общего собрания собственников помещений многоквартирного дома и достижения в качестве результата выбора управляющей организации в своем решении, важным этапом является заключение договора управления МКД.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 качестве сторон такого соглашения в соответствии с частью 1 статьи 162 ЖК РФ выступают с одной стороны управляющая организация, а с другой стороны собственники помещений МКД, при этом такие собственники выступают в качестве одной стороны.</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Необходимым представляется также выделить следующие важные аспекты договора управления МКД: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Во-первых, условия такого соглашения, утвержденные на общем собрании,  распространяются на всех собственников помещений в многоквартирном доме в равной степени.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Во-вторых, в качестве стороны договора управления МКД может выступать только управляющая организация, обладающая лицензией на соответствующий вид деятельности, на что прямо указывает часть 1 статьи 162 ЖК РФ.</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В-третьих, такое соглашение об управлении может быть заключено как в обычной письменной форме, так и с использованием электронной формы (единого документа, подписанного сторонами), что также позволяет сторонам выбрать наиболее удобный способ оформления, исходя из обстоятельств.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 xml:space="preserve">Таким образом, договор управления многоквартирным домом </w:t>
      </w:r>
      <w:r w:rsidRPr="00467B95">
        <w:rPr>
          <w:rFonts w:ascii="Times New Roman" w:hAnsi="Times New Roman"/>
          <w:color w:val="000000"/>
          <w:sz w:val="28"/>
          <w:szCs w:val="28"/>
        </w:rPr>
        <w:lastRenderedPageBreak/>
        <w:t>заключается на основании: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1) Результатов проведенного общего собрания и утверждения протоколов и решения собственников помещений МКД о заключении такого соглашения об управлении;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2) Проведенного органом местного самоуправления открытого конкурса по выбору управляющей организации  в случае, если собственники помещений МКД в течение 6 месяцев не выбрали способ управления.</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rPr>
        <w:t xml:space="preserve">При этом, в последнем случае заключение договора управления многоквартирным домом является обязательным для собственников, что дает основание управляющей организации  в соответствии с частью 4 статьи 445 ГК РФ обратиться в суд для понуждения таких лиц к заключению договора на условиях, установленных в решении суда, </w:t>
      </w:r>
      <w:r w:rsidRPr="00467B95">
        <w:rPr>
          <w:rFonts w:ascii="Times New Roman" w:hAnsi="Times New Roman"/>
          <w:color w:val="000000"/>
          <w:sz w:val="28"/>
          <w:szCs w:val="28"/>
          <w:shd w:val="clear" w:color="auto" w:fill="FFFFFF"/>
        </w:rPr>
        <w:t>с момента вступления его  в законную силу.</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Часть 2 статьи 162 ЖК РФ предусматривает легальное определение конструкции договора управления МКД, исходя из которого, можно выделить ряд ключевых обязанностей управляющей организации: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во-первых, оказывать услуги по управлению многоквартирным домом, в частности оказывать услуги и выполнять работы по содержанию и ремонту общего имущества;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во-вторых, создавать все необходимые условия для предоставления собственникам помещений в доме коммунальных услуг;</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в-третьих, контролировать состояние готовности все инженерных систем в таком доме.</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Помимо вышеуказанного, важной процедурной обязанностью управляющей организации является размещение сведений о заключенном договоре управления в системе, в частности в Государственной информационной системе жилищно-коммунального хозяйства (далее – ГИС ЖКХ), что предусмотрено частью 2 статьи 198 ЖК РФ. </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Размещение таких сведений управляющая организация обязана выполнить в течение 5 рабочих дней со дня заключения такого договора, а также направить их в орган государственного жилищного надзора субъекта РФ.</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Перечень таких сведений устанавливается совместным приказом Минкомсвязи РФ и Минстроя РФ от 29.09.2015 № 368/691/пр. [9].</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Представляется возможным самостоятельно выделить две группы сведений, которые должны быть размещены управляющей организацией в системе:</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1) Информация о многоквартирном доме и заключенном договоре (адрес дома, основание заключения, например протокол решения общего собрания собственников, реквизиты договора и дата начала исполнения обязанностей управляющей организации  в соответствии с ним);</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2) Электронная информация (электронный образ протокола конкурса по выбору управляющей организации, протокола общего собрания собственников, электронный образ заключенного договора управления </w:t>
      </w:r>
      <w:r w:rsidRPr="00467B95">
        <w:rPr>
          <w:rFonts w:ascii="Times New Roman" w:hAnsi="Times New Roman"/>
          <w:color w:val="000000"/>
          <w:sz w:val="28"/>
          <w:szCs w:val="28"/>
          <w:shd w:val="clear" w:color="auto" w:fill="FFFFFF"/>
        </w:rPr>
        <w:lastRenderedPageBreak/>
        <w:t xml:space="preserve">многоквартирным домом). </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Причинами установления в отношении управляющих организаций такой обязанности видятся мне, во-первых, обеспечение собственников помещений в МКД информацией, а во-вторых, для упрощения контроля над такими организациями со стороны государственных и муниципальных органов власти.</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Помимо этого, ЖК РФ в части 3 статьи 162 предусматривает существенные условия договора управления, без которых договор считается незаключенным и не влечет правовых последствий.</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К таким сведениям относится состав общего имущества, в отношении которого управляющей организацией будет осуществляться управление, перечень работ и услуг, которые обязана оказывать и выполнять такая организация, цена договора и порядок осуществления контроля собственниками за исполнением управляющей организацией обязательств по договору.</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Также, важным аспектом является момент начала исполнения обязанностей управляющей организацией  в соответствии с договором. В соответствии с частью 7 статьи 162 ЖК РФ: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 [1].</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Исходя из этого, моментом начала осуществления обязанностей является внесение сведений в систему ГИС ЖКХ жилищной инспекцией субъекта РФ.  </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До момента внесения таких сведений в систему управляющая организация не обязана осуществлять управление МКД, а собственники не вправе требовать исполнения обязанностей в рамках такого управления. </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Неотъемлемой частью любого договора являются его приложения, детализирующие содержание основной части договора.</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При заключении собственниками договора управления с управляющими организациями, распространенным приложением к нему является перечень услуг и работ, который обязана оказывать и выполнять такая организация в отношении МКД.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Такое соглашение включает в себя уточненный сторонами перечень услуг и работ (с периодичностью их выполнения и оказанием), в частности по ремонту общего имущества дома, по обслуживанию  и проверке технического, механического и санитарного оборудования дома, а также перечень работ, относящихся к текущему ремонту МКД.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Поэтому, собственникам жилых помещений при заключении договора управления важно согласовывать перечень работ и услуг по содержанию общего имущества, а также дома в целом с управляющей организацией, исходя из его состояния, потребностей самих собственников.</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 xml:space="preserve">Таким образом, жилищное законодательство и в частности ЖК РФ очень детально регулируют механизм управления многоквартирными домами </w:t>
      </w:r>
      <w:r w:rsidRPr="00467B95">
        <w:rPr>
          <w:rFonts w:ascii="Times New Roman" w:hAnsi="Times New Roman"/>
          <w:color w:val="000000"/>
          <w:sz w:val="28"/>
          <w:szCs w:val="28"/>
          <w:shd w:val="clear" w:color="auto" w:fill="FFFFFF"/>
        </w:rPr>
        <w:lastRenderedPageBreak/>
        <w:t>в РФ, начиная с общих положений и заканчивая процедурой и этапами выбора способа управления того или иного способа, а также процедурой заключения договора управления МКД.</w:t>
      </w:r>
    </w:p>
    <w:p w:rsidR="00A75F9F" w:rsidRPr="00467B95" w:rsidRDefault="00A75F9F"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t>Такое детальное законодательное регулирование, как представлятся, обуславливается повышенным акцентом государства на поддержание жилищного фонда, в том числе многоквартирных домов, их общего имущества в надлежащем состоянии, а также защита прав граждан на достойные условия проживания.</w:t>
      </w:r>
    </w:p>
    <w:p w:rsidR="0062058C" w:rsidRPr="00467B95" w:rsidRDefault="0062058C"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A75F9F" w:rsidRPr="0062058C"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1 Жилищный кодекс Российской Федерации: федеральный закон от 29.12.2004 № </w:t>
      </w:r>
      <w:r w:rsidRPr="0062058C">
        <w:rPr>
          <w:rFonts w:ascii="Times New Roman" w:hAnsi="Times New Roman"/>
          <w:color w:val="000000" w:themeColor="text1"/>
          <w:sz w:val="28"/>
          <w:szCs w:val="28"/>
        </w:rPr>
        <w:t xml:space="preserve">188-ФЗ (ред. от 22.01.2019) [Электронный ресурс] // СПС «КонсультантПлюс». – Режим доступа: </w:t>
      </w:r>
      <w:hyperlink r:id="rId90" w:history="1">
        <w:r w:rsidRPr="0062058C">
          <w:rPr>
            <w:rStyle w:val="a8"/>
            <w:rFonts w:ascii="Times New Roman" w:hAnsi="Times New Roman"/>
            <w:color w:val="000000" w:themeColor="text1"/>
            <w:sz w:val="28"/>
            <w:szCs w:val="28"/>
            <w:u w:val="none"/>
          </w:rPr>
          <w:t>http://www.consultant.ru/document/cons_doc_LAW_51057/</w:t>
        </w:r>
      </w:hyperlink>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62058C">
        <w:rPr>
          <w:rFonts w:ascii="Times New Roman" w:hAnsi="Times New Roman"/>
          <w:color w:val="000000" w:themeColor="text1"/>
          <w:sz w:val="28"/>
          <w:szCs w:val="28"/>
        </w:rPr>
        <w:t>2 Об утверждении Правил содержания общего имущества в многоквартирном доме и правил изменения размера платы за содержание жилого помещения в</w:t>
      </w:r>
      <w:r w:rsidRPr="00467B95">
        <w:rPr>
          <w:rFonts w:ascii="Times New Roman" w:hAnsi="Times New Roman"/>
          <w:color w:val="000000" w:themeColor="text1"/>
          <w:sz w:val="28"/>
          <w:szCs w:val="28"/>
        </w:rPr>
        <w:t xml:space="preserve">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Постановление Правительства РФ от 13.08.2006 № 491 (ред. от 15.12.2018) [Электронный ресурс] // СПС «КонсультантПлюс». – Режим доступа: http://www.consultant.ru/document/cons_doc_LAW_62293/</w:t>
      </w:r>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3 Шумилин Г.Н. Содержание общего имущества многоквартирного дома как элемент управления многоквартирным домом в целом / Г.Н. Шумилин // Научный форум: Юриспруденция, история, социология, политология и философия: сб. ст. по материалам XIII междунар. науч.-практ. конф. — № 11(13). — М., Изд. «МЦНО», 2017. – С. 75-82</w:t>
      </w:r>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4 Степаев К.С. Управление многоквартирным домом – зарубежный опыт и российская специфика /К.С. Степаев // Российское предпринимательство. – 2011. – Том 12. – № 6. – С. 161-166</w:t>
      </w:r>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5 Киракосян С.А. Истребование общего имущества многоквартирного дома из чужого незаконного владения / С.А. Киракосян // Научное сообщество студентов: междисциплинарные исследования: сб. ст. по мат. xli междунар. студ. науч.-практ. конф. № 6(41)</w:t>
      </w:r>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6 Казакеевич Н. Ф. Особенности и способы управления многоквартирным домом / Н.Ф. Казакеевич // Молодой ученый. — 2016. — №25. — С. 476-479. — URL https://moluch.ru/archive/129/35663/ </w:t>
      </w:r>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7 Гаракоев М.И.,Маркина М.В. Способы управления многоквартирными домами / М.И. Гаракоев, М.В. Маркина // Вестник ГУУ. 2014. №4. – С. 26-29</w:t>
      </w:r>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8 Меркулова А.В. Правовые проблемы выбора собственником жилья управляющей организации / А.В. Меркулова. // Ученые записки. – 2016. – С. 210-213</w:t>
      </w:r>
    </w:p>
    <w:p w:rsidR="00A75F9F" w:rsidRPr="00467B95" w:rsidRDefault="00A75F9F"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9 Об утверждении состава сведений о многоквартирных домах, </w:t>
      </w:r>
      <w:r w:rsidRPr="00467B95">
        <w:rPr>
          <w:rFonts w:ascii="Times New Roman" w:hAnsi="Times New Roman"/>
          <w:color w:val="000000" w:themeColor="text1"/>
          <w:sz w:val="28"/>
          <w:szCs w:val="28"/>
        </w:rPr>
        <w:lastRenderedPageBreak/>
        <w:t xml:space="preserve">деятельность по управлению которыми осуществляют управляющие организации, подлежащих размещению в государственной информационной системе жилищно-коммунального хозяйства: Приказ Минкомсвязи РФ и Минстроя РФ от 29.09.2015 № 368/691/пр. [Электронный ресурс] // «Российская Газета». – Режим доступа: </w:t>
      </w:r>
      <w:hyperlink r:id="rId91" w:history="1">
        <w:r w:rsidRPr="00467B95">
          <w:rPr>
            <w:rStyle w:val="a8"/>
            <w:rFonts w:ascii="Times New Roman" w:hAnsi="Times New Roman"/>
            <w:color w:val="000000" w:themeColor="text1"/>
            <w:sz w:val="28"/>
            <w:szCs w:val="28"/>
          </w:rPr>
          <w:t>https://rg.ru/2015/12/31/prikaz-dok.html</w:t>
        </w:r>
      </w:hyperlink>
    </w:p>
    <w:p w:rsidR="00A75F9F" w:rsidRPr="00467B95" w:rsidRDefault="00A75F9F" w:rsidP="005A3DF4">
      <w:pPr>
        <w:widowControl w:val="0"/>
        <w:spacing w:after="0" w:line="240" w:lineRule="auto"/>
        <w:ind w:firstLine="709"/>
        <w:jc w:val="both"/>
        <w:rPr>
          <w:rFonts w:ascii="Times New Roman" w:hAnsi="Times New Roman"/>
          <w:sz w:val="28"/>
          <w:szCs w:val="28"/>
        </w:rPr>
      </w:pPr>
    </w:p>
    <w:p w:rsidR="001F2239" w:rsidRPr="00467B95" w:rsidRDefault="001F223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Виды сделок с жилыми помещениями и нововведения в совершении сделок с жильем с участием несовершеннолетних.</w:t>
      </w:r>
    </w:p>
    <w:p w:rsidR="001F2239" w:rsidRPr="00467B95" w:rsidRDefault="001F2239" w:rsidP="005A3DF4">
      <w:pPr>
        <w:widowControl w:val="0"/>
        <w:spacing w:after="0" w:line="240" w:lineRule="auto"/>
        <w:ind w:firstLine="709"/>
        <w:jc w:val="center"/>
        <w:rPr>
          <w:rFonts w:ascii="Times New Roman" w:hAnsi="Times New Roman"/>
          <w:sz w:val="28"/>
          <w:szCs w:val="28"/>
        </w:rPr>
      </w:pP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 xml:space="preserve">Праскова Анастасия Александровна </w:t>
      </w: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студентка 4 курса учебной группы № БЮП-15-02</w:t>
      </w: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 xml:space="preserve"> кафедра гражданско-правовых дисциплин, Институт права</w:t>
      </w:r>
    </w:p>
    <w:p w:rsidR="001F2239" w:rsidRPr="00467B95" w:rsidRDefault="001F2239"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1F2239" w:rsidRPr="00467B95" w:rsidRDefault="001F2239"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1F2239" w:rsidRPr="00467B95" w:rsidRDefault="001F2239" w:rsidP="005A3DF4">
      <w:pPr>
        <w:widowControl w:val="0"/>
        <w:spacing w:after="0" w:line="240" w:lineRule="auto"/>
        <w:ind w:firstLine="709"/>
        <w:jc w:val="center"/>
        <w:rPr>
          <w:rFonts w:ascii="Times New Roman" w:hAnsi="Times New Roman"/>
          <w:bCs/>
          <w:i/>
          <w:sz w:val="28"/>
          <w:szCs w:val="28"/>
        </w:rPr>
      </w:pPr>
      <w:r w:rsidRPr="00467B95">
        <w:rPr>
          <w:rFonts w:ascii="Times New Roman" w:hAnsi="Times New Roman"/>
          <w:bCs/>
          <w:i/>
          <w:sz w:val="28"/>
          <w:szCs w:val="28"/>
        </w:rPr>
        <w:t>Владивостокский государственный университет экономики и сервиса</w:t>
      </w:r>
    </w:p>
    <w:p w:rsidR="001F2239" w:rsidRPr="00467B95" w:rsidRDefault="001F2239" w:rsidP="005A3DF4">
      <w:pPr>
        <w:widowControl w:val="0"/>
        <w:spacing w:after="0" w:line="240" w:lineRule="auto"/>
        <w:ind w:firstLine="709"/>
        <w:jc w:val="center"/>
        <w:rPr>
          <w:rFonts w:ascii="Times New Roman" w:hAnsi="Times New Roman"/>
          <w:bCs/>
          <w:i/>
          <w:sz w:val="28"/>
          <w:szCs w:val="28"/>
        </w:rPr>
      </w:pPr>
      <w:r w:rsidRPr="00467B95">
        <w:rPr>
          <w:rFonts w:ascii="Times New Roman" w:hAnsi="Times New Roman"/>
          <w:bCs/>
          <w:i/>
          <w:sz w:val="28"/>
          <w:szCs w:val="28"/>
        </w:rPr>
        <w:t>Россия. Владивосток</w:t>
      </w:r>
    </w:p>
    <w:p w:rsidR="001F2239" w:rsidRPr="00467B95" w:rsidRDefault="001F2239" w:rsidP="005A3DF4">
      <w:pPr>
        <w:widowControl w:val="0"/>
        <w:spacing w:after="0" w:line="240" w:lineRule="auto"/>
        <w:ind w:firstLine="709"/>
        <w:jc w:val="center"/>
        <w:rPr>
          <w:rFonts w:ascii="Times New Roman" w:hAnsi="Times New Roman"/>
          <w:sz w:val="28"/>
          <w:szCs w:val="28"/>
        </w:rPr>
      </w:pPr>
    </w:p>
    <w:p w:rsidR="001F2239" w:rsidRPr="00467B95" w:rsidRDefault="001F2239"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В данной статье рассматривается осуществление эффективной защиты несовершеннолетних при совершении сделок с жильем. Защита может осуществляться только законными представителями, поэтому государство осуществляет свою поддержку государственными органами такими как органами опеки и попечительства, уполномоченными по правам ребенка субъектов РФ. А также защиту прав осуществляет нотариус при заверении такой сделки.</w:t>
      </w:r>
    </w:p>
    <w:p w:rsidR="001F2239" w:rsidRPr="00467B95" w:rsidRDefault="001F2239" w:rsidP="005A3DF4">
      <w:pPr>
        <w:widowControl w:val="0"/>
        <w:spacing w:after="0" w:line="240" w:lineRule="auto"/>
        <w:ind w:firstLine="709"/>
        <w:jc w:val="both"/>
        <w:rPr>
          <w:rFonts w:ascii="Times New Roman" w:hAnsi="Times New Roman"/>
          <w:i/>
          <w:sz w:val="28"/>
          <w:szCs w:val="28"/>
        </w:rPr>
      </w:pPr>
      <w:r w:rsidRPr="0062058C">
        <w:rPr>
          <w:rFonts w:ascii="Times New Roman" w:hAnsi="Times New Roman"/>
          <w:i/>
          <w:sz w:val="28"/>
          <w:szCs w:val="28"/>
        </w:rPr>
        <w:t>Ключевые слова и словосочетания</w:t>
      </w:r>
      <w:r w:rsidRPr="00467B95">
        <w:rPr>
          <w:rFonts w:ascii="Times New Roman" w:hAnsi="Times New Roman"/>
          <w:b/>
          <w:i/>
          <w:sz w:val="28"/>
          <w:szCs w:val="28"/>
        </w:rPr>
        <w:t xml:space="preserve">: </w:t>
      </w:r>
      <w:r w:rsidRPr="00467B95">
        <w:rPr>
          <w:rFonts w:ascii="Times New Roman" w:hAnsi="Times New Roman"/>
          <w:i/>
          <w:sz w:val="28"/>
          <w:szCs w:val="28"/>
        </w:rPr>
        <w:t xml:space="preserve">несовершеннолетние, сделки с несовершеннолетними, органа опеки и попечительства, виды сделок, ребенок, родители.   </w:t>
      </w:r>
    </w:p>
    <w:p w:rsidR="001F2239" w:rsidRPr="00467B95" w:rsidRDefault="001F2239" w:rsidP="005A3DF4">
      <w:pPr>
        <w:widowControl w:val="0"/>
        <w:spacing w:after="0" w:line="240" w:lineRule="auto"/>
        <w:ind w:firstLine="709"/>
        <w:jc w:val="both"/>
        <w:rPr>
          <w:rFonts w:ascii="Times New Roman" w:hAnsi="Times New Roman"/>
          <w:sz w:val="28"/>
          <w:szCs w:val="28"/>
        </w:rPr>
      </w:pPr>
    </w:p>
    <w:p w:rsidR="001F2239" w:rsidRPr="0062058C" w:rsidRDefault="001F2239" w:rsidP="005A3DF4">
      <w:pPr>
        <w:widowControl w:val="0"/>
        <w:spacing w:after="0" w:line="240" w:lineRule="auto"/>
        <w:ind w:firstLine="709"/>
        <w:jc w:val="center"/>
        <w:rPr>
          <w:rFonts w:ascii="Times New Roman" w:hAnsi="Times New Roman"/>
          <w:b/>
          <w:sz w:val="28"/>
          <w:szCs w:val="28"/>
          <w:lang w:val="en-US"/>
        </w:rPr>
      </w:pPr>
      <w:r w:rsidRPr="0062058C">
        <w:rPr>
          <w:rFonts w:ascii="Times New Roman" w:hAnsi="Times New Roman"/>
          <w:b/>
          <w:sz w:val="28"/>
          <w:szCs w:val="28"/>
          <w:lang w:val="en-US"/>
        </w:rPr>
        <w:t>Types of residential transactions and innovations in housing transactions involving minors.</w:t>
      </w:r>
    </w:p>
    <w:p w:rsidR="001F2239" w:rsidRPr="00467B95" w:rsidRDefault="001F2239" w:rsidP="005A3DF4">
      <w:pPr>
        <w:widowControl w:val="0"/>
        <w:spacing w:after="0" w:line="240" w:lineRule="auto"/>
        <w:ind w:firstLine="709"/>
        <w:jc w:val="center"/>
        <w:rPr>
          <w:rFonts w:ascii="Times New Roman" w:hAnsi="Times New Roman"/>
          <w:sz w:val="28"/>
          <w:szCs w:val="28"/>
          <w:u w:val="single"/>
          <w:lang w:val="en-US"/>
        </w:rPr>
      </w:pPr>
    </w:p>
    <w:p w:rsidR="001F2239" w:rsidRPr="00706121" w:rsidRDefault="001F2239" w:rsidP="005A3DF4">
      <w:pPr>
        <w:widowControl w:val="0"/>
        <w:spacing w:after="0" w:line="240" w:lineRule="auto"/>
        <w:ind w:firstLine="709"/>
        <w:jc w:val="center"/>
        <w:rPr>
          <w:rFonts w:ascii="Times New Roman" w:hAnsi="Times New Roman"/>
          <w:sz w:val="28"/>
          <w:szCs w:val="28"/>
          <w:lang w:val="en-US"/>
        </w:rPr>
      </w:pPr>
      <w:r w:rsidRPr="00706121">
        <w:rPr>
          <w:rFonts w:ascii="Times New Roman" w:hAnsi="Times New Roman"/>
          <w:sz w:val="28"/>
          <w:szCs w:val="28"/>
          <w:lang w:val="en-US"/>
        </w:rPr>
        <w:t>Praskova Anastasia Aleksandrovna</w:t>
      </w:r>
    </w:p>
    <w:p w:rsidR="001F2239" w:rsidRPr="00467B95" w:rsidRDefault="001F2239"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4th year student of the study group number BUP-15-02</w:t>
      </w:r>
    </w:p>
    <w:p w:rsidR="001F2239" w:rsidRPr="00467B95" w:rsidRDefault="001F2239"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Department of Civil Disciplines, Institute of Law</w:t>
      </w:r>
    </w:p>
    <w:p w:rsidR="001F2239" w:rsidRPr="00467B95" w:rsidRDefault="001F2239" w:rsidP="005A3DF4">
      <w:pPr>
        <w:widowControl w:val="0"/>
        <w:spacing w:after="0" w:line="240" w:lineRule="auto"/>
        <w:ind w:firstLine="709"/>
        <w:jc w:val="center"/>
        <w:rPr>
          <w:rFonts w:ascii="Times New Roman" w:hAnsi="Times New Roman"/>
          <w:sz w:val="28"/>
          <w:szCs w:val="28"/>
          <w:lang w:val="en-US"/>
        </w:rPr>
      </w:pPr>
    </w:p>
    <w:p w:rsidR="001F2239" w:rsidRPr="00467B95" w:rsidRDefault="001F2239" w:rsidP="005A3DF4">
      <w:pPr>
        <w:widowControl w:val="0"/>
        <w:spacing w:after="0" w:line="240" w:lineRule="auto"/>
        <w:ind w:firstLine="709"/>
        <w:jc w:val="center"/>
        <w:rPr>
          <w:rFonts w:ascii="Times New Roman" w:hAnsi="Times New Roman"/>
          <w:i/>
          <w:sz w:val="28"/>
          <w:szCs w:val="28"/>
          <w:lang w:val="en-US"/>
        </w:rPr>
      </w:pPr>
      <w:r w:rsidRPr="00467B95">
        <w:rPr>
          <w:rFonts w:ascii="Times New Roman" w:hAnsi="Times New Roman"/>
          <w:i/>
          <w:sz w:val="28"/>
          <w:szCs w:val="28"/>
          <w:lang w:val="en-US"/>
        </w:rPr>
        <w:t>Vladivostok State University of Economics and Service</w:t>
      </w:r>
    </w:p>
    <w:p w:rsidR="001F2239" w:rsidRPr="00467B95" w:rsidRDefault="001F2239" w:rsidP="005A3DF4">
      <w:pPr>
        <w:widowControl w:val="0"/>
        <w:spacing w:after="0" w:line="240" w:lineRule="auto"/>
        <w:ind w:firstLine="709"/>
        <w:jc w:val="center"/>
        <w:rPr>
          <w:rFonts w:ascii="Times New Roman" w:hAnsi="Times New Roman"/>
          <w:i/>
          <w:sz w:val="28"/>
          <w:szCs w:val="28"/>
          <w:lang w:val="en-US"/>
        </w:rPr>
      </w:pPr>
      <w:r w:rsidRPr="00467B95">
        <w:rPr>
          <w:rFonts w:ascii="Times New Roman" w:hAnsi="Times New Roman"/>
          <w:i/>
          <w:sz w:val="28"/>
          <w:szCs w:val="28"/>
          <w:lang w:val="en-US"/>
        </w:rPr>
        <w:t>Russia. Vladivostok</w:t>
      </w:r>
    </w:p>
    <w:p w:rsidR="001F2239" w:rsidRPr="00467B95" w:rsidRDefault="001F2239" w:rsidP="005A3DF4">
      <w:pPr>
        <w:widowControl w:val="0"/>
        <w:spacing w:after="0" w:line="240" w:lineRule="auto"/>
        <w:ind w:firstLine="709"/>
        <w:jc w:val="center"/>
        <w:rPr>
          <w:rFonts w:ascii="Times New Roman" w:hAnsi="Times New Roman"/>
          <w:sz w:val="28"/>
          <w:szCs w:val="28"/>
          <w:u w:val="single"/>
          <w:lang w:val="en-US"/>
        </w:rPr>
      </w:pPr>
    </w:p>
    <w:p w:rsidR="001F2239" w:rsidRPr="00467B95" w:rsidRDefault="001F2239"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This article discusses the implementation of effective protection of minors in transactions with housing. Protection can be carried out only by legal representatives, so the state provides its support to state bodies such as guardianship and guardianship authorities, authorized by the rights of the child of the Russian Federation. As well as the protection of rights is carried out by a notary in the certification of such a transaction.</w:t>
      </w:r>
    </w:p>
    <w:p w:rsidR="001F2239" w:rsidRPr="00467B95" w:rsidRDefault="001F2239"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b/>
          <w:i/>
          <w:sz w:val="28"/>
          <w:szCs w:val="28"/>
          <w:lang w:val="en-US"/>
        </w:rPr>
        <w:lastRenderedPageBreak/>
        <w:t>Key words and phrases</w:t>
      </w:r>
      <w:r w:rsidRPr="00467B95">
        <w:rPr>
          <w:rFonts w:ascii="Times New Roman" w:hAnsi="Times New Roman"/>
          <w:i/>
          <w:sz w:val="28"/>
          <w:szCs w:val="28"/>
          <w:lang w:val="en-US"/>
        </w:rPr>
        <w:t>: minors, transactions with minors, guardianship authority, types of transactions, child, parents.</w:t>
      </w:r>
    </w:p>
    <w:p w:rsidR="001F2239" w:rsidRPr="00467B95" w:rsidRDefault="001F2239" w:rsidP="005A3DF4">
      <w:pPr>
        <w:widowControl w:val="0"/>
        <w:spacing w:after="0" w:line="240" w:lineRule="auto"/>
        <w:ind w:firstLine="709"/>
        <w:jc w:val="both"/>
        <w:rPr>
          <w:rFonts w:ascii="Times New Roman" w:hAnsi="Times New Roman"/>
          <w:sz w:val="28"/>
          <w:szCs w:val="28"/>
          <w:lang w:val="en-US"/>
        </w:rPr>
      </w:pPr>
      <w:bookmarkStart w:id="17" w:name="_Toc10581948"/>
      <w:bookmarkStart w:id="18" w:name="_Toc10582042"/>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защиты прав несовершеннолетних Конституция Российской Федерации закрепляет защиту материнства и детства. Детям гарантируются равные права на медицинское обеспечение, жилье и воспитание, а если таковое не могут обеспечить родители или опекуны, то дети находятся на попечении государства [1].  Также кроме российского законодательства защиту прав несовершеннолетних детей регламентирует Конвенция ООН 20 ноября 1989 г. «О правах ребёнка» [2], она является основным международным документом по защите прав несовершеннолетних детей, которая также предусматривает, что участники данной конвенции обязаны принимать необходимые меры при оказании помощи в обеспечении жильем.</w:t>
      </w:r>
      <w:bookmarkEnd w:id="17"/>
      <w:bookmarkEnd w:id="18"/>
    </w:p>
    <w:p w:rsidR="001F2239" w:rsidRPr="00467B95" w:rsidRDefault="001F2239" w:rsidP="005A3DF4">
      <w:pPr>
        <w:widowControl w:val="0"/>
        <w:spacing w:after="0" w:line="240" w:lineRule="auto"/>
        <w:ind w:firstLine="709"/>
        <w:jc w:val="both"/>
        <w:rPr>
          <w:rFonts w:ascii="Times New Roman" w:hAnsi="Times New Roman"/>
          <w:sz w:val="28"/>
          <w:szCs w:val="28"/>
        </w:rPr>
      </w:pPr>
      <w:bookmarkStart w:id="19" w:name="_Toc10581949"/>
      <w:bookmarkStart w:id="20" w:name="_Toc10582043"/>
      <w:r w:rsidRPr="00467B95">
        <w:rPr>
          <w:rFonts w:ascii="Times New Roman" w:hAnsi="Times New Roman"/>
          <w:sz w:val="28"/>
          <w:szCs w:val="28"/>
        </w:rPr>
        <w:t>В данной главе мы рассмотрим виды сделок, которые используются для обеспечения несовершеннолетних детей жильем. В каких сделках учувствуют государственные органы для контроля и правомерного осуществления защиты прав несовершеннолетних детей.</w:t>
      </w:r>
      <w:bookmarkEnd w:id="19"/>
      <w:bookmarkEnd w:id="20"/>
      <w:r w:rsidRPr="00467B95">
        <w:rPr>
          <w:rFonts w:ascii="Times New Roman" w:hAnsi="Times New Roman"/>
          <w:sz w:val="28"/>
          <w:szCs w:val="28"/>
        </w:rPr>
        <w:t xml:space="preserve">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Для того чтобы раскрыть виды сделок с жилыми помещениями, дадим определение понятию сделка и жилое помещение. Легальное понятие сделки дает Гражданский кодекс Российской Федерации статья 153, сделками признаются действия граждан и юридических лиц, направленные на установление, изменение или прекращение гражданских прав и обязанностей [3].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Жилое помещение - является объектом жилищных прав. «Согласно п.4 ст.1 Жилищного кодекса Российской Федерации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 [4].</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 также согласно статьям 71,73, 148,155.2 СК РФ несовершеннолетние дети при любых обстоятельствах сохраняют за собой право собственности жилым помещением, либо правом пользования, а в случае отсутствия у несовершеннолетнего жилого помещение то он обязан получить его в соответствии с жилищным кодексом [5].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Рассмотрим и приведем примеры видов сделок, которые могут совершаться с участием несовершеннолетних детей, их законных представителей и государственных органов.</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Первый вид сделки - является самым распространенным, это Договор купли – продажи: в данном договоре основными сторонами является продавец и покупатель, но в нашем случае при совершении сделки учувствуют несовершеннолетние дети, таким образом сложностью в данном случае будет то, что помимо продавца и покупателя будет учувствовать третья сторона государственные органы опеки и попечительства.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 Российскому законодательству несовершеннолетний ребенок может </w:t>
      </w:r>
      <w:r w:rsidRPr="00467B95">
        <w:rPr>
          <w:rFonts w:ascii="Times New Roman" w:hAnsi="Times New Roman"/>
          <w:sz w:val="28"/>
          <w:szCs w:val="28"/>
        </w:rPr>
        <w:lastRenderedPageBreak/>
        <w:t xml:space="preserve">обладать правами в отношении жилья, принадлежащего ему по праву собственности, такими же, как и его законные представители в отношении жилищных прав. Но в случае владения несовершеннолетним жильем в собственности, законные представители (усыновители, опекуны и попечители) несовершеннолетнего ребенка не могут распоряжаться его имуществом без предварительного согласия органов опеки и попечительства (это является исключением для реализации жилищного права) [6 </w:t>
      </w:r>
      <w:r w:rsidRPr="00467B95">
        <w:rPr>
          <w:rFonts w:ascii="Times New Roman" w:hAnsi="Times New Roman"/>
          <w:sz w:val="28"/>
          <w:szCs w:val="28"/>
          <w:lang w:val="en-US"/>
        </w:rPr>
        <w:t>c</w:t>
      </w:r>
      <w:r w:rsidRPr="00467B95">
        <w:rPr>
          <w:rFonts w:ascii="Times New Roman" w:hAnsi="Times New Roman"/>
          <w:sz w:val="28"/>
          <w:szCs w:val="28"/>
        </w:rPr>
        <w:t xml:space="preserve">.105].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Российской Федерации, несовершеннолетние дети, не достигшие возраста 14 лет, могут осуществлять сделки только через законного представителя (усыновителей, опекунов и попечителей) [7</w:t>
      </w:r>
      <w:r w:rsidRPr="00467B95">
        <w:rPr>
          <w:rFonts w:ascii="Times New Roman" w:hAnsi="Times New Roman"/>
          <w:sz w:val="28"/>
          <w:szCs w:val="28"/>
          <w:lang w:val="en-US"/>
        </w:rPr>
        <w:t>c</w:t>
      </w:r>
      <w:r w:rsidRPr="00467B95">
        <w:rPr>
          <w:rFonts w:ascii="Times New Roman" w:hAnsi="Times New Roman"/>
          <w:sz w:val="28"/>
          <w:szCs w:val="28"/>
        </w:rPr>
        <w:t xml:space="preserve">.503]. Таким образом, при заключении Договора купли – продажи с участием несовершеннолетнего ребенка законные представители (усыновители, опекуны и попечители) не могут совершать данную сделку без разрешения органа опеки и попечительства [6 c.106].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случае совершении сделки, без получения разрешения органа опеки, сделка будет признана не действительной. Даже при разрешении органов опеки, продажа жилого помещения собственником которого является несовершеннолетний ребенок или в котором он проживает, может произойти, при условии покупки другого жилого помещения и предоставления ребёнку в собственность равноценной или большей жилплощади либо равноценной доли.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Второй вид сделки - Договор дарения: согласно п.1 ст. 572 ГК РФ по договору дарения одна сторона (даритель) безвозмездно передает или обязуется передать другой стороне (одаряемому) вещь в собственность, либо имущественное право (требование) к себе или к третьему лицу, либо освобождает или обязуется освободить ее от имущественной обязанности перед собой или перед третьим лицом [3].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данном случае при заключении Договора дарения, сделка будет определяться как безвозмездная передача имущества несовершеннолетнему ребенку, которая будет осуществляться нотариально и подписываться одним из законных представителей (опекунов, усыновителей, попечителей).</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Несмотря на то, что договор дарения подписывается законным представителем, право собственности на жилье остается за несовершеннолетним ребенком. Законные представители имеют право оплачивать подаренную квартиру, проживать и делать в ней ремонт, но любые действия с недвижимостью, будут проходить с участием органа опеки и попечительства. Это обязательное условие для того, чтобы защитить имущественные прав ребенка [8 </w:t>
      </w:r>
      <w:r w:rsidRPr="00467B95">
        <w:rPr>
          <w:rFonts w:ascii="Times New Roman" w:hAnsi="Times New Roman"/>
          <w:sz w:val="28"/>
          <w:szCs w:val="28"/>
          <w:lang w:val="en-US"/>
        </w:rPr>
        <w:t>c</w:t>
      </w:r>
      <w:r w:rsidRPr="00467B95">
        <w:rPr>
          <w:rFonts w:ascii="Times New Roman" w:hAnsi="Times New Roman"/>
          <w:sz w:val="28"/>
          <w:szCs w:val="28"/>
        </w:rPr>
        <w:t xml:space="preserve">.180].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Третий вид сделки - Договор мены с участием несовершеннолетнего ребенка. По договору мены, каждая из сторон обязуется передать в собственность другой стороны один товар в обмен на другой, данный договор, как и все остальные заключается с участием опеки и попечительства, они должны дать свое согласие на данную сделку если в ней учувствует несовершеннолетний ребенок.</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Четвертый вид сделки с жильем является наследование, согласно статье 1116 Гражданского кодекса РФ, к наследованию могут быть привлечены граждане независимо от их дееспособности, находящиеся в живых к моменту смерти наследодателя, в том числе несовершеннолетние и рожденные после открытия наследования. Переход собственности в порядке наследования к несовершеннолетним детям осуществляется согласно частью третьей Гражданского кодекса РФ с учетом особенностей, установленных жилищным и семейным законодательствами [3], [9 </w:t>
      </w:r>
      <w:r w:rsidRPr="00467B95">
        <w:rPr>
          <w:rFonts w:ascii="Times New Roman" w:hAnsi="Times New Roman"/>
          <w:sz w:val="28"/>
          <w:szCs w:val="28"/>
          <w:lang w:val="en-US"/>
        </w:rPr>
        <w:t>c</w:t>
      </w:r>
      <w:r w:rsidRPr="00467B95">
        <w:rPr>
          <w:rFonts w:ascii="Times New Roman" w:hAnsi="Times New Roman"/>
          <w:sz w:val="28"/>
          <w:szCs w:val="28"/>
        </w:rPr>
        <w:t xml:space="preserve">.127].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Основа наследования состоит из двух принципов:</w:t>
      </w:r>
    </w:p>
    <w:p w:rsidR="001F2239" w:rsidRPr="00467B95" w:rsidRDefault="001F2239" w:rsidP="005A3DF4">
      <w:pPr>
        <w:widowControl w:val="0"/>
        <w:numPr>
          <w:ilvl w:val="0"/>
          <w:numId w:val="14"/>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свобода завещания; </w:t>
      </w:r>
    </w:p>
    <w:p w:rsidR="001F2239" w:rsidRPr="00467B95" w:rsidRDefault="001F2239" w:rsidP="005A3DF4">
      <w:pPr>
        <w:widowControl w:val="0"/>
        <w:numPr>
          <w:ilvl w:val="0"/>
          <w:numId w:val="14"/>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охрана интересов семьи [</w:t>
      </w:r>
      <w:r w:rsidRPr="00467B95">
        <w:rPr>
          <w:rFonts w:ascii="Times New Roman" w:hAnsi="Times New Roman"/>
          <w:sz w:val="28"/>
          <w:szCs w:val="28"/>
          <w:lang w:val="en-US"/>
        </w:rPr>
        <w:t>1</w:t>
      </w:r>
      <w:r w:rsidRPr="00467B95">
        <w:rPr>
          <w:rFonts w:ascii="Times New Roman" w:hAnsi="Times New Roman"/>
          <w:sz w:val="28"/>
          <w:szCs w:val="28"/>
        </w:rPr>
        <w:t xml:space="preserve">0 с.16].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наследовании несовершеннолетним ребёнком учитывается принцип охраны интересов семьи и защита прав самого несовершеннолетнего.</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Если соблюдать принцип охраны интересов семьи, то родственные связи определяют нормы наследственного права в области жилищных отношений при наследовании, основаны на членстве в семье [11 с.48]. При получении недвижимости по завещанию несовершеннолетние дети являются участниками первой или второй очереди, но российское законодательство допускает то, что право на наследование может получить ребенок родившейся после открытия завещания (так же при наличии у наследодателя зачатого, но не родившегося наследника, раздел наследства наступает только после рождения наследника). А. Е. Тарасова говорит о том, что это положение закона относится только к детям наследодателя [12], [9, с.186]. Мы поддерживаем данное мнение, так как сам процесс наследования направлен на получение имущества только законными наследниками первой и второй очереди куда и входят дети наследодателя, данное положение закона не распространятся на рожденных детей, не связанных с наследодателем иначе данное положение, нарушит права прямых наследников в том числе и несовершеннолетних (если таковые имеются).  В качестве наследников могут выступать усыновленные дети и они могут сохранять за собой права наследования родственников по происхождению.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При разделе наследства с участием несовершеннолетних лиц необходимо обеспечить гарантию соблюдения прав и интересов, для этого привлекаются нотариусы и органы опеки и попечительства. Допустим при заключении Договора о добровольном разделе наследства, при участии несовершеннолетних детей, для согласования данного Договора учувствуют органы опеки и попечительства, чтобы обеспечить соблюдение защиты законных прав ребенка.  Процесс согласования Договора проходит в рамках норм законодательства, в соответствии с которым для получения заключения необходимо представить в орган опеки и попечительства заявление о предоставлении разрешения, а также указанный Договор в письменной форме. Не позднее чем через 15 дней со дня подачи заявления, орган опеки и попечительства обязан выдать заключение с разрешением на заключение </w:t>
      </w:r>
      <w:r w:rsidRPr="00467B95">
        <w:rPr>
          <w:rFonts w:ascii="Times New Roman" w:hAnsi="Times New Roman"/>
          <w:sz w:val="28"/>
          <w:szCs w:val="28"/>
        </w:rPr>
        <w:lastRenderedPageBreak/>
        <w:t xml:space="preserve">такого соглашения о разделе наследства, либо с отказом [13 с.36]. Если данный Договор был заключен без разрешения опеки и попечительства, то орган опеки имеет право обратиться в суд и потребовать признание данного Договора не действительным [13 с.37].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Процедура привлечения органов опеки к делам о разделе наследования следующая: нотариус обязан уведомить орган опеки по месту жительства наследодателя. Так как оглашение и вступление в наследство при участии несовершеннолетних или новорожденных детей осуществляется по суду РФ, кроме нотариуса, орган опеки может привлечь суд согласно статье 47 Гражданского процессуального кодекса Российской Федерации, суд может привлечь к участию в деле орган опеки и попечительства для дачи заключения о соответствии соглашения о разделе наследства для защиты прав и законных интересов несовершеннолетних или подопечных [14], [15 с.237].</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Для наглядности процедуры получения разрешения для отчуждения жилья законным представителям несовершеннолетнего от органов опеки представляем перечень необходимых документов: </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правоустанавливающие документы на жилое помещение;</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свидетельство о собственности;</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документ, на основании которого оно выдано;</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свидетельство о рождении ребенка, паспорта законных представителей (в случае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смерти одного из родителей – свидетельство о смерти);</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паспорта собственников приобретаемого жилья (если приобретается в юридической организации, то предоставляется договор с данной организацией о приобретении жилья);</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техпаспорт;</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выписка из лицевого сета;</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выписка из домовой книги; </w:t>
      </w:r>
    </w:p>
    <w:p w:rsidR="001F2239" w:rsidRPr="00467B95" w:rsidRDefault="001F2239" w:rsidP="005A3DF4">
      <w:pPr>
        <w:widowControl w:val="0"/>
        <w:numPr>
          <w:ilvl w:val="0"/>
          <w:numId w:val="12"/>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заявление обоих родителей, собственника приобретаемого жилья и заявление ребенка старше 14 лет. В случае необходимости органы опеки могут запрашивать дополнительные документы [6 с.106].</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Пятый вид безвозмездной сделки - это приватизация. Приватизация является особенной сделкой так как это переход права собственности государства к частной собственности. В данной сделки учувствуют все лица, проживающие в данном помещении, если в помещении проживают несовершеннолетние дети, то они обязаны учувствовать в сделке, так как обладают таким же правом, как и его законные представители и несовершеннолетний ребенок не может отказаться от совершения данной сделки. После приватизации несовершеннолетние дети становятся собственниками жилого помещения [16].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Из сказанного выше можно сделать вывод, что без органа опеки не может состоятся какая-либо сделка с участием несовершеннолетнего ребенка, данное правило действует для пресечения злоупотреблений со стороны законных представителей имущественных интересов, закон запрещает </w:t>
      </w:r>
      <w:r w:rsidRPr="00467B95">
        <w:rPr>
          <w:rFonts w:ascii="Times New Roman" w:hAnsi="Times New Roman"/>
          <w:sz w:val="28"/>
          <w:szCs w:val="28"/>
        </w:rPr>
        <w:lastRenderedPageBreak/>
        <w:t xml:space="preserve">опекунам совершать сделки от имени подопечных, а попечители не вправе давать разрешение на совершение сделок с жильем подопечного ребенка без уведомления органа опеки и попечительства [8 с.273].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Нововведения в законодательстве в области сделок с жильем и с участием несовершеннолетних детей были введены с 1 июня 2016, и они действуют по настоящий момент. Изменения внесены в Федеральном законе от 21 июля 1997 года № 122-ФЗ «О государственной регистрации прав на недвижимое имущество и сделок с ним» [17]. Изменения произошли в области оформления сделок, все сделки, которые связанные с распоряжением имущества несовершеннолетних детей или отчуждением имущества принадлежащее несовершеннолетним должны быть удостоверены нотариально.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Деятельность нотариуса заключается в следующем:</w:t>
      </w:r>
    </w:p>
    <w:p w:rsidR="001F2239" w:rsidRPr="00467B95"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подробно разъяснить все аспекты сделки; </w:t>
      </w:r>
    </w:p>
    <w:p w:rsidR="001F2239" w:rsidRPr="00467B95"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составить юридически грамотный документ;</w:t>
      </w:r>
    </w:p>
    <w:p w:rsidR="001F2239" w:rsidRPr="00467B95"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разъяснить смысл и значение сделки и проверить полномочия стороны; </w:t>
      </w:r>
    </w:p>
    <w:p w:rsidR="001F2239" w:rsidRPr="00467B95"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осуществить проверку подлинности документов [18 с.34].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Деятельность органа опеки и попечительства при заключении сделок с участием несовершеннолетних детей, должны проверять условия сделки:</w:t>
      </w:r>
    </w:p>
    <w:p w:rsidR="001F2239" w:rsidRPr="00467B95"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сделка совершается только в интересах ребенка;</w:t>
      </w:r>
    </w:p>
    <w:p w:rsidR="001F2239" w:rsidRPr="00467B95"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определить не наущаются ли права ребенка при заключении следки;</w:t>
      </w:r>
    </w:p>
    <w:p w:rsidR="001F2239" w:rsidRPr="00467B95"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какое имущество будет получено ребенком; </w:t>
      </w:r>
    </w:p>
    <w:p w:rsidR="001F2239" w:rsidRDefault="001F2239" w:rsidP="005A3DF4">
      <w:pPr>
        <w:widowControl w:val="0"/>
        <w:numPr>
          <w:ilvl w:val="0"/>
          <w:numId w:val="13"/>
        </w:numPr>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соответствует ли получаемое имущество в результате таких действий, необходимым требованиям, будет ли оно равноценным, и не ухудшает положения ребенка [18 с.34].   </w:t>
      </w:r>
    </w:p>
    <w:p w:rsidR="0062058C" w:rsidRPr="0062058C" w:rsidRDefault="0062058C" w:rsidP="005A3DF4">
      <w:pPr>
        <w:pStyle w:val="a7"/>
        <w:widowControl w:val="0"/>
        <w:spacing w:after="0" w:line="240" w:lineRule="auto"/>
        <w:ind w:left="862"/>
        <w:jc w:val="both"/>
        <w:rPr>
          <w:rFonts w:ascii="Times New Roman" w:eastAsia="Times New Roman" w:hAnsi="Times New Roman"/>
          <w:sz w:val="28"/>
          <w:szCs w:val="28"/>
          <w:lang w:eastAsia="ru-RU"/>
        </w:rPr>
      </w:pPr>
      <w:r w:rsidRPr="0062058C">
        <w:rPr>
          <w:rFonts w:ascii="Times New Roman" w:eastAsia="Times New Roman" w:hAnsi="Times New Roman"/>
          <w:sz w:val="28"/>
          <w:szCs w:val="28"/>
          <w:lang w:eastAsia="ru-RU"/>
        </w:rPr>
        <w:t>Список использованных источников</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[Электронный ресурс]// СПС «КонсультантПлюс».   Режим доступа: http://www.consultant.ru/document/cons_doc_LAW_28399/ </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Конвенция ООН о правах ребенка (Нью-Йорк, 20.11.1989 г.) ратифицирована Постановлением Верховным Советом СССР от 13.06.1990 г. № 1559-I. [Электронный ресурс] // СПС «КонсультантПлюс». -Режим доступа: http://www.consultant.ru/document/cons_doc_LAW_9959// </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Гражданский кодекс Российской Федерации: федеральный закон от 30.11.1994 № 51-ФЗ (ред. От 01.01.2019) [Электронный ресурс] // СПС «КонсультантПлюс». Режим доступа: http://www.consultant.ru/document/cons_doc_LAW_5142/ </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Жилищный кодекс Российской Федерации: федеральный закон от 29.12.2004 № 188-ФЗ (ред. от 15.04.2019) [Электронный ресурс] // СПС </w:t>
      </w:r>
      <w:r w:rsidRPr="00467B95">
        <w:rPr>
          <w:rFonts w:ascii="Times New Roman" w:hAnsi="Times New Roman" w:cs="Times New Roman"/>
          <w:sz w:val="28"/>
          <w:szCs w:val="28"/>
        </w:rPr>
        <w:lastRenderedPageBreak/>
        <w:t xml:space="preserve">«КонсультантПлюс».  Режим доступа: http://www.consultant.ru/document/cons_doc_LAW_51057/ </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Семейный кодекс РФ: федеральный закон от 29.12.1995 № 223-ФЗ (ред. от 18.03.2019) [Электронный ресурс]// СПС «КонсультантПлюс».  Режим доступа: http://www.consultant.ru/document/cons_doc_LAW_8982/</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Лисняк Л.Г. Продажа жилья с участием несовершеннолетних/ Л.Г. Лисняк // журнал «Управление городом: теория и практика» – 2012. – №1 (4). –  С. 105-107.</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Анисимов А.П. Гражданское право: учебное пособие/ А.П. Анисимов, А.Я. Рыженков, С.А. Чаркин. – М.: «Юрайт», 2012. – 704 с.</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Марткович И.Б. Жилищные права: учебное пособие / И.Б Марткови. – М.: «Парад», 2011. – 322 с.</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Малышева Е.М. О некоторых особенностях наследования по завещанию несовершеннолетними лицами / Е.М. Малышева// Изд-во: Общество с ограниченной ответственностью Издательство "Грамота" (Тамбов) – 2012 С. 127-129.</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Смышляева О.В Нравственно-правовые основы наследования в контексте брачно-семейных отношений в России: теория и практика применения/ О.В.  Смышляева // журнал «Наследственное право». - 2018. - № 4. - С.16-21.</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Крашенинников П.В. Наследственное право: учебник/ П.В.Крашенинников. –  2-е изд. – М.: «Статут», 2017. – 272 с.</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Тарасова А. Е. Правосубъектность граждан. Особенности правосубъектности несовершеннолетних, их проявления в гражданских правоотношениях. / А.Е. Тарасова // Волтерс Клувер. – 2008. С. 320.</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Колмыкова С.С. Охрана прав и законных интересов несовершеннолетних в вопросах наследования имущества/ С.С. Колмыкова, В.В Устинова// Изд-во: Восточно-Сибирский институт Министерства внутренних дел Российской Федерации (Иркутск) – 2017. С. 35-38.</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Гражданский процессуальный кодекс Российской Федерации: федеральный закон от 14.10.2002 г. № 138-ФЗ (ред. от 27.12.2018) [Электронный ресурс] - Режим доступа: http://www.consultant.ru/document/cons_doc_LAW_39570/ </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Кондратовская С.Н. Особенности защиты жилищных прав несовершеннолетних, являющихся собственниками жилья/ С.Н Кондратовская // сборник статей IX Международной научно-практической конференции: в 2 ч. 2017 – 2017 С. 236-238.</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 приватизации жилищного фонда в Российской Федерации: Закон РФ от 04.07.1991 № 1541 [Электронный ресурс]// СПС «КонсультантПлюс».  Режим доступа: http://www.consultant.ru/document/cons_doc_LAW_100/ </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 государственной регистрации прав на недвижимое имущество и сделок с ним: федеральный закон от 21.07.1997 года № 122-ФЗ [Электронный ресурс]// СПС «КонсультантПлюс».  Режим доступа: </w:t>
      </w:r>
      <w:r w:rsidRPr="00467B95">
        <w:rPr>
          <w:rFonts w:ascii="Times New Roman" w:hAnsi="Times New Roman" w:cs="Times New Roman"/>
          <w:sz w:val="28"/>
          <w:szCs w:val="28"/>
        </w:rPr>
        <w:lastRenderedPageBreak/>
        <w:t>http://www.consultant.ru/document/cons</w:t>
      </w:r>
    </w:p>
    <w:p w:rsidR="001F2239" w:rsidRPr="00467B95" w:rsidRDefault="001F2239"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_doc_LAW_15287/  </w:t>
      </w:r>
    </w:p>
    <w:p w:rsidR="001F2239" w:rsidRPr="00467B95" w:rsidRDefault="001F2239" w:rsidP="005A3DF4">
      <w:pPr>
        <w:pStyle w:val="a7"/>
        <w:widowControl w:val="0"/>
        <w:numPr>
          <w:ilvl w:val="0"/>
          <w:numId w:val="15"/>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Ефимова Л.А. Особенности сделок с участием несовершеннолетних/ Л.А Ефимова // журнал Петербургский нотариус. - 2018. - № 2(6). - С. 33-35.</w:t>
      </w:r>
    </w:p>
    <w:p w:rsidR="001F2239" w:rsidRPr="00467B95" w:rsidRDefault="001F2239" w:rsidP="005A3DF4">
      <w:pPr>
        <w:pStyle w:val="a7"/>
        <w:widowControl w:val="0"/>
        <w:spacing w:after="0" w:line="240" w:lineRule="auto"/>
        <w:ind w:left="0" w:firstLine="709"/>
        <w:jc w:val="both"/>
        <w:rPr>
          <w:rFonts w:ascii="Times New Roman" w:hAnsi="Times New Roman" w:cs="Times New Roman"/>
          <w:sz w:val="28"/>
          <w:szCs w:val="28"/>
          <w:highlight w:val="yellow"/>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К вопросу об имущественных права детей-сирот и детей, оставшихся без попечения родителей</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Романова Дарья Сергеевна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БЮП-15-03</w:t>
      </w:r>
      <w:r w:rsidRPr="00467B95">
        <w:rPr>
          <w:rFonts w:ascii="Times New Roman" w:eastAsia="Times New Roman" w:hAnsi="Times New Roman"/>
          <w:kern w:val="36"/>
          <w:sz w:val="28"/>
          <w:szCs w:val="28"/>
          <w:u w:val="single"/>
          <w:lang w:eastAsia="ru-RU"/>
        </w:rPr>
        <w:t xml:space="preserve"> </w:t>
      </w:r>
      <w:r w:rsidRPr="00467B95">
        <w:rPr>
          <w:rFonts w:ascii="Times New Roman" w:eastAsia="Times New Roman" w:hAnsi="Times New Roman"/>
          <w:kern w:val="36"/>
          <w:sz w:val="28"/>
          <w:szCs w:val="28"/>
          <w:lang w:eastAsia="ru-RU"/>
        </w:rPr>
        <w:t>группы, 4 курса Институт права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1F2239" w:rsidRPr="0062058C"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62058C">
        <w:rPr>
          <w:rFonts w:ascii="Times New Roman" w:eastAsia="Times New Roman" w:hAnsi="Times New Roman"/>
          <w:i/>
          <w:kern w:val="36"/>
          <w:sz w:val="28"/>
          <w:szCs w:val="28"/>
          <w:lang w:eastAsia="ru-RU"/>
        </w:rPr>
        <w:t>Аннотация: Статья посвящена анализу отдельных имущественных прав детей-сирот и детей, оставшихся без попечения родителей,  выявлению их специфики, применительно  к их реализации на территории Приморского края.</w:t>
      </w:r>
    </w:p>
    <w:p w:rsidR="0062058C" w:rsidRDefault="0062058C"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62058C">
        <w:rPr>
          <w:rFonts w:ascii="Times New Roman" w:eastAsia="Times New Roman" w:hAnsi="Times New Roman"/>
          <w:i/>
          <w:kern w:val="36"/>
          <w:sz w:val="28"/>
          <w:szCs w:val="28"/>
          <w:lang w:eastAsia="ru-RU"/>
        </w:rPr>
        <w:t>Ключевые слова и словосочетания: дети</w:t>
      </w:r>
      <w:r w:rsidRPr="00467B95">
        <w:rPr>
          <w:rFonts w:ascii="Times New Roman" w:eastAsia="Times New Roman" w:hAnsi="Times New Roman"/>
          <w:i/>
          <w:kern w:val="36"/>
          <w:sz w:val="28"/>
          <w:szCs w:val="28"/>
          <w:lang w:eastAsia="ru-RU"/>
        </w:rPr>
        <w:t xml:space="preserve">-сироты, дети, оставшиеся без попечения родителей, имущественные права, законодательство, Приморский край.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On the issue of property rights of orphans and children left without parental care</w:t>
      </w:r>
    </w:p>
    <w:p w:rsidR="001F2239" w:rsidRPr="00467B95" w:rsidRDefault="001F2239" w:rsidP="005A3DF4">
      <w:pPr>
        <w:widowControl w:val="0"/>
        <w:shd w:val="clear" w:color="auto" w:fill="FFFFFF"/>
        <w:spacing w:after="0" w:line="240" w:lineRule="auto"/>
        <w:ind w:firstLine="709"/>
        <w:contextualSpacing/>
        <w:rPr>
          <w:rFonts w:ascii="Times New Roman" w:eastAsia="Times New Roman" w:hAnsi="Times New Roman"/>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Romanova Daria Sergeevna</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Byup-15-03 group, 4 course, Institute of law</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State University of Economics and Service</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1F2239" w:rsidRPr="00467B95" w:rsidRDefault="001F2239"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p>
    <w:p w:rsidR="001F2239" w:rsidRPr="0062058C" w:rsidRDefault="001F2239"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62058C">
        <w:rPr>
          <w:rFonts w:ascii="Times New Roman" w:hAnsi="Times New Roman"/>
          <w:i/>
          <w:iCs/>
          <w:kern w:val="36"/>
          <w:sz w:val="28"/>
          <w:szCs w:val="28"/>
          <w:lang w:val="en-US" w:eastAsia="ru-RU"/>
        </w:rPr>
        <w:t>Annotation: The article is devoted to the analysis of individual property rights of orphans and children left without parental care, identifying their specifics in relation to their implementation in the Primorsky Krai.</w:t>
      </w:r>
    </w:p>
    <w:p w:rsidR="0062058C" w:rsidRPr="005542CD" w:rsidRDefault="0062058C"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1F2239" w:rsidRPr="0062058C" w:rsidRDefault="001F2239" w:rsidP="005A3DF4">
      <w:pPr>
        <w:widowControl w:val="0"/>
        <w:shd w:val="clear" w:color="auto" w:fill="FFFFFF"/>
        <w:spacing w:after="0" w:line="240" w:lineRule="auto"/>
        <w:ind w:firstLine="709"/>
        <w:contextualSpacing/>
        <w:jc w:val="both"/>
        <w:rPr>
          <w:rFonts w:ascii="Times New Roman" w:hAnsi="Times New Roman"/>
          <w:i/>
          <w:sz w:val="28"/>
          <w:szCs w:val="28"/>
          <w:lang w:val="en-US"/>
        </w:rPr>
      </w:pPr>
      <w:r w:rsidRPr="0062058C">
        <w:rPr>
          <w:rFonts w:ascii="Times New Roman" w:eastAsia="Times New Roman" w:hAnsi="Times New Roman"/>
          <w:i/>
          <w:kern w:val="36"/>
          <w:sz w:val="28"/>
          <w:szCs w:val="28"/>
          <w:lang w:val="en-US" w:eastAsia="ru-RU"/>
        </w:rPr>
        <w:t>Keywords and phrases:</w:t>
      </w:r>
      <w:r w:rsidRPr="0062058C">
        <w:rPr>
          <w:rFonts w:ascii="Times New Roman" w:hAnsi="Times New Roman"/>
          <w:sz w:val="28"/>
          <w:szCs w:val="28"/>
          <w:lang w:val="en-US"/>
        </w:rPr>
        <w:t xml:space="preserve"> </w:t>
      </w:r>
      <w:r w:rsidRPr="0062058C">
        <w:rPr>
          <w:rFonts w:ascii="Times New Roman" w:hAnsi="Times New Roman"/>
          <w:i/>
          <w:sz w:val="28"/>
          <w:szCs w:val="28"/>
          <w:lang w:val="en-US"/>
        </w:rPr>
        <w:t xml:space="preserve">orphans, children left without parental care, property rights, legislation, Primorsky </w:t>
      </w:r>
      <w:bookmarkStart w:id="21" w:name="_Hlk10363498"/>
      <w:r w:rsidRPr="0062058C">
        <w:rPr>
          <w:rFonts w:ascii="Times New Roman" w:hAnsi="Times New Roman"/>
          <w:i/>
          <w:sz w:val="28"/>
          <w:szCs w:val="28"/>
          <w:lang w:val="en-US"/>
        </w:rPr>
        <w:t>Krai.</w:t>
      </w:r>
      <w:bookmarkEnd w:id="21"/>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Одной из наиболее важных и приоритетных задач, стоящих перед Российской Федерацией (далее по тексту – Россия, РФ), в соответствии с положениями ратифицированных международных правовых актов, является забота о несовершеннолетних детях, а также защита и охрана их прав и законных интересов от всякого рода противоправного посягательства [1, 2].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этой связи, особым покровительством со стороны российского </w:t>
      </w:r>
      <w:r w:rsidRPr="00467B95">
        <w:rPr>
          <w:rFonts w:ascii="Times New Roman" w:eastAsia="Times New Roman" w:hAnsi="Times New Roman"/>
          <w:kern w:val="36"/>
          <w:sz w:val="28"/>
          <w:szCs w:val="28"/>
          <w:lang w:eastAsia="ru-RU"/>
        </w:rPr>
        <w:lastRenderedPageBreak/>
        <w:t xml:space="preserve">государства пользуются дети-сироты, дети, оставшиеся без попечения родителей, как утратившие заботу и поддержку со стороны своих биологических, кровных родителей по причине их гибели, лишения их родительских прав: согласно официальным статистическим данным, по состоянию на 31 декабря 2018 года в России было 47 242 ребенка, имеющих указанный правовой статус [3], в соответствии с которым им предоставляется расширенный спектр имущественных прав.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Однако, несмотря на это, по-прежнему нередки случаи нарушения имущественных прав детей, обладающих указанным правовым статусом, как лицами, опекающими их, так и должностными лицами соответствующих органов государственной и муниципальной власти: в частности, согласно сведениям, предоставленным на официальном сайте Генеральной прокуратуры РФ, по состоянию на конец отчетного периода 2017 года более 160 000 детей, относящихся к указанным категориям, не было обеспечено жилыми помещениями, что является нарушением их права на получение жилого помещения на безвозмездной основе от государства, что свидетельствует о дальнейшей практической нереализации права на обеспечение жилым детей, относящихся к указанным категориям [4].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Полагаем необходимым рассмотреть спектр имущественных прав, предоставленных отечественным законодателям детям, относящимся к указанным категориям, являющихся объектом защиты со стороны государства в лице его органов и должностных лиц от всякого рода противоправного посягательства. К числу подобного рода прав позволительно относить следующие:</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1. Право на полное государственное обеспечение.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Дети, относящиеся к указанным категориям, находятся на полном финансовом обеспечении со стороны государства, что подразумевает под собой выплаты им соответствующих пособий, в том числе, на приобретение продуктов питания, одежды, обуви, учебной литературы и канцелярских принадлежностей, размер которого устанавливается в соответствии положениями нормативного правового акта, принятого на территории субъекта Российской Федерации.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Например, закон Приморского края «О порядке и размерах выплаты ежемесячных денежных средств опекунам (попечителям) на содержание детей, находящихся под опекой (попечительством)» от 06.06.2005 № 258-КЗ устанавливает, что  с 1 января 2015 года  размер такой выплаты составляет 5645 рублей, без учета соответствующего районного коэффициента [5].</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Важно также отметить, что данное право сохраняется за ребенком, относящимся к одной из указанной категории, даже в том случае, если он будет передан на воспитание из государственного учреждения (иными словами, детского дома) в семью опекуна или попечителя. Однако, в данном случае, поступающими на счет ребенка денежными средствами исключительно в его интересах распоряжаются опекун, попечитель, с согласия территориального отдела органов опеки и попечительства, а не </w:t>
      </w:r>
      <w:r w:rsidRPr="00467B95">
        <w:rPr>
          <w:rFonts w:ascii="Times New Roman" w:eastAsia="Times New Roman" w:hAnsi="Times New Roman"/>
          <w:kern w:val="36"/>
          <w:sz w:val="28"/>
          <w:szCs w:val="28"/>
          <w:lang w:eastAsia="ru-RU"/>
        </w:rPr>
        <w:lastRenderedPageBreak/>
        <w:t>лично сам несовершеннолетний, что, на наш взгляд, вполне естественно, поскольку ребенок в силу возраста и особенностей интеллектуального, психического развития, не способен потратить выделяемые государством на его содержание денежные средства на питание, приобретение одежды, обуви, школьных принадлежностей (с большей долей вероятности, ребенок потратить деньги на нечто желаемое, согласно его возрасту, а не то, в чем нуждается в первую очередь).</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2. Право на алименты.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Дети, в отношении которых единственный родитель (или оба родителя) ограничены, либо лишены в родительских правах, имеют право на получение, взыскиваемых с него (них), алиментов на свое содержание, устанавливаемых в размере, либо одной четвертой от всего дохода, либо в размере одной второй от прожиточного минимума на ребенка, определяемого на территории каждого субъекта РФ (так, например, в Приморском крае его величина составляет по состоянию на 25 март 2019 года – 13 782 рубля).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Отметим, что суд устанавливает алименты в твердой денежной сумме, как правило, если место работы родителя неизвестно (либо он часто его сменяет), получаемый им доход носит нестабильный характер (зависит от выработки, например), а также в ряде иных случаях, когда это способствует удовлетворению законных интересов ребенка, защите его имущественных прав.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Например, Ленинский районный суд г. Краснодара в октябре 2018 года принял решение, согласно которому на отца ребенка, в отношении которого он лишен родительских прав, была возложена обязанность по уплате алиментов в твердой денежной сумме в размере 10 057 (десять тысяч пятьдесят семь) рублей, поскольку он официально не был нигде трудоустроен, имел разовые, несистематические (непостоянные) заработки, получаемые преимущественно даже без заключения гражданско-правового договора оказания услуг (подряда), и добровольно возложенную на него обязанность по уплате алиментов не исполнял на протяжении длительного периода времени [6].</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Это право сохраняется за ребенком также и в том случае, если он буде передан на воспитание из государственного учреждения в семью опекуна, попечителя. Здесь подчеркнем, что указанными денежными средствами в интересах ребенка, относящегося к одной из обозначенных категорий, также, как и государственным обеспечением, распоряжается его опекун, попечитель при условии получения согласия со стороны территориального отдела органов опеки и попечительства.  В том же случае, если ребенок, относящийся к одной из указанных категорий, воспитывается в стенах государственного учреждения (детского дома), указанные денежные средства поступают на банковский счет, открытый на его имя, и распорядиться ими он сможет самостоятельно по достижению им совершеннолетнего возраста (то есть восемнадцати лет).</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3. Право на получение пенсии по потери кормильца.</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lastRenderedPageBreak/>
        <w:t xml:space="preserve">В том случае, когда единственный или обо родителя погибли, ребенок имеет право на получение пенсии по потери кормильца, выплачиваемой со стороны государства, поскольку его родители объективно в силу своей смерти не способны нести бремя содержания ребенка (размеры ее дифференцируются в зависимости от того погиб один или два родителя). Кроме того, в ряде субъектов России, в том числе и на территории Приморского края, выплачиваются региональные социальные надбавки к пенсии по потери кормильца, в том случае, если ее размер ниже одной второй прожиточного минимума, установленного на содержание  ребенка в данном регионе.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При этом, совершенно неважно, был ли передан в данном случае ребенок на воспитание в семью опекуна, попечителя, данное имущественное право за ним сохраняется в любом случае, однако, указанными денежными средствами, равно как и государственным обеспечением, алиментами, распоряжается в интересах своего подопечного, опекаемого, с согласия территориального отдела органов опеки и попечительства его опекун, попечитель. В том же случае, если ребенок, относящийся к одной из указанных категорий, воспитывается в государственном учреждении (детском доме), то данные денежные средства поступают на банковский счет ребенка, открытый на его имя, и распорядиться ими он сможет самостоятельно по достижению им совершеннолетнего возраста (то есть восемнадцати лет).</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Отметим, что в ходе проведенной деловой беседы с сотрудниками территориального отдела органов опеки и попечительства по Ленинскому району г. Владивостока, нам стало известно о том, что подавляющее большинство детей, относящихся к одной из указанной категории, по достижению совершеннолетнего возраста, не могут целесообразно расходовать накопленные на его банковском счете денежные средства (в том числе, государственное обеспечение, алименты, пенсию по потери кормильца), в силу чего достаточно быстро растрачивают свои накопления, а также становятся жертвами мошенников.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На наш взгляд, разрешение этой проблемы возможно путем организации и проведения определённых вспомогательных курсов (лекций) на базе территориальных отделов органов опеки и попечительства о необходимости рационального и целесообразного расходования накопленных денежных средств, соблюдения мер предосторожности, чтобы не стать жертвой мошенничества, среди детей, относящихся к указанным категориям, близких к достижению совершеннолетнего возраста (то есть, семнадцати лет).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Кроме того, для детей, воспитывающихся на базе государственного учреждения (детского дома), целесообразно организовать систему наставничества, согласно которой в возрасте пятнадцати-шестнадцати лет ребенок будет знакомиться со своим взрослым наставником, который по достижению им совершеннолетнего возраста, будет оказывать ему посильную помощь в самостоятельной жизни,  в том числе и давать советы по планированию его бюджета, распределению расходов.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lastRenderedPageBreak/>
        <w:t xml:space="preserve">Разработанная нами рекомендация была поддержана и самими сотрудниками территориального отдела органов опеки и попечительства по Ленинскому району г. Владивостока, которые, однако, отметили, что для ее практической реализации требуется расширить штат сотрудников, а также обеспечить предоставление достаточно большого зала, чтобы можно было разместить всех детей, относящихся к указанной категории, достигших обозначенного возраста и состоящих на учете (такой площадкой, например, могут явиться государственные учреждения, на базе которых воспитываются дети (детские дома)).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3. Право на жилое помещение.</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Дети, относящиеся к указанным категориям, имеют право на получение жилого помещения от государства на безвозмездной основе, в следующих случаях:</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А) они не являются членами семьи лица, выступающего в качестве нанимателя по договору социального найма жилого помещения;</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 они не выступают в качестве нанимателя по договору социального найма жилого помещения;</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 они не владеют на праве собственности жилым помещением (например, квартирой, комнатой в общежитие, частным домом);</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Г) если проживание в жилом помещение, которое ранее ими занимались, в настоящий момент невозможно (например, на одной территории с родителем, который лишен в отношении него родительских прав, непригодности жилого помещения, нормы общей площади жилого помещения, ниже установленной законодательством на одного человека, другие) [7,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105].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При наличии одного из указанных оснований органы опеки и попечительства обязаны при достижении ребенком четырнадцатилетнего возраста поставить его на учет в качестве нуждающегося в обеспечении жилым помещением на основании соответствующего заявления, подданного опекуном, попечителем ребенка. Однако, отметим, что органы опеки и попечительства обязаны осуществлять со своей стороны контроль за тем, чтобы опекуны и попечители предпринимали все меры, которые от них требуются (сбор необходимых документов, подача заявления), с целью обеспечения ребенка жилым помещением.</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4. Право на сохранность имущества.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Также, за детьми, относящимися к указанным категориям, сохраняется право пользования жилым помещением, в котором они зарегистрированы, а также право пользования, владения, распоряжения имуществом, находящимся в его собственности, в том числе и право получения доходов от его использования.</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При этом, опекуны, попечители, учреждения, в которых проживают и воспитываются дети, не попавшие в семьи, а также органы опеки и попечительства должны предпринимать все возможные меры для сохранения этого имущества в целостности и пригодности к использованию по </w:t>
      </w:r>
      <w:r w:rsidRPr="00467B95">
        <w:rPr>
          <w:rFonts w:ascii="Times New Roman" w:eastAsia="Times New Roman" w:hAnsi="Times New Roman"/>
          <w:kern w:val="36"/>
          <w:sz w:val="28"/>
          <w:szCs w:val="28"/>
          <w:lang w:eastAsia="ru-RU"/>
        </w:rPr>
        <w:lastRenderedPageBreak/>
        <w:t>назначению, чтобы ребенок мог по достижению им восемнадцатилетнего возраста свободно им владеть, пользоваться и распоряжаться.</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 рамках настоящего исследования, отметим, что в отечественной правовой доктрине есть точка зрения, согласно которой к имущественным правам детей, входящих в одну из указанных категорий, следует относить право на получение высшего образования и медицинского обеспечения на безвозмездной основе, поскольку их реализация улучшает имущественное положение ребенка, с чем соглашаемся и мы:</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5. Право на получение высшего образования на безвозмездной основе.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Дети, относящиеся к указанным категориям, имеют право на получение высшего (среднего-специального) образования на безвозмездной основе (за счет средств соответствующего бюджета) при их поступлении на очную форму обучения (однократно), а также право на полное государственное обеспечение (в том числе, бесплатное проживание, питание, проезд (включая один перелет/проезд в год к месту своего постоянного проживания и обратно к месту учебы по России), выплаты на приобретение учебной литературы, канцелярии, одежды, обуви, мягкого инвентаря, а также право на получение социальной стипендии и оказания материальной помощи от университета (колледжа).</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6.  Право на получение медицинского обеспечения на безвозмездной основе.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Дети, относящиеся к указанным категориям, пользуются помощью, оказываемой в государственных и муниципальных медицинских учреждениях на безвозмездной основе. Им также бесплатно предоставляются путевки для организации их отдыха в санитарно-курортных учреждениях (в частности, детских лагерях, санаториях, иных оздоровительно-реабилитационных учреждениях), а также оплачивается за счет средств соответствующего бюджета проезд к месту лечения и оздоровления и обратно до места их проживания (либо предоставляется соразмерная компенсация по их заявлению).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Учитывая проанализированные положения действующего российского законодательства, положения отечественной правовой доктрины, сформулируем следующие выводы:</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Отечественный законодатель предоставил широкий спектр имущественных прав детям, относящимся к рассматриваемым категориям, в частности: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право на полное государственное обеспечение;</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право на алименты, право на пенсию по потери кормильца;</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право на сохранность имущества;</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право на жилое помещение;</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право на получение высшего образования на безвозмездной основе;</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право на получение медицинского обеспечения на безвозмездной основе.</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Представленная совокупность прав детей-сирот и детей, оставшихся без </w:t>
      </w:r>
      <w:r w:rsidRPr="00467B95">
        <w:rPr>
          <w:rFonts w:ascii="Times New Roman" w:eastAsia="Times New Roman" w:hAnsi="Times New Roman"/>
          <w:kern w:val="36"/>
          <w:sz w:val="28"/>
          <w:szCs w:val="28"/>
          <w:lang w:eastAsia="ru-RU"/>
        </w:rPr>
        <w:lastRenderedPageBreak/>
        <w:t xml:space="preserve">попечения родителей, являются объектом государственно-правовой и судебной защиты от всякого рода противоправных посягательств, как со стороны лиц, их опекающих, так и со стороны должностных лиц соответствующих органов государственной и муниципальной власти. </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Нами также была установлена проблема невозможности самостоятельного рационального и целесообразного распоряжения накопленными денежными средствами на банковском счету (в том числе, государственным обеспечением, алиментами, пенсией по потери кормильца) детьми, относящимися к одной из указанных категорий, по достижению ими совершеннолетнего возраста. Для разрешения данной проблемы предлагается организовывать и проводить вспомогательные обучающие лекция по распоряжению имуществом среди детей, относящихся к указанным категориям, достигших семнадцатилетнего возраста на базе территориальных отделов органов опеки и попечительства, а также внедрить систему наставничества, при которой взрослый человек будет оказывать помощь ребенку в распоряжении имуществом, воспитывающему в стенах государственного учреждения, в его самостоятельной взрослой жизни, по достижению им совершеннолетия. </w:t>
      </w:r>
    </w:p>
    <w:p w:rsidR="00E261D5" w:rsidRPr="00467B95" w:rsidRDefault="00E261D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 </w:t>
      </w:r>
      <w:bookmarkStart w:id="22" w:name="_Hlk4134331"/>
      <w:r w:rsidRPr="00467B95">
        <w:rPr>
          <w:rFonts w:ascii="Times New Roman" w:hAnsi="Times New Roman"/>
          <w:sz w:val="28"/>
          <w:szCs w:val="28"/>
        </w:rPr>
        <w:t xml:space="preserve">Декларация прав ребенка (1959 г.) </w:t>
      </w:r>
      <w:bookmarkEnd w:id="22"/>
      <w:r w:rsidRPr="00467B95">
        <w:rPr>
          <w:rFonts w:ascii="Times New Roman" w:hAnsi="Times New Roman"/>
          <w:sz w:val="28"/>
          <w:szCs w:val="28"/>
        </w:rPr>
        <w:t>[Электронный ресурс] // СПС «Электронный фонд правовой и нормативно-технической документации». – Режим доступа: http://docs.cntd.ru/document/1901035</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Конвенция о правах ребенка (1989 г.) [Электронный ресурс] // Официальный сайт Организации Объединенных Наций. – Режим доступа: http://www.un.org/ru/documents/decl_conv/conventions/childcon.shtml</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Статистические данные о количестве детей-сирот, детей, оставшихся без попечения родителей по состоянию на 31 декабря 2018 года [Электронный ресурс] // Официальный сайт «Усыновление в России». – Режим доступа: http://www.usynovite.ru/statistics/2018/</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Доклад Генерального прокурора Российской Федерации Ю.Я. Чайки на заседании Совета Федерации Федерального Собрания Российской Федерации [Электронный ресурс] // Официальный сайт Генеральной прокуратуры Российской Федерации. – Режим доступа: https://genproc.gov.ru/smi/news/news_events/news-1366820/</w:t>
      </w:r>
    </w:p>
    <w:p w:rsidR="001F2239" w:rsidRPr="00467B95" w:rsidRDefault="001F223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sz w:val="28"/>
          <w:szCs w:val="28"/>
        </w:rPr>
        <w:t xml:space="preserve">5 </w:t>
      </w:r>
      <w:r w:rsidRPr="00467B95">
        <w:rPr>
          <w:rFonts w:ascii="Times New Roman" w:hAnsi="Times New Roman"/>
          <w:bCs/>
          <w:sz w:val="28"/>
          <w:szCs w:val="28"/>
        </w:rPr>
        <w:t>О порядке и размерах выплаты ежемесячных денежных средств опекунам (попечителям) на содержание детей, находящихся под опекой (попечительством): закон Приморского края от 06.06.2005 № 258-КЗ (ред. от 12.03.2018) [Электронный ресурс] // СПС «Электронный фонд правовой и нормативно-технической документации». – Режим доступа: http://docs.cntd.ru/document/494215084</w:t>
      </w:r>
    </w:p>
    <w:p w:rsidR="001F2239" w:rsidRPr="00467B95" w:rsidRDefault="001F223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6 Решение Ленинского районного суда г. Краснодара от 30 октября 2018 года по делу № № 2-10246/2018 </w:t>
      </w:r>
      <w:bookmarkStart w:id="23" w:name="_Hlk10224925"/>
      <w:r w:rsidRPr="00467B95">
        <w:rPr>
          <w:rFonts w:ascii="Times New Roman" w:hAnsi="Times New Roman"/>
          <w:bCs/>
          <w:sz w:val="28"/>
          <w:szCs w:val="28"/>
        </w:rPr>
        <w:t>[Электронный ресурс] // СПС «Судебные и нормативные акты РФ». – Режим доступа: https://sudact.ru/regular/doc/wXrjLPLAdk69/</w:t>
      </w:r>
      <w:bookmarkEnd w:id="23"/>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bCs/>
          <w:sz w:val="28"/>
          <w:szCs w:val="28"/>
        </w:rPr>
        <w:lastRenderedPageBreak/>
        <w:t>7 Садыков Р. М. Защита имущественных прав детей-сирот и детей. оставшихся без попечения родителей. / Р. М. Садыков. // Международный научно-исследовательский журнал. – 2015. – № 2 (33). – С 104-106.</w:t>
      </w:r>
    </w:p>
    <w:p w:rsidR="001F2239" w:rsidRPr="00467B95" w:rsidRDefault="001F2239" w:rsidP="005A3DF4">
      <w:pPr>
        <w:widowControl w:val="0"/>
        <w:spacing w:after="0" w:line="240" w:lineRule="auto"/>
        <w:ind w:firstLine="709"/>
        <w:jc w:val="both"/>
        <w:rPr>
          <w:rFonts w:ascii="Times New Roman" w:hAnsi="Times New Roman"/>
          <w:sz w:val="28"/>
          <w:szCs w:val="28"/>
        </w:rPr>
      </w:pPr>
    </w:p>
    <w:p w:rsidR="00844289" w:rsidRDefault="00844289" w:rsidP="005A3DF4">
      <w:pPr>
        <w:widowControl w:val="0"/>
        <w:spacing w:after="0" w:line="240" w:lineRule="auto"/>
        <w:ind w:firstLine="709"/>
        <w:jc w:val="center"/>
        <w:rPr>
          <w:rFonts w:ascii="Times New Roman" w:hAnsi="Times New Roman"/>
          <w:b/>
          <w:sz w:val="28"/>
          <w:szCs w:val="28"/>
        </w:rPr>
      </w:pPr>
      <w:r w:rsidRPr="00B83E8D">
        <w:rPr>
          <w:rFonts w:ascii="Times New Roman" w:hAnsi="Times New Roman"/>
          <w:b/>
          <w:sz w:val="28"/>
          <w:szCs w:val="28"/>
        </w:rPr>
        <w:t>Реализация принципа единство судьбы земельного участка и объектов недвижимости прочно связанных с ним</w:t>
      </w:r>
    </w:p>
    <w:p w:rsidR="00706121" w:rsidRPr="00B83E8D" w:rsidRDefault="00706121" w:rsidP="005A3DF4">
      <w:pPr>
        <w:widowControl w:val="0"/>
        <w:spacing w:after="0" w:line="240" w:lineRule="auto"/>
        <w:ind w:firstLine="709"/>
        <w:jc w:val="center"/>
        <w:rPr>
          <w:rFonts w:ascii="Times New Roman" w:hAnsi="Times New Roman"/>
          <w:b/>
          <w:sz w:val="28"/>
          <w:szCs w:val="28"/>
        </w:rPr>
      </w:pPr>
    </w:p>
    <w:p w:rsidR="00844289" w:rsidRPr="00467B95" w:rsidRDefault="00844289" w:rsidP="005A3DF4">
      <w:pPr>
        <w:widowControl w:val="0"/>
        <w:spacing w:after="0" w:line="240" w:lineRule="auto"/>
        <w:ind w:firstLine="709"/>
        <w:jc w:val="center"/>
        <w:rPr>
          <w:rFonts w:ascii="Times New Roman" w:hAnsi="Times New Roman"/>
          <w:color w:val="333333"/>
          <w:sz w:val="28"/>
          <w:szCs w:val="28"/>
          <w:lang w:val="en-US"/>
        </w:rPr>
      </w:pPr>
      <w:r w:rsidRPr="00467B95">
        <w:rPr>
          <w:rFonts w:ascii="Times New Roman" w:hAnsi="Times New Roman"/>
          <w:color w:val="333333"/>
          <w:sz w:val="28"/>
          <w:szCs w:val="28"/>
          <w:lang w:val="en-US"/>
        </w:rPr>
        <w:t>The implementation of the principle of unity of destiny of the land plot and objects of real estate firmly connected with it</w:t>
      </w:r>
    </w:p>
    <w:p w:rsidR="009E5C32" w:rsidRPr="00FF50E3" w:rsidRDefault="009E5C32" w:rsidP="005A3DF4">
      <w:pPr>
        <w:widowControl w:val="0"/>
        <w:spacing w:after="0" w:line="240" w:lineRule="auto"/>
        <w:ind w:firstLine="709"/>
        <w:jc w:val="center"/>
        <w:rPr>
          <w:rFonts w:ascii="Times New Roman" w:hAnsi="Times New Roman"/>
          <w:color w:val="333333"/>
          <w:sz w:val="28"/>
          <w:szCs w:val="28"/>
          <w:lang w:val="en-US"/>
        </w:rPr>
      </w:pPr>
    </w:p>
    <w:p w:rsidR="00844289" w:rsidRPr="00467B95" w:rsidRDefault="00844289" w:rsidP="005A3DF4">
      <w:pPr>
        <w:widowControl w:val="0"/>
        <w:spacing w:after="0" w:line="240" w:lineRule="auto"/>
        <w:ind w:firstLine="709"/>
        <w:jc w:val="center"/>
        <w:rPr>
          <w:rFonts w:ascii="Times New Roman" w:hAnsi="Times New Roman"/>
          <w:color w:val="333333"/>
          <w:sz w:val="28"/>
          <w:szCs w:val="28"/>
          <w:lang w:val="en-US"/>
        </w:rPr>
      </w:pPr>
      <w:r w:rsidRPr="00467B95">
        <w:rPr>
          <w:rFonts w:ascii="Times New Roman" w:hAnsi="Times New Roman"/>
          <w:color w:val="333333"/>
          <w:sz w:val="28"/>
          <w:szCs w:val="28"/>
        </w:rPr>
        <w:t>Сенокосова</w:t>
      </w:r>
      <w:r w:rsidRPr="00467B95">
        <w:rPr>
          <w:rFonts w:ascii="Times New Roman" w:hAnsi="Times New Roman"/>
          <w:color w:val="333333"/>
          <w:sz w:val="28"/>
          <w:szCs w:val="28"/>
          <w:lang w:val="en-US"/>
        </w:rPr>
        <w:t xml:space="preserve"> </w:t>
      </w:r>
      <w:r w:rsidRPr="00467B95">
        <w:rPr>
          <w:rFonts w:ascii="Times New Roman" w:hAnsi="Times New Roman"/>
          <w:color w:val="333333"/>
          <w:sz w:val="28"/>
          <w:szCs w:val="28"/>
        </w:rPr>
        <w:t>Светлана</w:t>
      </w:r>
      <w:r w:rsidRPr="00467B95">
        <w:rPr>
          <w:rFonts w:ascii="Times New Roman" w:hAnsi="Times New Roman"/>
          <w:color w:val="333333"/>
          <w:sz w:val="28"/>
          <w:szCs w:val="28"/>
          <w:lang w:val="en-US"/>
        </w:rPr>
        <w:t xml:space="preserve"> </w:t>
      </w:r>
      <w:r w:rsidRPr="00467B95">
        <w:rPr>
          <w:rFonts w:ascii="Times New Roman" w:hAnsi="Times New Roman"/>
          <w:color w:val="333333"/>
          <w:sz w:val="28"/>
          <w:szCs w:val="28"/>
        </w:rPr>
        <w:t>Семеновна</w:t>
      </w:r>
    </w:p>
    <w:p w:rsidR="00844289" w:rsidRPr="00467B95" w:rsidRDefault="00844289" w:rsidP="005A3DF4">
      <w:pPr>
        <w:widowControl w:val="0"/>
        <w:spacing w:after="0" w:line="240" w:lineRule="auto"/>
        <w:ind w:firstLine="709"/>
        <w:jc w:val="center"/>
        <w:rPr>
          <w:rFonts w:ascii="Times New Roman" w:hAnsi="Times New Roman"/>
          <w:color w:val="333333"/>
          <w:sz w:val="28"/>
          <w:szCs w:val="28"/>
          <w:lang w:val="en-US"/>
        </w:rPr>
      </w:pPr>
      <w:r w:rsidRPr="00467B95">
        <w:rPr>
          <w:rFonts w:ascii="Times New Roman" w:hAnsi="Times New Roman"/>
          <w:color w:val="333333"/>
          <w:sz w:val="28"/>
          <w:szCs w:val="28"/>
          <w:lang w:val="en-US"/>
        </w:rPr>
        <w:t>Senokosova Svetlana Semenovna</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i/>
          <w:kern w:val="36"/>
          <w:sz w:val="28"/>
          <w:szCs w:val="28"/>
          <w:lang w:eastAsia="ru-RU"/>
        </w:rPr>
      </w:pPr>
      <w:r w:rsidRPr="00467B95">
        <w:rPr>
          <w:rFonts w:ascii="Times New Roman" w:hAnsi="Times New Roman"/>
          <w:i/>
          <w:kern w:val="36"/>
          <w:sz w:val="28"/>
          <w:szCs w:val="28"/>
          <w:lang w:eastAsia="ru-RU"/>
        </w:rPr>
        <w:t>Студент Владивостокского государственного университета экономики и сервиса</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i/>
          <w:kern w:val="36"/>
          <w:sz w:val="28"/>
          <w:szCs w:val="28"/>
          <w:lang w:val="en-US" w:eastAsia="ru-RU"/>
        </w:rPr>
      </w:pPr>
      <w:r w:rsidRPr="00467B95">
        <w:rPr>
          <w:rFonts w:ascii="Times New Roman" w:hAnsi="Times New Roman"/>
          <w:i/>
          <w:kern w:val="36"/>
          <w:sz w:val="28"/>
          <w:szCs w:val="28"/>
          <w:lang w:eastAsia="ru-RU"/>
        </w:rPr>
        <w:t>Россия</w:t>
      </w:r>
      <w:r w:rsidRPr="00467B95">
        <w:rPr>
          <w:rFonts w:ascii="Times New Roman" w:hAnsi="Times New Roman"/>
          <w:i/>
          <w:kern w:val="36"/>
          <w:sz w:val="28"/>
          <w:szCs w:val="28"/>
          <w:lang w:val="en-US" w:eastAsia="ru-RU"/>
        </w:rPr>
        <w:t xml:space="preserve">. </w:t>
      </w:r>
      <w:r w:rsidRPr="00467B95">
        <w:rPr>
          <w:rFonts w:ascii="Times New Roman" w:hAnsi="Times New Roman"/>
          <w:i/>
          <w:kern w:val="36"/>
          <w:sz w:val="28"/>
          <w:szCs w:val="28"/>
          <w:lang w:eastAsia="ru-RU"/>
        </w:rPr>
        <w:t>Владивосток</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i/>
          <w:kern w:val="36"/>
          <w:sz w:val="28"/>
          <w:szCs w:val="28"/>
          <w:lang w:val="en-US" w:eastAsia="ru-RU"/>
        </w:rPr>
      </w:pP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i/>
          <w:kern w:val="36"/>
          <w:sz w:val="28"/>
          <w:szCs w:val="28"/>
          <w:lang w:val="en-US" w:eastAsia="ru-RU"/>
        </w:rPr>
      </w:pPr>
      <w:r w:rsidRPr="00467B95">
        <w:rPr>
          <w:rFonts w:ascii="Times New Roman" w:hAnsi="Times New Roman"/>
          <w:i/>
          <w:kern w:val="36"/>
          <w:sz w:val="28"/>
          <w:szCs w:val="28"/>
          <w:lang w:val="en-US" w:eastAsia="ru-RU"/>
        </w:rPr>
        <w:t>Student Institute of Law, Vladivostok State University of Economics and Service</w:t>
      </w:r>
    </w:p>
    <w:p w:rsidR="00844289" w:rsidRPr="00467B95" w:rsidRDefault="00844289" w:rsidP="005A3DF4">
      <w:pPr>
        <w:widowControl w:val="0"/>
        <w:shd w:val="clear" w:color="auto" w:fill="FFFFFF"/>
        <w:spacing w:after="0" w:line="240" w:lineRule="auto"/>
        <w:ind w:firstLine="709"/>
        <w:contextualSpacing/>
        <w:jc w:val="center"/>
        <w:rPr>
          <w:rFonts w:ascii="Times New Roman" w:hAnsi="Times New Roman"/>
          <w:i/>
          <w:kern w:val="36"/>
          <w:sz w:val="28"/>
          <w:szCs w:val="28"/>
          <w:lang w:eastAsia="ru-RU"/>
        </w:rPr>
      </w:pPr>
      <w:r w:rsidRPr="00467B95">
        <w:rPr>
          <w:rFonts w:ascii="Times New Roman" w:hAnsi="Times New Roman"/>
          <w:i/>
          <w:kern w:val="36"/>
          <w:sz w:val="28"/>
          <w:szCs w:val="28"/>
          <w:lang w:val="en-US" w:eastAsia="ru-RU"/>
        </w:rPr>
        <w:t>Vladivostok</w:t>
      </w:r>
      <w:r w:rsidRPr="00467B95">
        <w:rPr>
          <w:rFonts w:ascii="Times New Roman" w:hAnsi="Times New Roman"/>
          <w:i/>
          <w:kern w:val="36"/>
          <w:sz w:val="28"/>
          <w:szCs w:val="28"/>
          <w:lang w:eastAsia="ru-RU"/>
        </w:rPr>
        <w:t xml:space="preserve">, </w:t>
      </w:r>
      <w:r w:rsidRPr="00467B95">
        <w:rPr>
          <w:rFonts w:ascii="Times New Roman" w:hAnsi="Times New Roman"/>
          <w:i/>
          <w:kern w:val="36"/>
          <w:sz w:val="28"/>
          <w:szCs w:val="28"/>
          <w:lang w:val="en-US" w:eastAsia="ru-RU"/>
        </w:rPr>
        <w:t>Russia</w:t>
      </w:r>
    </w:p>
    <w:p w:rsidR="00844289" w:rsidRPr="00467B95" w:rsidRDefault="00844289" w:rsidP="005A3DF4">
      <w:pPr>
        <w:widowControl w:val="0"/>
        <w:spacing w:after="0" w:line="240" w:lineRule="auto"/>
        <w:ind w:firstLine="709"/>
        <w:jc w:val="center"/>
        <w:rPr>
          <w:rFonts w:ascii="Times New Roman" w:hAnsi="Times New Roman"/>
          <w:iCs/>
          <w:sz w:val="28"/>
          <w:szCs w:val="28"/>
        </w:rPr>
      </w:pPr>
    </w:p>
    <w:p w:rsidR="00844289" w:rsidRPr="00467B95" w:rsidRDefault="00844289" w:rsidP="005A3DF4">
      <w:pPr>
        <w:widowControl w:val="0"/>
        <w:spacing w:after="0" w:line="240" w:lineRule="auto"/>
        <w:ind w:firstLine="709"/>
        <w:jc w:val="center"/>
        <w:rPr>
          <w:rFonts w:ascii="Times New Roman" w:hAnsi="Times New Roman"/>
          <w:iCs/>
          <w:sz w:val="28"/>
          <w:szCs w:val="28"/>
        </w:rPr>
      </w:pPr>
      <w:r w:rsidRPr="00467B95">
        <w:rPr>
          <w:rFonts w:ascii="Times New Roman" w:hAnsi="Times New Roman"/>
          <w:iCs/>
          <w:sz w:val="28"/>
          <w:szCs w:val="28"/>
        </w:rPr>
        <w:t>ул. Гоголя, 41, г. Владивосток, Приморский край, 690014, Россия</w:t>
      </w:r>
    </w:p>
    <w:p w:rsidR="00844289" w:rsidRPr="00467B95" w:rsidRDefault="00844289" w:rsidP="005A3DF4">
      <w:pPr>
        <w:widowControl w:val="0"/>
        <w:spacing w:after="0" w:line="240" w:lineRule="auto"/>
        <w:ind w:firstLine="709"/>
        <w:jc w:val="center"/>
        <w:rPr>
          <w:rFonts w:ascii="Times New Roman" w:hAnsi="Times New Roman"/>
          <w:bCs/>
          <w:sz w:val="28"/>
          <w:szCs w:val="28"/>
          <w:lang w:val="en-US"/>
        </w:rPr>
      </w:pPr>
      <w:r w:rsidRPr="00467B95">
        <w:rPr>
          <w:rFonts w:ascii="Times New Roman" w:hAnsi="Times New Roman"/>
          <w:sz w:val="28"/>
          <w:szCs w:val="28"/>
          <w:lang w:val="en-US"/>
        </w:rPr>
        <w:t xml:space="preserve">E-mail: </w:t>
      </w:r>
      <w:r w:rsidRPr="00467B95">
        <w:rPr>
          <w:rFonts w:ascii="Times New Roman" w:hAnsi="Times New Roman"/>
          <w:color w:val="333333"/>
          <w:sz w:val="28"/>
          <w:szCs w:val="28"/>
          <w:lang w:val="en-US"/>
        </w:rPr>
        <w:t>Svetlana</w:t>
      </w:r>
      <w:r w:rsidRPr="00467B95">
        <w:rPr>
          <w:rFonts w:ascii="Times New Roman" w:hAnsi="Times New Roman"/>
          <w:sz w:val="28"/>
          <w:szCs w:val="28"/>
          <w:lang w:val="en-US"/>
        </w:rPr>
        <w:t>.</w:t>
      </w:r>
      <w:r w:rsidRPr="00467B95">
        <w:rPr>
          <w:rFonts w:ascii="Times New Roman" w:hAnsi="Times New Roman"/>
          <w:color w:val="333333"/>
          <w:sz w:val="28"/>
          <w:szCs w:val="28"/>
          <w:lang w:val="en-US"/>
        </w:rPr>
        <w:t xml:space="preserve"> Senokosova82</w:t>
      </w:r>
      <w:r w:rsidRPr="00467B95">
        <w:rPr>
          <w:rFonts w:ascii="Times New Roman" w:hAnsi="Times New Roman"/>
          <w:sz w:val="28"/>
          <w:szCs w:val="28"/>
          <w:lang w:val="en-US"/>
        </w:rPr>
        <w:t>@vvsu.ru</w:t>
      </w:r>
      <w:r w:rsidRPr="00467B95">
        <w:rPr>
          <w:rFonts w:ascii="Times New Roman" w:hAnsi="Times New Roman"/>
          <w:bCs/>
          <w:sz w:val="28"/>
          <w:szCs w:val="28"/>
          <w:lang w:val="en-US"/>
        </w:rPr>
        <w:t xml:space="preserve">. </w:t>
      </w:r>
      <w:r w:rsidRPr="00467B95">
        <w:rPr>
          <w:rFonts w:ascii="Times New Roman" w:hAnsi="Times New Roman"/>
          <w:bCs/>
          <w:sz w:val="28"/>
          <w:szCs w:val="28"/>
        </w:rPr>
        <w:t>Тел</w:t>
      </w:r>
      <w:r w:rsidRPr="00467B95">
        <w:rPr>
          <w:rFonts w:ascii="Times New Roman" w:hAnsi="Times New Roman"/>
          <w:bCs/>
          <w:sz w:val="28"/>
          <w:szCs w:val="28"/>
          <w:lang w:val="en-US"/>
        </w:rPr>
        <w:t>.: +79147385195</w:t>
      </w:r>
    </w:p>
    <w:p w:rsidR="00844289" w:rsidRPr="00467B95" w:rsidRDefault="00844289" w:rsidP="005A3DF4">
      <w:pPr>
        <w:widowControl w:val="0"/>
        <w:spacing w:after="0" w:line="240" w:lineRule="auto"/>
        <w:ind w:firstLine="709"/>
        <w:jc w:val="center"/>
        <w:rPr>
          <w:rFonts w:ascii="Times New Roman" w:hAnsi="Times New Roman"/>
          <w:bCs/>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bCs/>
          <w:i/>
          <w:sz w:val="28"/>
          <w:szCs w:val="28"/>
        </w:rPr>
      </w:pPr>
      <w:r w:rsidRPr="00467B95">
        <w:rPr>
          <w:rFonts w:ascii="Times New Roman" w:hAnsi="Times New Roman"/>
          <w:i/>
          <w:sz w:val="28"/>
          <w:szCs w:val="28"/>
        </w:rPr>
        <w:t xml:space="preserve">Принцип единства судьбы земельных участков и прочно  связанных с ними объектов прочно укрепился в нашем законодательстве </w:t>
      </w:r>
      <w:r w:rsidRPr="00467B95">
        <w:rPr>
          <w:rFonts w:ascii="Times New Roman" w:eastAsia="Times New Roman" w:hAnsi="Times New Roman"/>
          <w:i/>
          <w:color w:val="333333"/>
          <w:sz w:val="28"/>
          <w:szCs w:val="28"/>
        </w:rPr>
        <w:t xml:space="preserve"> с целью приведения  гражданского и земельного законодательства к единому знаменателю в области оборота недвижимости и создания совместного правового режима.</w:t>
      </w:r>
    </w:p>
    <w:p w:rsidR="00E261D5" w:rsidRDefault="00E261D5" w:rsidP="005A3DF4">
      <w:pPr>
        <w:widowControl w:val="0"/>
        <w:spacing w:after="0" w:line="240" w:lineRule="auto"/>
        <w:ind w:firstLine="709"/>
        <w:jc w:val="both"/>
        <w:rPr>
          <w:rFonts w:ascii="Times New Roman" w:hAnsi="Times New Roman"/>
          <w:i/>
          <w:color w:val="333333"/>
          <w:sz w:val="28"/>
          <w:szCs w:val="28"/>
        </w:rPr>
      </w:pPr>
    </w:p>
    <w:p w:rsidR="00844289" w:rsidRPr="00467B95" w:rsidRDefault="00844289" w:rsidP="005A3DF4">
      <w:pPr>
        <w:widowControl w:val="0"/>
        <w:spacing w:after="0" w:line="240" w:lineRule="auto"/>
        <w:ind w:firstLine="709"/>
        <w:jc w:val="both"/>
        <w:rPr>
          <w:rFonts w:ascii="Times New Roman" w:hAnsi="Times New Roman"/>
          <w:i/>
          <w:color w:val="333333"/>
          <w:sz w:val="28"/>
          <w:szCs w:val="28"/>
          <w:lang w:val="en-US"/>
        </w:rPr>
      </w:pPr>
      <w:r w:rsidRPr="00467B95">
        <w:rPr>
          <w:rFonts w:ascii="Times New Roman" w:hAnsi="Times New Roman"/>
          <w:i/>
          <w:color w:val="333333"/>
          <w:sz w:val="28"/>
          <w:szCs w:val="28"/>
          <w:lang w:val="en-US"/>
        </w:rPr>
        <w:t>The principle of the unity of the fate of land plots and their associated objects has been firmly established in our legislation in order to bring civil and land legislation to a common denominator in the field of real estate turnover and the creation of a joint legal regime.</w:t>
      </w:r>
    </w:p>
    <w:p w:rsidR="00E261D5" w:rsidRPr="005542CD" w:rsidRDefault="00E261D5" w:rsidP="005A3DF4">
      <w:pPr>
        <w:widowControl w:val="0"/>
        <w:spacing w:after="0" w:line="240" w:lineRule="auto"/>
        <w:ind w:firstLine="709"/>
        <w:jc w:val="both"/>
        <w:rPr>
          <w:rFonts w:ascii="Times New Roman" w:hAnsi="Times New Roman"/>
          <w:i/>
          <w:color w:val="333333"/>
          <w:sz w:val="28"/>
          <w:szCs w:val="28"/>
          <w:lang w:val="en-US"/>
        </w:rPr>
      </w:pPr>
    </w:p>
    <w:p w:rsidR="00844289" w:rsidRPr="00E261D5" w:rsidRDefault="00844289" w:rsidP="005A3DF4">
      <w:pPr>
        <w:widowControl w:val="0"/>
        <w:spacing w:after="0" w:line="240" w:lineRule="auto"/>
        <w:ind w:firstLine="709"/>
        <w:jc w:val="both"/>
        <w:rPr>
          <w:rFonts w:ascii="Times New Roman" w:hAnsi="Times New Roman"/>
          <w:i/>
          <w:color w:val="333333"/>
          <w:sz w:val="28"/>
          <w:szCs w:val="28"/>
        </w:rPr>
      </w:pPr>
      <w:r w:rsidRPr="00E261D5">
        <w:rPr>
          <w:rFonts w:ascii="Times New Roman" w:hAnsi="Times New Roman"/>
          <w:i/>
          <w:color w:val="333333"/>
          <w:sz w:val="28"/>
          <w:szCs w:val="28"/>
        </w:rPr>
        <w:t>Ключевые слова: принцип «единства судьбы»; договорные обязательства; залог; разграничение государственной собственности</w:t>
      </w:r>
    </w:p>
    <w:p w:rsidR="00E261D5" w:rsidRDefault="00E261D5" w:rsidP="005A3DF4">
      <w:pPr>
        <w:widowControl w:val="0"/>
        <w:spacing w:after="0" w:line="240" w:lineRule="auto"/>
        <w:ind w:firstLine="709"/>
        <w:jc w:val="both"/>
        <w:rPr>
          <w:rFonts w:ascii="Times New Roman" w:hAnsi="Times New Roman"/>
          <w:i/>
          <w:sz w:val="28"/>
          <w:szCs w:val="28"/>
        </w:rPr>
      </w:pP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r w:rsidRPr="00E261D5">
        <w:rPr>
          <w:rFonts w:ascii="Times New Roman" w:hAnsi="Times New Roman"/>
          <w:i/>
          <w:sz w:val="28"/>
          <w:szCs w:val="28"/>
          <w:lang w:val="en-US"/>
        </w:rPr>
        <w:t xml:space="preserve">Key words: </w:t>
      </w:r>
      <w:r w:rsidRPr="00E261D5">
        <w:rPr>
          <w:rFonts w:ascii="Times New Roman" w:hAnsi="Times New Roman"/>
          <w:i/>
          <w:color w:val="333333"/>
          <w:sz w:val="28"/>
          <w:szCs w:val="28"/>
          <w:lang w:val="en-US"/>
        </w:rPr>
        <w:t>he</w:t>
      </w:r>
      <w:r w:rsidRPr="00467B95">
        <w:rPr>
          <w:rFonts w:ascii="Times New Roman" w:hAnsi="Times New Roman"/>
          <w:i/>
          <w:color w:val="333333"/>
          <w:sz w:val="28"/>
          <w:szCs w:val="28"/>
          <w:lang w:val="en-US"/>
        </w:rPr>
        <w:t xml:space="preserve"> principle of "unity of fate"; contractual obligations; pledge;  differentiation of state property</w:t>
      </w:r>
      <w:r w:rsidRPr="00467B95">
        <w:rPr>
          <w:rFonts w:ascii="Times New Roman" w:hAnsi="Times New Roman"/>
          <w:i/>
          <w:sz w:val="28"/>
          <w:szCs w:val="28"/>
          <w:lang w:val="en-US"/>
        </w:rPr>
        <w:t xml:space="preserve"> </w:t>
      </w:r>
    </w:p>
    <w:p w:rsidR="00E261D5" w:rsidRPr="005542CD" w:rsidRDefault="00844289" w:rsidP="005A3DF4">
      <w:pPr>
        <w:widowControl w:val="0"/>
        <w:spacing w:after="0" w:line="240" w:lineRule="auto"/>
        <w:ind w:firstLine="709"/>
        <w:jc w:val="both"/>
        <w:rPr>
          <w:rFonts w:ascii="Times New Roman" w:hAnsi="Times New Roman"/>
          <w:sz w:val="28"/>
          <w:szCs w:val="28"/>
          <w:lang w:val="en-US"/>
        </w:rPr>
      </w:pPr>
      <w:r w:rsidRPr="00467B95">
        <w:rPr>
          <w:rFonts w:ascii="Times New Roman" w:hAnsi="Times New Roman"/>
          <w:sz w:val="28"/>
          <w:szCs w:val="28"/>
          <w:lang w:val="en-US"/>
        </w:rPr>
        <w:t xml:space="preserve">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5542CD">
        <w:rPr>
          <w:rFonts w:ascii="Times New Roman" w:hAnsi="Times New Roman"/>
          <w:sz w:val="28"/>
          <w:szCs w:val="28"/>
          <w:lang w:val="en-US"/>
        </w:rPr>
        <w:t xml:space="preserve"> </w:t>
      </w:r>
      <w:r w:rsidRPr="00467B95">
        <w:rPr>
          <w:rFonts w:ascii="Times New Roman" w:hAnsi="Times New Roman"/>
          <w:sz w:val="28"/>
          <w:szCs w:val="28"/>
        </w:rPr>
        <w:t xml:space="preserve">Актуальность темы обусловлена сложностью и противоречивостью применения рассматриваемого  принципа судебными органами, что, прежде всего, обусловлено тем, что рассматриваемый нами принцип достаточно молод  даже для современной России. Законодательно закрепленный лишь с  </w:t>
      </w:r>
      <w:r w:rsidRPr="00467B95">
        <w:rPr>
          <w:rFonts w:ascii="Times New Roman" w:hAnsi="Times New Roman"/>
          <w:sz w:val="28"/>
          <w:szCs w:val="28"/>
        </w:rPr>
        <w:lastRenderedPageBreak/>
        <w:t xml:space="preserve">2001 года мы учимся грамотно применять его в современных реалиях  с позиции защиты своих законных интересов, не ущемляя при этом права других. </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xml:space="preserve">Принцип единства судьбы земельных участков и прочно  связанных с ними объектов, указанный пункте 5 части 1 статьи 1 Земельного Кодекса Российской Федерации [1],  в играет одну из ведущих ролей среди перечисленных в статье принципов. В соответствии с данным принципом все объекты (здания, сооружения) расположенные на конкретном земельном участке следуют судьбе этого земельного участка, за исключением случаев, установленных федеральными законами. </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В гражданском законодательстве и до принятия Земельного Кодекса РФ  были установлены нормы, на основании которых имеется возможность совершать сделки в отношении зданий и сооружений одновременно с земельными участками. Они нашли свое отражение в статьях 271 (право пользования земельным участком собственником недвижимости), 272 (последствия утраты собственником недвижимости права пользования земельным участком),  273 (переход права на земельный участок при отчуждении находящихся на нем зданий или сооружений), 552 (права на земельный участок при продаже здания, сооружения или другой находящейся на нем недвижимости), 652 (право на земельный участок при аренде находящегося на нем здания или сооружения) Гражданского Кодекса  РФ.[2]  И лишь в 2001 году с принятием Земельного Кодекса РФ они преобразовались в рассматриваемый нами принцип с целью приведения  гражданского и земельного законодательства к единому знаменателю в области оборота недвижимости и создания совместного правового режима.</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Анализируя действующее законодательство можно прийти к выводу, что сфера применения вышеуказанного принципа относится  к моменту, где собственник земельного участка является и собственником расположенного на нем объекта недвижимости и соответственно прекращается в связи с физическим уничтожением, конфискацией и т.п. объекта недвижимости. В связи, с чем принцип «единства судьбы»  можно проследить во взаимодействии с рядом норм федерального законодательства, которые в последующем используются и в судопроизводстве Приморского края, и выделить основные моменты реализации принципа «единства судьбы»:</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договорные обязательства;</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вступление в наследство;</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залог;</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возведение объектов недвижимости;</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режим долевой собственности;</w:t>
      </w:r>
    </w:p>
    <w:p w:rsidR="00844289" w:rsidRPr="00E261D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xml:space="preserve">- </w:t>
      </w:r>
      <w:r w:rsidRPr="00E261D5">
        <w:rPr>
          <w:sz w:val="28"/>
          <w:szCs w:val="28"/>
        </w:rPr>
        <w:t>разграничение государственной собственности;</w:t>
      </w:r>
    </w:p>
    <w:p w:rsidR="00844289" w:rsidRPr="00E261D5" w:rsidRDefault="00844289" w:rsidP="005A3DF4">
      <w:pPr>
        <w:pStyle w:val="a9"/>
        <w:widowControl w:val="0"/>
        <w:shd w:val="clear" w:color="auto" w:fill="FFFFFF"/>
        <w:spacing w:before="0" w:beforeAutospacing="0" w:after="0" w:afterAutospacing="0"/>
        <w:ind w:firstLine="709"/>
        <w:jc w:val="both"/>
        <w:rPr>
          <w:sz w:val="28"/>
          <w:szCs w:val="28"/>
        </w:rPr>
      </w:pPr>
      <w:r w:rsidRPr="00E261D5">
        <w:rPr>
          <w:sz w:val="28"/>
          <w:szCs w:val="28"/>
        </w:rPr>
        <w:t xml:space="preserve">- кадастровый учет. </w:t>
      </w:r>
    </w:p>
    <w:p w:rsidR="00844289" w:rsidRPr="00E261D5" w:rsidRDefault="00844289" w:rsidP="005A3DF4">
      <w:pPr>
        <w:pStyle w:val="1"/>
        <w:keepNext w:val="0"/>
        <w:keepLines w:val="0"/>
        <w:widowControl w:val="0"/>
        <w:spacing w:before="0" w:line="240" w:lineRule="auto"/>
        <w:ind w:firstLine="709"/>
        <w:jc w:val="both"/>
        <w:rPr>
          <w:rFonts w:ascii="Times New Roman" w:hAnsi="Times New Roman" w:cs="Times New Roman"/>
          <w:b w:val="0"/>
          <w:color w:val="auto"/>
        </w:rPr>
      </w:pPr>
      <w:r w:rsidRPr="00E261D5">
        <w:rPr>
          <w:rFonts w:ascii="Times New Roman" w:hAnsi="Times New Roman" w:cs="Times New Roman"/>
          <w:b w:val="0"/>
          <w:color w:val="auto"/>
        </w:rPr>
        <w:t xml:space="preserve">Необходимо отметить, сферы применения принципа «единства судьбы» в судебном производстве взаимосвязаны между собой и в одном решении могут использоваться в различных вариациях. Договорные обязательства </w:t>
      </w:r>
      <w:r w:rsidRPr="00E261D5">
        <w:rPr>
          <w:rFonts w:ascii="Times New Roman" w:hAnsi="Times New Roman" w:cs="Times New Roman"/>
          <w:b w:val="0"/>
          <w:color w:val="auto"/>
        </w:rPr>
        <w:lastRenderedPageBreak/>
        <w:t>соседствуют с вступлением в наследство, договорные обязательства и режим долевой собственности, залог и вступление наследство и. так далее.</w:t>
      </w:r>
    </w:p>
    <w:p w:rsidR="00844289" w:rsidRPr="00467B95" w:rsidRDefault="00844289" w:rsidP="005A3DF4">
      <w:pPr>
        <w:pStyle w:val="a9"/>
        <w:widowControl w:val="0"/>
        <w:shd w:val="clear" w:color="auto" w:fill="FFFFFF"/>
        <w:spacing w:before="0" w:beforeAutospacing="0" w:after="0" w:afterAutospacing="0"/>
        <w:ind w:firstLine="709"/>
        <w:jc w:val="both"/>
        <w:rPr>
          <w:sz w:val="28"/>
          <w:szCs w:val="28"/>
        </w:rPr>
      </w:pPr>
      <w:r w:rsidRPr="00467B95">
        <w:rPr>
          <w:sz w:val="28"/>
          <w:szCs w:val="28"/>
        </w:rPr>
        <w:t xml:space="preserve"> Одной из самой распространенной сферой применения принципа «единства судьбы» является реализация принципа в части договорных обязательств, при переходе права собственности от одного собственника к другому. </w:t>
      </w:r>
    </w:p>
    <w:p w:rsidR="00844289" w:rsidRPr="00467B95" w:rsidRDefault="00844289"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eastAsia="Times New Roman" w:hAnsi="Times New Roman"/>
          <w:sz w:val="28"/>
          <w:szCs w:val="28"/>
        </w:rPr>
        <w:t xml:space="preserve"> Так, ст. 273 Гражданского Кодекса РФ [2] указывает, что при переходе права собственности на здание, принадлежащее собственнику земельного участка, на котором оно находиться, к приобретателю здания переходит право собственности на </w:t>
      </w:r>
      <w:r w:rsidRPr="00E261D5">
        <w:rPr>
          <w:rFonts w:ascii="Times New Roman" w:eastAsia="Times New Roman" w:hAnsi="Times New Roman"/>
          <w:sz w:val="28"/>
          <w:szCs w:val="28"/>
        </w:rPr>
        <w:t xml:space="preserve">земельный участок, занятый зданием и необходимый для его использования. В 2018 году выносилось </w:t>
      </w:r>
      <w:hyperlink r:id="rId92" w:tgtFrame="_blank" w:history="1">
        <w:r w:rsidRPr="00E261D5">
          <w:rPr>
            <w:rStyle w:val="a8"/>
            <w:rFonts w:ascii="Times New Roman" w:hAnsi="Times New Roman"/>
            <w:color w:val="auto"/>
            <w:sz w:val="28"/>
            <w:szCs w:val="28"/>
            <w:u w:val="none"/>
            <w:bdr w:val="none" w:sz="0" w:space="0" w:color="auto" w:frame="1"/>
          </w:rPr>
          <w:t>решение № 2-518/2018 2-518/2018~М-322/2018 М-322/2018 от 20 июля 2018 г. по делу № 2-518/2018</w:t>
        </w:r>
      </w:hyperlink>
      <w:r w:rsidRPr="00E261D5">
        <w:rPr>
          <w:rFonts w:ascii="Times New Roman" w:hAnsi="Times New Roman"/>
          <w:sz w:val="28"/>
          <w:szCs w:val="28"/>
          <w:bdr w:val="none" w:sz="0" w:space="0" w:color="auto" w:frame="1"/>
        </w:rPr>
        <w:t xml:space="preserve"> </w:t>
      </w:r>
      <w:r w:rsidRPr="00E261D5">
        <w:rPr>
          <w:rFonts w:ascii="Times New Roman" w:eastAsia="Times New Roman" w:hAnsi="Times New Roman"/>
          <w:sz w:val="28"/>
          <w:szCs w:val="28"/>
        </w:rPr>
        <w:t>Партизанского районного суда Приморского края, [7] которое показывает не только использование рассматриваемой  статьи, но и отсылает  к п.4 ст.35 Земельного Кодекса РФ[1]. По сути</w:t>
      </w:r>
      <w:r w:rsidRPr="00467B95">
        <w:rPr>
          <w:rFonts w:ascii="Times New Roman" w:eastAsia="Times New Roman" w:hAnsi="Times New Roman"/>
          <w:sz w:val="28"/>
          <w:szCs w:val="28"/>
        </w:rPr>
        <w:t xml:space="preserve"> рассматриваемого дела: в суд обратился истец - владелец доли в праве на здание – водонасосной станции, зарегистрированной на основании решения суда в порядке наследования с иском к ответчику – сособственнику здания, который имеет в собственности земельный участок из земель сельскохозяйственного назначения, разрешенное использование ведение личного подсобного хозяйства. С целью прекращения права собственности ответчика на земельный участок и признания права общей долевой собственности между истцом и ответчиком. Спорный земельный участок получен ответчиком в порядке наследования. Суд отказывает в удовлетворении исковых требований ссылаясь на п.4 ст. 35 Земельного Кодекса РФ [1] в части приведенных исключений, при которых не допускается отчуждение земельного участка, а также в соответствии со ст. 273 Гражданского Кодекса РФ[2], </w:t>
      </w:r>
      <w:r w:rsidRPr="00467B95">
        <w:rPr>
          <w:rFonts w:ascii="Times New Roman" w:hAnsi="Times New Roman"/>
          <w:sz w:val="28"/>
          <w:szCs w:val="28"/>
        </w:rPr>
        <w:br/>
        <w:t xml:space="preserve"> суд делает вывод: «к</w:t>
      </w:r>
      <w:r w:rsidRPr="00467B95">
        <w:rPr>
          <w:rFonts w:ascii="Times New Roman" w:hAnsi="Times New Roman"/>
          <w:sz w:val="28"/>
          <w:szCs w:val="28"/>
          <w:shd w:val="clear" w:color="auto" w:fill="FFFFFF"/>
        </w:rPr>
        <w:t>ак следует из содержания приведенной нормы права, она не устанавливает основания приобретения права собственности на объекты недвижимого имущества, а регулирует правоотношения, возникающие из заключения сделок с перечисленными объектами недвижимости».  Наглядный случай, когда принцип «единства судьбы» не может получить свое развитие из-за недоработки законодательства,  поскольку здание принадлежит на праве долевой собственности, а земельный участок, будучи  в собственности одного из сособственников здания не может быть объектом сделки.</w:t>
      </w:r>
    </w:p>
    <w:p w:rsidR="00844289" w:rsidRPr="00467B95" w:rsidRDefault="00844289" w:rsidP="005A3DF4">
      <w:pPr>
        <w:widowControl w:val="0"/>
        <w:spacing w:after="0" w:line="240" w:lineRule="auto"/>
        <w:ind w:firstLine="709"/>
        <w:jc w:val="both"/>
        <w:outlineLvl w:val="0"/>
        <w:rPr>
          <w:rFonts w:ascii="Times New Roman" w:hAnsi="Times New Roman"/>
          <w:sz w:val="28"/>
          <w:szCs w:val="28"/>
          <w:shd w:val="clear" w:color="auto" w:fill="FFFFFF"/>
        </w:rPr>
      </w:pPr>
      <w:r w:rsidRPr="00467B95">
        <w:rPr>
          <w:rFonts w:ascii="Times New Roman" w:hAnsi="Times New Roman"/>
          <w:sz w:val="28"/>
          <w:szCs w:val="28"/>
          <w:shd w:val="clear" w:color="auto" w:fill="FFFFFF"/>
        </w:rPr>
        <w:t xml:space="preserve">Еще одной статьей в сфере договорных обязательств является статья 272 Гражданского Кодекса РФ [2] - если собственник здания утратит право собственности на здание, то автоматически утрачивает право использования чужого земельного участка. Статья по своей сути дублирует принцип «единства судьбы».  Однако в гражданском судопроизводстве до сих пор встречаются судебные дела, суть которых сводится к тому, что здание принадлежит одному собственнику, а земельный участок другому. Для реализации принципа «единства судьбы» и восстановления ущемленных </w:t>
      </w:r>
      <w:r w:rsidRPr="00467B95">
        <w:rPr>
          <w:rFonts w:ascii="Times New Roman" w:hAnsi="Times New Roman"/>
          <w:sz w:val="28"/>
          <w:szCs w:val="28"/>
          <w:shd w:val="clear" w:color="auto" w:fill="FFFFFF"/>
        </w:rPr>
        <w:lastRenderedPageBreak/>
        <w:t xml:space="preserve">законных интересов граждан и юридических лиц необходимо обращение в судебные органы. </w:t>
      </w:r>
    </w:p>
    <w:p w:rsidR="00844289" w:rsidRPr="00E261D5" w:rsidRDefault="00844289" w:rsidP="005A3DF4">
      <w:pPr>
        <w:widowControl w:val="0"/>
        <w:spacing w:after="0" w:line="240" w:lineRule="auto"/>
        <w:ind w:firstLine="709"/>
        <w:jc w:val="both"/>
        <w:outlineLvl w:val="0"/>
        <w:rPr>
          <w:rFonts w:ascii="Times New Roman" w:hAnsi="Times New Roman"/>
          <w:b/>
          <w:sz w:val="28"/>
          <w:szCs w:val="28"/>
        </w:rPr>
      </w:pPr>
      <w:r w:rsidRPr="00467B95">
        <w:rPr>
          <w:rFonts w:ascii="Times New Roman" w:hAnsi="Times New Roman"/>
          <w:sz w:val="28"/>
          <w:szCs w:val="28"/>
          <w:bdr w:val="none" w:sz="0" w:space="0" w:color="auto" w:frame="1"/>
        </w:rPr>
        <w:t>Ипотека (залог недвижимости) является еще одной не маловажной сферой реализации принципа «единства судьбы». Согласно</w:t>
      </w:r>
      <w:r w:rsidRPr="00467B95">
        <w:rPr>
          <w:rFonts w:ascii="Times New Roman" w:hAnsi="Times New Roman"/>
          <w:sz w:val="28"/>
          <w:szCs w:val="28"/>
          <w:shd w:val="clear" w:color="auto" w:fill="FFFFFF"/>
        </w:rPr>
        <w:t xml:space="preserve"> статьям 69 и 69.1 Федерального закона от 16.07.1998 года №102-ФЗ «Об ипотеке (залоге недвижимости) [5], ипотека здания, сооружения допускается только с одновременной ипотекой земельного участка, на котором находится здание, а так же приобретенные, построенные полностью или частично с использование целевых кредитных средств будут находиться в залоге у кредитора по обязательству с момента государственной ипотеки в Едином государственном реестре недвижимости. Именно на основании ст. 69.1 вышеуказанного закона в электронном архиве судебных решений нашлось дело, где истец, получивший здание с земельным участком по наследству обнаружил обременение виде залога, только потому, что для приобретения имущества наследодатель использовал заемные средства, полученные по потребительскому кредиту. Ссылаясь на положения Закона об ипотеке истец просит признать кредитный договор не действительным, поскольку не содержит обязательных сведений, к сожалению, истец не учел, что по смыслу статьи в кредитном договоре должна быть указана цель получения заемных средств и ссылка на него в договоре купли-продажи, что наследодателем и было выполнено.   (</w:t>
      </w:r>
      <w:r w:rsidRPr="00467B95">
        <w:rPr>
          <w:rFonts w:ascii="Times New Roman" w:hAnsi="Times New Roman"/>
          <w:sz w:val="28"/>
          <w:szCs w:val="28"/>
        </w:rPr>
        <w:t xml:space="preserve">Решение № 2-15/2018 2-15/2018 (2-90/2017; 2-2889/2016;) ~ М-2172/2016 2-2889/2016 2-90/2017 М-2172/2016 от 20 февраля 2018 г. по делу № 2-15/2018 Первореческий районный суд г.Владивостока (Приморский край) [12]. Если рассматривать решения Арбитражного суда Приморского края, то фактически решая дело о признании физического лица банкротом, суд по ходу дела так же ссылается на ст.69 Закона об ипотеке (решение от 14 мая 2018 </w:t>
      </w:r>
      <w:r w:rsidRPr="00E261D5">
        <w:rPr>
          <w:rFonts w:ascii="Times New Roman" w:hAnsi="Times New Roman"/>
          <w:sz w:val="28"/>
          <w:szCs w:val="28"/>
        </w:rPr>
        <w:t>г. по делу № А51-15788/2017) [13].</w:t>
      </w:r>
    </w:p>
    <w:p w:rsidR="00844289" w:rsidRPr="00E261D5" w:rsidRDefault="00844289" w:rsidP="005A3DF4">
      <w:pPr>
        <w:pStyle w:val="1"/>
        <w:keepNext w:val="0"/>
        <w:keepLines w:val="0"/>
        <w:widowControl w:val="0"/>
        <w:spacing w:before="0" w:line="240" w:lineRule="auto"/>
        <w:ind w:firstLine="709"/>
        <w:jc w:val="both"/>
        <w:rPr>
          <w:rFonts w:ascii="Times New Roman" w:hAnsi="Times New Roman" w:cs="Times New Roman"/>
          <w:b w:val="0"/>
          <w:color w:val="auto"/>
          <w:shd w:val="clear" w:color="auto" w:fill="FFFFFF"/>
        </w:rPr>
      </w:pPr>
      <w:r w:rsidRPr="00E261D5">
        <w:rPr>
          <w:rFonts w:ascii="Times New Roman" w:hAnsi="Times New Roman" w:cs="Times New Roman"/>
          <w:b w:val="0"/>
          <w:color w:val="auto"/>
        </w:rPr>
        <w:t xml:space="preserve"> В развитие реализации принципа «единства судьбы» внес свой вклад Градостроительный Кодекс РФ.</w:t>
      </w:r>
      <w:r w:rsidRPr="00E261D5">
        <w:rPr>
          <w:rFonts w:ascii="Times New Roman" w:hAnsi="Times New Roman" w:cs="Times New Roman"/>
          <w:b w:val="0"/>
          <w:color w:val="auto"/>
          <w:bdr w:val="none" w:sz="0" w:space="0" w:color="auto" w:frame="1"/>
        </w:rPr>
        <w:t xml:space="preserve"> Выдача разрешения на строительства объектов недвижимости возможна только при наличии у застройщика вещного права на земельный участок, что закреплено п.16 ст.1 Градостроительного Кодекса РФ. [3] Подобная норма подтверждается в п.1 ст.2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[6] где застройщик – юридическое лицо обязано иметь н</w:t>
      </w:r>
      <w:r w:rsidRPr="00E261D5">
        <w:rPr>
          <w:rFonts w:ascii="Times New Roman" w:hAnsi="Times New Roman" w:cs="Times New Roman"/>
          <w:b w:val="0"/>
          <w:color w:val="auto"/>
          <w:shd w:val="clear" w:color="auto" w:fill="FFFFFF"/>
        </w:rPr>
        <w:t>а праве собственности или на праве аренды, субаренды земельный участок.  В судопроизводство Приморского края в основной массе рассматривает дела о признании права собственности объектов недвижимости – самовольных построек. Это обусловлено тем, что строительство объектов затягивается, а разрешение на возведение объекта недвижимости выдается сроком до трех лет. Суды удовлетворяют подобные иски, ссылаясь на наличие права собственности на земельный участок (</w:t>
      </w:r>
      <w:r w:rsidRPr="00E261D5">
        <w:rPr>
          <w:rFonts w:ascii="Times New Roman" w:hAnsi="Times New Roman" w:cs="Times New Roman"/>
          <w:b w:val="0"/>
          <w:color w:val="auto"/>
        </w:rPr>
        <w:t xml:space="preserve">решение № 2-547/2018 2-547/2018~М-519/2018 М-519/2018 от 26 июля 2018 </w:t>
      </w:r>
      <w:r w:rsidRPr="00E261D5">
        <w:rPr>
          <w:rFonts w:ascii="Times New Roman" w:hAnsi="Times New Roman" w:cs="Times New Roman"/>
          <w:b w:val="0"/>
          <w:color w:val="auto"/>
        </w:rPr>
        <w:lastRenderedPageBreak/>
        <w:t xml:space="preserve">г. по делу № 2-547/2018 </w:t>
      </w:r>
      <w:r w:rsidRPr="00E261D5">
        <w:rPr>
          <w:rFonts w:ascii="Times New Roman" w:hAnsi="Times New Roman" w:cs="Times New Roman"/>
          <w:b w:val="0"/>
          <w:color w:val="auto"/>
          <w:shd w:val="clear" w:color="auto" w:fill="FFFFFF"/>
        </w:rPr>
        <w:t xml:space="preserve">Черниговский районный суд Приморского края[15]; </w:t>
      </w:r>
      <w:r w:rsidRPr="00E261D5">
        <w:rPr>
          <w:rFonts w:ascii="Times New Roman" w:hAnsi="Times New Roman" w:cs="Times New Roman"/>
          <w:b w:val="0"/>
          <w:color w:val="auto"/>
        </w:rPr>
        <w:t>решение № 2-1933/2018 2-1933/2018~М-1497/2018 М-1497/2018 от 30 июля 2018 г. по делу № 2-1933/2018 Находкинский городской суд Приморского края [11]</w:t>
      </w:r>
      <w:r w:rsidRPr="00E261D5">
        <w:rPr>
          <w:rFonts w:ascii="Times New Roman" w:hAnsi="Times New Roman" w:cs="Times New Roman"/>
          <w:b w:val="0"/>
          <w:color w:val="auto"/>
          <w:shd w:val="clear" w:color="auto" w:fill="FFFFFF"/>
        </w:rPr>
        <w:t>).</w:t>
      </w:r>
    </w:p>
    <w:p w:rsidR="00844289" w:rsidRPr="00E261D5" w:rsidRDefault="00844289" w:rsidP="005A3DF4">
      <w:pPr>
        <w:pStyle w:val="1"/>
        <w:keepNext w:val="0"/>
        <w:keepLines w:val="0"/>
        <w:widowControl w:val="0"/>
        <w:spacing w:before="0" w:line="240" w:lineRule="auto"/>
        <w:ind w:firstLine="709"/>
        <w:jc w:val="both"/>
        <w:rPr>
          <w:rFonts w:ascii="Times New Roman" w:hAnsi="Times New Roman" w:cs="Times New Roman"/>
          <w:b w:val="0"/>
          <w:color w:val="auto"/>
        </w:rPr>
      </w:pPr>
      <w:r w:rsidRPr="00E261D5">
        <w:rPr>
          <w:rFonts w:ascii="Times New Roman" w:hAnsi="Times New Roman" w:cs="Times New Roman"/>
          <w:b w:val="0"/>
          <w:color w:val="auto"/>
          <w:shd w:val="clear" w:color="auto" w:fill="FFFFFF"/>
        </w:rPr>
        <w:t xml:space="preserve">  Пункт 3 статьи </w:t>
      </w:r>
      <w:hyperlink r:id="rId93" w:anchor="IHdMsobFzsxM" w:tgtFrame="_blank" w:tooltip="Федеральный закон от 25.10.2001 N 137-ФЗ &gt; (ред. от 03.08.2018) &gt; &quot;О введении в действие &lt;span class=&quot;snippet_equal&quot;&gt; Земельного &lt;/span&gt; кодекса Российской Федерации&quot; &gt; (с изм. и доп., вступ. в силу с 01.01.2019) &gt;  Статья 3.1" w:history="1">
        <w:r w:rsidRPr="00E261D5">
          <w:rPr>
            <w:rStyle w:val="a8"/>
            <w:rFonts w:ascii="Times New Roman" w:hAnsi="Times New Roman" w:cs="Times New Roman"/>
            <w:b w:val="0"/>
            <w:color w:val="auto"/>
            <w:bdr w:val="none" w:sz="0" w:space="0" w:color="auto" w:frame="1"/>
          </w:rPr>
          <w:t>3.1</w:t>
        </w:r>
      </w:hyperlink>
      <w:r w:rsidRPr="00E261D5">
        <w:rPr>
          <w:rFonts w:ascii="Times New Roman" w:hAnsi="Times New Roman" w:cs="Times New Roman"/>
          <w:b w:val="0"/>
          <w:color w:val="auto"/>
          <w:shd w:val="clear" w:color="auto" w:fill="FFFFFF"/>
        </w:rPr>
        <w:t> Федерального закона от 25.10.2001 № 137-ФЗ "О введении в действие </w:t>
      </w:r>
      <w:r w:rsidRPr="00E261D5">
        <w:rPr>
          <w:rStyle w:val="snippetequal"/>
          <w:rFonts w:ascii="Times New Roman" w:hAnsi="Times New Roman" w:cs="Times New Roman"/>
          <w:b w:val="0"/>
          <w:bCs w:val="0"/>
          <w:color w:val="auto"/>
          <w:bdr w:val="none" w:sz="0" w:space="0" w:color="auto" w:frame="1"/>
        </w:rPr>
        <w:t>Земельного </w:t>
      </w:r>
      <w:r w:rsidRPr="00E261D5">
        <w:rPr>
          <w:rFonts w:ascii="Times New Roman" w:hAnsi="Times New Roman" w:cs="Times New Roman"/>
          <w:b w:val="0"/>
          <w:color w:val="auto"/>
          <w:shd w:val="clear" w:color="auto" w:fill="FFFFFF"/>
        </w:rPr>
        <w:t>кодекса Российской Федерации" [4] гласит: в целях разграничения государственной собственности на </w:t>
      </w:r>
      <w:r w:rsidRPr="00E261D5">
        <w:rPr>
          <w:rStyle w:val="snippetequal"/>
          <w:rFonts w:ascii="Times New Roman" w:hAnsi="Times New Roman" w:cs="Times New Roman"/>
          <w:b w:val="0"/>
          <w:bCs w:val="0"/>
          <w:color w:val="auto"/>
          <w:bdr w:val="none" w:sz="0" w:space="0" w:color="auto" w:frame="1"/>
        </w:rPr>
        <w:t>землю </w:t>
      </w:r>
      <w:r w:rsidRPr="00E261D5">
        <w:rPr>
          <w:rFonts w:ascii="Times New Roman" w:hAnsi="Times New Roman" w:cs="Times New Roman"/>
          <w:b w:val="0"/>
          <w:color w:val="auto"/>
          <w:shd w:val="clear" w:color="auto" w:fill="FFFFFF"/>
        </w:rPr>
        <w:t>к собственности поселений, городских округов, муниципальных районов относятся: </w:t>
      </w:r>
      <w:r w:rsidRPr="00E261D5">
        <w:rPr>
          <w:rStyle w:val="snippetequal"/>
          <w:rFonts w:ascii="Times New Roman" w:hAnsi="Times New Roman" w:cs="Times New Roman"/>
          <w:b w:val="0"/>
          <w:bCs w:val="0"/>
          <w:color w:val="auto"/>
          <w:bdr w:val="none" w:sz="0" w:space="0" w:color="auto" w:frame="1"/>
        </w:rPr>
        <w:t>земельные участки</w:t>
      </w:r>
      <w:r w:rsidRPr="00E261D5">
        <w:rPr>
          <w:rFonts w:ascii="Times New Roman" w:hAnsi="Times New Roman" w:cs="Times New Roman"/>
          <w:b w:val="0"/>
          <w:color w:val="auto"/>
          <w:shd w:val="clear" w:color="auto" w:fill="FFFFFF"/>
        </w:rPr>
        <w:t>, занятые </w:t>
      </w:r>
      <w:r w:rsidRPr="00E261D5">
        <w:rPr>
          <w:rStyle w:val="snippetequal"/>
          <w:rFonts w:ascii="Times New Roman" w:hAnsi="Times New Roman" w:cs="Times New Roman"/>
          <w:b w:val="0"/>
          <w:bCs w:val="0"/>
          <w:color w:val="auto"/>
          <w:bdr w:val="none" w:sz="0" w:space="0" w:color="auto" w:frame="1"/>
        </w:rPr>
        <w:t>зданиями</w:t>
      </w:r>
      <w:r w:rsidRPr="00E261D5">
        <w:rPr>
          <w:rFonts w:ascii="Times New Roman" w:hAnsi="Times New Roman" w:cs="Times New Roman"/>
          <w:b w:val="0"/>
          <w:color w:val="auto"/>
          <w:shd w:val="clear" w:color="auto" w:fill="FFFFFF"/>
        </w:rPr>
        <w:t xml:space="preserve">, строениями, сооружениями, находящимися в собственности соответствующих муниципальных образований также подчиняется принципу «единства судьбы» и одно из решений Арбитражного суда Приморского краю является тому подтверждением. </w:t>
      </w:r>
      <w:r w:rsidRPr="00E261D5">
        <w:rPr>
          <w:rFonts w:ascii="Times New Roman" w:hAnsi="Times New Roman" w:cs="Times New Roman"/>
          <w:b w:val="0"/>
          <w:color w:val="auto"/>
        </w:rPr>
        <w:t>Решение от 7 ноября 2018 г. по делу № А51-15634/2018 [14] показывает нам, что после передачи объектов недвижимости Министерством обороны РФ в собственность муниципального образования Чугуевский  район, муниципальное образование на основании действующего законодательства стало и собственником спорных земельный участков.</w:t>
      </w:r>
    </w:p>
    <w:p w:rsidR="00844289" w:rsidRPr="00E261D5" w:rsidRDefault="00844289" w:rsidP="005A3DF4">
      <w:pPr>
        <w:pStyle w:val="1"/>
        <w:keepNext w:val="0"/>
        <w:keepLines w:val="0"/>
        <w:widowControl w:val="0"/>
        <w:spacing w:before="0" w:line="240" w:lineRule="auto"/>
        <w:ind w:firstLine="709"/>
        <w:jc w:val="both"/>
        <w:rPr>
          <w:rFonts w:ascii="Times New Roman" w:hAnsi="Times New Roman" w:cs="Times New Roman"/>
          <w:b w:val="0"/>
          <w:color w:val="auto"/>
        </w:rPr>
      </w:pPr>
      <w:r w:rsidRPr="00E261D5">
        <w:rPr>
          <w:rFonts w:ascii="Times New Roman" w:hAnsi="Times New Roman" w:cs="Times New Roman"/>
          <w:b w:val="0"/>
          <w:color w:val="auto"/>
        </w:rPr>
        <w:t xml:space="preserve">На территории Приморского края применение принципа «единства судьбы» в соответствии со статьей 39.20 Земельного Кодекса РФ[1] (если нескольким лицам принадлежит здание на праве собственности (хозяйственного ведения, оперативного управления) на неделимом земельном участке, находящимся в государственной или муниципальной собственности, они имеют право приобрести земельный участок в общую долевую собственность или заключить договор аренды с множественностью лиц на стороне арендатора)  носит противоречивый характер: по аналогичным делам на территории разных районов выносятся полярные решения. Такими решениями являются  на территории Приморья: решение № 2-237/2018 2-237/2018 ~ М-171/2018 М-171/2018 от 14 мая 2018 г. по делу № 2-237/2018 Михайловского районного суда Приморского края [8] и </w:t>
      </w:r>
      <w:hyperlink r:id="rId94" w:tgtFrame="_blank" w:history="1">
        <w:r w:rsidRPr="00E261D5">
          <w:rPr>
            <w:rStyle w:val="a8"/>
            <w:rFonts w:ascii="Times New Roman" w:hAnsi="Times New Roman" w:cs="Times New Roman"/>
            <w:b w:val="0"/>
            <w:color w:val="auto"/>
            <w:u w:val="none"/>
            <w:bdr w:val="none" w:sz="0" w:space="0" w:color="auto" w:frame="1"/>
          </w:rPr>
          <w:t>постановление № 44Г-106/2018 4Г-1610/2018 от 17 сентября 2018 г. по делу № 2-173/18</w:t>
        </w:r>
      </w:hyperlink>
      <w:r w:rsidRPr="00E261D5">
        <w:rPr>
          <w:rFonts w:ascii="Times New Roman" w:hAnsi="Times New Roman" w:cs="Times New Roman"/>
          <w:b w:val="0"/>
          <w:color w:val="auto"/>
          <w:bdr w:val="none" w:sz="0" w:space="0" w:color="auto" w:frame="1"/>
        </w:rPr>
        <w:t xml:space="preserve"> Приморского краевого суда (Приморский край)[9]</w:t>
      </w:r>
      <w:r w:rsidRPr="00E261D5">
        <w:rPr>
          <w:rFonts w:ascii="Times New Roman" w:hAnsi="Times New Roman" w:cs="Times New Roman"/>
          <w:b w:val="0"/>
          <w:color w:val="auto"/>
        </w:rPr>
        <w:t>, где речь идет о выкупе земельного участка, находящемся в государственной или муниципальной собственности под гаражным боксом.</w:t>
      </w:r>
    </w:p>
    <w:p w:rsidR="00844289" w:rsidRPr="00E261D5" w:rsidRDefault="00844289" w:rsidP="005A3DF4">
      <w:pPr>
        <w:widowControl w:val="0"/>
        <w:spacing w:after="0" w:line="240" w:lineRule="auto"/>
        <w:ind w:firstLine="709"/>
        <w:jc w:val="both"/>
        <w:outlineLvl w:val="0"/>
        <w:rPr>
          <w:rFonts w:ascii="Times New Roman" w:hAnsi="Times New Roman"/>
          <w:sz w:val="28"/>
          <w:szCs w:val="28"/>
          <w:bdr w:val="none" w:sz="0" w:space="0" w:color="auto" w:frame="1"/>
        </w:rPr>
      </w:pPr>
      <w:r w:rsidRPr="00E261D5">
        <w:rPr>
          <w:rFonts w:ascii="Times New Roman" w:hAnsi="Times New Roman"/>
          <w:sz w:val="28"/>
          <w:szCs w:val="28"/>
          <w:shd w:val="clear" w:color="auto" w:fill="FFFFFF"/>
        </w:rPr>
        <w:t xml:space="preserve">В ходе судебных разбирательств выявляются факты фактического отсутствия объекта недвижимости. </w:t>
      </w:r>
      <w:hyperlink r:id="rId95" w:tgtFrame="_blank" w:history="1">
        <w:r w:rsidRPr="00E261D5">
          <w:rPr>
            <w:rStyle w:val="a8"/>
            <w:rFonts w:ascii="Times New Roman" w:hAnsi="Times New Roman"/>
            <w:color w:val="auto"/>
            <w:sz w:val="28"/>
            <w:szCs w:val="28"/>
            <w:u w:val="none"/>
            <w:bdr w:val="none" w:sz="0" w:space="0" w:color="auto" w:frame="1"/>
          </w:rPr>
          <w:t>Решение № 2-628/2018 2-628/2018~М-537/2018 М-537/2018 от 25 июля 2018 г. по делу № 2-628/2018</w:t>
        </w:r>
      </w:hyperlink>
      <w:r w:rsidRPr="00E261D5">
        <w:rPr>
          <w:rFonts w:ascii="Times New Roman" w:hAnsi="Times New Roman"/>
          <w:sz w:val="28"/>
          <w:szCs w:val="28"/>
          <w:bdr w:val="none" w:sz="0" w:space="0" w:color="auto" w:frame="1"/>
        </w:rPr>
        <w:t xml:space="preserve"> Хасанского районного суда Приморского края [10] наглядно показывает это. В защиту интересов администрации Зарубинского городского поселения Хасанского муниципального района выступил прокурор Хасанского района с иском о прекращении права собственности на объект недвижимости строение-дровяник. Земельный участок, на котором расположен спорный объект, передан в собственность Зарубинского городского поселения на основании решения суда о признании договора купли-продажи земельного участка недействительным. Для реализации принципа «единства судьбы» необходимо </w:t>
      </w:r>
      <w:r w:rsidRPr="00E261D5">
        <w:rPr>
          <w:rFonts w:ascii="Times New Roman" w:hAnsi="Times New Roman"/>
          <w:sz w:val="28"/>
          <w:szCs w:val="28"/>
          <w:bdr w:val="none" w:sz="0" w:space="0" w:color="auto" w:frame="1"/>
        </w:rPr>
        <w:lastRenderedPageBreak/>
        <w:t>установить право собственности за строение и земельный участок под ним в одних руках. В ходе дела выявлено отсутствие строения на земельном участке, в связи, с чем и возникает необходимость о прекращении права собственности ответчика и исключении сведений об объекте в едином государственном реестре недвижимости. Данное решение и ему подобные являются наглядным примером прекращения сферы применения принципа «единства судьбы», поскольку прежде всего рассматриваемый принцип заключается во взаимосвязи земельного участка и объекта недвижимости.</w:t>
      </w:r>
    </w:p>
    <w:p w:rsidR="00844289" w:rsidRPr="00E261D5" w:rsidRDefault="00844289" w:rsidP="005A3DF4">
      <w:pPr>
        <w:widowControl w:val="0"/>
        <w:spacing w:after="0" w:line="240" w:lineRule="auto"/>
        <w:ind w:firstLine="709"/>
        <w:jc w:val="both"/>
        <w:rPr>
          <w:rFonts w:ascii="Times New Roman" w:hAnsi="Times New Roman"/>
          <w:sz w:val="28"/>
          <w:szCs w:val="28"/>
        </w:rPr>
      </w:pPr>
      <w:r w:rsidRPr="00E261D5">
        <w:rPr>
          <w:rFonts w:ascii="Times New Roman" w:hAnsi="Times New Roman"/>
          <w:sz w:val="28"/>
          <w:szCs w:val="28"/>
        </w:rPr>
        <w:t>Таким образом, судебная практика показывает, насколько отсутствует последовательность в реализации принципа «единства судьбы», хотя совершение любых действий  с объектами недвижимости должно в первую очередь обеспечивать соблюдение законных интересов сторон. Решением для устранения противоречий в реализации принципа видится с приведением  к общему мнению  судебной практики в части правильности применения рассматриваемого принципа с последующим единообразным ее применением на территории края, а также устранение всех противоречий между гражданским и земельным законодательством.</w:t>
      </w:r>
    </w:p>
    <w:p w:rsidR="00E261D5" w:rsidRPr="00E261D5" w:rsidRDefault="00E261D5" w:rsidP="005A3DF4">
      <w:pPr>
        <w:widowControl w:val="0"/>
        <w:spacing w:after="0" w:line="240" w:lineRule="auto"/>
        <w:ind w:firstLine="709"/>
        <w:contextualSpacing/>
        <w:jc w:val="center"/>
        <w:rPr>
          <w:rFonts w:ascii="Times New Roman" w:eastAsia="Times New Roman" w:hAnsi="Times New Roman"/>
          <w:sz w:val="28"/>
          <w:szCs w:val="28"/>
          <w:lang w:eastAsia="ru-RU"/>
        </w:rPr>
      </w:pPr>
      <w:r w:rsidRPr="00E261D5">
        <w:rPr>
          <w:rFonts w:ascii="Times New Roman" w:eastAsia="Times New Roman" w:hAnsi="Times New Roman"/>
          <w:sz w:val="28"/>
          <w:szCs w:val="28"/>
          <w:lang w:eastAsia="ru-RU"/>
        </w:rPr>
        <w:t>Список использованных источников</w:t>
      </w:r>
    </w:p>
    <w:p w:rsidR="00844289" w:rsidRPr="00E261D5" w:rsidRDefault="00E261D5" w:rsidP="005A3DF4">
      <w:pPr>
        <w:widowControl w:val="0"/>
        <w:tabs>
          <w:tab w:val="left" w:pos="993"/>
        </w:tabs>
        <w:spacing w:after="0" w:line="240" w:lineRule="auto"/>
        <w:ind w:firstLine="709"/>
        <w:jc w:val="both"/>
        <w:rPr>
          <w:rFonts w:ascii="Times New Roman" w:hAnsi="Times New Roman"/>
          <w:sz w:val="28"/>
          <w:szCs w:val="28"/>
        </w:rPr>
      </w:pPr>
      <w:r w:rsidRPr="00E261D5">
        <w:rPr>
          <w:rFonts w:ascii="Times New Roman" w:hAnsi="Times New Roman"/>
          <w:sz w:val="28"/>
          <w:szCs w:val="28"/>
        </w:rPr>
        <w:t>1</w:t>
      </w:r>
      <w:r w:rsidR="00844289" w:rsidRPr="00E261D5">
        <w:rPr>
          <w:rFonts w:ascii="Times New Roman" w:hAnsi="Times New Roman"/>
          <w:sz w:val="28"/>
          <w:szCs w:val="28"/>
        </w:rPr>
        <w:t xml:space="preserve"> </w:t>
      </w:r>
      <w:hyperlink r:id="rId96" w:history="1">
        <w:r w:rsidR="00844289" w:rsidRPr="00E261D5">
          <w:rPr>
            <w:rStyle w:val="a8"/>
            <w:rFonts w:ascii="Times New Roman" w:hAnsi="Times New Roman"/>
            <w:bCs/>
            <w:color w:val="auto"/>
            <w:sz w:val="28"/>
            <w:szCs w:val="28"/>
            <w:u w:val="none"/>
            <w:shd w:val="clear" w:color="auto" w:fill="FFFFFF"/>
          </w:rPr>
          <w:t>Земельный кодекс Российской Федерации" от 25.10.2001 N 136-ФЗ (ред. от 25.12.2018) (с изм. и доп., вступ. в силу с 01.01.2019</w:t>
        </w:r>
      </w:hyperlink>
      <w:r w:rsidR="00844289" w:rsidRPr="00E261D5">
        <w:rPr>
          <w:rFonts w:ascii="Times New Roman" w:hAnsi="Times New Roman"/>
          <w:sz w:val="28"/>
          <w:szCs w:val="28"/>
        </w:rPr>
        <w:t>)  [Электронный ресурс] / СПС «КонсультантПлюс».</w:t>
      </w:r>
    </w:p>
    <w:p w:rsidR="00844289" w:rsidRPr="00E261D5" w:rsidRDefault="00844289" w:rsidP="005A3DF4">
      <w:pPr>
        <w:widowControl w:val="0"/>
        <w:tabs>
          <w:tab w:val="left" w:pos="993"/>
        </w:tabs>
        <w:spacing w:after="0" w:line="240" w:lineRule="auto"/>
        <w:ind w:firstLine="709"/>
        <w:jc w:val="both"/>
        <w:rPr>
          <w:rFonts w:ascii="Times New Roman" w:hAnsi="Times New Roman"/>
          <w:sz w:val="28"/>
          <w:szCs w:val="28"/>
        </w:rPr>
      </w:pPr>
      <w:r w:rsidRPr="00E261D5">
        <w:rPr>
          <w:rFonts w:ascii="Times New Roman" w:hAnsi="Times New Roman"/>
          <w:sz w:val="28"/>
          <w:szCs w:val="28"/>
        </w:rPr>
        <w:t xml:space="preserve">2 </w:t>
      </w:r>
      <w:hyperlink r:id="rId97" w:history="1">
        <w:r w:rsidRPr="00E261D5">
          <w:rPr>
            <w:rStyle w:val="a8"/>
            <w:rFonts w:ascii="Times New Roman" w:hAnsi="Times New Roman"/>
            <w:bCs/>
            <w:color w:val="auto"/>
            <w:sz w:val="28"/>
            <w:szCs w:val="28"/>
            <w:u w:val="none"/>
            <w:shd w:val="clear" w:color="auto" w:fill="FFFFFF"/>
          </w:rPr>
          <w:t>Гражданский кодекс Российской Федерации (часть первая)" от 30.11.1994 N 51-ФЗ (ред. от 03.08.2018) (с изм. и доп., вступ. в силу с 01.01.2019)</w:t>
        </w:r>
      </w:hyperlink>
      <w:r w:rsidRPr="00E261D5">
        <w:rPr>
          <w:rFonts w:ascii="Times New Roman" w:hAnsi="Times New Roman"/>
          <w:sz w:val="28"/>
          <w:szCs w:val="28"/>
        </w:rPr>
        <w:t>; [Электронный ресурс] / СПС «КонсультантПлюс».</w:t>
      </w:r>
    </w:p>
    <w:p w:rsidR="00844289" w:rsidRPr="00E261D5" w:rsidRDefault="00844289" w:rsidP="005A3DF4">
      <w:pPr>
        <w:widowControl w:val="0"/>
        <w:spacing w:after="0" w:line="240" w:lineRule="auto"/>
        <w:ind w:firstLine="709"/>
        <w:jc w:val="both"/>
        <w:rPr>
          <w:rFonts w:ascii="Times New Roman" w:hAnsi="Times New Roman"/>
          <w:sz w:val="28"/>
          <w:szCs w:val="28"/>
        </w:rPr>
      </w:pPr>
      <w:r w:rsidRPr="00E261D5">
        <w:rPr>
          <w:rFonts w:ascii="Times New Roman" w:eastAsia="Times New Roman" w:hAnsi="Times New Roman"/>
          <w:bCs/>
          <w:kern w:val="36"/>
          <w:sz w:val="28"/>
          <w:szCs w:val="28"/>
        </w:rPr>
        <w:t xml:space="preserve">3 Градостроительный кодекс Российской Федерации от 29.12.2004 N 190-ФЗ (ред. от 25.12.2018); </w:t>
      </w:r>
      <w:r w:rsidRPr="00E261D5">
        <w:rPr>
          <w:rFonts w:ascii="Times New Roman" w:hAnsi="Times New Roman"/>
          <w:sz w:val="28"/>
          <w:szCs w:val="28"/>
        </w:rPr>
        <w:t>[Электронный ресурс] / СПС «КонсультантПлюс».</w:t>
      </w:r>
    </w:p>
    <w:p w:rsidR="00844289" w:rsidRPr="00E261D5" w:rsidRDefault="00844289" w:rsidP="005A3DF4">
      <w:pPr>
        <w:widowControl w:val="0"/>
        <w:tabs>
          <w:tab w:val="left" w:pos="993"/>
        </w:tabs>
        <w:spacing w:after="0" w:line="240" w:lineRule="auto"/>
        <w:ind w:firstLine="709"/>
        <w:jc w:val="both"/>
        <w:rPr>
          <w:rFonts w:ascii="Times New Roman" w:hAnsi="Times New Roman"/>
          <w:sz w:val="28"/>
          <w:szCs w:val="28"/>
        </w:rPr>
      </w:pPr>
      <w:r w:rsidRPr="00E261D5">
        <w:rPr>
          <w:rFonts w:ascii="Times New Roman" w:eastAsia="Times New Roman" w:hAnsi="Times New Roman"/>
          <w:bCs/>
          <w:kern w:val="36"/>
          <w:sz w:val="28"/>
          <w:szCs w:val="28"/>
        </w:rPr>
        <w:t>4 О введении в действие Земельного кодекса Российской Федерации Федеральный закон  от 25.10.2001 N 137-ФЗ</w:t>
      </w:r>
      <w:r w:rsidRPr="00E261D5">
        <w:rPr>
          <w:rFonts w:ascii="Times New Roman" w:hAnsi="Times New Roman"/>
          <w:sz w:val="28"/>
          <w:szCs w:val="28"/>
        </w:rPr>
        <w:t>; [Электронный ресурс] / СПС «КонсультантПлюс».</w:t>
      </w:r>
    </w:p>
    <w:p w:rsidR="00844289" w:rsidRPr="00E261D5" w:rsidRDefault="00844289" w:rsidP="005A3DF4">
      <w:pPr>
        <w:widowControl w:val="0"/>
        <w:tabs>
          <w:tab w:val="left" w:pos="993"/>
        </w:tabs>
        <w:spacing w:after="0" w:line="240" w:lineRule="auto"/>
        <w:ind w:firstLine="709"/>
        <w:jc w:val="both"/>
        <w:rPr>
          <w:rFonts w:ascii="Times New Roman" w:hAnsi="Times New Roman"/>
          <w:sz w:val="28"/>
          <w:szCs w:val="28"/>
        </w:rPr>
      </w:pPr>
      <w:r w:rsidRPr="00E261D5">
        <w:rPr>
          <w:rFonts w:ascii="Times New Roman" w:eastAsia="Times New Roman" w:hAnsi="Times New Roman"/>
          <w:bCs/>
          <w:kern w:val="36"/>
          <w:sz w:val="28"/>
          <w:szCs w:val="28"/>
        </w:rPr>
        <w:t xml:space="preserve">5 Об ипотеке (залоге недвижимости) Федеральный закон  от 16.07.1998 N 102-ФЗ </w:t>
      </w:r>
      <w:r w:rsidRPr="00E261D5">
        <w:rPr>
          <w:rFonts w:ascii="Times New Roman" w:hAnsi="Times New Roman"/>
          <w:sz w:val="28"/>
          <w:szCs w:val="28"/>
        </w:rPr>
        <w:t xml:space="preserve"> [Электронный ресурс] / СПС «КонсультантПлюс».</w:t>
      </w:r>
    </w:p>
    <w:p w:rsidR="00844289" w:rsidRPr="00E261D5" w:rsidRDefault="00844289" w:rsidP="005A3DF4">
      <w:pPr>
        <w:widowControl w:val="0"/>
        <w:shd w:val="clear" w:color="auto" w:fill="FFFFFF"/>
        <w:spacing w:after="0" w:line="240" w:lineRule="auto"/>
        <w:ind w:firstLine="709"/>
        <w:jc w:val="both"/>
        <w:outlineLvl w:val="0"/>
        <w:rPr>
          <w:rFonts w:ascii="Times New Roman" w:hAnsi="Times New Roman"/>
          <w:sz w:val="28"/>
          <w:szCs w:val="28"/>
        </w:rPr>
      </w:pPr>
      <w:r w:rsidRPr="00E261D5">
        <w:rPr>
          <w:rFonts w:ascii="Times New Roman" w:eastAsia="Times New Roman" w:hAnsi="Times New Roman"/>
          <w:bCs/>
          <w:kern w:val="36"/>
          <w:sz w:val="28"/>
          <w:szCs w:val="28"/>
        </w:rPr>
        <w:t xml:space="preserve">6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от 30.12.2004 N 214-ФЗ; </w:t>
      </w:r>
      <w:r w:rsidRPr="00E261D5">
        <w:rPr>
          <w:rFonts w:ascii="Times New Roman" w:hAnsi="Times New Roman"/>
          <w:sz w:val="28"/>
          <w:szCs w:val="28"/>
        </w:rPr>
        <w:t>[Электронный ресурс] / СПС «КонсультантПлюс»</w:t>
      </w:r>
    </w:p>
    <w:p w:rsidR="00844289" w:rsidRPr="00E261D5" w:rsidRDefault="00844289" w:rsidP="005A3DF4">
      <w:pPr>
        <w:widowControl w:val="0"/>
        <w:spacing w:after="0" w:line="240" w:lineRule="auto"/>
        <w:ind w:firstLine="709"/>
        <w:jc w:val="both"/>
        <w:rPr>
          <w:rFonts w:ascii="Times New Roman" w:hAnsi="Times New Roman"/>
          <w:sz w:val="28"/>
          <w:szCs w:val="28"/>
        </w:rPr>
      </w:pPr>
      <w:r w:rsidRPr="00E261D5">
        <w:rPr>
          <w:rFonts w:ascii="Times New Roman" w:hAnsi="Times New Roman"/>
          <w:sz w:val="28"/>
          <w:szCs w:val="28"/>
        </w:rPr>
        <w:t xml:space="preserve">7 Решение № 2-13/2018 2-13/2018(2-377/2017;)~М-220/2017 2-377/2017 М-220/2017 от 24 июля 2018 г. по делу № 2-13/2018 </w:t>
      </w:r>
      <w:hyperlink r:id="rId98" w:tgtFrame="_blank" w:history="1">
        <w:r w:rsidRPr="00E261D5">
          <w:rPr>
            <w:rStyle w:val="a8"/>
            <w:rFonts w:ascii="Times New Roman" w:hAnsi="Times New Roman"/>
            <w:color w:val="auto"/>
            <w:sz w:val="28"/>
            <w:szCs w:val="28"/>
            <w:u w:val="none"/>
            <w:bdr w:val="none" w:sz="0" w:space="0" w:color="auto" w:frame="1"/>
          </w:rPr>
          <w:t>Партизанский районный суд (Приморский край</w:t>
        </w:r>
      </w:hyperlink>
      <w:r w:rsidRPr="00E261D5">
        <w:rPr>
          <w:rFonts w:ascii="Times New Roman" w:hAnsi="Times New Roman"/>
          <w:sz w:val="28"/>
          <w:szCs w:val="28"/>
        </w:rPr>
        <w:t xml:space="preserve">); [Электронный ресурс] / СПС «СудАкт» </w:t>
      </w:r>
    </w:p>
    <w:p w:rsidR="00844289" w:rsidRPr="00E261D5" w:rsidRDefault="00844289" w:rsidP="005A3DF4">
      <w:pPr>
        <w:widowControl w:val="0"/>
        <w:spacing w:after="0" w:line="240" w:lineRule="auto"/>
        <w:ind w:firstLine="709"/>
        <w:jc w:val="both"/>
        <w:rPr>
          <w:rFonts w:ascii="Times New Roman" w:hAnsi="Times New Roman"/>
          <w:sz w:val="28"/>
          <w:szCs w:val="28"/>
        </w:rPr>
      </w:pPr>
      <w:r w:rsidRPr="00E261D5">
        <w:rPr>
          <w:rFonts w:ascii="Times New Roman" w:hAnsi="Times New Roman"/>
          <w:sz w:val="28"/>
          <w:szCs w:val="28"/>
        </w:rPr>
        <w:t xml:space="preserve">8 </w:t>
      </w:r>
      <w:r w:rsidRPr="00E261D5">
        <w:rPr>
          <w:rFonts w:ascii="Times New Roman" w:eastAsia="Times New Roman" w:hAnsi="Times New Roman"/>
          <w:bCs/>
          <w:kern w:val="36"/>
          <w:sz w:val="28"/>
          <w:szCs w:val="28"/>
        </w:rPr>
        <w:t xml:space="preserve">Решение № 2-237/2018 2-237/2018 ~ М-171/2018 М-171/2018 от 14 мая 2018 г. по делу № 2-237/2018. Михайловский районный суд (Приморский край) </w:t>
      </w:r>
      <w:r w:rsidRPr="00E261D5">
        <w:rPr>
          <w:rFonts w:ascii="Times New Roman" w:hAnsi="Times New Roman"/>
          <w:sz w:val="28"/>
          <w:szCs w:val="28"/>
        </w:rPr>
        <w:t>[Электронный ресурс] / СПС «СудАкт»</w:t>
      </w:r>
      <w:r w:rsidRPr="00E261D5">
        <w:rPr>
          <w:rFonts w:ascii="Times New Roman" w:eastAsia="Times New Roman" w:hAnsi="Times New Roman"/>
          <w:bCs/>
          <w:kern w:val="36"/>
          <w:sz w:val="28"/>
          <w:szCs w:val="28"/>
        </w:rPr>
        <w:t xml:space="preserve">. </w:t>
      </w:r>
    </w:p>
    <w:p w:rsidR="00844289" w:rsidRPr="00E261D5" w:rsidRDefault="00844289" w:rsidP="005A3DF4">
      <w:pPr>
        <w:widowControl w:val="0"/>
        <w:spacing w:after="0" w:line="240" w:lineRule="auto"/>
        <w:ind w:firstLine="709"/>
        <w:jc w:val="both"/>
        <w:outlineLvl w:val="0"/>
        <w:rPr>
          <w:rFonts w:ascii="Times New Roman" w:eastAsia="Times New Roman" w:hAnsi="Times New Roman"/>
          <w:bCs/>
          <w:kern w:val="36"/>
          <w:sz w:val="28"/>
          <w:szCs w:val="28"/>
        </w:rPr>
      </w:pPr>
      <w:r w:rsidRPr="00E261D5">
        <w:rPr>
          <w:rFonts w:ascii="Times New Roman" w:hAnsi="Times New Roman"/>
          <w:sz w:val="28"/>
          <w:szCs w:val="28"/>
        </w:rPr>
        <w:t xml:space="preserve">9 </w:t>
      </w:r>
      <w:hyperlink r:id="rId99" w:tgtFrame="_blank" w:history="1">
        <w:r w:rsidRPr="00E261D5">
          <w:rPr>
            <w:rStyle w:val="a8"/>
            <w:rFonts w:ascii="Times New Roman" w:hAnsi="Times New Roman"/>
            <w:color w:val="auto"/>
            <w:sz w:val="28"/>
            <w:szCs w:val="28"/>
            <w:u w:val="none"/>
            <w:bdr w:val="none" w:sz="0" w:space="0" w:color="auto" w:frame="1"/>
          </w:rPr>
          <w:t>Постановление № 44Г-106/2018 4Г-1610/2018 от 17 сентября 2018 г. по делу № 2-173/18</w:t>
        </w:r>
      </w:hyperlink>
      <w:r w:rsidRPr="00E261D5">
        <w:rPr>
          <w:rFonts w:ascii="Times New Roman" w:hAnsi="Times New Roman"/>
          <w:sz w:val="28"/>
          <w:szCs w:val="28"/>
          <w:bdr w:val="none" w:sz="0" w:space="0" w:color="auto" w:frame="1"/>
        </w:rPr>
        <w:t xml:space="preserve"> Приморский краевой суд (Приморский край). </w:t>
      </w:r>
      <w:r w:rsidRPr="00E261D5">
        <w:rPr>
          <w:rFonts w:ascii="Times New Roman" w:hAnsi="Times New Roman"/>
          <w:sz w:val="28"/>
          <w:szCs w:val="28"/>
        </w:rPr>
        <w:lastRenderedPageBreak/>
        <w:t>[Электронный ресурс] / СПС «СудАкт»</w:t>
      </w:r>
    </w:p>
    <w:p w:rsidR="00844289" w:rsidRPr="00E261D5" w:rsidRDefault="00844289" w:rsidP="005A3DF4">
      <w:pPr>
        <w:pStyle w:val="4"/>
        <w:keepNext w:val="0"/>
        <w:widowControl w:val="0"/>
        <w:shd w:val="clear" w:color="auto" w:fill="FFFFFF"/>
        <w:spacing w:before="0" w:after="0"/>
        <w:ind w:firstLine="709"/>
        <w:rPr>
          <w:b w:val="0"/>
          <w:i/>
          <w:bdr w:val="none" w:sz="0" w:space="0" w:color="auto" w:frame="1"/>
        </w:rPr>
      </w:pPr>
      <w:r w:rsidRPr="00E261D5">
        <w:rPr>
          <w:b w:val="0"/>
        </w:rPr>
        <w:t xml:space="preserve">10 </w:t>
      </w:r>
      <w:hyperlink r:id="rId100" w:tgtFrame="_blank" w:history="1">
        <w:r w:rsidRPr="00E261D5">
          <w:rPr>
            <w:rStyle w:val="a8"/>
            <w:rFonts w:eastAsia="Calibri"/>
            <w:b w:val="0"/>
            <w:color w:val="auto"/>
            <w:u w:val="none"/>
            <w:bdr w:val="none" w:sz="0" w:space="0" w:color="auto" w:frame="1"/>
          </w:rPr>
          <w:t>Решение № 2-628/2018 2-628/2018~М-537/2018 М-537/2018 от 25 июля 2018 г. по делу № 2-628/2018</w:t>
        </w:r>
      </w:hyperlink>
      <w:r w:rsidRPr="00E261D5">
        <w:rPr>
          <w:b w:val="0"/>
          <w:bdr w:val="none" w:sz="0" w:space="0" w:color="auto" w:frame="1"/>
        </w:rPr>
        <w:t xml:space="preserve"> Хасанский районный суд (Приморский край). </w:t>
      </w:r>
      <w:r w:rsidRPr="00E261D5">
        <w:rPr>
          <w:b w:val="0"/>
        </w:rPr>
        <w:t>[Электронный ресурс] / СПС «СудАкт»</w:t>
      </w:r>
    </w:p>
    <w:p w:rsidR="00844289" w:rsidRPr="00E261D5" w:rsidRDefault="00844289" w:rsidP="005A3DF4">
      <w:pPr>
        <w:pStyle w:val="4"/>
        <w:keepNext w:val="0"/>
        <w:widowControl w:val="0"/>
        <w:shd w:val="clear" w:color="auto" w:fill="FFFFFF"/>
        <w:spacing w:before="0" w:after="0"/>
        <w:ind w:firstLine="709"/>
        <w:rPr>
          <w:b w:val="0"/>
          <w:bCs w:val="0"/>
          <w:i/>
          <w:kern w:val="36"/>
        </w:rPr>
      </w:pPr>
      <w:r w:rsidRPr="00E261D5">
        <w:rPr>
          <w:rFonts w:eastAsiaTheme="minorEastAsia"/>
          <w:b w:val="0"/>
          <w:bCs w:val="0"/>
        </w:rPr>
        <w:t xml:space="preserve">11 </w:t>
      </w:r>
      <w:r w:rsidRPr="00E261D5">
        <w:rPr>
          <w:b w:val="0"/>
        </w:rPr>
        <w:t>Решение № 2-1933/2018 2-1933/2018~М-1497/2018 М-1497/2018 от 30 июля 2018 г. по делу № 2-1933/2018 Находкинский городской суд (Приморский край) [Электронный ресурс] / СПС «СудАкт»</w:t>
      </w:r>
    </w:p>
    <w:p w:rsidR="00844289" w:rsidRPr="00E261D5" w:rsidRDefault="00844289" w:rsidP="005A3DF4">
      <w:pPr>
        <w:widowControl w:val="0"/>
        <w:spacing w:after="0" w:line="240" w:lineRule="auto"/>
        <w:ind w:firstLine="709"/>
        <w:jc w:val="both"/>
        <w:rPr>
          <w:rFonts w:ascii="Times New Roman" w:hAnsi="Times New Roman"/>
          <w:sz w:val="28"/>
          <w:szCs w:val="28"/>
        </w:rPr>
      </w:pPr>
      <w:r w:rsidRPr="00E261D5">
        <w:rPr>
          <w:rFonts w:ascii="Times New Roman" w:hAnsi="Times New Roman"/>
          <w:sz w:val="28"/>
          <w:szCs w:val="28"/>
        </w:rPr>
        <w:t>12 Решение № 2-15/2018 2-15/2018 (2-90/2017; 2-2889/2016;) ~ М-2172/2016 2-2889/2016 2-90/2017 М-2172/2016 от 20 февраля 2018 г. по делу № 2-15/2018 Первореческий районный суд г.Владивостока (Приморский край). [Электронный ресурс] / СПС «СудАкт»</w:t>
      </w:r>
    </w:p>
    <w:p w:rsidR="00844289" w:rsidRPr="00E261D5" w:rsidRDefault="00844289" w:rsidP="005A3DF4">
      <w:pPr>
        <w:widowControl w:val="0"/>
        <w:spacing w:after="0" w:line="240" w:lineRule="auto"/>
        <w:ind w:firstLine="709"/>
        <w:jc w:val="both"/>
        <w:outlineLvl w:val="0"/>
        <w:rPr>
          <w:rFonts w:ascii="Times New Roman" w:eastAsia="Times New Roman" w:hAnsi="Times New Roman"/>
          <w:bCs/>
          <w:kern w:val="36"/>
          <w:sz w:val="28"/>
          <w:szCs w:val="28"/>
        </w:rPr>
      </w:pPr>
      <w:r w:rsidRPr="00E261D5">
        <w:rPr>
          <w:rFonts w:ascii="Times New Roman" w:eastAsia="Times New Roman" w:hAnsi="Times New Roman"/>
          <w:bCs/>
          <w:kern w:val="36"/>
          <w:sz w:val="28"/>
          <w:szCs w:val="28"/>
        </w:rPr>
        <w:t xml:space="preserve">13 Решение от 14 мая 2018 г. по делу № А51-15788/2017 Арбитражный суд Приморского края (АС Приморского края) </w:t>
      </w:r>
      <w:r w:rsidRPr="00E261D5">
        <w:rPr>
          <w:rFonts w:ascii="Times New Roman" w:hAnsi="Times New Roman"/>
          <w:sz w:val="28"/>
          <w:szCs w:val="28"/>
        </w:rPr>
        <w:t>[Электронный ресурс] / СПС «СудАкт»</w:t>
      </w:r>
    </w:p>
    <w:p w:rsidR="00844289" w:rsidRPr="00E261D5" w:rsidRDefault="00844289" w:rsidP="005A3DF4">
      <w:pPr>
        <w:widowControl w:val="0"/>
        <w:spacing w:after="0" w:line="240" w:lineRule="auto"/>
        <w:ind w:firstLine="709"/>
        <w:jc w:val="both"/>
        <w:outlineLvl w:val="0"/>
        <w:rPr>
          <w:rFonts w:ascii="Times New Roman" w:hAnsi="Times New Roman"/>
          <w:sz w:val="28"/>
          <w:szCs w:val="28"/>
        </w:rPr>
      </w:pPr>
      <w:r w:rsidRPr="00E261D5">
        <w:rPr>
          <w:rFonts w:ascii="Times New Roman" w:eastAsia="Times New Roman" w:hAnsi="Times New Roman"/>
          <w:bCs/>
          <w:kern w:val="36"/>
          <w:sz w:val="28"/>
          <w:szCs w:val="28"/>
        </w:rPr>
        <w:t xml:space="preserve">14 Решение от 7 ноября 2018 г. по делу № А51-15634/2018 Арбитражный суд Приморского края (АС Приморского края). </w:t>
      </w:r>
      <w:r w:rsidRPr="00E261D5">
        <w:rPr>
          <w:rFonts w:ascii="Times New Roman" w:hAnsi="Times New Roman"/>
          <w:sz w:val="28"/>
          <w:szCs w:val="28"/>
        </w:rPr>
        <w:t>[Электронный ресурс] / СПС «СудАкт»</w:t>
      </w:r>
    </w:p>
    <w:p w:rsidR="00844289" w:rsidRPr="00E261D5" w:rsidRDefault="00844289" w:rsidP="005A3DF4">
      <w:pPr>
        <w:widowControl w:val="0"/>
        <w:spacing w:after="0" w:line="240" w:lineRule="auto"/>
        <w:ind w:firstLine="709"/>
        <w:jc w:val="both"/>
        <w:outlineLvl w:val="0"/>
        <w:rPr>
          <w:rFonts w:ascii="Times New Roman" w:hAnsi="Times New Roman"/>
          <w:sz w:val="28"/>
          <w:szCs w:val="28"/>
        </w:rPr>
      </w:pPr>
      <w:r w:rsidRPr="00E261D5">
        <w:rPr>
          <w:rFonts w:ascii="Times New Roman" w:hAnsi="Times New Roman"/>
          <w:sz w:val="28"/>
          <w:szCs w:val="28"/>
        </w:rPr>
        <w:t xml:space="preserve">15 Решение № 2-547/2018 2-547/2018~М-519/2018 М-519/2018 от 26 июля 2018 г. по делу № 2-547/2018 </w:t>
      </w:r>
      <w:r w:rsidRPr="00E261D5">
        <w:rPr>
          <w:rFonts w:ascii="Times New Roman" w:hAnsi="Times New Roman"/>
          <w:sz w:val="28"/>
          <w:szCs w:val="28"/>
          <w:shd w:val="clear" w:color="auto" w:fill="FFFFFF"/>
        </w:rPr>
        <w:t xml:space="preserve">Черниговский районный суд (Приморский край) </w:t>
      </w:r>
      <w:r w:rsidRPr="00E261D5">
        <w:rPr>
          <w:rFonts w:ascii="Times New Roman" w:hAnsi="Times New Roman"/>
          <w:sz w:val="28"/>
          <w:szCs w:val="28"/>
        </w:rPr>
        <w:t>[Электронный ресурс] / СПС «СудАкт»</w:t>
      </w:r>
    </w:p>
    <w:p w:rsidR="001F2239" w:rsidRPr="00467B95" w:rsidRDefault="001F2239" w:rsidP="005A3DF4">
      <w:pPr>
        <w:widowControl w:val="0"/>
        <w:spacing w:after="0" w:line="240" w:lineRule="auto"/>
        <w:ind w:firstLine="709"/>
        <w:rPr>
          <w:rFonts w:ascii="Times New Roman" w:hAnsi="Times New Roman"/>
          <w:sz w:val="28"/>
          <w:szCs w:val="28"/>
        </w:rPr>
      </w:pPr>
    </w:p>
    <w:p w:rsidR="001F2239" w:rsidRPr="00467B95" w:rsidRDefault="001F223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Анализ правоприменительной практики по спорам из договоров международной купли – продажи производственных товаров</w:t>
      </w:r>
    </w:p>
    <w:p w:rsidR="001F2239" w:rsidRPr="00467B95" w:rsidRDefault="001F2239" w:rsidP="005A3DF4">
      <w:pPr>
        <w:widowControl w:val="0"/>
        <w:spacing w:after="0" w:line="240" w:lineRule="auto"/>
        <w:ind w:firstLine="709"/>
        <w:jc w:val="center"/>
        <w:rPr>
          <w:rFonts w:ascii="Times New Roman" w:hAnsi="Times New Roman"/>
          <w:b/>
          <w:sz w:val="28"/>
          <w:szCs w:val="28"/>
        </w:rPr>
      </w:pP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Толкачева Анастасия Валентиновна,</w:t>
      </w: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Владивостокский государственный университет экономики и сервиса</w:t>
      </w: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Россия. Владивосток</w:t>
      </w: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hyperlink r:id="rId101" w:history="1">
        <w:r w:rsidRPr="00467B95">
          <w:rPr>
            <w:rStyle w:val="a8"/>
            <w:rFonts w:ascii="Times New Roman" w:hAnsi="Times New Roman"/>
            <w:sz w:val="28"/>
            <w:szCs w:val="28"/>
            <w:lang w:val="en-US"/>
          </w:rPr>
          <w:t>tolkacheva</w:t>
        </w:r>
        <w:r w:rsidRPr="00467B95">
          <w:rPr>
            <w:rStyle w:val="a8"/>
            <w:rFonts w:ascii="Times New Roman" w:hAnsi="Times New Roman"/>
            <w:sz w:val="28"/>
            <w:szCs w:val="28"/>
          </w:rPr>
          <w:t>_</w:t>
        </w:r>
        <w:r w:rsidRPr="00467B95">
          <w:rPr>
            <w:rStyle w:val="a8"/>
            <w:rFonts w:ascii="Times New Roman" w:hAnsi="Times New Roman"/>
            <w:sz w:val="28"/>
            <w:szCs w:val="28"/>
            <w:lang w:val="en-US"/>
          </w:rPr>
          <w:t>anastasia</w:t>
        </w:r>
        <w:r w:rsidRPr="00467B95">
          <w:rPr>
            <w:rStyle w:val="a8"/>
            <w:rFonts w:ascii="Times New Roman" w:hAnsi="Times New Roman"/>
            <w:sz w:val="28"/>
            <w:szCs w:val="28"/>
          </w:rPr>
          <w:t>@</w:t>
        </w:r>
        <w:r w:rsidRPr="00467B95">
          <w:rPr>
            <w:rStyle w:val="a8"/>
            <w:rFonts w:ascii="Times New Roman" w:hAnsi="Times New Roman"/>
            <w:sz w:val="28"/>
            <w:szCs w:val="28"/>
            <w:lang w:val="en-US"/>
          </w:rPr>
          <w:t>mail</w:t>
        </w:r>
        <w:r w:rsidRPr="00467B95">
          <w:rPr>
            <w:rStyle w:val="a8"/>
            <w:rFonts w:ascii="Times New Roman" w:hAnsi="Times New Roman"/>
            <w:sz w:val="28"/>
            <w:szCs w:val="28"/>
          </w:rPr>
          <w:t>.</w:t>
        </w:r>
        <w:r w:rsidRPr="00467B95">
          <w:rPr>
            <w:rStyle w:val="a8"/>
            <w:rFonts w:ascii="Times New Roman" w:hAnsi="Times New Roman"/>
            <w:sz w:val="28"/>
            <w:szCs w:val="28"/>
            <w:lang w:val="en-US"/>
          </w:rPr>
          <w:t>ru</w:t>
        </w:r>
      </w:hyperlink>
      <w:r w:rsidRPr="00467B95">
        <w:rPr>
          <w:rFonts w:ascii="Times New Roman" w:hAnsi="Times New Roman"/>
          <w:sz w:val="28"/>
          <w:szCs w:val="28"/>
        </w:rPr>
        <w:t>; тел.: +79146967303</w:t>
      </w:r>
    </w:p>
    <w:p w:rsidR="001F2239" w:rsidRPr="00467B95" w:rsidRDefault="001F223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1F2239" w:rsidRPr="00467B95" w:rsidRDefault="001F2239" w:rsidP="005A3DF4">
      <w:pPr>
        <w:widowControl w:val="0"/>
        <w:spacing w:after="0" w:line="240" w:lineRule="auto"/>
        <w:ind w:firstLine="709"/>
        <w:jc w:val="center"/>
        <w:rPr>
          <w:rFonts w:ascii="Times New Roman" w:hAnsi="Times New Roman"/>
          <w:sz w:val="28"/>
          <w:szCs w:val="28"/>
        </w:rPr>
      </w:pPr>
    </w:p>
    <w:p w:rsidR="001F2239" w:rsidRPr="00467B95" w:rsidRDefault="001F2239"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Данная статья посвящена анализу опубликованной арбитражной и судебной практики по спорам, вытекающим из договоров международной купли – продажи товаров. Рассмотрены споры, связанные с исполнением и прекращением обязательств по договору, с целью выявления типичных ошибок, совершаемых сторонами по договору международной купли – продажи.</w:t>
      </w:r>
    </w:p>
    <w:p w:rsidR="001F2239" w:rsidRPr="00467B95" w:rsidRDefault="001F2239" w:rsidP="005A3DF4">
      <w:pPr>
        <w:widowControl w:val="0"/>
        <w:spacing w:after="0" w:line="240" w:lineRule="auto"/>
        <w:ind w:firstLine="709"/>
        <w:jc w:val="both"/>
        <w:rPr>
          <w:rFonts w:ascii="Times New Roman" w:hAnsi="Times New Roman"/>
          <w:sz w:val="28"/>
          <w:szCs w:val="28"/>
        </w:rPr>
      </w:pPr>
    </w:p>
    <w:p w:rsidR="001F2239" w:rsidRPr="001141D3" w:rsidRDefault="001F2239" w:rsidP="005A3DF4">
      <w:pPr>
        <w:widowControl w:val="0"/>
        <w:spacing w:after="0" w:line="240" w:lineRule="auto"/>
        <w:ind w:firstLine="709"/>
        <w:jc w:val="both"/>
        <w:rPr>
          <w:rFonts w:ascii="Times New Roman" w:hAnsi="Times New Roman"/>
          <w:i/>
          <w:sz w:val="28"/>
          <w:szCs w:val="28"/>
        </w:rPr>
      </w:pPr>
      <w:r w:rsidRPr="001141D3">
        <w:rPr>
          <w:rFonts w:ascii="Times New Roman" w:hAnsi="Times New Roman"/>
          <w:i/>
          <w:sz w:val="28"/>
          <w:szCs w:val="28"/>
        </w:rPr>
        <w:t>Ключевые слова и словосочетания: договор международной купли – продажи, продавец, покупатель, МКАС при ТПП РФ, арбитражный суд.</w:t>
      </w:r>
    </w:p>
    <w:p w:rsidR="001F2239" w:rsidRPr="00467B95" w:rsidRDefault="001F2239" w:rsidP="005A3DF4">
      <w:pPr>
        <w:widowControl w:val="0"/>
        <w:spacing w:after="0" w:line="240" w:lineRule="auto"/>
        <w:ind w:firstLine="709"/>
        <w:jc w:val="both"/>
        <w:rPr>
          <w:rFonts w:ascii="Times New Roman" w:hAnsi="Times New Roman"/>
          <w:sz w:val="28"/>
          <w:szCs w:val="28"/>
        </w:rPr>
      </w:pPr>
    </w:p>
    <w:p w:rsidR="001F2239" w:rsidRPr="00467B95" w:rsidRDefault="001F2239"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Analysis of law practice in disputes arising from contracts for the international sale of manufactured goods</w:t>
      </w:r>
    </w:p>
    <w:p w:rsidR="001F2239" w:rsidRPr="00467B95" w:rsidRDefault="001F2239" w:rsidP="005A3DF4">
      <w:pPr>
        <w:widowControl w:val="0"/>
        <w:spacing w:after="0" w:line="240" w:lineRule="auto"/>
        <w:ind w:firstLine="709"/>
        <w:jc w:val="center"/>
        <w:rPr>
          <w:rFonts w:ascii="Times New Roman" w:hAnsi="Times New Roman"/>
          <w:b/>
          <w:sz w:val="28"/>
          <w:szCs w:val="28"/>
          <w:lang w:val="en-US"/>
        </w:rPr>
      </w:pPr>
    </w:p>
    <w:p w:rsidR="001F2239" w:rsidRPr="00467B95" w:rsidRDefault="001F2239"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lastRenderedPageBreak/>
        <w:t>This article is about the analysis of published arbitration and judicial practice on disputes arising from contracts of international sale of goods. Disputes related to the performance and termination of obligations under the contract, in order to identify typical errors committed by the parties to the contract of international sale.</w:t>
      </w:r>
    </w:p>
    <w:p w:rsidR="001F2239" w:rsidRPr="00467B95" w:rsidRDefault="001F2239" w:rsidP="005A3DF4">
      <w:pPr>
        <w:widowControl w:val="0"/>
        <w:spacing w:after="0" w:line="240" w:lineRule="auto"/>
        <w:ind w:firstLine="709"/>
        <w:jc w:val="both"/>
        <w:rPr>
          <w:rFonts w:ascii="Times New Roman" w:hAnsi="Times New Roman"/>
          <w:sz w:val="28"/>
          <w:szCs w:val="28"/>
          <w:lang w:val="en-US"/>
        </w:rPr>
      </w:pPr>
    </w:p>
    <w:p w:rsidR="001F2239" w:rsidRPr="001141D3" w:rsidRDefault="001F2239" w:rsidP="005A3DF4">
      <w:pPr>
        <w:widowControl w:val="0"/>
        <w:spacing w:after="0" w:line="240" w:lineRule="auto"/>
        <w:ind w:firstLine="709"/>
        <w:jc w:val="both"/>
        <w:rPr>
          <w:rFonts w:ascii="Times New Roman" w:hAnsi="Times New Roman"/>
          <w:i/>
          <w:sz w:val="28"/>
          <w:szCs w:val="28"/>
          <w:lang w:val="en-US"/>
        </w:rPr>
      </w:pPr>
      <w:r w:rsidRPr="001141D3">
        <w:rPr>
          <w:rFonts w:ascii="Times New Roman" w:hAnsi="Times New Roman"/>
          <w:i/>
          <w:sz w:val="28"/>
          <w:szCs w:val="28"/>
          <w:lang w:val="en-US"/>
        </w:rPr>
        <w:t>Key words and phrases: international sales contract, seller, buyer, ICAC at the RF CCI, arbitration court.</w:t>
      </w:r>
    </w:p>
    <w:p w:rsidR="001F2239" w:rsidRPr="001141D3" w:rsidRDefault="001F2239" w:rsidP="005A3DF4">
      <w:pPr>
        <w:widowControl w:val="0"/>
        <w:spacing w:after="0" w:line="240" w:lineRule="auto"/>
        <w:ind w:firstLine="709"/>
        <w:jc w:val="both"/>
        <w:rPr>
          <w:rFonts w:ascii="Times New Roman" w:hAnsi="Times New Roman"/>
          <w:i/>
          <w:sz w:val="28"/>
          <w:szCs w:val="28"/>
          <w:lang w:val="en-US"/>
        </w:rPr>
      </w:pP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Актуальность темы обусловлена тем, что выявленные проблемы на основе анализа правоприменительной практики по спорам из договоров международной купли – продажи товаров могут использоваться в выработке предложений по устранению спорных вопросов, возникающих между участниками договоров, в частности, по устранению проблем использования типового договора международной купли – продажи товаров российскими участниками внешнеэкономической деятельности.</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Цель исследования – выявление типичных спорных ситуаций, возникающих в ходе исполнения и прекращения договоров международной купли-продажи, выявление причин, порождающих споры.</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Эмпирической базой исследования являются материалы опубликованной арбитражной и судебной практики по спорам, вытекающим из договоров международной купли – продажи товаров. Было изучено 6 решений Международного коммерческого арбитражного суда при Торгового – промышленной палате Российской Федерации, 44 судебных решений, принятых арбитражными судами: Удмуртской республики, города Москвы, Брянской области, Алтайского края, Нижегородской области, Кабардино-Балкарской Республики, Санкт-Петербурга и Ленинградской области, города Пермь, города Ростов-на-Дону, Псковской области, Сахалинской области, Ростовской области, Краснодарского края, Новосибирской области, Амурской области, Кемеровской области, Белгородской области, Свердловской области, Смоленской области.</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Согласно анализу судебной практики, проведенному при подготовке доклада, было выявлено, что предметом 4 из 6 споров судебной практики МКАС и 30 из 44 рассмотренных споров практики арбитражного суда является требование продавцов о погашении задолженности за поставленный товар по контракту.</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 спорам из договоров международной купли – продажи производственных товаров было проанализировано 6 решений Международного коммерческого арбитражного суда при Торгового – промышленной палате Российской Федерации (далее по тексту – МКАС при ТПП РФ). Было выявлено 4 спора, связанных с погашением задолженности по договору, взысканием штрафа, неустойки; 2 спора о взыскании оплаты за не поставленный товар по договору международной купли – продажи. В одном деле был выдвинут встречный иск о возмещении убытков. Во всех </w:t>
      </w:r>
      <w:r w:rsidRPr="00467B95">
        <w:rPr>
          <w:rFonts w:ascii="Times New Roman" w:hAnsi="Times New Roman"/>
          <w:sz w:val="28"/>
          <w:szCs w:val="28"/>
        </w:rPr>
        <w:lastRenderedPageBreak/>
        <w:t>рассмотренных делах суд принял решение в пользу истца.</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 спорам из договоров международной купли – продажи производственных товаров было проанализировано 44 судебных решения, 41 из которых связаны с исполнением обязательств по договору: 37 дел по спорам о взыскании долга (задолженности) по контракту, 1 спор о взыскании неустойки, 1 спор о взыскании аванса, 1 спор о взыскании неосновательного обогащения, 1 спор о возложении обязанности уменьшить стоимость поставленного товара по контракту.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спорам о взыскании долга (задолженности) по контракту было отказано в трех делах, 34 удовлетворены; в споре о возложении обязанности уменьшить стоимость поставленного товара по контракту суд принял решение об отказе в удовлетворении исковых требований; в остальных делах суд принял решение об удовлетворении искового требования.</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спорам из договоров международной купли – продажи производственных товаров было выявлено 3 спора, связанных с прекращением обязательств: 1 дело о взыскании штрафа (суд вынес решение об отказе в удовлетворении требований), 1 дело о взыскании задолженности и расторжении договора купли-продажи и 1 дело о взыскании предварительной оплаты по генеральному контракту, в данных делах исковые требования были удовлетворены.</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Основания отклонения исковых требований составляют практический результат для выявления проблем, возникающих между участниками договоров международной купли – продажи товаров российскими участниками внешнеэкономической деятельности.</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Предметом первой категории споров, по которым было вынесено решение об отказе в удовлетворении исковых требований, является требование о взыскании долга (задолженности) по контракту. Основанием в данных делах является: наличие обязательства, надлежащее исполнение обязательств Истцом (продавцом), ненадлежащее исполнение Ответчиком (покупателем) обязательств по оплате товара. В данных спорах Истец предъявлял следующие доказательства: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w:t>
      </w:r>
      <w:r w:rsidRPr="00467B95">
        <w:rPr>
          <w:rFonts w:ascii="Times New Roman" w:hAnsi="Times New Roman"/>
          <w:sz w:val="28"/>
          <w:szCs w:val="28"/>
        </w:rPr>
        <w:tab/>
        <w:t>В подтверждение наличия обязательства Истец предоставлял договор;</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w:t>
      </w:r>
      <w:r w:rsidRPr="00467B95">
        <w:rPr>
          <w:rFonts w:ascii="Times New Roman" w:hAnsi="Times New Roman"/>
          <w:sz w:val="28"/>
          <w:szCs w:val="28"/>
        </w:rPr>
        <w:tab/>
        <w:t>Факт надлежащего исполнения обязательств Истцом подтверждается: копиями накладных [1], в частности транспортной накладной [2]; договорами поставки, инвойсами [3]; свидетельством о происхождении товара, коносаментами [4]; квитанцией о приеме груза [5]; спецификациями [6]; товарной накладной [7], [8]; счетами [9]; международной транспортной накладной [10]; таможенной декларацией [11],[12]; грузовыми декларациями [13]; актом приема-передачи [14]; декларациями на товар с отметками «Выпуск разрешен» [15]; упаковочными листами [16]; международной товарно – транспортной накладной CMR [17]; грузовой таможенной накладной [18]; счетом истца (Commercial Invoice) [19];</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w:t>
      </w:r>
      <w:r w:rsidRPr="00467B95">
        <w:rPr>
          <w:rFonts w:ascii="Times New Roman" w:hAnsi="Times New Roman"/>
          <w:sz w:val="28"/>
          <w:szCs w:val="28"/>
        </w:rPr>
        <w:tab/>
        <w:t xml:space="preserve">Ненадлежащее исполнение ответчиком (покупателем) </w:t>
      </w:r>
      <w:r w:rsidRPr="00467B95">
        <w:rPr>
          <w:rFonts w:ascii="Times New Roman" w:hAnsi="Times New Roman"/>
          <w:sz w:val="28"/>
          <w:szCs w:val="28"/>
        </w:rPr>
        <w:lastRenderedPageBreak/>
        <w:t xml:space="preserve">обязательств по оплате товара Истец доказывал: претензией [1]; платежными поручениями (в подтверждение частичной оплаты) [2]; выпиской с расчетного счета [20]; досудебной перепиской [21]; графиком погашения задолженности [22];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w:t>
      </w:r>
      <w:r w:rsidRPr="00467B95">
        <w:rPr>
          <w:rFonts w:ascii="Times New Roman" w:hAnsi="Times New Roman"/>
          <w:sz w:val="28"/>
          <w:szCs w:val="28"/>
        </w:rPr>
        <w:tab/>
        <w:t>Факт частичного исполнения ответчиком обязательств по оплате товара Истец также доказывал претензией [23], [24]; платежным поручением [25]; досудебной перепиской [26];</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Факт оплаты товара Ответчик доказывал заявлением на перевод, квитанцией [27].</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Суд отказал в исковых требованиях в деле [3], на основании того, что в ситуации наличия двух и более договоров, применительно к вопросу об исполнении и взыскании денежных средств, по одному из них, именно Истец обязан был указать в основании иска по какому договору он взыскивает долг (п. 5 части 2 ст. 125 АПК [28]). Истец ошибочно полагал, что договоры купли-продажи приняты во исполнение первоначального договора, который, по мнению Истца, является типовым. Не было доказано наличие задолженности по заявленным в иске основаниям по договору купли-продажи.</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Во втором деле [16], суд отказал на основании того, что согласно представленной в материалы дела выписке с банковского счета Истца №17 от 18.08.2014 в качестве плательщика указан не Ответчик, а иное лицо. Материалами дела не подтверждается совершение Ответчиком каких-либо действий, свидетельствующих о согласии с офертой Истца. Доказательства передачи оборудования Ответчику Истцом также не представлены.</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ст.18 Венской конвенции заявление или иное поведение адресата оферты, выражающее согласие с офертой, является акцептом. Молчание или бездействие сами по себе не являются акцептом. Акцепт оферты в частности выражается конклюдентными действиями сторон, свидетельствующими о намерении заключить сделку. В данном случае, из обстоятельств дела не следует иное.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третьем деле [27] суд отказал на основании того, что факт заключения контракта признается сторонами, при этом стороны указывают об отсутствии подписанного в двустороннем порядке оригинала такого контракта ввиду его заключения в порядке пункта 14.1 контракта путем обмена подписанными копиями контракта по электронной почте. Согласно дополнительному соглашению № 1 к контракту от 14.01.2015 стороны оговорили возможность осуществления оплат по контракту по реквизитам компании STOARTON ALLIANCE INC. Истцом принят платеж от другого лица - OXAFORN LIMITED.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суде установлено, при определении намерения стороны, или понимания, которое имело бы разумное лицо, необходимо учитывать все соответствующие обстоятельства, включая переговоры, любую практику, которую стороны установили в своих взаимных отношениях, обычаи и любое последующее поведение сторон. Анализ иных представленных в материалы </w:t>
      </w:r>
      <w:r w:rsidRPr="00467B95">
        <w:rPr>
          <w:rFonts w:ascii="Times New Roman" w:hAnsi="Times New Roman"/>
          <w:sz w:val="28"/>
          <w:szCs w:val="28"/>
        </w:rPr>
        <w:lastRenderedPageBreak/>
        <w:t>дела доказательств – писем компании о принятии оплаты, продлении срока действия контракта без наличия претензий об оплате предыдущих партий с учетом заявления на перевод в иностранной валюте, дает основание полагать, что расчёты за поставленный товар произведены Ответчиком полностью, задолженности не имеется. Таким образом, Истец не доказал факта отсутствия оплаты от Ответчика.</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Следующая категория, дело [29], предметом спора которого является требование о возложении обязанности уменьшить стоимость поставленного товара по контракту. Основание иска: наличие контрактных обязательств, которые подтверждаются контрактом; факт предоставления Ответчиком (продавцом) некачественного товара подтверждает претензия, акт о выявленных недостатках в работе Оборудования, акт приемки – передачи результатов гарантийного ремонта, экспертиза.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Ответчики не доказали суду возникновение недостатков в период гарантийного срока, а следовательно, не вправе ссылаться на существенные недостатки. Требование об отказе от оборудования ответчики истцу не выдвигали. К заключению специалиста, представленного ответчиками и выполненного в 2016 году, суд относится критически, так как оно выполнено по истечении более 2 лет с момента передачи оборудования. Ответчики не доказали суду, что оборудование не эксплуатировалось.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Суд отклонил исковое на основании Постановления Президиума ВАС РФ [30], поскольку истец нарушил свое обязательство, а впоследствии отказался от устранения имеющихся недостатков товара, ответчик приобрел возможность использовать способ защиты, предусмотренный пунктом 2 статьи 520 Гражданского кодекса РФ, в виде отказа от оплаты товара в спорной части.</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Следующая категория, дело [31], предметом спора которого является требование о взыскании штрафа. Основанием иска является: наличие обязательства; факт внесения предоплаты истцом; частичное исполнение обязательств ответчиком по контракту; факт отказа от поставки товара, что дает право Истцу взыскивать с Ответчика штраф в размере 5 % от суммы предоплаты. Истец предъявляет следующие доказательства: договор в обоснование наличия обязательства между сторонами; факт внесения предоплаты Истцом подтверждается платежным поручением; частичное исполнение обязательств Ответчиком по контракту Истец подтверждает претензией; факт отказа от поставки товара подтверждается соглашением. Ответчик просит признать сделку недействительной и заявляет о фальсификации предоставленных Истцом доказательств.</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В суде установлено: на экземпляре договора оттиск печати юридического лица, притом, что договор подписан неустановленным лицом, чьи полномочия невозможно проверить, может служить доказательством того, что договор подписан лицом, уполномоченным на его подписание, а также свидетельствовать о том, что это юридическое лицо знало или должно было знать о том, что договор заключен от его имени. Факт наличия </w:t>
      </w:r>
      <w:r w:rsidRPr="00467B95">
        <w:rPr>
          <w:rFonts w:ascii="Times New Roman" w:hAnsi="Times New Roman"/>
          <w:sz w:val="28"/>
          <w:szCs w:val="28"/>
        </w:rPr>
        <w:lastRenderedPageBreak/>
        <w:t>соответствующих полномочий у лица, подписавшего спорные документы, следовал из обстановки и предыдущего поведения сторон, а также из сложившегося между сторонами порядка реализации правомочий, в связи с чем отсутствуют основания полагать, что спорные документы сфальсифицированы.</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Суд отклоняет исковое заявление, на том основании, что Истец не правильно истолковал нормы договора. Ссылка истца на п.7.7 контракта, где Стороны установили, что в случае отказа продавца от поставки оплаченной партии товара покупателю, продавец обязуется вернуть сумму предоплаты в течение 5-ти календарных дней с момента требования покупателя; за нарушение сроков возврата предоплаты покупатель вправе взыскать с продавца штраф в размере 5 % от суммы предоплаты, невозвращенной в срок не обоснована. Так как, в пункте 1 дополнительного соглашения от 22.08.2016 к спорному контракту стороны указали, что от поставки товаров по спорному контракту отказался именно покупатель (истец), а не продавец (ответчик). По договору поставки имеет место встречное исполнение обязательств: поставщик по отношению к покупателю обязан поставить последнему товар, а покупатель - оплатить. Проекты контракта и дополнительные соглашения к нему были подготовлены истцом, таким образом, истец, согласовывая условия контракта, добровольно согласился на исполнение его условий. Поскольку истцом каких-либо доказательств, свидетельствующих об отказе от контракта именно по инициативе поставщика, в суд представлено не было, постольку правовое основание для начисления штрафа отсутствует, в иске отказано.</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Согласно анализу судебной практики, проведенному при подготовке работы, были выявлены следующие проблемы использования типового договора:</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проблемы, связанные с договорной дисциплиной:</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неисполнение одной из сторон обязательств, предусмотренных договором;</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ошибочное толкование стороной норм договора.</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Для устранения проблем, связанных с договорной дисциплиной предлагается: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включить меры по обеспечению исполнения обязательств, а именно независимую гарантию, на основании которой можно получить возмещение ущерба от коммерческой организации при наступлении обстоятельств, при которых гарантия была выдана.</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Еще одной мерой является гарантия по требованию, которая действуют аналогично независимой гарантии и для получения возмещения по которой достаточно только письменного требования.</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Для устранения проблем, связанных с толкованием норм договора, предлагается воспользоваться типовой формой договора международной купли-продажи товаров Международной торговой палаты, которая путем единообразия деловых обыкновений создает предпосылки для </w:t>
      </w:r>
      <w:r w:rsidRPr="00467B95">
        <w:rPr>
          <w:rFonts w:ascii="Times New Roman" w:hAnsi="Times New Roman"/>
          <w:sz w:val="28"/>
          <w:szCs w:val="28"/>
        </w:rPr>
        <w:lastRenderedPageBreak/>
        <w:t xml:space="preserve">систематизации правоприменительной практики по рассмотрению споров в отношениях поставки товаров. </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Структура данного договора представляет собой детальное описание всех условий взаимодействия сторон, порядка разрешения спора, определение применимого права и способа осуществления поставки с детальным описанием момента перехода риска с продавца на покупателя, что позволяет без дублирования норм  законодательства избежать случаев возникновения спорных ситуаций.</w:t>
      </w:r>
    </w:p>
    <w:p w:rsidR="001F2239" w:rsidRPr="00467B95" w:rsidRDefault="001F223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можно сделать вывод, что типовой договор специально адаптирован под конкретную ситуацию. Заключая в себе все существенные условия, согласно действующему законодательству, в общей части, тем не менее, позволяет сторонам адаптировать условия под конкретный случай в разделе особых условий. Инкорпорируя или исключая те или иные условия, стороны создают ситуации, которые позволяют избежать затяжных судебных разбирательств и значительных затрат при возникновении споров.</w:t>
      </w:r>
    </w:p>
    <w:p w:rsidR="001F2239" w:rsidRPr="00467B95" w:rsidRDefault="001141D3" w:rsidP="005A3DF4">
      <w:pPr>
        <w:widowControl w:val="0"/>
        <w:spacing w:after="0" w:line="240" w:lineRule="auto"/>
        <w:ind w:firstLine="709"/>
        <w:contextualSpacing/>
        <w:jc w:val="center"/>
        <w:rPr>
          <w:rFonts w:ascii="Times New Roman" w:hAnsi="Times New Roman"/>
          <w:sz w:val="28"/>
          <w:szCs w:val="28"/>
        </w:rPr>
      </w:pPr>
      <w:r>
        <w:rPr>
          <w:rFonts w:ascii="Times New Roman" w:eastAsia="Times New Roman" w:hAnsi="Times New Roman"/>
          <w:sz w:val="28"/>
          <w:szCs w:val="28"/>
          <w:lang w:eastAsia="ru-RU"/>
        </w:rPr>
        <w:t>Список использованных источников</w:t>
      </w:r>
      <w:r w:rsidR="00DC1F7E">
        <w:rPr>
          <w:rFonts w:ascii="Times New Roman" w:hAnsi="Times New Roman"/>
          <w:noProof/>
          <w:sz w:val="28"/>
          <w:szCs w:val="28"/>
          <w:lang w:eastAsia="ru-RU"/>
        </w:rPr>
        <w:pict>
          <v:line id="Прямая соединительная линия 1" o:spid="_x0000_s1028" style="position:absolute;left:0;text-align:left;z-index:251664384;visibility:visible;mso-position-horizontal-relative:text;mso-position-vertical-relative:text" from="1.05pt,11.25pt" to="220.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" strokecolor="black [3040]"/>
        </w:pic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О взыскании долга по договору международной купли-продажи. Решение Арбитражного суда Удмуртской Республики от 13 декабря 2017 г. по делу № А71-10787/2017 [Электронный ресурс] // Судебные и нормативные акты РФ. URL: </w:t>
      </w:r>
      <w:hyperlink r:id="rId102" w:history="1">
        <w:r w:rsidRPr="001141D3">
          <w:rPr>
            <w:rStyle w:val="a8"/>
            <w:rFonts w:ascii="Times New Roman" w:hAnsi="Times New Roman" w:cs="Times New Roman"/>
            <w:color w:val="auto"/>
            <w:sz w:val="28"/>
            <w:szCs w:val="28"/>
            <w:u w:val="none"/>
          </w:rPr>
          <w:t>https://www.sudact.ru/arbitral/doc/Rh2zPuSDfaN/?arbitral-</w:t>
        </w:r>
      </w:hyperlink>
    </w:p>
    <w:p w:rsidR="001F2239" w:rsidRPr="001141D3" w:rsidRDefault="001F2239" w:rsidP="007F4EC1">
      <w:pPr>
        <w:pStyle w:val="a7"/>
        <w:widowControl w:val="0"/>
        <w:numPr>
          <w:ilvl w:val="0"/>
          <w:numId w:val="17"/>
        </w:numPr>
        <w:spacing w:after="0" w:line="240" w:lineRule="auto"/>
        <w:ind w:left="0" w:firstLine="709"/>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по контракту. Решение Арбитражного суда Алтайского края от 2 декабря 2015 г. по делу № А03-17664/2013 [Электронный ресурс] // Судебные и нормативные акты. </w:t>
      </w:r>
      <w:r w:rsidRPr="001141D3">
        <w:rPr>
          <w:rFonts w:ascii="Times New Roman" w:hAnsi="Times New Roman" w:cs="Times New Roman"/>
          <w:sz w:val="28"/>
          <w:szCs w:val="28"/>
          <w:lang w:val="en-US"/>
        </w:rPr>
        <w:t>URL:https://www.sudact.ru/arbitral/doc/zvpvEDdpC2mK</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денежных средств. Решение Арбитражного суда города Москвы от 8 июля 2016 г. по делу № А40-204393/2015 [Электронный ресурс] // Судебные и нормативные акты РФ. </w:t>
      </w:r>
      <w:r w:rsidRPr="001141D3">
        <w:rPr>
          <w:rFonts w:ascii="Times New Roman" w:hAnsi="Times New Roman" w:cs="Times New Roman"/>
          <w:sz w:val="28"/>
          <w:szCs w:val="28"/>
          <w:lang w:val="en-US"/>
        </w:rPr>
        <w:t xml:space="preserve">URL: </w:t>
      </w:r>
      <w:hyperlink r:id="rId103" w:history="1">
        <w:r w:rsidRPr="001141D3">
          <w:rPr>
            <w:rStyle w:val="a8"/>
            <w:rFonts w:ascii="Times New Roman" w:hAnsi="Times New Roman" w:cs="Times New Roman"/>
            <w:color w:val="auto"/>
            <w:sz w:val="28"/>
            <w:szCs w:val="28"/>
            <w:u w:val="none"/>
            <w:lang w:val="en-US"/>
          </w:rPr>
          <w:t>https://www.sudact.ru/arbitral/doc/6rd5T6XbXUrP</w:t>
        </w:r>
      </w:hyperlink>
      <w:r w:rsidRPr="001141D3">
        <w:rPr>
          <w:rFonts w:ascii="Times New Roman" w:hAnsi="Times New Roman" w:cs="Times New Roman"/>
          <w:sz w:val="28"/>
          <w:szCs w:val="28"/>
        </w:rPr>
        <w:t xml:space="preserve"> </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О взыскании задолженности по договору купли-продажи. Решение Арбитражного суда Санкт-Петербурга и Ленинградской области от 24 февраля 2016 г. по делу № А56-80906/2015 [Электронный ресурс] // Судебные и нормативные акты РФ. URL: https://www.sudact.ru/arbitral/doc/BL4TG7YmGOrC/</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процентов за пользование чужими денежными средствами. Решение Арбитражного суда Ростовской области от 9 июня 2018 г. по делу № А53-2787/2018 [Электронный ресурс] // Судебные и нормативные акты РФ. </w:t>
      </w:r>
      <w:r w:rsidRPr="001141D3">
        <w:rPr>
          <w:rFonts w:ascii="Times New Roman" w:hAnsi="Times New Roman" w:cs="Times New Roman"/>
          <w:sz w:val="28"/>
          <w:szCs w:val="28"/>
          <w:lang w:val="en-US"/>
        </w:rPr>
        <w:t>URL: https://www.sudact.ru/arbitral/doc/8PaZBeNSoc5k</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 О взыскании задолженности по договору поставки. Решение Арбитражного суда Краснодарского края от 25 мая 2018 г. по делу № А32-39422/2017 [Электронный ресурс] // Судебные и нормативные акты РФ.  </w:t>
      </w:r>
      <w:r w:rsidRPr="001141D3">
        <w:rPr>
          <w:rFonts w:ascii="Times New Roman" w:hAnsi="Times New Roman" w:cs="Times New Roman"/>
          <w:sz w:val="28"/>
          <w:szCs w:val="28"/>
          <w:lang w:val="en-US"/>
        </w:rPr>
        <w:t>URL: https://www.sudact.ru/arbitral/doc/mWEU07xaHIQd</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 О взыскании основного долга по договору. Решение Арбитражного суда Псковской области от 12 апреля 2018 г. по делу № А52-513/2018 [Электронный ресурс] // Судебные и нормативные акты РФ. </w:t>
      </w:r>
      <w:r w:rsidRPr="001141D3">
        <w:rPr>
          <w:rFonts w:ascii="Times New Roman" w:hAnsi="Times New Roman" w:cs="Times New Roman"/>
          <w:sz w:val="28"/>
          <w:szCs w:val="28"/>
          <w:lang w:val="en-US"/>
        </w:rPr>
        <w:t xml:space="preserve">URL: </w:t>
      </w:r>
      <w:r w:rsidRPr="001141D3">
        <w:rPr>
          <w:rFonts w:ascii="Times New Roman" w:hAnsi="Times New Roman" w:cs="Times New Roman"/>
          <w:sz w:val="28"/>
          <w:szCs w:val="28"/>
          <w:lang w:val="en-US"/>
        </w:rPr>
        <w:lastRenderedPageBreak/>
        <w:t>https://www.sudact.ru/arbitral/doc/xmaCYQymlZWd</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долга по договорному обязательству. Решение Арбитражного суда Брянской области от 18 апреля 2017 г. по делу № А09-19636/2016 [Электронный ресурс] // Судебные и нормативные акты РФ. </w:t>
      </w:r>
      <w:r w:rsidRPr="001141D3">
        <w:rPr>
          <w:rFonts w:ascii="Times New Roman" w:hAnsi="Times New Roman" w:cs="Times New Roman"/>
          <w:sz w:val="28"/>
          <w:szCs w:val="28"/>
          <w:lang w:val="en-US"/>
        </w:rPr>
        <w:t>URL: https://www.sudact.ru/arbitral/doc/zeJBeL6YdtWC</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по договору. Решение Арбитражного суда Ростовской области от 16 апреля 2018 г. по делу № А53-30566/2017 [Электронный ресурс] // Судебные и нормативные акты РФ. </w:t>
      </w:r>
      <w:r w:rsidRPr="001141D3">
        <w:rPr>
          <w:rFonts w:ascii="Times New Roman" w:hAnsi="Times New Roman" w:cs="Times New Roman"/>
          <w:sz w:val="28"/>
          <w:szCs w:val="28"/>
          <w:lang w:val="en-US"/>
        </w:rPr>
        <w:t>URL: https://www.sudact.ru/arbitral/doc/kGF0SYgnwDQp</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Решение Арбитражного суда Новосибирской области от 3 апреля 2018 г. по делу № А45-115/2018 [Электронный ресурс] // Судебные и нормативные акты РФ. </w:t>
      </w:r>
      <w:r w:rsidRPr="001141D3">
        <w:rPr>
          <w:rFonts w:ascii="Times New Roman" w:hAnsi="Times New Roman" w:cs="Times New Roman"/>
          <w:sz w:val="28"/>
          <w:szCs w:val="28"/>
          <w:lang w:val="en-US"/>
        </w:rPr>
        <w:t>URL: https://www.sudact.ru/arbitral/doc/LIBBvQVMZaNF</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Решение Арбитражного суда Новосибирской области от 29 января 2018 г. по делу № А45-2439/2017 [Электронный ресурс] // Судебные и нормативные акты РФ. </w:t>
      </w:r>
      <w:r w:rsidRPr="001141D3">
        <w:rPr>
          <w:rFonts w:ascii="Times New Roman" w:hAnsi="Times New Roman" w:cs="Times New Roman"/>
          <w:sz w:val="28"/>
          <w:szCs w:val="28"/>
          <w:lang w:val="en-US"/>
        </w:rPr>
        <w:t>URL: https://www.sudact.ru/arbitral/doc/JNcn67IdNiZT</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Решение Арбитражного суда Сахалинской области от 24 июля 2018 г. по делу № А59-929/2018 [Электронный ресурс] // Судебные и нормативные акты РФ. </w:t>
      </w:r>
      <w:r w:rsidRPr="001141D3">
        <w:rPr>
          <w:rFonts w:ascii="Times New Roman" w:hAnsi="Times New Roman" w:cs="Times New Roman"/>
          <w:sz w:val="28"/>
          <w:szCs w:val="28"/>
          <w:lang w:val="en-US"/>
        </w:rPr>
        <w:t>URL: https://www.sudact.ru/arbitral/doc/Uie3j88wtBLO</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Решение Арбитражного суда Краснодарского края от 20 декабря 2017 г. по делу № А32-34013/2017 [Электронный ресурс] // Судебные и нормативные акты РФ. </w:t>
      </w:r>
      <w:r w:rsidRPr="001141D3">
        <w:rPr>
          <w:rFonts w:ascii="Times New Roman" w:hAnsi="Times New Roman" w:cs="Times New Roman"/>
          <w:sz w:val="28"/>
          <w:szCs w:val="28"/>
          <w:lang w:val="en-US"/>
        </w:rPr>
        <w:t>URL</w:t>
      </w:r>
      <w:r w:rsidRPr="001141D3">
        <w:rPr>
          <w:rFonts w:ascii="Times New Roman" w:hAnsi="Times New Roman" w:cs="Times New Roman"/>
          <w:sz w:val="28"/>
          <w:szCs w:val="28"/>
        </w:rPr>
        <w:t xml:space="preserve">: </w:t>
      </w:r>
      <w:r w:rsidRPr="001141D3">
        <w:rPr>
          <w:rFonts w:ascii="Times New Roman" w:hAnsi="Times New Roman" w:cs="Times New Roman"/>
          <w:sz w:val="28"/>
          <w:szCs w:val="28"/>
          <w:lang w:val="en-US"/>
        </w:rPr>
        <w:t>https</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www</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sudact</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ru</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arbitral</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doc</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rn</w:t>
      </w:r>
      <w:r w:rsidRPr="001141D3">
        <w:rPr>
          <w:rFonts w:ascii="Times New Roman" w:hAnsi="Times New Roman" w:cs="Times New Roman"/>
          <w:sz w:val="28"/>
          <w:szCs w:val="28"/>
        </w:rPr>
        <w:t>7</w:t>
      </w:r>
      <w:r w:rsidRPr="001141D3">
        <w:rPr>
          <w:rFonts w:ascii="Times New Roman" w:hAnsi="Times New Roman" w:cs="Times New Roman"/>
          <w:sz w:val="28"/>
          <w:szCs w:val="28"/>
          <w:lang w:val="en-US"/>
        </w:rPr>
        <w:t>QQYcwbBLm</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 О взыскании задолженности. Решение Арбитражного суда города Москвы от 9 ноября 2017 г. по делу № А40-124956/2017 [Электронный ресурс] // Судебные и нормативные акты РФ. </w:t>
      </w:r>
      <w:r w:rsidRPr="001141D3">
        <w:rPr>
          <w:rFonts w:ascii="Times New Roman" w:hAnsi="Times New Roman" w:cs="Times New Roman"/>
          <w:sz w:val="28"/>
          <w:szCs w:val="28"/>
          <w:lang w:val="en-US"/>
        </w:rPr>
        <w:t>URL</w:t>
      </w:r>
      <w:r w:rsidRPr="001141D3">
        <w:rPr>
          <w:rFonts w:ascii="Times New Roman" w:hAnsi="Times New Roman" w:cs="Times New Roman"/>
          <w:sz w:val="28"/>
          <w:szCs w:val="28"/>
        </w:rPr>
        <w:t xml:space="preserve">: </w:t>
      </w:r>
      <w:hyperlink r:id="rId104" w:history="1">
        <w:r w:rsidRPr="001141D3">
          <w:rPr>
            <w:rStyle w:val="a8"/>
            <w:rFonts w:ascii="Times New Roman" w:hAnsi="Times New Roman" w:cs="Times New Roman"/>
            <w:color w:val="auto"/>
            <w:sz w:val="28"/>
            <w:szCs w:val="28"/>
            <w:u w:val="none"/>
            <w:lang w:val="en-US"/>
          </w:rPr>
          <w:t>https</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www</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sudact</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ru</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arbitral</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doc</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AYqKbPLFLdHb</w:t>
        </w:r>
        <w:r w:rsidRPr="001141D3">
          <w:rPr>
            <w:rStyle w:val="a8"/>
            <w:rFonts w:ascii="Times New Roman" w:hAnsi="Times New Roman" w:cs="Times New Roman"/>
            <w:color w:val="auto"/>
            <w:sz w:val="28"/>
            <w:szCs w:val="28"/>
            <w:u w:val="none"/>
          </w:rPr>
          <w:t>/</w:t>
        </w:r>
      </w:hyperlink>
      <w:r w:rsidRPr="001141D3">
        <w:rPr>
          <w:rFonts w:ascii="Times New Roman" w:hAnsi="Times New Roman" w:cs="Times New Roman"/>
          <w:sz w:val="28"/>
          <w:szCs w:val="28"/>
        </w:rPr>
        <w:t xml:space="preserve">  </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Решение Арбитражного суда Новосибирской области от 11 октября 2017 г. по делу № А45-4137/2017 [Электронный ресурс] // Судебные и нормативные акты РФ. </w:t>
      </w:r>
      <w:r w:rsidRPr="001141D3">
        <w:rPr>
          <w:rFonts w:ascii="Times New Roman" w:hAnsi="Times New Roman" w:cs="Times New Roman"/>
          <w:sz w:val="28"/>
          <w:szCs w:val="28"/>
          <w:lang w:val="en-US"/>
        </w:rPr>
        <w:t>URL: https://www.sudact.ru/arbitral/doc/h7XB4ggVCWU8</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О взыскании задолженности. Решение Арбитражного суда Санкт-Петербурга и Ленинградской области от 8 августа 2017 г. по делу № А56-76714/2016 [Электронный ресурс] // Судебные и нормативные акты РФ. URL: </w:t>
      </w:r>
      <w:hyperlink r:id="rId105" w:history="1">
        <w:r w:rsidRPr="001141D3">
          <w:rPr>
            <w:rStyle w:val="a8"/>
            <w:rFonts w:ascii="Times New Roman" w:hAnsi="Times New Roman" w:cs="Times New Roman"/>
            <w:color w:val="auto"/>
            <w:sz w:val="28"/>
            <w:szCs w:val="28"/>
            <w:u w:val="none"/>
          </w:rPr>
          <w:t>https://www.sudact.ru/arbitral/doc/OzWX24iimoT</w:t>
        </w:r>
      </w:hyperlink>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долга. Решение Арбитражного суда Нижегородской области от 6 июля 2015 г. по делу № А43-7992/2015 [Электронный ресурс] // Судебные и нормативные акты РФ. </w:t>
      </w:r>
      <w:r w:rsidRPr="001141D3">
        <w:rPr>
          <w:rFonts w:ascii="Times New Roman" w:hAnsi="Times New Roman" w:cs="Times New Roman"/>
          <w:sz w:val="28"/>
          <w:szCs w:val="28"/>
          <w:lang w:val="en-US"/>
        </w:rPr>
        <w:t xml:space="preserve">URL: </w:t>
      </w:r>
      <w:hyperlink r:id="rId106" w:history="1">
        <w:r w:rsidRPr="001141D3">
          <w:rPr>
            <w:rStyle w:val="a8"/>
            <w:rFonts w:ascii="Times New Roman" w:hAnsi="Times New Roman" w:cs="Times New Roman"/>
            <w:color w:val="auto"/>
            <w:sz w:val="28"/>
            <w:szCs w:val="28"/>
            <w:u w:val="none"/>
            <w:lang w:val="en-US"/>
          </w:rPr>
          <w:t>https://www.sudact.ru/arbitral/doc/G6trHOjr26dX</w:t>
        </w:r>
      </w:hyperlink>
      <w:r w:rsidRPr="001141D3">
        <w:rPr>
          <w:rFonts w:ascii="Times New Roman" w:hAnsi="Times New Roman" w:cs="Times New Roman"/>
          <w:sz w:val="28"/>
          <w:szCs w:val="28"/>
        </w:rPr>
        <w:t xml:space="preserve"> </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О взыскании основного долга. Решение Арбитражного суда Псковской области от 30 августа 2018 г. по делу № А52-3756/2017 [Электронный ресурс] // Судебные и нормативные акты РФ.</w:t>
      </w:r>
      <w:r w:rsidRPr="001141D3">
        <w:rPr>
          <w:rFonts w:ascii="Times New Roman" w:hAnsi="Times New Roman" w:cs="Times New Roman"/>
          <w:sz w:val="28"/>
          <w:szCs w:val="28"/>
          <w:lang w:val="en-US"/>
        </w:rPr>
        <w:t>URL</w:t>
      </w:r>
      <w:r w:rsidRPr="001141D3">
        <w:rPr>
          <w:rFonts w:ascii="Times New Roman" w:hAnsi="Times New Roman" w:cs="Times New Roman"/>
          <w:sz w:val="28"/>
          <w:szCs w:val="28"/>
        </w:rPr>
        <w:t xml:space="preserve">: </w:t>
      </w:r>
      <w:hyperlink r:id="rId107" w:history="1">
        <w:r w:rsidRPr="001141D3">
          <w:rPr>
            <w:rStyle w:val="a8"/>
            <w:rFonts w:ascii="Times New Roman" w:hAnsi="Times New Roman" w:cs="Times New Roman"/>
            <w:color w:val="auto"/>
            <w:sz w:val="28"/>
            <w:szCs w:val="28"/>
            <w:u w:val="none"/>
            <w:lang w:val="en-US"/>
          </w:rPr>
          <w:t>https</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www</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sudact</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ru</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arbitral</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doc</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TR</w:t>
        </w:r>
        <w:r w:rsidRPr="001141D3">
          <w:rPr>
            <w:rStyle w:val="a8"/>
            <w:rFonts w:ascii="Times New Roman" w:hAnsi="Times New Roman" w:cs="Times New Roman"/>
            <w:color w:val="auto"/>
            <w:sz w:val="28"/>
            <w:szCs w:val="28"/>
            <w:u w:val="none"/>
          </w:rPr>
          <w:t>5</w:t>
        </w:r>
        <w:r w:rsidRPr="001141D3">
          <w:rPr>
            <w:rStyle w:val="a8"/>
            <w:rFonts w:ascii="Times New Roman" w:hAnsi="Times New Roman" w:cs="Times New Roman"/>
            <w:color w:val="auto"/>
            <w:sz w:val="28"/>
            <w:szCs w:val="28"/>
            <w:u w:val="none"/>
            <w:lang w:val="en-US"/>
          </w:rPr>
          <w:t>gF</w:t>
        </w:r>
        <w:r w:rsidRPr="001141D3">
          <w:rPr>
            <w:rStyle w:val="a8"/>
            <w:rFonts w:ascii="Times New Roman" w:hAnsi="Times New Roman" w:cs="Times New Roman"/>
            <w:color w:val="auto"/>
            <w:sz w:val="28"/>
            <w:szCs w:val="28"/>
            <w:u w:val="none"/>
          </w:rPr>
          <w:t>1</w:t>
        </w:r>
        <w:r w:rsidRPr="001141D3">
          <w:rPr>
            <w:rStyle w:val="a8"/>
            <w:rFonts w:ascii="Times New Roman" w:hAnsi="Times New Roman" w:cs="Times New Roman"/>
            <w:color w:val="auto"/>
            <w:sz w:val="28"/>
            <w:szCs w:val="28"/>
            <w:u w:val="none"/>
            <w:lang w:val="en-US"/>
          </w:rPr>
          <w:t>QLYoHj</w:t>
        </w:r>
      </w:hyperlink>
      <w:r w:rsidRPr="001141D3">
        <w:rPr>
          <w:rFonts w:ascii="Times New Roman" w:hAnsi="Times New Roman" w:cs="Times New Roman"/>
          <w:sz w:val="28"/>
          <w:szCs w:val="28"/>
        </w:rPr>
        <w:t xml:space="preserve"> </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О взыскании задолженности по договору. Решение Арбитражного суда Санкт-Петербурга и Ленинградской области от 9 августа 2018 г. по делу № А56-9313/2018 [Электронный ресурс] // Судебные и нормативные акты РФ. </w:t>
      </w:r>
      <w:r w:rsidRPr="001141D3">
        <w:rPr>
          <w:rFonts w:ascii="Times New Roman" w:hAnsi="Times New Roman" w:cs="Times New Roman"/>
          <w:sz w:val="28"/>
          <w:szCs w:val="28"/>
          <w:lang w:val="en-US"/>
        </w:rPr>
        <w:t>URL</w:t>
      </w:r>
      <w:r w:rsidRPr="001141D3">
        <w:rPr>
          <w:rFonts w:ascii="Times New Roman" w:hAnsi="Times New Roman" w:cs="Times New Roman"/>
          <w:sz w:val="28"/>
          <w:szCs w:val="28"/>
        </w:rPr>
        <w:t xml:space="preserve">: </w:t>
      </w:r>
      <w:hyperlink r:id="rId108" w:history="1">
        <w:r w:rsidRPr="001141D3">
          <w:rPr>
            <w:rStyle w:val="a8"/>
            <w:rFonts w:ascii="Times New Roman" w:hAnsi="Times New Roman" w:cs="Times New Roman"/>
            <w:color w:val="auto"/>
            <w:sz w:val="28"/>
            <w:szCs w:val="28"/>
            <w:u w:val="none"/>
            <w:lang w:val="en-US"/>
          </w:rPr>
          <w:t>https</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www</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sudact</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ru</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arbitral</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doc</w:t>
        </w:r>
        <w:r w:rsidRPr="001141D3">
          <w:rPr>
            <w:rStyle w:val="a8"/>
            <w:rFonts w:ascii="Times New Roman" w:hAnsi="Times New Roman" w:cs="Times New Roman"/>
            <w:color w:val="auto"/>
            <w:sz w:val="28"/>
            <w:szCs w:val="28"/>
            <w:u w:val="none"/>
          </w:rPr>
          <w:t>/</w:t>
        </w:r>
        <w:r w:rsidRPr="001141D3">
          <w:rPr>
            <w:rStyle w:val="a8"/>
            <w:rFonts w:ascii="Times New Roman" w:hAnsi="Times New Roman" w:cs="Times New Roman"/>
            <w:color w:val="auto"/>
            <w:sz w:val="28"/>
            <w:szCs w:val="28"/>
            <w:u w:val="none"/>
            <w:lang w:val="en-US"/>
          </w:rPr>
          <w:t>Tbf</w:t>
        </w:r>
        <w:r w:rsidRPr="001141D3">
          <w:rPr>
            <w:rStyle w:val="a8"/>
            <w:rFonts w:ascii="Times New Roman" w:hAnsi="Times New Roman" w:cs="Times New Roman"/>
            <w:color w:val="auto"/>
            <w:sz w:val="28"/>
            <w:szCs w:val="28"/>
            <w:u w:val="none"/>
          </w:rPr>
          <w:t>8</w:t>
        </w:r>
        <w:r w:rsidRPr="001141D3">
          <w:rPr>
            <w:rStyle w:val="a8"/>
            <w:rFonts w:ascii="Times New Roman" w:hAnsi="Times New Roman" w:cs="Times New Roman"/>
            <w:color w:val="auto"/>
            <w:sz w:val="28"/>
            <w:szCs w:val="28"/>
            <w:u w:val="none"/>
            <w:lang w:val="en-US"/>
          </w:rPr>
          <w:t>ltr</w:t>
        </w:r>
        <w:r w:rsidRPr="001141D3">
          <w:rPr>
            <w:rStyle w:val="a8"/>
            <w:rFonts w:ascii="Times New Roman" w:hAnsi="Times New Roman" w:cs="Times New Roman"/>
            <w:color w:val="auto"/>
            <w:sz w:val="28"/>
            <w:szCs w:val="28"/>
            <w:u w:val="none"/>
          </w:rPr>
          <w:t>5</w:t>
        </w:r>
        <w:r w:rsidRPr="001141D3">
          <w:rPr>
            <w:rStyle w:val="a8"/>
            <w:rFonts w:ascii="Times New Roman" w:hAnsi="Times New Roman" w:cs="Times New Roman"/>
            <w:color w:val="auto"/>
            <w:sz w:val="28"/>
            <w:szCs w:val="28"/>
            <w:u w:val="none"/>
            <w:lang w:val="en-US"/>
          </w:rPr>
          <w:t>RRLr</w:t>
        </w:r>
      </w:hyperlink>
      <w:r w:rsidRPr="001141D3">
        <w:rPr>
          <w:rFonts w:ascii="Times New Roman" w:hAnsi="Times New Roman" w:cs="Times New Roman"/>
          <w:sz w:val="28"/>
          <w:szCs w:val="28"/>
        </w:rPr>
        <w:t xml:space="preserve"> </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О взыскании задолженности. Решение Арбитражного суда города Москвы от 23 января 2018 г. по делу № А40-18915/2016  [Электронный ресурс] // Судебные и нормативные акты РФ. </w:t>
      </w:r>
      <w:r w:rsidRPr="001141D3">
        <w:rPr>
          <w:rFonts w:ascii="Times New Roman" w:hAnsi="Times New Roman" w:cs="Times New Roman"/>
          <w:sz w:val="28"/>
          <w:szCs w:val="28"/>
          <w:lang w:val="en-US"/>
        </w:rPr>
        <w:t>URL</w:t>
      </w:r>
      <w:r w:rsidRPr="001141D3">
        <w:rPr>
          <w:rFonts w:ascii="Times New Roman" w:hAnsi="Times New Roman" w:cs="Times New Roman"/>
          <w:sz w:val="28"/>
          <w:szCs w:val="28"/>
        </w:rPr>
        <w:t xml:space="preserve">: </w:t>
      </w:r>
      <w:r w:rsidRPr="001141D3">
        <w:rPr>
          <w:rFonts w:ascii="Times New Roman" w:hAnsi="Times New Roman" w:cs="Times New Roman"/>
          <w:sz w:val="28"/>
          <w:szCs w:val="28"/>
          <w:lang w:val="en-US"/>
        </w:rPr>
        <w:t>https</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www</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sudact</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ru</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arbitral</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doc</w:t>
      </w:r>
      <w:r w:rsidRPr="001141D3">
        <w:rPr>
          <w:rFonts w:ascii="Times New Roman" w:hAnsi="Times New Roman" w:cs="Times New Roman"/>
          <w:sz w:val="28"/>
          <w:szCs w:val="28"/>
        </w:rPr>
        <w:t>/6</w:t>
      </w:r>
      <w:r w:rsidRPr="001141D3">
        <w:rPr>
          <w:rFonts w:ascii="Times New Roman" w:hAnsi="Times New Roman" w:cs="Times New Roman"/>
          <w:sz w:val="28"/>
          <w:szCs w:val="28"/>
          <w:lang w:val="en-US"/>
        </w:rPr>
        <w:t>cVuCS</w:t>
      </w:r>
      <w:r w:rsidRPr="001141D3">
        <w:rPr>
          <w:rFonts w:ascii="Times New Roman" w:hAnsi="Times New Roman" w:cs="Times New Roman"/>
          <w:sz w:val="28"/>
          <w:szCs w:val="28"/>
        </w:rPr>
        <w:t>2</w:t>
      </w:r>
      <w:r w:rsidRPr="001141D3">
        <w:rPr>
          <w:rFonts w:ascii="Times New Roman" w:hAnsi="Times New Roman" w:cs="Times New Roman"/>
          <w:sz w:val="28"/>
          <w:szCs w:val="28"/>
          <w:lang w:val="en-US"/>
        </w:rPr>
        <w:t>of</w:t>
      </w:r>
      <w:r w:rsidRPr="001141D3">
        <w:rPr>
          <w:rFonts w:ascii="Times New Roman" w:hAnsi="Times New Roman" w:cs="Times New Roman"/>
          <w:sz w:val="28"/>
          <w:szCs w:val="28"/>
        </w:rPr>
        <w:t>85</w:t>
      </w:r>
      <w:r w:rsidRPr="001141D3">
        <w:rPr>
          <w:rFonts w:ascii="Times New Roman" w:hAnsi="Times New Roman" w:cs="Times New Roman"/>
          <w:sz w:val="28"/>
          <w:szCs w:val="28"/>
          <w:lang w:val="en-US"/>
        </w:rPr>
        <w:t>X</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долга. Решение Арбитражного суда Удмуртской Республики от 13 декабря 2017 г. по делу № А71-10787/2017 [Электронный ресурс] // Судебные и нормативные акты РФ. </w:t>
      </w:r>
      <w:r w:rsidRPr="001141D3">
        <w:rPr>
          <w:rFonts w:ascii="Times New Roman" w:hAnsi="Times New Roman" w:cs="Times New Roman"/>
          <w:sz w:val="28"/>
          <w:szCs w:val="28"/>
          <w:lang w:val="en-US"/>
        </w:rPr>
        <w:t xml:space="preserve">URL: </w:t>
      </w:r>
      <w:hyperlink r:id="rId109" w:history="1">
        <w:r w:rsidRPr="001141D3">
          <w:rPr>
            <w:rStyle w:val="a8"/>
            <w:rFonts w:ascii="Times New Roman" w:hAnsi="Times New Roman" w:cs="Times New Roman"/>
            <w:color w:val="auto"/>
            <w:sz w:val="28"/>
            <w:szCs w:val="28"/>
            <w:u w:val="none"/>
            <w:lang w:val="en-US"/>
          </w:rPr>
          <w:t>https://www.sudact.ru/arbitral/doc/Rh2zPuSDfaN</w:t>
        </w:r>
      </w:hyperlink>
      <w:r w:rsidRPr="001141D3">
        <w:rPr>
          <w:rFonts w:ascii="Times New Roman" w:hAnsi="Times New Roman" w:cs="Times New Roman"/>
          <w:sz w:val="28"/>
          <w:szCs w:val="28"/>
        </w:rPr>
        <w:t xml:space="preserve"> </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 О взыскании задолженности. Решение Арбитражного суда Санкт-Петербурга и Ленинградской области от 3 июля 2017 г. по делу № А56-19658/2017 [Электронный ресурс] // Судебные и нормативные акты РФ. </w:t>
      </w:r>
      <w:r w:rsidRPr="001141D3">
        <w:rPr>
          <w:rFonts w:ascii="Times New Roman" w:hAnsi="Times New Roman" w:cs="Times New Roman"/>
          <w:sz w:val="28"/>
          <w:szCs w:val="28"/>
          <w:lang w:val="en-US"/>
        </w:rPr>
        <w:t>URL</w:t>
      </w:r>
      <w:r w:rsidRPr="001141D3">
        <w:rPr>
          <w:rFonts w:ascii="Times New Roman" w:hAnsi="Times New Roman" w:cs="Times New Roman"/>
          <w:sz w:val="28"/>
          <w:szCs w:val="28"/>
        </w:rPr>
        <w:t xml:space="preserve">: </w:t>
      </w:r>
      <w:r w:rsidRPr="001141D3">
        <w:rPr>
          <w:rFonts w:ascii="Times New Roman" w:hAnsi="Times New Roman" w:cs="Times New Roman"/>
          <w:sz w:val="28"/>
          <w:szCs w:val="28"/>
          <w:lang w:val="en-US"/>
        </w:rPr>
        <w:t>https</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www</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sudact</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ru</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arbitral</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doc</w:t>
      </w:r>
      <w:r w:rsidRPr="001141D3">
        <w:rPr>
          <w:rFonts w:ascii="Times New Roman" w:hAnsi="Times New Roman" w:cs="Times New Roman"/>
          <w:sz w:val="28"/>
          <w:szCs w:val="28"/>
        </w:rPr>
        <w:t>/</w:t>
      </w:r>
      <w:r w:rsidRPr="001141D3">
        <w:rPr>
          <w:rFonts w:ascii="Times New Roman" w:hAnsi="Times New Roman" w:cs="Times New Roman"/>
          <w:sz w:val="28"/>
          <w:szCs w:val="28"/>
          <w:lang w:val="en-US"/>
        </w:rPr>
        <w:t>z</w:t>
      </w:r>
      <w:r w:rsidRPr="001141D3">
        <w:rPr>
          <w:rFonts w:ascii="Times New Roman" w:hAnsi="Times New Roman" w:cs="Times New Roman"/>
          <w:sz w:val="28"/>
          <w:szCs w:val="28"/>
        </w:rPr>
        <w:t>3</w:t>
      </w:r>
      <w:r w:rsidRPr="001141D3">
        <w:rPr>
          <w:rFonts w:ascii="Times New Roman" w:hAnsi="Times New Roman" w:cs="Times New Roman"/>
          <w:sz w:val="28"/>
          <w:szCs w:val="28"/>
          <w:lang w:val="en-US"/>
        </w:rPr>
        <w:t>nIiIHQwidH</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О взыскании задолженности. Решение Арбитражного суда Санкт-Петербурга и Ленинградской области от 14 декабря 2017 г. по делу № А56-60634/2017 [Электронный ресурс] // Судебные и нормативные акты РФ. URL: https://www.sudact.ru/arbitral/doc/rxChQR57ZIYu</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Постановление города Ростов-на-Дону от 18 марта 2015 г. по делу № А32-16598/2014 [Электронный ресурс] // Судебные и нормативные акты РФ. </w:t>
      </w:r>
      <w:r w:rsidRPr="001141D3">
        <w:rPr>
          <w:rFonts w:ascii="Times New Roman" w:hAnsi="Times New Roman" w:cs="Times New Roman"/>
          <w:sz w:val="28"/>
          <w:szCs w:val="28"/>
          <w:lang w:val="en-US"/>
        </w:rPr>
        <w:t>URL: https://www.sudact.ru/arbitral/doc/IJBTUxbiqO1</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основного долга. Решение Арбитражного суда Белгородской области от 8 сентября 2017 г. по делу № А08-529/2017 [Электронный ресурс] // Судебные и нормативные акты РФ. </w:t>
      </w:r>
      <w:r w:rsidRPr="001141D3">
        <w:rPr>
          <w:rFonts w:ascii="Times New Roman" w:hAnsi="Times New Roman" w:cs="Times New Roman"/>
          <w:sz w:val="28"/>
          <w:szCs w:val="28"/>
          <w:lang w:val="en-US"/>
        </w:rPr>
        <w:t xml:space="preserve">URL: </w:t>
      </w:r>
      <w:hyperlink r:id="rId110" w:history="1">
        <w:r w:rsidRPr="001141D3">
          <w:rPr>
            <w:rStyle w:val="a8"/>
            <w:rFonts w:ascii="Times New Roman" w:hAnsi="Times New Roman" w:cs="Times New Roman"/>
            <w:color w:val="auto"/>
            <w:sz w:val="28"/>
            <w:szCs w:val="28"/>
            <w:u w:val="none"/>
            <w:lang w:val="en-US"/>
          </w:rPr>
          <w:t>https://www.sudact.ru/arbitral/doc/gz0h1GYhaU1L</w:t>
        </w:r>
      </w:hyperlink>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 О взыскании долга. Решение Арбитражного суда Санкт-Петербурга и Ленинградской области от 18 июля 2017 г. по делу № А56-13444/2017 [Электронный ресурс] // Судебные и нормативные акты РФ. URL: </w:t>
      </w:r>
      <w:hyperlink r:id="rId111" w:history="1">
        <w:r w:rsidRPr="001141D3">
          <w:rPr>
            <w:rStyle w:val="a8"/>
            <w:rFonts w:ascii="Times New Roman" w:hAnsi="Times New Roman" w:cs="Times New Roman"/>
            <w:color w:val="auto"/>
            <w:sz w:val="28"/>
            <w:szCs w:val="28"/>
            <w:u w:val="none"/>
          </w:rPr>
          <w:t>https://www.sudact.ru/arbitral/doc/IbYtMYmmJVbW</w:t>
        </w:r>
      </w:hyperlink>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Решение Арбитражного суда Смоленской области от 16 июня 2017 г. по делу № А62-6182/2016 [Электронный ресурс] // Судебные и нормативные акты РФ. </w:t>
      </w:r>
      <w:r w:rsidRPr="001141D3">
        <w:rPr>
          <w:rFonts w:ascii="Times New Roman" w:hAnsi="Times New Roman" w:cs="Times New Roman"/>
          <w:sz w:val="28"/>
          <w:szCs w:val="28"/>
          <w:lang w:val="en-US"/>
        </w:rPr>
        <w:t>URL: https://www.sudact.ru/arbitral/doc/gfAJfoHPQ4p</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rPr>
      </w:pPr>
      <w:r w:rsidRPr="001141D3">
        <w:rPr>
          <w:rFonts w:ascii="Times New Roman" w:hAnsi="Times New Roman" w:cs="Times New Roman"/>
          <w:sz w:val="28"/>
          <w:szCs w:val="28"/>
        </w:rPr>
        <w:t xml:space="preserve">Арбитражный процессуальный кодекс Российской Федерации: федеральный закон от 24.07.2002 № 95-ФЗ [Электронный ресурс] // СПС «КонсультантПлюс». URL: </w:t>
      </w:r>
      <w:hyperlink r:id="rId112" w:history="1">
        <w:r w:rsidRPr="001141D3">
          <w:rPr>
            <w:rStyle w:val="a8"/>
            <w:rFonts w:ascii="Times New Roman" w:hAnsi="Times New Roman" w:cs="Times New Roman"/>
            <w:color w:val="auto"/>
            <w:sz w:val="28"/>
            <w:szCs w:val="28"/>
            <w:u w:val="none"/>
          </w:rPr>
          <w:t>http://www.consultant.ru/document/cons_doc_LAW_37800/</w:t>
        </w:r>
      </w:hyperlink>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Об обязании уменьшить покупную стоимость оборудования. Решение Арбитражного суда города Москвы от 30 октября 2017 г. по делу № А40-243533/2016 [Электронный ресурс] // Судебные и нормативные акты РФ. </w:t>
      </w:r>
      <w:r w:rsidRPr="001141D3">
        <w:rPr>
          <w:rFonts w:ascii="Times New Roman" w:hAnsi="Times New Roman" w:cs="Times New Roman"/>
          <w:sz w:val="28"/>
          <w:szCs w:val="28"/>
          <w:lang w:val="en-US"/>
        </w:rPr>
        <w:lastRenderedPageBreak/>
        <w:t>URL:</w:t>
      </w:r>
      <w:r w:rsidRPr="001141D3">
        <w:rPr>
          <w:rFonts w:ascii="Times New Roman" w:hAnsi="Times New Roman" w:cs="Times New Roman"/>
          <w:sz w:val="28"/>
          <w:szCs w:val="28"/>
        </w:rPr>
        <w:t xml:space="preserve"> </w:t>
      </w:r>
      <w:r w:rsidRPr="001141D3">
        <w:rPr>
          <w:rFonts w:ascii="Times New Roman" w:hAnsi="Times New Roman" w:cs="Times New Roman"/>
          <w:sz w:val="28"/>
          <w:szCs w:val="28"/>
          <w:lang w:val="en-US"/>
        </w:rPr>
        <w:t xml:space="preserve">https://www.sudact.ru/arbitral/doc/VierXbpiGHLx </w:t>
      </w:r>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задолженности, процентов за пользование чужими денежными средствами: постановление Президиума ВАС РФ от 01.10.2013 № 5050/13 по делу № А60-19668/2012 [Электронный ресурс] // СПС «КонсультантПлюс». </w:t>
      </w:r>
      <w:r w:rsidRPr="001141D3">
        <w:rPr>
          <w:rFonts w:ascii="Times New Roman" w:hAnsi="Times New Roman" w:cs="Times New Roman"/>
          <w:sz w:val="28"/>
          <w:szCs w:val="28"/>
          <w:lang w:val="en-US"/>
        </w:rPr>
        <w:t xml:space="preserve">URL: </w:t>
      </w:r>
      <w:hyperlink r:id="rId113" w:anchor="04889687411658721" w:history="1">
        <w:r w:rsidRPr="001141D3">
          <w:rPr>
            <w:rStyle w:val="a8"/>
            <w:rFonts w:ascii="Times New Roman" w:hAnsi="Times New Roman" w:cs="Times New Roman"/>
            <w:color w:val="auto"/>
            <w:sz w:val="28"/>
            <w:szCs w:val="28"/>
            <w:u w:val="none"/>
            <w:lang w:val="en-US"/>
          </w:rPr>
          <w:t>http://www.consultant.ru/cons/cgi/online.cgi?req=doc&amp;base=ARB002&amp;n=371211#04889687411658721</w:t>
        </w:r>
      </w:hyperlink>
    </w:p>
    <w:p w:rsidR="001F2239" w:rsidRPr="001141D3" w:rsidRDefault="001F2239" w:rsidP="007F4EC1">
      <w:pPr>
        <w:pStyle w:val="a7"/>
        <w:widowControl w:val="0"/>
        <w:numPr>
          <w:ilvl w:val="0"/>
          <w:numId w:val="17"/>
        </w:numPr>
        <w:spacing w:after="0" w:line="240" w:lineRule="auto"/>
        <w:ind w:left="0" w:firstLine="709"/>
        <w:jc w:val="both"/>
        <w:rPr>
          <w:rFonts w:ascii="Times New Roman" w:hAnsi="Times New Roman" w:cs="Times New Roman"/>
          <w:sz w:val="28"/>
          <w:szCs w:val="28"/>
          <w:lang w:val="en-US"/>
        </w:rPr>
      </w:pPr>
      <w:r w:rsidRPr="001141D3">
        <w:rPr>
          <w:rFonts w:ascii="Times New Roman" w:hAnsi="Times New Roman" w:cs="Times New Roman"/>
          <w:sz w:val="28"/>
          <w:szCs w:val="28"/>
        </w:rPr>
        <w:t xml:space="preserve">О взыскании штрафа. Решение Арбитражного суда Ростовской области от 2 июля 2018 г. по делу № А53-28376/2017 [Электронный ресурс] // Судебные и нормативные акты РФ. </w:t>
      </w:r>
      <w:r w:rsidRPr="001141D3">
        <w:rPr>
          <w:rFonts w:ascii="Times New Roman" w:hAnsi="Times New Roman" w:cs="Times New Roman"/>
          <w:sz w:val="28"/>
          <w:szCs w:val="28"/>
          <w:lang w:val="en-US"/>
        </w:rPr>
        <w:t xml:space="preserve">URL: </w:t>
      </w:r>
      <w:hyperlink r:id="rId114" w:history="1">
        <w:r w:rsidRPr="001141D3">
          <w:rPr>
            <w:rStyle w:val="a8"/>
            <w:rFonts w:ascii="Times New Roman" w:hAnsi="Times New Roman" w:cs="Times New Roman"/>
            <w:color w:val="auto"/>
            <w:sz w:val="28"/>
            <w:szCs w:val="28"/>
            <w:u w:val="none"/>
            <w:lang w:val="en-US"/>
          </w:rPr>
          <w:t>https://www.sudact.ru/arbitral/doc/ccB2Ov18J8LU</w:t>
        </w:r>
      </w:hyperlink>
      <w:r w:rsidRPr="001141D3">
        <w:rPr>
          <w:rFonts w:ascii="Times New Roman" w:hAnsi="Times New Roman" w:cs="Times New Roman"/>
          <w:sz w:val="28"/>
          <w:szCs w:val="28"/>
        </w:rPr>
        <w:t xml:space="preserve"> </w:t>
      </w:r>
    </w:p>
    <w:p w:rsidR="001F2239" w:rsidRPr="001141D3" w:rsidRDefault="001F2239" w:rsidP="005A3DF4">
      <w:pPr>
        <w:widowControl w:val="0"/>
        <w:spacing w:after="0" w:line="240" w:lineRule="auto"/>
        <w:ind w:firstLine="709"/>
        <w:jc w:val="both"/>
        <w:rPr>
          <w:rFonts w:ascii="Times New Roman" w:hAnsi="Times New Roman"/>
          <w:sz w:val="28"/>
          <w:szCs w:val="28"/>
          <w:lang w:val="en-US"/>
        </w:rPr>
      </w:pPr>
    </w:p>
    <w:p w:rsidR="001F2239" w:rsidRPr="00467B95" w:rsidRDefault="001F2239" w:rsidP="005A3DF4">
      <w:pPr>
        <w:widowControl w:val="0"/>
        <w:shd w:val="clear" w:color="auto" w:fill="FFFFFF"/>
        <w:spacing w:after="0" w:line="240" w:lineRule="auto"/>
        <w:ind w:firstLine="709"/>
        <w:contextualSpacing/>
        <w:jc w:val="center"/>
        <w:rPr>
          <w:rFonts w:ascii="Times New Roman" w:hAnsi="Times New Roman"/>
          <w:b/>
          <w:sz w:val="28"/>
          <w:szCs w:val="28"/>
        </w:rPr>
      </w:pPr>
      <w:r w:rsidRPr="00467B95">
        <w:rPr>
          <w:rFonts w:ascii="Times New Roman" w:hAnsi="Times New Roman"/>
          <w:b/>
          <w:sz w:val="28"/>
          <w:szCs w:val="28"/>
        </w:rPr>
        <w:t>Проблемы правового регулирования исполнения алиментных обязательств</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kern w:val="36"/>
          <w:sz w:val="28"/>
          <w:szCs w:val="28"/>
          <w:lang w:eastAsia="ru-RU"/>
        </w:rPr>
      </w:pPr>
      <w:r w:rsidRPr="00467B95">
        <w:rPr>
          <w:rFonts w:ascii="Times New Roman" w:eastAsia="Times New Roman" w:hAnsi="Times New Roman"/>
          <w:color w:val="000000"/>
          <w:kern w:val="36"/>
          <w:sz w:val="28"/>
          <w:szCs w:val="28"/>
          <w:lang w:eastAsia="ru-RU"/>
        </w:rPr>
        <w:t>Тычино Полина Сергеевна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kern w:val="36"/>
          <w:sz w:val="28"/>
          <w:szCs w:val="28"/>
          <w:lang w:eastAsia="ru-RU"/>
        </w:rPr>
      </w:pPr>
      <w:r w:rsidRPr="00467B95">
        <w:rPr>
          <w:rFonts w:ascii="Times New Roman" w:eastAsia="Times New Roman" w:hAnsi="Times New Roman"/>
          <w:color w:val="000000"/>
          <w:kern w:val="36"/>
          <w:sz w:val="28"/>
          <w:szCs w:val="28"/>
          <w:lang w:eastAsia="ru-RU"/>
        </w:rPr>
        <w:t>БЮП 15-03 группы, 4 курса Институт права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1F2239" w:rsidRPr="00467B95" w:rsidRDefault="001F2239" w:rsidP="005A3DF4">
      <w:pPr>
        <w:pStyle w:val="ac"/>
        <w:widowControl w:val="0"/>
        <w:ind w:firstLine="709"/>
        <w:jc w:val="both"/>
        <w:rPr>
          <w:rFonts w:ascii="Times New Roman" w:hAnsi="Times New Roman" w:cs="Times New Roman"/>
          <w:i/>
          <w:sz w:val="28"/>
          <w:szCs w:val="28"/>
        </w:rPr>
      </w:pPr>
      <w:r w:rsidRPr="00467B95">
        <w:rPr>
          <w:rFonts w:ascii="Times New Roman" w:eastAsia="Times New Roman" w:hAnsi="Times New Roman" w:cs="Times New Roman"/>
          <w:i/>
          <w:kern w:val="36"/>
          <w:sz w:val="28"/>
          <w:szCs w:val="28"/>
          <w:lang w:eastAsia="ru-RU"/>
        </w:rPr>
        <w:t xml:space="preserve">Статья посвящена </w:t>
      </w:r>
      <w:r w:rsidRPr="00467B95">
        <w:rPr>
          <w:rFonts w:ascii="Times New Roman" w:hAnsi="Times New Roman" w:cs="Times New Roman"/>
          <w:i/>
          <w:sz w:val="28"/>
          <w:szCs w:val="28"/>
        </w:rPr>
        <w:t xml:space="preserve">проблемам правового регулирования исполнения алиментных обязательств. Регулирование алиментных отношений в Российской Федерации осуществляется семейным законодательством, основанное на нормах Конституции РФ. Кроме того, алиментные обязательства регулируется достаточно обширно законодательством Российской Федерации, среди которых можно выделить Семейный Кодекс, Гражданский Кодекс, Постановления Правительства, но однако все же в рамках правового регулирования алиментных обязательств в Семейном праве возникает ряд споров и противоречий. </w:t>
      </w:r>
    </w:p>
    <w:p w:rsidR="001141D3" w:rsidRDefault="001141D3" w:rsidP="005A3DF4">
      <w:pPr>
        <w:pStyle w:val="ac"/>
        <w:widowControl w:val="0"/>
        <w:ind w:firstLine="709"/>
        <w:jc w:val="both"/>
        <w:rPr>
          <w:rFonts w:ascii="Times New Roman" w:eastAsia="Times New Roman" w:hAnsi="Times New Roman" w:cs="Times New Roman"/>
          <w:i/>
          <w:kern w:val="36"/>
          <w:sz w:val="28"/>
          <w:szCs w:val="28"/>
          <w:lang w:eastAsia="ru-RU"/>
        </w:rPr>
      </w:pPr>
    </w:p>
    <w:p w:rsidR="001F2239" w:rsidRPr="00467B95" w:rsidRDefault="001F2239" w:rsidP="005A3DF4">
      <w:pPr>
        <w:pStyle w:val="ac"/>
        <w:widowControl w:val="0"/>
        <w:ind w:firstLine="709"/>
        <w:jc w:val="both"/>
        <w:rPr>
          <w:rFonts w:ascii="Times New Roman" w:hAnsi="Times New Roman" w:cs="Times New Roman"/>
          <w:i/>
          <w:sz w:val="28"/>
          <w:szCs w:val="28"/>
        </w:rPr>
      </w:pPr>
      <w:r w:rsidRPr="001141D3">
        <w:rPr>
          <w:rFonts w:ascii="Times New Roman" w:eastAsia="Times New Roman" w:hAnsi="Times New Roman" w:cs="Times New Roman"/>
          <w:i/>
          <w:kern w:val="36"/>
          <w:sz w:val="28"/>
          <w:szCs w:val="28"/>
          <w:lang w:eastAsia="ru-RU"/>
        </w:rPr>
        <w:t xml:space="preserve">Ключевые слова и словосочетания: </w:t>
      </w:r>
      <w:r w:rsidRPr="00467B95">
        <w:rPr>
          <w:rFonts w:ascii="Times New Roman" w:eastAsia="Times New Roman" w:hAnsi="Times New Roman" w:cs="Times New Roman"/>
          <w:i/>
          <w:kern w:val="36"/>
          <w:sz w:val="28"/>
          <w:szCs w:val="28"/>
          <w:lang w:eastAsia="ru-RU"/>
        </w:rPr>
        <w:t>алименты, семейное право, правовое регулирование алиментных обязательств, проблемы, законодательство.</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b/>
          <w:color w:val="212121"/>
          <w:sz w:val="28"/>
          <w:szCs w:val="28"/>
          <w:lang w:val="en-US" w:eastAsia="ru-RU"/>
        </w:rPr>
      </w:pPr>
      <w:r w:rsidRPr="00467B95">
        <w:rPr>
          <w:rFonts w:ascii="Times New Roman" w:eastAsia="Times New Roman" w:hAnsi="Times New Roman"/>
          <w:b/>
          <w:color w:val="212121"/>
          <w:sz w:val="28"/>
          <w:szCs w:val="28"/>
          <w:lang w:val="en-US" w:eastAsia="ru-RU"/>
        </w:rPr>
        <w:t>Problems of legal regulation of the fulfillment of maintenance obligations</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kern w:val="36"/>
          <w:sz w:val="28"/>
          <w:szCs w:val="28"/>
          <w:lang w:val="en-US" w:eastAsia="ru-RU"/>
        </w:rPr>
      </w:pPr>
      <w:r w:rsidRPr="00467B95">
        <w:rPr>
          <w:rFonts w:ascii="Times New Roman" w:eastAsia="Times New Roman" w:hAnsi="Times New Roman"/>
          <w:color w:val="000000"/>
          <w:kern w:val="36"/>
          <w:sz w:val="28"/>
          <w:szCs w:val="28"/>
          <w:lang w:val="en-US" w:eastAsia="ru-RU"/>
        </w:rPr>
        <w:t>Tychino Polina Sergeevna</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kern w:val="36"/>
          <w:sz w:val="28"/>
          <w:szCs w:val="28"/>
          <w:lang w:val="en-US" w:eastAsia="ru-RU"/>
        </w:rPr>
      </w:pPr>
      <w:r w:rsidRPr="00467B95">
        <w:rPr>
          <w:rFonts w:ascii="Times New Roman" w:eastAsia="Times New Roman" w:hAnsi="Times New Roman"/>
          <w:color w:val="000000"/>
          <w:kern w:val="36"/>
          <w:sz w:val="28"/>
          <w:szCs w:val="28"/>
          <w:lang w:val="en-US" w:eastAsia="ru-RU"/>
        </w:rPr>
        <w:t>BUP 15-03 group, 4 course, Institute of law</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State University of Economics and Service</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 xml:space="preserve">The article is devoted to the problems of legal regulation of the fulfillment of maintenance obligations. The regulation of alimony relations in the Russian </w:t>
      </w:r>
      <w:r w:rsidRPr="00467B95">
        <w:rPr>
          <w:rFonts w:ascii="Times New Roman" w:eastAsia="Times New Roman" w:hAnsi="Times New Roman"/>
          <w:i/>
          <w:kern w:val="36"/>
          <w:sz w:val="28"/>
          <w:szCs w:val="28"/>
          <w:lang w:val="en-US" w:eastAsia="ru-RU"/>
        </w:rPr>
        <w:lastRenderedPageBreak/>
        <w:t>Federation is carried out by family legislation, based on the norms of the Constitution of the Russian Federation. In addition, maintenance obligations are regulated quite extensively by the legislation of the Russian Federation, among which are the Family Code, the Civil Code, Government Decrees, but nevertheless, within the framework of the legal regulation of maintenance obligations, a number of disputes and contradictions arise in Family Law.</w:t>
      </w:r>
    </w:p>
    <w:p w:rsidR="001F2239" w:rsidRPr="00467B95" w:rsidRDefault="001F2239"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1141D3">
        <w:rPr>
          <w:rFonts w:ascii="Times New Roman" w:eastAsia="Times New Roman" w:hAnsi="Times New Roman"/>
          <w:i/>
          <w:kern w:val="36"/>
          <w:sz w:val="28"/>
          <w:szCs w:val="28"/>
          <w:lang w:val="en-US" w:eastAsia="ru-RU"/>
        </w:rPr>
        <w:t>Keywords and phrases</w:t>
      </w:r>
      <w:r w:rsidRPr="00467B95">
        <w:rPr>
          <w:rFonts w:ascii="Times New Roman" w:eastAsia="Times New Roman" w:hAnsi="Times New Roman"/>
          <w:i/>
          <w:kern w:val="36"/>
          <w:sz w:val="28"/>
          <w:szCs w:val="28"/>
          <w:lang w:val="en-US" w:eastAsia="ru-RU"/>
        </w:rPr>
        <w:t xml:space="preserve">: alimony, family law, legal regulation of maintenance obligations, problems, </w:t>
      </w:r>
      <w:r w:rsidRPr="00467B95">
        <w:rPr>
          <w:rFonts w:ascii="Times New Roman" w:hAnsi="Times New Roman"/>
          <w:i/>
          <w:color w:val="000000"/>
          <w:sz w:val="28"/>
          <w:szCs w:val="28"/>
          <w:lang w:val="en-US"/>
        </w:rPr>
        <w:t>legislation.</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val="en-US" w:eastAsia="ru-RU"/>
        </w:rPr>
      </w:pP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Регулирование алиментных отношений в Российской Федерации осуществляется семейным законодательством, основанное на нормах Конституции РФ. Кроме того, алиментные обязательства регулируется достаточно обширно законодательством Российской Федерации, среди которых можно выделить Семейный Кодекс, Гражданский Кодекс, Постановления Правительства.</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Основное нормативно-правовое регулирование осуществляется Семейным Кодексом РФ в разделе 5, в котором закреплены основания возникновения алиментных обязательств. Раздел 5 Семейного кодекса Российской Федерации (СК РФ), именуемый «Алиментные обязательства членов семьи», содержит основные правила, регламентирующие виды алиментных обязательств, порядок уплаты и взыскания алиментов, в том числе на основании соглашения об уплате алиментов, а также определения задолженности по алиментам и выплаты неустойки.</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рамках Семейного права выделяют 3 группы алиментных обязательств. Все они предусмотрены Семейным кодексом Российской Федерации:</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-алиментные обязательства родителей и детей (глава 13 СК РФ);</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-алиментные обязательства супругов и бывших супругов (глава 14 СК РФ);</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-алиментные обязательства других членов семьи (глава 15 СК РФ).</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При этом под другими членами семьи подразумеваются обязанности: братьев и сестер (ст. 93 СК РФ), дедушки и бабушки (ст. 94 СК РФ), внуков (ст. 95 СК РФ), пасынков и падчериц (ст. 97 СК РФ).</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рамках Гражданского Кодекса обеспечивается своевременная и полная уплата алиментов, а ответственность за несвоевременное выполнения обязательства стимулирует должников. Так, глава 25 Гражданского кодекса РФ регулирует ответственность за несвоевременную уплату алиментов.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тоже время, размер же алиментов, взыскиваемых в судебном порядке, регламентирован статьей 81 Семейного кодекса РФ и составляет одну четверть заработной платы на одного ребенка, одну треть на двух детей и половину заработной платы или иного дохода на трех и более детей. Но не от всех доходов исчисляется данная доля.</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Существует определенный перечень видов заработной платы и иных </w:t>
      </w:r>
      <w:r w:rsidRPr="00467B95">
        <w:rPr>
          <w:rFonts w:ascii="Times New Roman" w:hAnsi="Times New Roman" w:cs="Times New Roman"/>
          <w:sz w:val="28"/>
          <w:szCs w:val="28"/>
        </w:rPr>
        <w:lastRenderedPageBreak/>
        <w:t>доходов, из которых производится удержание. Данный перечень был опубликован в Постановлении Правительства № 841 от 18 июля 1996 года. Согласно данному постановлению, удержание производится со всех видов заработной платы и дополнительного вознаграждения в денежной и натуральной форме, пенсий, стипендий и т.д., но за минусом уплаты налогов [1].</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Однако в рамках правового регулирования алиментных обязательств в Семейном праве возникает ряд споров и противоречий. </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Основными проблемами правового регулирования исполнения алиментных обязательств являются следующие. </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нецелевое расходование средств.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отказ от получения алиментов.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проблема права на алименты для совершеннолетних детей.</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-проблема невозможности требования уплаты алиментов с несовершеннолетних детей, признанных полностью дееспособными, в пользу нетрудоспособных и нуждающихся родителей.</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-проблема изменения механизма регулирования алиментных обязательств и совершенствования алиментного законодательства.</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Необходимо рассмотреть подробнее данные проблемы.</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1 Нецелевое расходование средств.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Одной из основных проблем алиментных обязательств родителей в отношении детей - нецелевое расходование средств. Статья 60 СК РФ говорит о том, что алименты -«причитающиеся» ребенку суммы. Эти средства несут только целевой характер.</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2 Отказ от получения алиментов.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Е.А. Бабаева в своей статье пишет: «при распаде семьи в ссорах, плохих отношениях, на эмоциональном фоне зачастую возникают ситуации, когда мать или отец ребенка, не желая больше как-то контактировать и поддерживать всевозможные отношения отказывается от алиментов. В данном случае нарушается право ребенка на получение содержания, и на его защиту встают органы опеки и попечительства. Однако, органы опеки не могут быть осведомленными в данной ситуации.</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Законом предполагается, что к органам опеки и попечительства с соответствующим заявлением могут обратиться родственники ребенка или родитель, проживающий отдельно, либо сам ребенок, но не всегда это реализуется на деле. В существовавшем ранее Кодексе о браке и семье РСФСР определялась возможность уплаты алиментов в добровольном порядке. Однако существующим Семейным Кодексом РФ данная норма не была принята. В данной ситуации возникает противоречие, добросовестный родитель не может исполнить свою обязанность в должной мере» [2].</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В данном случае целесообразно внесение изменений в СК РФ, при которых давалась бы возможность в таких ситуациях, родителю, проживающему отдельно, добровольно обращаться по месту работы с заявлением о перечислении алиментов.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lastRenderedPageBreak/>
        <w:t>3 Проблема права на алименты для совершеннолетних детей.</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Еще одной проблемой в области алиментных обязательств является то, что действующее законодательство не считает нужным выплачивать алименты трудоспособному совершеннолетнему ребенку. Например, ребенку, получающему высшее профессиональное образование очной формы. Данную проблему выделяют большое количество авторов.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Например, Косова О. Ю. считает, что достижение ребенком совершеннолетнего возраста совсем не означает то, что он может себя полностью обеспечивать, тем более если этот ребенок учится [3].</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Хеснетдинова Л. пишет: «Без достаточных средств на оплату обучения дети, воспитывающиеся только одним из родителей, часто оказываются в затруднительном положении и не могут без собственного дохода самостоятельно реализовать право на образование» [4].</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Так же думает и Капитова О. В. подчеркивая, что в современном мире достижение экономической самостоятельности происходит зачастую гораздо позже, чем совершеннолетия [5].</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Есть и мнения, поддерживающие существующее законодательство. Так, Рустамова Ю. А. считает, что да, может возникнуть ситуация, когда ребенок из-за учебы не может полностью себя содержать, однако данные расходы совершеннолетних детей на учебу должны покрывать государственные социальные службы[6].</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Стоит отметить, что статья 85 Семейного кодекса, в которой представлены нормы права на алименты нетрудоспособных совершеннолетних детей: «Родители обязаны содержать своих нетрудоспособных совершеннолетних детей, нуждающихся в помощи».</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Алиментная обязанность в отношении совершеннолетних детей от родителей возникает при наличии двух условий: нетрудоспособность и нуждаемость. Так же возможны ситуации, когда наличие инвалидности не является основанием для нуждаемости. Например, человек работает, не выходя из дома, через сеть Интернет, и получает достойную зарплату.</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Проблемой данного вида алиментных обязательств является то, что размер и порядок уплаты алиментов совершается по соглашению сторон, если же такого не имеется, то размер алиментов определяется судом на основании материального, семейного положения, но в данном случае так же возможны варианты сокрытия настоящего дохода.</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Родители могут подписать соглашение с совершеннолетними детьми о предоставлении ему алиментов. Для этого необходимо обоюдное желание.</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4 Проблема невозможности требования уплаты алиментов с несовершеннолетних детей, признанных полностью дееспособными, в пользу нетрудоспособных и нуждающихся родителей.</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 соответствии с частью 3 статьи 38 Конституции РФ: «Трудоспособные дети, достигшие 18 лет, должны заботиться о нетрудоспособных родителях». Для возникновения алиментной обязанности между совершеннолетними детьми и их родителями должны быть несколько </w:t>
      </w:r>
      <w:r w:rsidRPr="00467B95">
        <w:rPr>
          <w:rFonts w:ascii="Times New Roman" w:hAnsi="Times New Roman" w:cs="Times New Roman"/>
          <w:sz w:val="28"/>
          <w:szCs w:val="28"/>
        </w:rPr>
        <w:lastRenderedPageBreak/>
        <w:t>факторов: установленная родственная связь родителей и детей, а также нетрудоспособность и нуждаемость. Размер алиментов устанавливает суд на основании материального и семейного положения. Но при определении размера суд должен учитывать всех трудоспособных совершеннолетних детей данного родителя, независимо от того, на одного или на всех детей предъявлено требование.</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Таким образом, статьей 38 Конституции Российской Федерации и статьей 87 Семейного кодекса РФ закреплено, что совершеннолетние трудоспособные дети обязаны заботиться о своих нетрудоспособных родителях, а если необходимо, то содержать их. Но у несовершеннолетнего ребенка, который имеет собственный заработок, таких обязательств нет.</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5 Проблема изменения механизма регулирования алиментных обязательств и совершенствования алиментного законодательства.</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Следует отметить, что в последнее время наблюдается яркое проявление публичного интереса в совершенствовании действующего законодательства и правоприменительной практики в плоскости алиментного обеспечения.</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Теперь действующее законодательство предусматривает так называемую административную преюдицию как условие для назначения неплательщику алиментов уголовного наказания.</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К сожалению, нельзя не отметить отсутствие комплексного подхода и системности в процессе совершенствования механизма правового регулирования соответствующих отношений. Так, в статье 69 СК РФ по-прежнему используется понятие «злостное уклонение от уплаты алиментов» как самостоятельное основание для лишения родительских прав. «Многоликость» юридического лексикона не только свидетельствует о наличии определенной коллизии, но и провоцирует возникновение проблем в правоприменительной практике.</w:t>
      </w:r>
    </w:p>
    <w:p w:rsidR="001F2239" w:rsidRPr="00467B95" w:rsidRDefault="001F2239" w:rsidP="005A3DF4">
      <w:pPr>
        <w:pStyle w:val="ac"/>
        <w:widowControl w:val="0"/>
        <w:ind w:firstLine="709"/>
        <w:jc w:val="both"/>
        <w:rPr>
          <w:rFonts w:ascii="Times New Roman" w:hAnsi="Times New Roman" w:cs="Times New Roman"/>
          <w:sz w:val="28"/>
          <w:szCs w:val="28"/>
          <w:lang w:bidi="ru-RU"/>
        </w:rPr>
      </w:pPr>
      <w:r w:rsidRPr="00467B95">
        <w:rPr>
          <w:rFonts w:ascii="Times New Roman" w:hAnsi="Times New Roman" w:cs="Times New Roman"/>
          <w:sz w:val="28"/>
          <w:szCs w:val="28"/>
          <w:lang w:bidi="ru-RU"/>
        </w:rPr>
        <w:t>В механизме регулирования алиментных обязательств произошли некоторые изменения.  В частности, Федеральным законом от 14.11.2017 № 321-ФЗ «О внесении изменений в статью 117 Семейного кодекса Российской Федерации и Федеральный закон «Об исполнительном производстве» в части совершенствования процедуры взыскания алиментов» был скорректирован порядок расчета и индексации задолженности, в том числе в случае пре</w:t>
      </w:r>
      <w:r w:rsidRPr="00467B95">
        <w:rPr>
          <w:rFonts w:ascii="Times New Roman" w:hAnsi="Times New Roman" w:cs="Times New Roman"/>
          <w:sz w:val="28"/>
          <w:szCs w:val="28"/>
          <w:lang w:bidi="ru-RU"/>
        </w:rPr>
        <w:softHyphen/>
        <w:t>кращения исполнительного производства [7].</w:t>
      </w:r>
    </w:p>
    <w:p w:rsidR="001F2239" w:rsidRPr="00467B95" w:rsidRDefault="001F2239" w:rsidP="005A3DF4">
      <w:pPr>
        <w:pStyle w:val="ac"/>
        <w:widowControl w:val="0"/>
        <w:ind w:firstLine="709"/>
        <w:jc w:val="both"/>
        <w:rPr>
          <w:rFonts w:ascii="Times New Roman" w:hAnsi="Times New Roman" w:cs="Times New Roman"/>
          <w:sz w:val="28"/>
          <w:szCs w:val="28"/>
          <w:lang w:bidi="ru-RU"/>
        </w:rPr>
      </w:pPr>
      <w:r w:rsidRPr="00467B95">
        <w:rPr>
          <w:rFonts w:ascii="Times New Roman" w:hAnsi="Times New Roman" w:cs="Times New Roman"/>
          <w:sz w:val="28"/>
          <w:szCs w:val="28"/>
          <w:lang w:bidi="ru-RU"/>
        </w:rPr>
        <w:t xml:space="preserve">Необходимо признать, что палитра правовых норм, регулирующих алиментные обязательства, приобрела еще более яркие публичные оттенки после принятия Федерального закона от 7 марта 2018 г. № 48-ФЗ «О внесении изменений в статью 278 Гражданского процессуального кодекса Российской Федерации и Федеральный закон «Об исполнительном производстве». В соответствии с данным законом статья 65 Федерального закона «Об исполнительном производстве» дополнена частью 16 следующего содержания: «16. Если после проведения исполнительно-розыскных действий по розыску должника по исполнительному документу, содержащему </w:t>
      </w:r>
      <w:r w:rsidRPr="00467B95">
        <w:rPr>
          <w:rFonts w:ascii="Times New Roman" w:hAnsi="Times New Roman" w:cs="Times New Roman"/>
          <w:sz w:val="28"/>
          <w:szCs w:val="28"/>
          <w:lang w:bidi="ru-RU"/>
        </w:rPr>
        <w:lastRenderedPageBreak/>
        <w:t>требование о взыскании алиментов, в течение одного года со дня получения последних сведений о должнике не установлено место его нахождения, судебный пристав-исполнитель, осуществляющий розыск, информирует взыскателя о результатах проведенных исполнительно-розыскных действий и разъясняет взыскателю его право обратиться в суд с заявлением о признании должника безвестно отсутствующим».</w:t>
      </w:r>
    </w:p>
    <w:p w:rsidR="001F2239" w:rsidRPr="00467B95" w:rsidRDefault="001F2239" w:rsidP="005A3DF4">
      <w:pPr>
        <w:pStyle w:val="ac"/>
        <w:widowControl w:val="0"/>
        <w:ind w:firstLine="709"/>
        <w:jc w:val="both"/>
        <w:rPr>
          <w:rFonts w:ascii="Times New Roman" w:hAnsi="Times New Roman" w:cs="Times New Roman"/>
          <w:sz w:val="28"/>
          <w:szCs w:val="28"/>
          <w:lang w:bidi="ru-RU"/>
        </w:rPr>
      </w:pPr>
      <w:r w:rsidRPr="00467B95">
        <w:rPr>
          <w:rFonts w:ascii="Times New Roman" w:hAnsi="Times New Roman" w:cs="Times New Roman"/>
          <w:sz w:val="28"/>
          <w:szCs w:val="28"/>
          <w:lang w:bidi="ru-RU"/>
        </w:rPr>
        <w:t>Таким образом, лицо, уклоняющееся от исполнения своего алиментного обязательства, может быть признано безвестно отсутствующим в судебном порядке, что повлечет соответствующие гражданско-правовые последствия. В связи с этим возникает вопрос обеспечения права взыскателя алиментов и непосредственного получателя содержания.</w:t>
      </w:r>
    </w:p>
    <w:p w:rsidR="001F2239" w:rsidRPr="00467B95" w:rsidRDefault="001F2239" w:rsidP="005A3DF4">
      <w:pPr>
        <w:pStyle w:val="ac"/>
        <w:widowControl w:val="0"/>
        <w:ind w:firstLine="709"/>
        <w:jc w:val="both"/>
        <w:rPr>
          <w:rFonts w:ascii="Times New Roman" w:hAnsi="Times New Roman" w:cs="Times New Roman"/>
          <w:sz w:val="28"/>
          <w:szCs w:val="28"/>
          <w:lang w:bidi="ru-RU"/>
        </w:rPr>
      </w:pPr>
      <w:r w:rsidRPr="00467B95">
        <w:rPr>
          <w:rFonts w:ascii="Times New Roman" w:hAnsi="Times New Roman" w:cs="Times New Roman"/>
          <w:sz w:val="28"/>
          <w:szCs w:val="28"/>
          <w:lang w:bidi="ru-RU"/>
        </w:rPr>
        <w:t>Примечательно то, что в соответствии со ст.10 Федерального закона от 28.12.2013 № 400-ФЗ (ред. от 07.03.2018) «О страховых пенсиях» семья безвестно отсутствующего кормильца приравнивается к семье умершего кормильца, если безвестное отсутствие кормильца удостоверено в порядке, установленном законодательством Российской. [8]</w:t>
      </w:r>
    </w:p>
    <w:p w:rsidR="001F2239" w:rsidRPr="00467B95" w:rsidRDefault="001F2239" w:rsidP="005A3DF4">
      <w:pPr>
        <w:pStyle w:val="ac"/>
        <w:widowControl w:val="0"/>
        <w:ind w:firstLine="709"/>
        <w:jc w:val="both"/>
        <w:rPr>
          <w:rFonts w:ascii="Times New Roman" w:hAnsi="Times New Roman" w:cs="Times New Roman"/>
          <w:sz w:val="28"/>
          <w:szCs w:val="28"/>
          <w:lang w:bidi="ru-RU"/>
        </w:rPr>
      </w:pPr>
      <w:r w:rsidRPr="00467B95">
        <w:rPr>
          <w:rFonts w:ascii="Times New Roman" w:hAnsi="Times New Roman" w:cs="Times New Roman"/>
          <w:sz w:val="28"/>
          <w:szCs w:val="28"/>
          <w:lang w:bidi="ru-RU"/>
        </w:rPr>
        <w:t>Право на страховую пенсию по случаю потери кормильца имеют нетрудоспособные члены семьи умершего кормильца, состоявшие на его иждивении. При этом одному из родителей, супругу или другим членам семьи указанная пенсия назначается независимо от того, состояли они или нет на иждивении умершего кормильца.</w:t>
      </w:r>
    </w:p>
    <w:p w:rsidR="001F2239" w:rsidRPr="00467B95" w:rsidRDefault="001F2239" w:rsidP="005A3DF4">
      <w:pPr>
        <w:pStyle w:val="ac"/>
        <w:widowControl w:val="0"/>
        <w:ind w:firstLine="709"/>
        <w:jc w:val="both"/>
        <w:rPr>
          <w:rFonts w:ascii="Times New Roman" w:hAnsi="Times New Roman" w:cs="Times New Roman"/>
          <w:sz w:val="28"/>
          <w:szCs w:val="28"/>
          <w:lang w:bidi="ru-RU"/>
        </w:rPr>
      </w:pPr>
      <w:r w:rsidRPr="00467B95">
        <w:rPr>
          <w:rFonts w:ascii="Times New Roman" w:hAnsi="Times New Roman" w:cs="Times New Roman"/>
          <w:sz w:val="28"/>
          <w:szCs w:val="28"/>
          <w:lang w:bidi="ru-RU"/>
        </w:rPr>
        <w:t>Вышеизложенное позволяет сделать вывод о принятии государством на себя обязанности по содержанию получателей алиментов при уклонении плательщика от исполнения соответствующей обязанности. Некоторые из разработчиков Федерального закона № 48-ФЗ отмечали, что признание неплательщика безвестно отсутствующим делает его фактически ограниченно дееспособным. В подобной ситуации на неплательщика алиментов не возлагается обязанность по возврату денежных сумм, выплаченных государством в качестве пенсии по случаю потери «кормильца».</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Уклонение от уплаты алиментов с последующим признанием безвестно отсутствующим (при установленном праве выбора места жительства и места пребывания «затеряться» на просторах страны совсем не сложно) можно рассматривать как злоупотребление плательщиком алиментов своим правом в семейных правоотношениях.</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Следствием этого является назначение вместо алиментов пенсии по случаю потери кормильца, которую: </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а) будет выплачивать государство; </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б) размер этой пенсии будет больше (и, может быть, гораздо больше), чем, если бы это были алиментные платежи; </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 период выплаты пенсии может определяться достижением ребенком возраста 23-х лет (в то время как алименты «обычному» студенту могут быть назначены только до достижения возраста 18-ти лет, если он трудоспособный). Здесь, налицо преимущества в обеспечении интересов детей - получателей алиментов, родитель которых - плательщик алиментов </w:t>
      </w:r>
      <w:r w:rsidRPr="00467B95">
        <w:rPr>
          <w:rFonts w:ascii="Times New Roman" w:hAnsi="Times New Roman" w:cs="Times New Roman"/>
          <w:sz w:val="28"/>
          <w:szCs w:val="28"/>
        </w:rPr>
        <w:lastRenderedPageBreak/>
        <w:t>признан безвестно отсутствующим.</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Включение государством в зону «повышенного публичного интереса» частных интересов получателей алиментов при безвестном отсутствии плательщика привело к явному нарушению принципа гармонизации интересов в семейных правоотношениях и стало предпосылкой нарушения равного положения детей как получателей алиментов. </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Таким образом, рассмотрев ряд проблем, можно сделать вывод, что регулирование алиментных обязательств в семейном праве РФ не является совершенным и имеет ряд спорных вопросов.</w:t>
      </w:r>
    </w:p>
    <w:p w:rsidR="001141D3" w:rsidRPr="00467B95" w:rsidRDefault="001141D3"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1 О перечне видов заработной платы и иного дохода, из которых производится удержание алиментов на несовершеннолетних детей: Постановление Правительства РФ от 18.07.1996 № 841 [Электронный ресурс] // </w:t>
      </w:r>
      <w:r w:rsidRPr="00467B95">
        <w:rPr>
          <w:rFonts w:ascii="Times New Roman" w:hAnsi="Times New Roman" w:cs="Times New Roman"/>
          <w:color w:val="000000"/>
          <w:sz w:val="28"/>
          <w:szCs w:val="28"/>
        </w:rPr>
        <w:t xml:space="preserve">СПС «Гарант». – Режим доступа: </w:t>
      </w:r>
      <w:r w:rsidRPr="00467B95">
        <w:rPr>
          <w:rFonts w:ascii="Times New Roman" w:hAnsi="Times New Roman" w:cs="Times New Roman"/>
          <w:sz w:val="28"/>
          <w:szCs w:val="28"/>
        </w:rPr>
        <w:t>http://base.garant.ru/10135645/</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2 Бабаева Е.А. Особенности правового регулирования алиментных обязательств в семейном праве РФ / Е.А. Бабаева // Вестник современных исследований. – 2018. –               № 6.4(21). – С.387-390.</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3 Понятие и виды алиментных обязательств // Гражданско-правовые обязательства: вопросы теории и практики: сб. науч. трудов / науч. ред. О.Ю. Косова О. Ю. - Владивосток: Изд-во Дальневосточного университета, 2001. </w:t>
      </w:r>
      <w:r w:rsidRPr="00467B95">
        <w:rPr>
          <w:rFonts w:ascii="Times New Roman" w:hAnsi="Times New Roman" w:cs="Times New Roman"/>
          <w:spacing w:val="4"/>
          <w:sz w:val="28"/>
          <w:szCs w:val="28"/>
        </w:rPr>
        <w:t xml:space="preserve">– </w:t>
      </w:r>
      <w:r w:rsidRPr="00467B95">
        <w:rPr>
          <w:rFonts w:ascii="Times New Roman" w:hAnsi="Times New Roman" w:cs="Times New Roman"/>
          <w:sz w:val="28"/>
          <w:szCs w:val="28"/>
        </w:rPr>
        <w:t>198 с.</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4 Хуснетдинова Л. Право на алименты совершеннолетних трудоспособных детей, обучающихся в вузе / Л. Хуснетдинова // Законность. – 2009. – №3. – С. 53-54. </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5 Капитова О. В. Правовая природа механизма алиментирования в семейном праве Российской Федерации: монография / О.В. Капитова. – Москва: Изд-во Юриспруденция, 2015. – 133с.</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6 Рустамова Ю.А. Правовое регулирование алиментных отношений в РФ и проблемы их совершенствования: дис…канд. юрид. наук: 12.00.03 / Рустамова Юлия Акифовна. -  Москва, 2012. </w:t>
      </w:r>
      <w:r w:rsidRPr="00467B95">
        <w:rPr>
          <w:rFonts w:ascii="Times New Roman" w:hAnsi="Times New Roman" w:cs="Times New Roman"/>
          <w:spacing w:val="4"/>
          <w:sz w:val="28"/>
          <w:szCs w:val="28"/>
        </w:rPr>
        <w:t>–</w:t>
      </w:r>
      <w:r w:rsidRPr="00467B95">
        <w:rPr>
          <w:rFonts w:ascii="Times New Roman" w:hAnsi="Times New Roman" w:cs="Times New Roman"/>
          <w:sz w:val="28"/>
          <w:szCs w:val="28"/>
        </w:rPr>
        <w:t xml:space="preserve"> 103 с.</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7 О внесении изменений в статью 117 Семейного кодекса Российской Федерации и Федеральный закон «Об исполнительном производстве» в части совершенствования процедуры взыскания алиментов»: федеральный закон от 14.11.2017 № 321-ФЗ [Электронный ресурс] // «КонсультантПлюс». – Режим доступа: http://www.consultant.ru/document/cons_doc_LAW_282610/</w:t>
      </w:r>
    </w:p>
    <w:p w:rsidR="001F2239" w:rsidRPr="00467B95" w:rsidRDefault="001F2239" w:rsidP="005A3DF4">
      <w:pPr>
        <w:pStyle w:val="ac"/>
        <w:widowControl w:val="0"/>
        <w:ind w:firstLine="709"/>
        <w:jc w:val="both"/>
        <w:rPr>
          <w:rFonts w:ascii="Times New Roman" w:hAnsi="Times New Roman" w:cs="Times New Roman"/>
          <w:sz w:val="28"/>
          <w:szCs w:val="28"/>
        </w:rPr>
      </w:pPr>
      <w:r w:rsidRPr="00467B95">
        <w:rPr>
          <w:rFonts w:ascii="Times New Roman" w:hAnsi="Times New Roman" w:cs="Times New Roman"/>
          <w:sz w:val="28"/>
          <w:szCs w:val="28"/>
        </w:rPr>
        <w:t>8 О страховых пенсиях: федеральный закон от 28.12.2013 № 400-ФЗ [Электронный ресурс] // «КонсультантПлюс». – Режим доступа: http://www.consultant.ru/document/cons_doc_LAW_156525/</w:t>
      </w:r>
    </w:p>
    <w:p w:rsidR="001F2239" w:rsidRPr="00467B95" w:rsidRDefault="001F2239" w:rsidP="005A3DF4">
      <w:pPr>
        <w:widowControl w:val="0"/>
        <w:shd w:val="clear" w:color="auto" w:fill="FFFFFF"/>
        <w:tabs>
          <w:tab w:val="left" w:pos="1276"/>
        </w:tabs>
        <w:spacing w:after="0" w:line="240" w:lineRule="auto"/>
        <w:ind w:firstLine="709"/>
        <w:jc w:val="both"/>
        <w:rPr>
          <w:rFonts w:ascii="Times New Roman" w:hAnsi="Times New Roman"/>
          <w:sz w:val="28"/>
          <w:szCs w:val="28"/>
          <w:lang w:eastAsia="ru-RU"/>
        </w:rPr>
      </w:pPr>
    </w:p>
    <w:p w:rsidR="009E5C32" w:rsidRDefault="009E5C32"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9E5C32" w:rsidRDefault="009E5C32"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9E5C32" w:rsidRDefault="009E5C32"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9E5C32" w:rsidRDefault="009E5C32"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9E5C32" w:rsidRDefault="009E5C32"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E94124" w:rsidRPr="00467B95" w:rsidRDefault="00E94124"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lastRenderedPageBreak/>
        <w:t>Злоупотребление правом участниками земельных и имущественных правоотношений</w:t>
      </w:r>
    </w:p>
    <w:p w:rsidR="001F2239" w:rsidRPr="00467B95" w:rsidRDefault="001F2239" w:rsidP="005A3DF4">
      <w:pPr>
        <w:widowControl w:val="0"/>
        <w:spacing w:after="0" w:line="240" w:lineRule="auto"/>
        <w:ind w:firstLine="709"/>
        <w:jc w:val="center"/>
        <w:rPr>
          <w:rFonts w:ascii="Times New Roman" w:hAnsi="Times New Roman"/>
          <w:sz w:val="28"/>
          <w:szCs w:val="28"/>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М.А. Тюпа</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Владивостокский государственный университет экономики и сервиса</w:t>
      </w:r>
      <w:r w:rsidRPr="00467B95">
        <w:rPr>
          <w:rFonts w:ascii="Times New Roman" w:eastAsia="Times New Roman" w:hAnsi="Times New Roman"/>
          <w:kern w:val="36"/>
          <w:sz w:val="28"/>
          <w:szCs w:val="28"/>
          <w:lang w:eastAsia="ru-RU"/>
        </w:rPr>
        <w:br/>
        <w:t>Владивосток. Россия</w:t>
      </w:r>
    </w:p>
    <w:p w:rsidR="00BE23A6" w:rsidRDefault="00BE23A6"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1F2239" w:rsidRPr="001141D3"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1141D3">
        <w:rPr>
          <w:rFonts w:ascii="Times New Roman" w:eastAsia="Times New Roman" w:hAnsi="Times New Roman"/>
          <w:i/>
          <w:kern w:val="36"/>
          <w:sz w:val="28"/>
          <w:szCs w:val="28"/>
          <w:lang w:eastAsia="ru-RU"/>
        </w:rPr>
        <w:t>Статья посвящена анализу правовых аспектов злоупотребления правом, его последствиям и его негативному влиянию на общественные отношения. В научных трудах, посвящённых исследованию указанной проблемы, приводятся различные понятия злоупотребления правом, но не все из них до конца раскрывают его суть. Легальное аутентичное толкование, закреплённое в Гражданском кодексе Российской Федерации, так же не отражает большинство аспектов указанного явления и оттого не способно в полной мере предотвращать его и те негативные последствия, которые оно порождает. Цель исследования заключается в изучении существующих в научной литературе подходов к пониманию злоупотребления правом, и сформировать определение, выделяющее его основные особенности. Важно понять каким именно образом злоупотребление правом негативно влияет на общественные отношения. Для этого будет проанализирована правоприменительная практика. Также важно указать на то, какими легальными способами защита от злоупотребления правом может быть реализована. Земельные и имущественные правоотношения были выбраны по причине того, что в них злоупотребление может исходить как от публичного, так и от частного лица. Соответственно на их примере, проблема будет более подробно освещена и проиллюстрирована. Как показывают проанализированные судебные решения, на практике существует множество пробелов, связанных с правовым регулированием данной проблемы. Например, суд крайне редко самостоятельно квалифицирует спорное деяние в качестве злоупотребления правом. Зачастую о злоупотреблении заявляет непосредственно сторона спора, а суд, в свою очередь, соглашается или не соглашается с доводами стороны. При этом злоупотребление правом может пониматься судом довольно узко, что не способствует правильному рассмотрению возникшего спора. Заполнение пробелов и устранение коллизий, связанных со злоупотреблением правом должно стать одним из важных приоритетов законодателя при последующем разрешении данной проблемы.</w:t>
      </w:r>
    </w:p>
    <w:p w:rsidR="001F2239" w:rsidRPr="001141D3"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1F2239" w:rsidRPr="001141D3"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1141D3">
        <w:rPr>
          <w:rFonts w:ascii="Times New Roman" w:eastAsia="Times New Roman" w:hAnsi="Times New Roman"/>
          <w:i/>
          <w:kern w:val="36"/>
          <w:sz w:val="28"/>
          <w:szCs w:val="28"/>
          <w:lang w:eastAsia="ru-RU"/>
        </w:rPr>
        <w:t>Ключевые слова и словосочетания: злоупотребление правом, земельное право, земельные и имущественные правоотношения.</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p>
    <w:p w:rsidR="009E5C32" w:rsidRDefault="009E5C32"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9E5C32" w:rsidRDefault="009E5C32"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lastRenderedPageBreak/>
        <w:t>M.A. Tiupa</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 xml:space="preserve">Vladivostok state University of Economics and service </w:t>
      </w:r>
      <w:r w:rsidRPr="00467B95">
        <w:rPr>
          <w:rFonts w:ascii="Times New Roman" w:eastAsia="Times New Roman" w:hAnsi="Times New Roman"/>
          <w:kern w:val="36"/>
          <w:sz w:val="28"/>
          <w:szCs w:val="28"/>
          <w:lang w:val="en-US" w:eastAsia="ru-RU"/>
        </w:rPr>
        <w:br/>
        <w:t>Vladivostok. Russia</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Abuse of rights by participants of land and property relations</w:t>
      </w:r>
    </w:p>
    <w:p w:rsidR="001F2239" w:rsidRPr="00467B95" w:rsidRDefault="001F2239" w:rsidP="005A3DF4">
      <w:pPr>
        <w:widowControl w:val="0"/>
        <w:shd w:val="clear" w:color="auto" w:fill="FFFFFF"/>
        <w:spacing w:after="0" w:line="240" w:lineRule="auto"/>
        <w:ind w:firstLine="709"/>
        <w:contextualSpacing/>
        <w:jc w:val="both"/>
        <w:rPr>
          <w:rFonts w:ascii="Times New Roman" w:hAnsi="Times New Roman"/>
          <w:iCs/>
          <w:kern w:val="36"/>
          <w:sz w:val="28"/>
          <w:szCs w:val="28"/>
          <w:lang w:val="en-US" w:eastAsia="ru-RU"/>
        </w:rPr>
      </w:pPr>
    </w:p>
    <w:p w:rsidR="001F2239" w:rsidRPr="001141D3" w:rsidRDefault="001F2239"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1141D3">
        <w:rPr>
          <w:rFonts w:ascii="Times New Roman" w:hAnsi="Times New Roman"/>
          <w:i/>
          <w:iCs/>
          <w:kern w:val="36"/>
          <w:sz w:val="28"/>
          <w:szCs w:val="28"/>
          <w:lang w:val="en-US" w:eastAsia="ru-RU"/>
        </w:rPr>
        <w:t>The article is devoted to the analysis of legal aspects of abuse of rights, its consequences and its negative impact on social relations. In scientific works devoted to the study of this problem, various concepts of abuse of right are given, but not all of them fully reveal its essence. The legal authentic interpretation fixed in the Civil code of the Russian Federation also does not reflect the majority of aspects of the specified phenomenon and therefore is not capable to prevent it and those negative consequences which it generates fully. The aim of the research is to study the existing approaches to understanding the abuse of law in the scientific literature and to form a definition that distinguishes its main features. It is important to understand how the abuse of the right has a negative impact on public relations. To do this, the law enforcement practice will be analyzed. It is also important to point out what legal means of protection against abuse of rights can be implemented. Land and property relations were chosen because of the fact that they abuse can come from both public and private persons. Accordingly, in their example, the problem will be covered in more detail and illustrated. As shown by the analyzed court decisions, in practice, there are many gaps related to the legal regulation of this problem. For example, it is extremely rare for a court to single out a controversial act as an abuse of right. Often, the abuse is stated directly by the party to the dispute, and the court, in turn, agrees or disagrees with the arguments of the party. In this case, the abuse of the right can be understood by the court quite narrowly, which does not contribute to the correct consideration of the dispute. Filling in the gaps and resolving conflicts related to abuse of rights should be one of the important priorities of the legislator in the subsequent resolution of this problem.</w:t>
      </w:r>
    </w:p>
    <w:p w:rsidR="001F2239" w:rsidRPr="001141D3" w:rsidRDefault="001F223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1F2239" w:rsidRPr="001141D3" w:rsidRDefault="001F2239"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1141D3">
        <w:rPr>
          <w:rFonts w:ascii="Times New Roman" w:hAnsi="Times New Roman"/>
          <w:i/>
          <w:iCs/>
          <w:kern w:val="36"/>
          <w:sz w:val="28"/>
          <w:szCs w:val="28"/>
          <w:lang w:val="en-US" w:eastAsia="ru-RU"/>
        </w:rPr>
        <w:t>Keywords and phrases: abuse of rights, land law, land and property relations</w:t>
      </w:r>
    </w:p>
    <w:p w:rsidR="001F2239" w:rsidRPr="001141D3"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i/>
          <w:sz w:val="28"/>
          <w:szCs w:val="28"/>
          <w:lang w:val="en-US" w:eastAsia="ru-RU"/>
        </w:rPr>
      </w:pPr>
    </w:p>
    <w:p w:rsidR="001F2239" w:rsidRPr="00467B95" w:rsidRDefault="001F2239" w:rsidP="005A3DF4">
      <w:pPr>
        <w:widowControl w:val="0"/>
        <w:spacing w:after="0" w:line="240" w:lineRule="auto"/>
        <w:ind w:firstLine="709"/>
        <w:jc w:val="both"/>
        <w:rPr>
          <w:rFonts w:ascii="Times New Roman" w:hAnsi="Times New Roman"/>
          <w:color w:val="000000"/>
          <w:sz w:val="28"/>
          <w:szCs w:val="28"/>
          <w:shd w:val="clear" w:color="auto" w:fill="FFFFFF"/>
        </w:rPr>
      </w:pPr>
      <w:r w:rsidRPr="001141D3">
        <w:rPr>
          <w:rFonts w:ascii="Times New Roman" w:eastAsia="Times New Roman" w:hAnsi="Times New Roman"/>
          <w:sz w:val="28"/>
          <w:szCs w:val="28"/>
          <w:lang w:eastAsia="ru-RU"/>
        </w:rPr>
        <w:t>Введение.</w:t>
      </w:r>
      <w:r w:rsidRPr="00467B95">
        <w:rPr>
          <w:rFonts w:ascii="Times New Roman" w:eastAsia="Times New Roman" w:hAnsi="Times New Roman"/>
          <w:sz w:val="28"/>
          <w:szCs w:val="28"/>
          <w:lang w:eastAsia="ru-RU"/>
        </w:rPr>
        <w:t xml:space="preserve"> </w:t>
      </w:r>
      <w:r w:rsidRPr="00467B95">
        <w:rPr>
          <w:rFonts w:ascii="Times New Roman" w:hAnsi="Times New Roman"/>
          <w:color w:val="000000"/>
          <w:sz w:val="28"/>
          <w:szCs w:val="28"/>
          <w:shd w:val="clear" w:color="auto" w:fill="FFFFFF"/>
        </w:rPr>
        <w:t>Проблема злоупотребления правом не нова. Она была известна человечеству ещё со времён римского права. В современном мире, в сегодняшних российских реалиях данная проблема остаётся актуальной, поскольку национальным законодательством и правоприменительной практикой до сих пор не выработан единый подход к пониманию того, чем является злоупотребление правом. В части 1 статьи 10 Гражданского кодекса Российской Федерации говорится о том, что злоупотребление правом можно считать заведомо недобросовестное осуществление гражданских прав с намерением причинить вред другому лицу [1].</w:t>
      </w:r>
    </w:p>
    <w:p w:rsidR="001F2239" w:rsidRPr="00467B95" w:rsidRDefault="001F2239" w:rsidP="005A3DF4">
      <w:pPr>
        <w:widowControl w:val="0"/>
        <w:spacing w:after="0" w:line="240" w:lineRule="auto"/>
        <w:ind w:firstLine="709"/>
        <w:jc w:val="both"/>
        <w:rPr>
          <w:rFonts w:ascii="Times New Roman" w:hAnsi="Times New Roman"/>
          <w:color w:val="000000"/>
          <w:sz w:val="28"/>
          <w:szCs w:val="28"/>
          <w:shd w:val="clear" w:color="auto" w:fill="FFFFFF"/>
        </w:rPr>
      </w:pPr>
      <w:r w:rsidRPr="00467B95">
        <w:rPr>
          <w:rFonts w:ascii="Times New Roman" w:hAnsi="Times New Roman"/>
          <w:color w:val="000000"/>
          <w:sz w:val="28"/>
          <w:szCs w:val="28"/>
          <w:shd w:val="clear" w:color="auto" w:fill="FFFFFF"/>
        </w:rPr>
        <w:lastRenderedPageBreak/>
        <w:t>К сожалению, данное определение не устраняет проблему квалификации такого правового явления, как злоупотребление правом. Ведь далеко не всегда понятно, умышленно произошло злоупотребление или нет, не всегда понятно, когда законное правомочие лица переходит в правонарушение, не понятно должно ли право лица подлежать ограничению, чтобы не перейти в правонарушение и, если да, то в каких случаях. Данные вопросы нельзя оставлять без ответа, поскольку в будущем, такое решение может повлечь за собой новые проблемы. Например, появление новых способов совершения противоправных действий в обход закона.</w:t>
      </w:r>
    </w:p>
    <w:p w:rsidR="001F2239" w:rsidRPr="00467B95" w:rsidRDefault="001F2239" w:rsidP="005A3DF4">
      <w:pPr>
        <w:widowControl w:val="0"/>
        <w:spacing w:after="0" w:line="240" w:lineRule="auto"/>
        <w:ind w:firstLine="709"/>
        <w:jc w:val="both"/>
        <w:rPr>
          <w:rFonts w:ascii="Times New Roman" w:hAnsi="Times New Roman"/>
          <w:color w:val="000000"/>
          <w:sz w:val="28"/>
          <w:szCs w:val="28"/>
          <w:shd w:val="clear" w:color="auto" w:fill="FFFFFF"/>
        </w:rPr>
      </w:pPr>
      <w:r w:rsidRPr="001141D3">
        <w:rPr>
          <w:rFonts w:ascii="Times New Roman" w:eastAsia="Times New Roman" w:hAnsi="Times New Roman"/>
          <w:sz w:val="28"/>
          <w:szCs w:val="28"/>
          <w:lang w:eastAsia="ru-RU"/>
        </w:rPr>
        <w:t>Цель исследования</w:t>
      </w:r>
      <w:r w:rsidRPr="00467B95">
        <w:rPr>
          <w:rFonts w:ascii="Times New Roman" w:eastAsia="Times New Roman" w:hAnsi="Times New Roman"/>
          <w:sz w:val="28"/>
          <w:szCs w:val="28"/>
          <w:lang w:eastAsia="ru-RU"/>
        </w:rPr>
        <w:t xml:space="preserve"> – раскрытие проблемы злоупотребления права на примере судебной практики и научной литературы. Для этого будет взято несколько определений, данных такими учёными цивилистами, как Н.С. Малеин и В.П. Грибанов. Они будут проанализированы и в дальнейшем послужат опорой при изучении проблемы на примерах судебной практики.</w:t>
      </w:r>
    </w:p>
    <w:p w:rsidR="001F2239" w:rsidRPr="00467B95" w:rsidRDefault="001F2239" w:rsidP="005A3DF4">
      <w:pPr>
        <w:widowControl w:val="0"/>
        <w:spacing w:after="0" w:line="240" w:lineRule="auto"/>
        <w:ind w:firstLine="709"/>
        <w:jc w:val="both"/>
        <w:rPr>
          <w:rFonts w:ascii="Times New Roman" w:eastAsia="Times New Roman" w:hAnsi="Times New Roman"/>
          <w:sz w:val="28"/>
          <w:szCs w:val="28"/>
          <w:lang w:eastAsia="ru-RU"/>
        </w:rPr>
      </w:pPr>
      <w:r w:rsidRPr="001141D3">
        <w:rPr>
          <w:rFonts w:ascii="Times New Roman" w:eastAsia="Times New Roman" w:hAnsi="Times New Roman"/>
          <w:sz w:val="28"/>
          <w:szCs w:val="28"/>
          <w:lang w:eastAsia="ru-RU"/>
        </w:rPr>
        <w:t>Материал и методы исследования.</w:t>
      </w:r>
      <w:r w:rsidRPr="00467B95">
        <w:rPr>
          <w:rFonts w:ascii="Times New Roman" w:eastAsia="Times New Roman" w:hAnsi="Times New Roman"/>
          <w:b/>
          <w:sz w:val="28"/>
          <w:szCs w:val="28"/>
          <w:lang w:eastAsia="ru-RU"/>
        </w:rPr>
        <w:t xml:space="preserve"> </w:t>
      </w:r>
      <w:r w:rsidRPr="00467B95">
        <w:rPr>
          <w:rFonts w:ascii="Times New Roman" w:eastAsia="Times New Roman" w:hAnsi="Times New Roman"/>
          <w:sz w:val="28"/>
          <w:szCs w:val="28"/>
          <w:lang w:eastAsia="ru-RU"/>
        </w:rPr>
        <w:t>Объектом исследования является проблема злоупотребления правом, предметом является – её влияние на земельные и имущественные правоотношения. Негативный эффект, который появляется в результате злоупотребления, как частными, так и должностными лицами органов государственной власти, в том числе суда.</w:t>
      </w:r>
    </w:p>
    <w:p w:rsidR="001F2239" w:rsidRPr="00467B95" w:rsidRDefault="001F2239"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Актуальность темы выпускной квалификационной работы обусловлена ещё и относительно невысокой степенью исследованности проблемы злоупотребления правом. Научные работы ей посвящали такие цивилисты, как В.П. Грибанов, Е.В. Емельянов, В.Н. Харьков, Н.С. Малеин. Данные учёные являются основоположниками нескольких различных подходов к пониманию обозначенной выше проблемы. Несмотря на то, что ими был проделан большой объём работ, формулируемое ими понятие злоупотребления правом не отражает всех аспектов данного правового явления. В одном случае оно будет отождествляться с правонарушением, в другом будет указано на целесообразность ограничения субъективных прав, а с не которые учёные будут описывать идею о различии правонарушения и злоупотребления. Представляется возможным согласиться с высказываемой ими позицией. Если говорить о проблеме злоупотребления правом с точки зрения земельных правоотношений, то интерес представляет монография Э.Р. Вагизовой. В данной работе проявление злоупотребление правом со стороны частных землепользователей и должностных лиц весьма подробно описано и проиллюстрировано примерами судебной практики. При написании выпускной квалификационной работы, монография Э.Р. Вагизовой являлась хорошим подспорьем и ориентиром.</w:t>
      </w:r>
    </w:p>
    <w:p w:rsidR="001F2239" w:rsidRPr="00467B95" w:rsidRDefault="001F2239" w:rsidP="005A3DF4">
      <w:pPr>
        <w:widowControl w:val="0"/>
        <w:spacing w:after="0" w:line="240" w:lineRule="auto"/>
        <w:ind w:firstLine="709"/>
        <w:jc w:val="both"/>
        <w:rPr>
          <w:rFonts w:ascii="Times New Roman" w:hAnsi="Times New Roman"/>
          <w:color w:val="000000"/>
          <w:sz w:val="28"/>
          <w:szCs w:val="28"/>
          <w:shd w:val="clear" w:color="auto" w:fill="FFFFFF"/>
        </w:rPr>
      </w:pPr>
      <w:r w:rsidRPr="001141D3">
        <w:rPr>
          <w:rFonts w:ascii="Times New Roman" w:eastAsia="Times New Roman" w:hAnsi="Times New Roman"/>
          <w:sz w:val="28"/>
          <w:szCs w:val="28"/>
          <w:lang w:eastAsia="ru-RU"/>
        </w:rPr>
        <w:t>Результаты исследования и их обсуждение.</w:t>
      </w:r>
      <w:r w:rsidRPr="00467B95">
        <w:rPr>
          <w:rFonts w:ascii="Times New Roman" w:eastAsia="Times New Roman" w:hAnsi="Times New Roman"/>
          <w:sz w:val="28"/>
          <w:szCs w:val="28"/>
          <w:lang w:eastAsia="ru-RU"/>
        </w:rPr>
        <w:t xml:space="preserve"> Согласно части 1 статьи 1 Гражданского кодекса Российской Федерации основу гражданских правоотношений составляет не только юридическое равенство участников в своих правах и возможностях, но так же и необходимость беспрепятственного осуществления этих гражданских прав [1]. Соответственно, вступая в гражданско-правовые отношения, субъекты руководствуются принципами </w:t>
      </w:r>
      <w:r w:rsidRPr="00467B95">
        <w:rPr>
          <w:rFonts w:ascii="Times New Roman" w:eastAsia="Times New Roman" w:hAnsi="Times New Roman"/>
          <w:sz w:val="28"/>
          <w:szCs w:val="28"/>
          <w:lang w:eastAsia="ru-RU"/>
        </w:rPr>
        <w:lastRenderedPageBreak/>
        <w:t xml:space="preserve">диспозитивности и свободы волеизъявления. К сожалению, известно, что неограниченная свобода осуществления субъективных прав способна породить злоупотребление ими. Сегодня законодательством большинства государств, в том числе и российским, злоупотребление правом запрещено. Об этом говорит как Конституция Российской Федерации в части 3 статьи 17, так и Гражданский кодекс  Российской Федерации в статье 10, но ни одна указанная норма не предоставляет понятия злоупотребления правом. </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Как отмечает Д.А. Матанцев,  научная литература давно столкнулась с проблемой злоупотребления правом. За время изучения было выработано несколько подходов к объяснению сущности данного негативного явления. Первый подход предполагает отождествление злоупотребления правом с правонарушением. «При этом учёные считают, что злоупотребления нет, если лицо осуществляет своё субъективное право».</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качестве примера приводится точка зрения учёного – цивилиста Н.С. Малеина, Согласно которой возможно существование только одного варианта из двух. «Или субъект действует в границах принадлежащего ему права и тогда он не злоупотребляет своим правом, или он выходит за пределы, установленные законом, и таким образом, совершает правонарушение» [2]. Представляется, что Н.С. Малеин заблуждается, говоря о том, что субъект, действуя в границах принадлежащего ему права, не злоупотребляет им. Можно лишь согласиться с тем, что находясь, в границах предоставленного права, деяния субъекта осуществляются правомерно. Однако проблема заключается в том, что субъект не может выйти за границы предоставленного права, как и находится в них, потому что его право никак не может быть ограничено. Оно у него есть.</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Если лицо неоднократно выходило за рамки осуществления права, уместно ли лишить лицо предоставленного права? Нет, так поступать недопустимо. Правоспособность у субъекта в принципе не может исчезнуть. Соответственно, попытки её ограничения могут расцениваться как ущемление прав. Суть понимания злоупотребления правом сводится к тому, что осуществление права всегда правомерно и законно, но если оно может затронуть права другого лица, то есть негативно на них, это уже можно расценивать как злоупотребление. Термин «правонарушение» здесь также нецелесообразно применять, поскольку оно происходит в результате нарушения закона. Поскольку осуществление предоставленного субъективного права не может быть незаконным, определение, данное Н.С. Малеиным является неверным.</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Сам Д.А. Матанцев отмечает, что указанный подход подвергается критике, поскольку с научной точки зрения правонарушении всегда квалифицируется как поведение, нарушающее нормы права. Соответственно отождествление его с таким негативным явлением как злоупотребление правом лишено всякого смысла. «Осуществляя своё право «во зло», лицо не перестаёт действовать в пределах устанавливаемых нормой права, и в этом отношении оно считается поступающим правомерно» [2].</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lastRenderedPageBreak/>
        <w:t>Довольно правильная позиция, поскольку принципиальное отличие между правонарушением и злоупотреблением состоит в том, что правонарушение берёт начало не из предоставленного законом правомочия, а из запрещённого им же действия. По этой же причине закон не предусматривает специального вида гражданско-правовой ответственности за совершение злоупотребления. Указывается только отказ суда лицу в защите его прав.</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Также следует отметить, что злоупотребление правом совершается не только частными, но и должностными лицами. Здесь можно вспомнить такой вид правонарушения как превышение должностных полномочий, закреплённый в Уголовном кодексе Российской Федерации. Отличительной особенностью в данном примере снова будет выступать факт совершения действия запрещённого законом. Должностное лицо не вправе действовать вне рамок своих полномочий, в том время как злоупотребить правом оно может, принимая участие, в отношениях, относящихся к его компетенции.</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Рассмотрим второй подход к пониманию сущности злоупотребления правом. Его основоположником является В.П. Грибанов. Он предлагает следующее определение: «Злоупотребление правом это особый тип гражданского правонарушения, совершаемого управомоченным лицом при осуществлении им субъективного права, связанный с использованием недозволенных конкретных форм в рамках дозволенного ему законом общего типа поведения» [3]. Необходимо отметить, что определение данное В.П. Грибановым не в полной мере раскрывает характер злоупотребления, поскольку, лицо, злоупотребившее своим правом, всё равно будет действовать в рамках дозволенного ему типа поведения.</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В свою очередь возникает вопрос о том, насколько может быть оправданно предоставление субъектам тех или иных прав? Ведь в определении фигурирует понятие «недозволенная форма». Получается, что закон предоставляет лицам права, которые дозволено и не дозволено осуществлять. Соответственно, если права могут осуществляться во вред общественным интересам, то целесообразно будет их ограничивать. Если учесть, что сегодняшние правоотношения основаны на представления о правовом государстве и свободном обществе, то уместно ли ограничение права в принципе? Ответы на данные вопросы автором не даются. Представляется, что невозможно нарушить границу правомочий лица, то есть поступить противоправно по отношению к нему, оставаясь при этом в пределах границы своих правомочий. В.И. Емельянов, выступая с критикой определения В.П. Грибанова, отмечает, что сторонники названного определения утверждают, что «субъективное право до его осуществления – это мера возможного дозволенного поведения». Когда лицо приступает к его осуществлению, то «мера дозволенного поведения сокращается до пределов осуществления гражданского права» [4]. Из этого следует вывод о том, что существуют две меры, первая – мера дозволенного поведения для потенциального, субъективного права, а вторая – для права осуществляемого. </w:t>
      </w:r>
      <w:r w:rsidRPr="00467B95">
        <w:rPr>
          <w:rFonts w:ascii="Times New Roman" w:eastAsia="Times New Roman" w:hAnsi="Times New Roman"/>
          <w:sz w:val="28"/>
          <w:szCs w:val="28"/>
          <w:lang w:eastAsia="ru-RU"/>
        </w:rPr>
        <w:lastRenderedPageBreak/>
        <w:t>Соответственно, нарушение одной границы дозволенного невозможно без нарушения другой, а значит невозможно осуществлять субъективные права правомерным и неправомерным способами одновременно.</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Обратимся снова к статье 10 Гражданского кодекса Российской Федерации. Название статьи звучит как «Пределы осуществления гражданских прав». Представляется, что законодатель, создавая данную статью, не ставил перед собой цель ограничить чьи-либо субъективные права или вовсе их отнять. Нет, целью было соблюдение баланса интересов участников гражданских правоотношений. Данная мысль заложена в самом названии. Субъективное право может быть свободно реализовано лицом, но при этом, оно должно помнить и о существовании субъективных прав других лиц, которые, в результате определённых действий, могут быть нарушены. В данном случае, следует руководствоваться принципом добросовестности, в соответствии с которым, лицо должно понимать, что с приобретением прав оно приобретает и определённые обязанности.</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Соответственно обязанность соблюдения субъективных прав иных лиц так же важна, как желание реализовать своё право. Именно из взаимного уважения прав, принцип добросовестности берёт своё начало. К сожалению, взаимное уважение прав довольное редко находит выражение в реальной жизни. Отсюда берёт своё начало злоупотребление правом, когда лицо больше озабочено реализацией своих прав и не задумывается о возможных последствиях. Иногда может возникнуть ситуация, когда лицо может сознательно желать причинения неудобств  другому лицу.</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Несмотря на то, что сегодня в юридической науке существует огромное количество определений злоупотребления права, рассмотренные выше два подхода, являются основными. Хотя они схожи между собой, но, к сожалению, не могут полностью раскрыть проблему определения злоупотребления правом. Если их объединить, с учётом сказанного о принципе добросовестности, то можно прийти к выводу о том, что злоупотребление это определённое действие, которое правомерно совершается управомоченным лицом. Однако при осуществлении данного действия лицо преследует противоправную цель, недобросовестно пользуется своим субъективным правом, чтобы ограничить правомочия других лиц.</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 учётом данного определения злоупотребления правом рассмотрим более подробно его практическое выражение в правоотношениях, складывающихся по поводу недвижимого имущества, в частности земельных участков. Вступая в земельные правоотношения, физические и юридические лица всегда взаимодействуют с должностными лицами исполнительных органов государственной власти, а также органов местного самоуправления. Причём данные правоотношения не всегда связаны с приобретением земельных участков, но так же и с их отчуждением, например для государственных или муниципальных нужд.</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Как указывает Н. Козлов, государственные служащие зачастую пользуются неоднозначностью толкования правовых норм, «что приводит к </w:t>
      </w:r>
      <w:r w:rsidRPr="00467B95">
        <w:rPr>
          <w:rFonts w:ascii="Times New Roman" w:eastAsia="Times New Roman" w:hAnsi="Times New Roman"/>
          <w:sz w:val="28"/>
          <w:szCs w:val="28"/>
          <w:lang w:eastAsia="ru-RU"/>
        </w:rPr>
        <w:lastRenderedPageBreak/>
        <w:t>злоупотреблениям полномочиями, нарушению прав граждан и, в конечном счете, к ненадлежащему исполнению функций органами исполнительной власти и неэффективному управлению в отдельно взятой сфере общественной жизни» [5]. Например, уполномоченный орган может отказывать физическому лицу в выдаче разрешения на строительство жилого дома на земельном участке, собственником которого является указанное лицо или попытаться выселить лицо из жилого помещения без проведения надлежащей процедуры его уведомления.</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В большинстве случаев злоупотребление происходит из-за того, что должностными лицами во внимание не были приняты некоторые документы, подтверждающие законность прав частных лиц или некоторые досудебные процедуры были проведены ненадлежащим образом. Факт того, что всему виной может быть невнимательность отдельных лиц является довольно спорным, поскольку обстоятельства, выявляемые судами в процессе рассмотрения дел, свидетельствуют о том, что об упомянутых документах нельзя было не знать. </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Рассмотрим решение Нальчикского городского суда № 2-2894/2018 по иску Местной администрации к ответчикам о выселении их из занимаемого жилого помещения и переселении их в новое. Суть спора состоит в том, что постановлением главы местной администрации был утверждён перечень жилых домов, признанных непригодными для проживания и подлежащих сносу и переселении собственников в другие дома. В перечень был также внесён и дом, в котором проживают ответчики. Ответчик от переселения отказался. Как выясняется из материалов дела, «суду не было представлено доказательств того, что истцом соблюдена установленная законом процедура изъятия жилого помещения, что собственникам помещения в жилом доме, признанном аварийным, направлялось требование о его сносе или реконструкции за их счет в определенный срок, предлагалось выкупить принадлежащую ему на праве собственности квартиру в порядке, определенном статьи 32 Жилищного кодекса Российской Федерации с направлением уведомления о принятом решении об изъятии земельного участка.</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hAnsi="Times New Roman"/>
          <w:color w:val="000000"/>
          <w:sz w:val="28"/>
          <w:szCs w:val="28"/>
          <w:shd w:val="clear" w:color="auto" w:fill="FFFFFF"/>
        </w:rPr>
      </w:pPr>
      <w:r w:rsidRPr="00467B95">
        <w:rPr>
          <w:rFonts w:ascii="Times New Roman" w:eastAsia="Times New Roman" w:hAnsi="Times New Roman"/>
          <w:sz w:val="28"/>
          <w:szCs w:val="28"/>
          <w:lang w:eastAsia="ru-RU"/>
        </w:rPr>
        <w:t>Таким образом, исковые требования Местной администрации городского округа Нальчик при отсутствии доказательств соблюдения процедуры изъятия жилого помещения, и тем самым, соблюдения прав собственника указанного жилого помещения, «по сути, без наличия к тому законных оснований ограничивают его права собственности на право пользования жилым помещением» [6].</w:t>
      </w:r>
      <w:r w:rsidRPr="00467B95">
        <w:rPr>
          <w:rFonts w:ascii="Times New Roman" w:hAnsi="Times New Roman"/>
          <w:color w:val="000000"/>
          <w:sz w:val="28"/>
          <w:szCs w:val="28"/>
          <w:shd w:val="clear" w:color="auto" w:fill="FFFFFF"/>
        </w:rPr>
        <w:t xml:space="preserve"> </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Анализируя данное дело, сначала может показаться, что недобросовестно осуществляет свои права именно ответчик, который отказывался выселяться из жилого дома, тем самым не выполняя постановление администрации. Однако необходимо учитывать и то, что администрация, не направляя уведомлений ответчику о том, что дом, признаётся аварийным, и не предлагая ему переехать в другое жилое </w:t>
      </w:r>
      <w:r w:rsidRPr="00467B95">
        <w:rPr>
          <w:rFonts w:ascii="Times New Roman" w:eastAsia="Times New Roman" w:hAnsi="Times New Roman"/>
          <w:sz w:val="28"/>
          <w:szCs w:val="28"/>
          <w:lang w:eastAsia="ru-RU"/>
        </w:rPr>
        <w:lastRenderedPageBreak/>
        <w:t>помещение, обращается в суд с исковым требованием о выселении ответчика и членов его семьи из указанного дома. Своими действиями администрация, как указывает суд, ограничивает права собственника жилого помещения, тем самым осуществляя свои права недобросовестно, с целью иной, нежели той, которая установлена законом. Следовательно, в данном случае имеется злоупотребление своими правами со стороны должностных лиц местной администрации.</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Можно сказать, что подобные решения, принимаемые без учёта важных аспектов, выходят за рамки полномочий, поскольку не соответствуют задачам закона. При этом важную роль играет факт того, что данные решения влекут за собой негативные последствия для самих собственников. Например, в случае удовлетворения исковых требований по рассмотренному выше делу, ответчик мог лишить своего жилья. Тем не менее, суды, оценивая действия должностных лиц, указывают именно на злоупотребление правом, а не на превышение должностных полномочий.</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Представляется, что если опираться на сформулированное раннее определение злоупотребления правом, то право частного лица может выступать аналогом полномочию должностного лица, равно как и злоупотребление правом может быть аналогом превышению полномочий. Следовательно, противоправные действия должностных лиц в любом случае, не зависимо от типа совершенных ими деяний будут являться злоупотреблением.</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Похожая ситуация складывается с частными лицами. К злоупотреблению правом приводит как неполное осознание последствий и значения, совершаемых лицом деяний, так и намеренное осуществление своих прав с целью получения собственной выгоды. Таковой может являться денежное обогащение или уход от ответственности. В судебной практике нередко возникают случаи, в которых собственник продаёт свой земельный участок другому лицу, когда земельный участок может быть обременён, например, требованием к собственнику о сносе самовольной постройки или на него может быть наложен арест. При этом факт обременения продавцом утаивается от покупателя, что является правонарушением.</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Рассмотрим решение Пригородного районного суда Свердловской области № 2–1217/2018 по иску А.В. Филимонова к Ю.В. Куракса, С.Г. Андрюшину и иным ответчикам о признании добросовестным приобретателем. Из материалов дела следует, что Ю.В. Куракса на праве собственности принадлежало три земельных участка, на одном из которых расположен нежилой дом. В определённый момент данное имущество было продано А.В. Филимонову, при этом он был уведомлён об отсутствии какого-либо обременения земельных участков. Однако, как установил суд, сделки купли-продажи были заключены в период, когда велось исполнительное производство, в котором ответчик была должником, а С.Г. Андрюшин взыскателем. Сумма задолженности составляет 1 091 048 руб. То есть ответчик, «зная о наличии к ней существенных денежных требований со </w:t>
      </w:r>
      <w:r w:rsidRPr="00467B95">
        <w:rPr>
          <w:rFonts w:ascii="Times New Roman" w:eastAsia="Times New Roman" w:hAnsi="Times New Roman"/>
          <w:sz w:val="28"/>
          <w:szCs w:val="28"/>
          <w:lang w:eastAsia="ru-RU"/>
        </w:rPr>
        <w:lastRenderedPageBreak/>
        <w:t>стороны Андрюшина С.Г., заключила сделки по отчуждению своего имущества, которое могло быть реализовано для целей погашения задолженности перед Андрюшиным С.Г.». В свою очередь, С.Г. Андрюшин предъявил Ю.В. Куракса и А.В. Филимонову встречный иск о признании сделки купли-продажи недействительной. Удовлетворяя требования А.В. Филимонова и отказывая в удовлетворении встречного иска С.Г. Андрюшина, суд исходил из того, что в действиях Ю.В. Куракса имеются признаки злоупотребления правом. «Злоупотребление правом может выражаться в отчуждении имущества с целью предотвращения возможного обращения на него взыскания», при этом суд так же указал, что «злоупотребление правом только со стороны Куракса Ю.В. при совершении сделок не может являться основанием для возникновения негативных последствий у добросовестного покупателя» [7].</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Представляется, что ответчик, заключая договоры купли-продажи земельных участков, хотела избежать погашения задолженности в размере 1 091 048 руб., при этом, она осознавала, что своими действиями может причинить покупателю материальный вред, а так же, что у него может возникнуть необходимость несения расходов. Соответственно решение, принятое судом является верным.</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Правоприменительная практика по данной проблеме весьма разнообразна и нестабильна, из-за чего невозможно выделить один конкретно правильный подход к её разрешению. Суд крайне редко самостоятельно применяет норму о злоупотреблении правом. О злоупотреблении обычно заявляет сторона и на, учитывая все обстоятельства дела, суд может согласиться или не согласиться с заявленным доводом. Должен ли суд самостоятельно квалифицировать поведение стороны как злоупотребление правом, не зная, какие именно негативные последствия оно повлекло и как к ним относится сторона, чьё право было нарушено? Думается, что да, но вывод должен основываться на полном и всестороннем учёте особенностей каждого дела.</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Тем не менее, злоупотребление остаётся злоупотреблением и ему нужно как-то противостоять. Важно отметить, что при противостоянии лицо не должно использовать свои права с целью ответного причинения вреда, поскольку это будет противоречить принципу добросовестности осуществления гражданских прав. Противостояние злоупотреблению должно быть легальным и соответствовать принципам правосудия. Не следует также забывать и о нормативно закреплённой возможности суда на отказ в защите права злоупотребляющему лицу.</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Согласно статье 60 Земельного кодекса Российской Федерации нарушенное право может быть восстановлено, тем же способом, что и пресечение действия, создающего угрозу его нарушения – путём вынесения соответствующего решения судом [8]. Как отмечает А.В. Сторчевой, данный способ защиты «относится к числу универсальных, фундаментальных и самых распространённых судебных способов защиты земельных прав </w:t>
      </w:r>
      <w:r w:rsidRPr="00467B95">
        <w:rPr>
          <w:rFonts w:ascii="Times New Roman" w:eastAsia="Times New Roman" w:hAnsi="Times New Roman"/>
          <w:sz w:val="28"/>
          <w:szCs w:val="28"/>
          <w:lang w:eastAsia="ru-RU"/>
        </w:rPr>
        <w:lastRenderedPageBreak/>
        <w:t>граждан» [9]. Следует отметить, что с пресечением неправомерных действий и восстановлением положения, существовавшего до нарушения права, связано большинство других способов судебной защиты. Соответственно цель восстановления нарушенного права объединяет их вокруг себя, тем самым формируя единый механизм осуществления правовой защиты посредством обращения в суд.</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Ещё один способ защиты нарушенных прав, выделяемый Земельным кодексом – это возмещение убытков. Данный способ является универсальным и применяется практически во всех гражданско-правовых спорах. Необходимо отметить, что в Земельном кодексе данный способ защиты подразделяется на две разновидности. Первая разновидность относится к способам защиты, реализуемым, как и предыдущие – посредством судебного разбирательства. В него входит статья 62 Земельного кодекса Российской Федерации, которая наделяет правомочием лиц, чьи права были нарушены, требовать возмещения убытков у лица, причинившего своими действиями ущерб. </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При этом суд может обязать правонарушителя возместить причинённый им вред в натуре. Вторая разновидность указанного способа выделяется на фоне перечисленных тем, что обязанность возмещения убытков налагается на лицо, причинившее вред законом. Здесь следует выделить статью 57, которая возлагает обязанность по возмещению убытков в полном объёме, если из-за действий одного лица произошло ухудшение качества земельного участка, используемого другим собственником. И так же следует выделить статью 56.8, согласно которой определяется точный размер возмещения при изъятии у лица земельного участка для государственных или муниципальных нужд. Данные обстоятельства позволяют сделать вывод о том, что законодателем было предусмотрено несколько механизмов, предусматривающих защиту нарушенного права.</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При этом выделяются также альтернативные способы защиты прав, которые проводятся по согласованию сторон, и в которых не участвуют судебные органы. Одним из таких способов является процедура медиации. Согласно части 2 статьи 1 Федерального закона от 27.07.2010 № 193-ФЗ «Об альтернативной процедуре урегулирования споров с участием посредника (процедуре медиации)», медиация применяется для урегулирования споров, возникающих из гражданских правоотношений. Согласно части 1, целями процедуры медиации являются «содействие развитию партнерских деловых отношений и формированию этики делового оборота, гармонизация социальных отношений» [10].</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Отличительной особенностью выступает то, что процедура медиации проводится по соглашению спорящих сторон, а значит и соглашение, которое заключается по окончанию рассмотрения спора, выражает их взаимную волю и подлежит обязательному исполнению, в соответствии с принципами добровольности и добросовестности.</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Так же к альтернативным способам защиты прав можно отнести </w:t>
      </w:r>
      <w:r w:rsidRPr="00467B95">
        <w:rPr>
          <w:rFonts w:ascii="Times New Roman" w:eastAsia="Times New Roman" w:hAnsi="Times New Roman"/>
          <w:sz w:val="28"/>
          <w:szCs w:val="28"/>
          <w:lang w:eastAsia="ru-RU"/>
        </w:rPr>
        <w:lastRenderedPageBreak/>
        <w:t>деятельность нотариусов. Согласно части 1 статьи 16 «Основ законодательства Российской Федерации о нотариате» нотариус обязан «оказывать физическим и юридическим лицам содействие в осуществлении их прав и защите законных интересов, предупреждать о последствиях совершаемых нотариальных действий, с тем, чтобы юридическая неосведомленность не могла быть использована им во вред» [11]. Представляется, что одни из основных способов защиты прав, осуществляемые нотариусами – это наложение и снятие запрета на отчуждение имущества, удостоверение равнозначности документа на бумажном носителе электронному документу и наоборот, а также удовлетворение  факта возникновения права собственности на недвижимое имущество в силу приобретательской давности.</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Изучая два разных механизма осуществления защиты прав, может возникнуть вопрос, какой из них наиболее эффективен? Тот, что реализуется в судебном порядке или во внесудебном? Представляется, что однозначного ответа на данный вопрос нет. Эффективность защиты будет зависеть от возникших между субъектами спорных отношений.</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Впрочем, нужно отметить, что разнообразие тех способов, которые предусмотрены законодательством, позволяет лучше понимать природу защиты и соблюдения прав. Тем не менее, необходимость совершенствования нормативно-правового регулирования общественных отношений присутствует в любой правовой системе. Она формирует перед законодателем задачу по созданию новых путей легальной защиты законных общественных интересов от неправомерного влияния на них.</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3801A5">
        <w:rPr>
          <w:rFonts w:ascii="Times New Roman" w:eastAsia="Times New Roman" w:hAnsi="Times New Roman"/>
          <w:sz w:val="28"/>
          <w:szCs w:val="28"/>
          <w:lang w:eastAsia="ru-RU"/>
        </w:rPr>
        <w:t>Выводы и научная новизна. Обобщая</w:t>
      </w:r>
      <w:r w:rsidRPr="00467B95">
        <w:rPr>
          <w:rFonts w:ascii="Times New Roman" w:eastAsia="Times New Roman" w:hAnsi="Times New Roman"/>
          <w:sz w:val="28"/>
          <w:szCs w:val="28"/>
          <w:lang w:eastAsia="ru-RU"/>
        </w:rPr>
        <w:t xml:space="preserve"> вышесказанное и подводя итоги, важно сказать о последствиях злоупотребления правом. Как показывает судебная практика, предусмотренные законом определённые санкции не в полной мере способствуют пресечению злоупотреблений. Как указывает Е.А. Оденгал «в этом не последнюю роль играет правовой нигилизм, отсутствие четкого межотраслевого легального определения злоупотребления правом и отсутствие достоверных критериев для его квалификации» [12]. Поэтому в сложившихся сегодня реалиях  далеко не последнюю роль должна играть деятельность по формированию правовой культуры, что в дальнейшем позволит на более высоком уровне реализовывать меры по предотвращению злоупотребления правом. </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Такое социально-негативное явление как злоупотребление правом полностью неискоренимо. Оно будет продолжать существовать и создавать дестабилизацию в общественных правоотношениях до тех пор, пока существует само понятие права. С появлением новых видов правового регулирования будут возникать и новые виды злоупотребления. Возможность его возникновения нельзя никак устранить. </w:t>
      </w:r>
    </w:p>
    <w:p w:rsidR="001F2239" w:rsidRPr="00467B95" w:rsidRDefault="001F2239"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Однако путь развития и улучшения тех законодательно закреплённых принципов, на которых основывается правовое государство, всегда открыт. Соответственно развитие законодательства, его упрощение для понимания </w:t>
      </w:r>
      <w:r w:rsidRPr="00467B95">
        <w:rPr>
          <w:rFonts w:ascii="Times New Roman" w:eastAsia="Times New Roman" w:hAnsi="Times New Roman"/>
          <w:sz w:val="28"/>
          <w:szCs w:val="28"/>
          <w:lang w:eastAsia="ru-RU"/>
        </w:rPr>
        <w:lastRenderedPageBreak/>
        <w:t>рядового гражданина может в корне изменить ситуацию в пользу главенства права обеспечения его защиты от нарушений. Обозначенной проблеме необходимо уделять больше времени, причём не только её теоретическому аспекту, но и практическому. Оглядываясь на проделанное исследование, можно сказать, что создание более проработанной нормы права, которая шире и детальнее отражала бы все нюансы и аспекты такого негативного явления как злоупотребления правом, а также давала бы его понятное определение, могло бы значительно улучшить нынешнюю ситуацию.</w:t>
      </w:r>
    </w:p>
    <w:p w:rsidR="003801A5" w:rsidRPr="00467B95" w:rsidRDefault="003801A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1 Гражданский кодекс Российской Федерации. Часть первая: федеральный закон от 30.11.1994 № 51-ФЗ (ред. от 03.08.2018) [Электронный ресурс]. </w:t>
      </w:r>
      <w:r w:rsidRPr="00467B95">
        <w:rPr>
          <w:rFonts w:ascii="Times New Roman" w:eastAsia="Times New Roman" w:hAnsi="Times New Roman"/>
          <w:sz w:val="28"/>
          <w:szCs w:val="28"/>
          <w:lang w:val="en-US" w:eastAsia="ru-RU"/>
        </w:rPr>
        <w:t>URL</w:t>
      </w:r>
      <w:r w:rsidRPr="00467B95">
        <w:rPr>
          <w:rFonts w:ascii="Times New Roman" w:eastAsia="Times New Roman" w:hAnsi="Times New Roman"/>
          <w:sz w:val="28"/>
          <w:szCs w:val="28"/>
          <w:lang w:eastAsia="ru-RU"/>
        </w:rPr>
        <w:t>: http://www.consultant.ru/document/cons_doc_LAW_5142/.</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val="en-US" w:eastAsia="ru-RU"/>
        </w:rPr>
      </w:pPr>
      <w:r w:rsidRPr="00467B95">
        <w:rPr>
          <w:rFonts w:ascii="Times New Roman" w:eastAsia="Times New Roman" w:hAnsi="Times New Roman"/>
          <w:sz w:val="28"/>
          <w:szCs w:val="28"/>
          <w:lang w:eastAsia="ru-RU"/>
        </w:rPr>
        <w:t>2</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 xml:space="preserve">Матанцев Д.А. Основные подходы к пониманию сущности злоупотребления гражданским правом: критический анализ [Электронный ресурс]. </w:t>
      </w:r>
      <w:r w:rsidRPr="00467B95">
        <w:rPr>
          <w:rFonts w:ascii="Times New Roman" w:eastAsia="Times New Roman" w:hAnsi="Times New Roman"/>
          <w:sz w:val="28"/>
          <w:szCs w:val="28"/>
          <w:lang w:val="en-US" w:eastAsia="ru-RU"/>
        </w:rPr>
        <w:t>URL: https://cyberleninka.ru/article/n/osnovnye-podhody-k-ponimaniyu-suschnosti-zloupotrebleniya-grazhdanskim-pravom-kriticheskiy-analiz.</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3</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 xml:space="preserve">Грибанов В.П. Осуществление гражданских прав [Электронный ресурс]. </w:t>
      </w:r>
      <w:r w:rsidRPr="00467B95">
        <w:rPr>
          <w:rFonts w:ascii="Times New Roman" w:eastAsia="Times New Roman" w:hAnsi="Times New Roman"/>
          <w:sz w:val="28"/>
          <w:szCs w:val="28"/>
          <w:lang w:val="en-US" w:eastAsia="ru-RU"/>
        </w:rPr>
        <w:t>URL</w:t>
      </w:r>
      <w:r w:rsidRPr="00467B95">
        <w:rPr>
          <w:rFonts w:ascii="Times New Roman" w:eastAsia="Times New Roman" w:hAnsi="Times New Roman"/>
          <w:sz w:val="28"/>
          <w:szCs w:val="28"/>
          <w:lang w:eastAsia="ru-RU"/>
        </w:rPr>
        <w:t>: http://civil.consultant.ru/elib/books/1/page_7.html#6.</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4</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Емельянов В.И. Разумность, добросовестность, незлоупотребление гражданскими правами: монография. Москва: Изд-во Лекс-Книга, 2002. – 160 с.</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5</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 xml:space="preserve">Козлов Н. Социальные основы обжалования действия и бездействия решений органов государственной власти и их должностных лиц [Электронный ресурс] </w:t>
      </w:r>
      <w:r w:rsidRPr="00467B95">
        <w:rPr>
          <w:rFonts w:ascii="Times New Roman" w:eastAsia="Times New Roman" w:hAnsi="Times New Roman"/>
          <w:sz w:val="28"/>
          <w:szCs w:val="28"/>
          <w:lang w:val="en-US" w:eastAsia="ru-RU"/>
        </w:rPr>
        <w:t>URL</w:t>
      </w:r>
      <w:r w:rsidRPr="00467B95">
        <w:rPr>
          <w:rFonts w:ascii="Times New Roman" w:eastAsia="Times New Roman" w:hAnsi="Times New Roman"/>
          <w:sz w:val="28"/>
          <w:szCs w:val="28"/>
          <w:lang w:eastAsia="ru-RU"/>
        </w:rPr>
        <w:t>: http://www.top-personal.ru/adminlawissue.html?138.</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6</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В удовлетворении исковых требований Местной администрации городского округа Нальчик отказать (ст.32 ЖК РФ). Решение может быть обжаловано в Верховный суд КБР. Нальчикский городской суд Кабардино-Балкарской Республики. Решение по делу № 2-2894/2018 [Электронный ресурс].: https://sudact.ru/regular/doc/eol0qzM8e3WU/</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7</w:t>
      </w:r>
      <w:r w:rsidRPr="00467B95">
        <w:rPr>
          <w:rFonts w:ascii="Times New Roman" w:hAnsi="Times New Roman"/>
          <w:sz w:val="28"/>
          <w:szCs w:val="28"/>
          <w:shd w:val="clear" w:color="auto" w:fill="FFFFFF"/>
          <w:lang w:val="en-US"/>
        </w:rPr>
        <w:t> </w:t>
      </w:r>
      <w:r w:rsidRPr="00467B95">
        <w:rPr>
          <w:rFonts w:ascii="Times New Roman" w:eastAsia="Times New Roman" w:hAnsi="Times New Roman"/>
          <w:sz w:val="28"/>
          <w:szCs w:val="28"/>
          <w:lang w:eastAsia="ru-RU"/>
        </w:rPr>
        <w:t xml:space="preserve">Об отмене запрета на совершение регистрационных действий объектов недвижимого имущества. Решение 2-217/18 Пригородного районного суда Свердловской области [Электронный ресурс]. </w:t>
      </w:r>
      <w:r w:rsidRPr="00467B95">
        <w:rPr>
          <w:rFonts w:ascii="Times New Roman" w:eastAsia="Times New Roman" w:hAnsi="Times New Roman"/>
          <w:sz w:val="28"/>
          <w:szCs w:val="28"/>
          <w:lang w:val="en-US" w:eastAsia="ru-RU"/>
        </w:rPr>
        <w:t>URL</w:t>
      </w:r>
      <w:r w:rsidRPr="00467B95">
        <w:rPr>
          <w:rFonts w:ascii="Times New Roman" w:eastAsia="Times New Roman" w:hAnsi="Times New Roman"/>
          <w:sz w:val="28"/>
          <w:szCs w:val="28"/>
          <w:lang w:eastAsia="ru-RU"/>
        </w:rPr>
        <w:t>: https://www.sudact.ru/regular/doc/lwgkGm2FJbVw/.</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8</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 xml:space="preserve">Земельный кодекс Российской Федерации: федеральный закон от 25.10.2001 № 136-ФЗ (ред. от 25.12.2018) [Электронный ресурс]. </w:t>
      </w:r>
      <w:r w:rsidRPr="00467B95">
        <w:rPr>
          <w:rFonts w:ascii="Times New Roman" w:eastAsia="Times New Roman" w:hAnsi="Times New Roman"/>
          <w:sz w:val="28"/>
          <w:szCs w:val="28"/>
          <w:lang w:val="en-US" w:eastAsia="ru-RU"/>
        </w:rPr>
        <w:t>URL</w:t>
      </w:r>
      <w:r w:rsidRPr="00467B95">
        <w:rPr>
          <w:rFonts w:ascii="Times New Roman" w:eastAsia="Times New Roman" w:hAnsi="Times New Roman"/>
          <w:sz w:val="28"/>
          <w:szCs w:val="28"/>
          <w:lang w:eastAsia="ru-RU"/>
        </w:rPr>
        <w:t>: http://www.consultant.ru/document/cons_doc_LAW_33773/.</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val="en-US" w:eastAsia="ru-RU"/>
        </w:rPr>
      </w:pPr>
      <w:r w:rsidRPr="00467B95">
        <w:rPr>
          <w:rFonts w:ascii="Times New Roman" w:eastAsia="Times New Roman" w:hAnsi="Times New Roman"/>
          <w:sz w:val="28"/>
          <w:szCs w:val="28"/>
          <w:lang w:eastAsia="ru-RU"/>
        </w:rPr>
        <w:t>9</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 xml:space="preserve">Сторчевой А.В. Восстановление положения, существовавшего до нарушения права, как способ защиты прав на земли сельскохозяйственного назначения [Электронный ресурс]. </w:t>
      </w:r>
      <w:r w:rsidRPr="00467B95">
        <w:rPr>
          <w:rFonts w:ascii="Times New Roman" w:eastAsia="Times New Roman" w:hAnsi="Times New Roman"/>
          <w:sz w:val="28"/>
          <w:szCs w:val="28"/>
          <w:lang w:val="en-US" w:eastAsia="ru-RU"/>
        </w:rPr>
        <w:t>URL: https://cyberleninka.ru/article/n/vosstanovlenie-polozheniya-suschestvovavshego-do-narusheniya-prava-kak-sposob-zaschity-prav-na-zemli-selskohozyaystvennogo.</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10</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Об альтернативной процедуре урегулирования споров с участием посредника (процедуре медиации): федеральный закон от 27.07.2010 № 193-</w:t>
      </w:r>
      <w:r w:rsidRPr="00467B95">
        <w:rPr>
          <w:rFonts w:ascii="Times New Roman" w:eastAsia="Times New Roman" w:hAnsi="Times New Roman"/>
          <w:sz w:val="28"/>
          <w:szCs w:val="28"/>
          <w:lang w:eastAsia="ru-RU"/>
        </w:rPr>
        <w:lastRenderedPageBreak/>
        <w:t xml:space="preserve">ФЗ (ред. от 23.07.2013) [Электронный ресурс]. </w:t>
      </w:r>
      <w:r w:rsidRPr="00467B95">
        <w:rPr>
          <w:rFonts w:ascii="Times New Roman" w:eastAsia="Times New Roman" w:hAnsi="Times New Roman"/>
          <w:sz w:val="28"/>
          <w:szCs w:val="28"/>
          <w:lang w:val="en-US" w:eastAsia="ru-RU"/>
        </w:rPr>
        <w:t>URL</w:t>
      </w:r>
      <w:r w:rsidRPr="00467B95">
        <w:rPr>
          <w:rFonts w:ascii="Times New Roman" w:eastAsia="Times New Roman" w:hAnsi="Times New Roman"/>
          <w:sz w:val="28"/>
          <w:szCs w:val="28"/>
          <w:lang w:eastAsia="ru-RU"/>
        </w:rPr>
        <w:t xml:space="preserve">: </w:t>
      </w:r>
      <w:hyperlink r:id="rId115" w:history="1">
        <w:r w:rsidRPr="00467B95">
          <w:rPr>
            <w:rFonts w:ascii="Times New Roman" w:eastAsia="Times New Roman" w:hAnsi="Times New Roman"/>
            <w:sz w:val="28"/>
            <w:szCs w:val="28"/>
            <w:lang w:eastAsia="ru-RU"/>
          </w:rPr>
          <w:t>http://www.consultant.ru/document/cons_doc_LAW_103038/</w:t>
        </w:r>
      </w:hyperlink>
      <w:r w:rsidRPr="00467B95">
        <w:rPr>
          <w:rFonts w:ascii="Times New Roman" w:eastAsia="Times New Roman" w:hAnsi="Times New Roman"/>
          <w:sz w:val="28"/>
          <w:szCs w:val="28"/>
          <w:lang w:eastAsia="ru-RU"/>
        </w:rPr>
        <w:t>.</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11</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 xml:space="preserve">Основы законодательства Российской Федерации о нотариате: утв. Верховным Судом Российской Федерации 11.02.1993 № 4462-1 (с изм. и доп., вступ. в силу с 01.02.2019) [Электронный ресурс]. </w:t>
      </w:r>
      <w:r w:rsidRPr="00467B95">
        <w:rPr>
          <w:rFonts w:ascii="Times New Roman" w:eastAsia="Times New Roman" w:hAnsi="Times New Roman"/>
          <w:sz w:val="28"/>
          <w:szCs w:val="28"/>
          <w:lang w:val="en-US" w:eastAsia="ru-RU"/>
        </w:rPr>
        <w:t>URL</w:t>
      </w:r>
      <w:r w:rsidRPr="00467B95">
        <w:rPr>
          <w:rFonts w:ascii="Times New Roman" w:eastAsia="Times New Roman" w:hAnsi="Times New Roman"/>
          <w:sz w:val="28"/>
          <w:szCs w:val="28"/>
          <w:lang w:eastAsia="ru-RU"/>
        </w:rPr>
        <w:t>: http://www.consultant.ru/document/cons_doc_LAW_1581/.</w:t>
      </w:r>
    </w:p>
    <w:p w:rsidR="001F2239" w:rsidRPr="00467B95" w:rsidRDefault="001F2239" w:rsidP="005A3DF4">
      <w:pPr>
        <w:widowControl w:val="0"/>
        <w:spacing w:after="0" w:line="240" w:lineRule="auto"/>
        <w:ind w:firstLine="709"/>
        <w:contextualSpacing/>
        <w:jc w:val="both"/>
        <w:rPr>
          <w:rFonts w:ascii="Times New Roman" w:eastAsia="Times New Roman" w:hAnsi="Times New Roman"/>
          <w:sz w:val="28"/>
          <w:szCs w:val="28"/>
          <w:lang w:val="en-US" w:eastAsia="ru-RU"/>
        </w:rPr>
      </w:pPr>
      <w:r w:rsidRPr="00467B95">
        <w:rPr>
          <w:rFonts w:ascii="Times New Roman" w:eastAsia="Times New Roman" w:hAnsi="Times New Roman"/>
          <w:sz w:val="28"/>
          <w:szCs w:val="28"/>
          <w:lang w:eastAsia="ru-RU"/>
        </w:rPr>
        <w:t>12</w:t>
      </w:r>
      <w:r w:rsidRPr="00467B95">
        <w:rPr>
          <w:rFonts w:ascii="Times New Roman" w:eastAsia="Times New Roman" w:hAnsi="Times New Roman"/>
          <w:sz w:val="28"/>
          <w:szCs w:val="28"/>
          <w:lang w:val="en-US" w:eastAsia="ru-RU"/>
        </w:rPr>
        <w:t> </w:t>
      </w:r>
      <w:r w:rsidRPr="00467B95">
        <w:rPr>
          <w:rFonts w:ascii="Times New Roman" w:eastAsia="Times New Roman" w:hAnsi="Times New Roman"/>
          <w:sz w:val="28"/>
          <w:szCs w:val="28"/>
          <w:lang w:eastAsia="ru-RU"/>
        </w:rPr>
        <w:t xml:space="preserve">Одегнал Е.А. Злоупотребление правом как правовое явление и его последствия [Электронный ресурс]. </w:t>
      </w:r>
      <w:r w:rsidRPr="00467B95">
        <w:rPr>
          <w:rFonts w:ascii="Times New Roman" w:eastAsia="Times New Roman" w:hAnsi="Times New Roman"/>
          <w:sz w:val="28"/>
          <w:szCs w:val="28"/>
          <w:lang w:val="en-US" w:eastAsia="ru-RU"/>
        </w:rPr>
        <w:t>URL: https://cyberleninka.ru/article/n/zloupotreblenie-pravom-kak-pravovoe-yavlenie-i-ego-posledstviya</w:t>
      </w:r>
    </w:p>
    <w:p w:rsidR="00706121" w:rsidRPr="005542CD" w:rsidRDefault="00706121" w:rsidP="005A3DF4">
      <w:pPr>
        <w:widowControl w:val="0"/>
        <w:spacing w:after="0" w:line="240" w:lineRule="auto"/>
        <w:ind w:firstLine="709"/>
        <w:contextualSpacing/>
        <w:jc w:val="center"/>
        <w:rPr>
          <w:rFonts w:ascii="Times New Roman" w:hAnsi="Times New Roman"/>
          <w:b/>
          <w:sz w:val="28"/>
          <w:szCs w:val="28"/>
          <w:lang w:val="en-US"/>
        </w:rPr>
      </w:pP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rPr>
      </w:pPr>
      <w:r w:rsidRPr="00467B95">
        <w:rPr>
          <w:rFonts w:ascii="Times New Roman" w:hAnsi="Times New Roman"/>
          <w:b/>
          <w:sz w:val="28"/>
          <w:szCs w:val="28"/>
        </w:rPr>
        <w:t>Анализ судебной практики по спорам, связанным с неисполнением правообладателя обязанностей по договорам коммерческой концессии</w:t>
      </w:r>
    </w:p>
    <w:p w:rsidR="00B83E8D" w:rsidRPr="00467B95" w:rsidRDefault="00B83E8D" w:rsidP="005A3DF4">
      <w:pPr>
        <w:widowControl w:val="0"/>
        <w:spacing w:after="0" w:line="240" w:lineRule="auto"/>
        <w:ind w:firstLine="709"/>
        <w:contextualSpacing/>
        <w:jc w:val="center"/>
        <w:rPr>
          <w:rFonts w:ascii="Times New Roman" w:hAnsi="Times New Roman"/>
          <w:sz w:val="28"/>
          <w:szCs w:val="28"/>
        </w:rPr>
      </w:pPr>
    </w:p>
    <w:p w:rsidR="00B83E8D" w:rsidRPr="00467B95" w:rsidRDefault="00B83E8D"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Чумаш Дарья Сергеевна</w:t>
      </w:r>
    </w:p>
    <w:p w:rsidR="00B83E8D" w:rsidRPr="00467B95" w:rsidRDefault="00B83E8D"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бакалавр</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 xml:space="preserve">Владивостокский государственный университет экономики и сервиса </w:t>
      </w:r>
    </w:p>
    <w:p w:rsidR="00B83E8D" w:rsidRPr="00467B95" w:rsidRDefault="00B83E8D" w:rsidP="005A3DF4">
      <w:pPr>
        <w:widowControl w:val="0"/>
        <w:spacing w:after="0" w:line="240" w:lineRule="auto"/>
        <w:ind w:firstLine="709"/>
        <w:contextualSpacing/>
        <w:jc w:val="center"/>
        <w:rPr>
          <w:rFonts w:ascii="Times New Roman" w:hAnsi="Times New Roman"/>
          <w:i/>
          <w:sz w:val="28"/>
          <w:szCs w:val="28"/>
        </w:rPr>
      </w:pPr>
      <w:r w:rsidRPr="00467B95">
        <w:rPr>
          <w:rFonts w:ascii="Times New Roman" w:hAnsi="Times New Roman"/>
          <w:i/>
          <w:sz w:val="28"/>
          <w:szCs w:val="28"/>
        </w:rPr>
        <w:t>Россия. Владивосток</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chumashdarya</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xml:space="preserve">; тел: +7 (914) 681-99-06 </w:t>
      </w:r>
    </w:p>
    <w:p w:rsidR="00B83E8D" w:rsidRPr="00467B95" w:rsidRDefault="00B83E8D"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B83E8D" w:rsidRPr="00467B95" w:rsidRDefault="00B83E8D" w:rsidP="005A3DF4">
      <w:pPr>
        <w:widowControl w:val="0"/>
        <w:spacing w:after="0" w:line="240" w:lineRule="auto"/>
        <w:ind w:firstLine="709"/>
        <w:jc w:val="center"/>
        <w:rPr>
          <w:rFonts w:ascii="Times New Roman" w:hAnsi="Times New Roman"/>
          <w:sz w:val="28"/>
          <w:szCs w:val="28"/>
        </w:rPr>
      </w:pPr>
    </w:p>
    <w:p w:rsidR="00B83E8D" w:rsidRPr="00467B95" w:rsidRDefault="00B83E8D"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Статья посвящена актуальному вопросу, связанному с неисполнением правообладателем своих обязанностей по договорам коммерческой концессии. В работе выявляются категории споров, которые возникли в результате анализа актов арбитражных судов и причины возникновения споров по каждой категории.</w:t>
      </w:r>
    </w:p>
    <w:p w:rsidR="00B83E8D" w:rsidRPr="00467B95" w:rsidRDefault="00B83E8D" w:rsidP="005A3DF4">
      <w:pPr>
        <w:widowControl w:val="0"/>
        <w:spacing w:after="0" w:line="240" w:lineRule="auto"/>
        <w:ind w:firstLine="709"/>
        <w:jc w:val="both"/>
        <w:rPr>
          <w:rFonts w:ascii="Times New Roman" w:hAnsi="Times New Roman"/>
          <w:i/>
          <w:sz w:val="28"/>
          <w:szCs w:val="28"/>
        </w:rPr>
      </w:pPr>
    </w:p>
    <w:p w:rsidR="00B83E8D" w:rsidRPr="00467B95" w:rsidRDefault="00B83E8D" w:rsidP="005A3DF4">
      <w:pPr>
        <w:widowControl w:val="0"/>
        <w:spacing w:after="0" w:line="240" w:lineRule="auto"/>
        <w:ind w:firstLine="709"/>
        <w:jc w:val="both"/>
        <w:rPr>
          <w:rFonts w:ascii="Times New Roman" w:hAnsi="Times New Roman"/>
          <w:i/>
          <w:sz w:val="28"/>
          <w:szCs w:val="28"/>
        </w:rPr>
      </w:pPr>
      <w:r w:rsidRPr="0013208D">
        <w:rPr>
          <w:rFonts w:ascii="Times New Roman" w:hAnsi="Times New Roman"/>
          <w:i/>
          <w:sz w:val="28"/>
          <w:szCs w:val="28"/>
        </w:rPr>
        <w:t>Ключевые слова и словосочетания: договор</w:t>
      </w:r>
      <w:r w:rsidRPr="00467B95">
        <w:rPr>
          <w:rFonts w:ascii="Times New Roman" w:hAnsi="Times New Roman"/>
          <w:i/>
          <w:sz w:val="28"/>
          <w:szCs w:val="28"/>
        </w:rPr>
        <w:t xml:space="preserve"> коммерческой концессии, неисполнение обязанностей правообладателя, пользователь, исключительное право, комплекс исключительных прав.</w:t>
      </w:r>
    </w:p>
    <w:p w:rsidR="00B83E8D" w:rsidRPr="00467B95" w:rsidRDefault="00B83E8D" w:rsidP="005A3DF4">
      <w:pPr>
        <w:widowControl w:val="0"/>
        <w:spacing w:after="0" w:line="240" w:lineRule="auto"/>
        <w:ind w:firstLine="709"/>
        <w:jc w:val="both"/>
        <w:rPr>
          <w:rFonts w:ascii="Times New Roman" w:hAnsi="Times New Roman"/>
          <w:i/>
          <w:sz w:val="28"/>
          <w:szCs w:val="28"/>
        </w:rPr>
      </w:pP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lang w:val="en-US"/>
        </w:rPr>
      </w:pPr>
      <w:r w:rsidRPr="00467B95">
        <w:rPr>
          <w:rFonts w:ascii="Times New Roman" w:hAnsi="Times New Roman"/>
          <w:b/>
          <w:sz w:val="28"/>
          <w:szCs w:val="28"/>
          <w:lang w:val="en-US"/>
        </w:rPr>
        <w:t>Analysis of judicial practice on disputes connected with the failure of the owner responsibilities under the contracts of commercial concession</w:t>
      </w:r>
    </w:p>
    <w:p w:rsidR="00B83E8D" w:rsidRPr="00467B95" w:rsidRDefault="00B83E8D" w:rsidP="005A3DF4">
      <w:pPr>
        <w:widowControl w:val="0"/>
        <w:spacing w:after="0" w:line="240" w:lineRule="auto"/>
        <w:ind w:firstLine="709"/>
        <w:contextualSpacing/>
        <w:jc w:val="center"/>
        <w:rPr>
          <w:rFonts w:ascii="Times New Roman" w:hAnsi="Times New Roman"/>
          <w:b/>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 xml:space="preserve">The article is devoted to the topical issue related to the failure of the right holder to fulfill his obligations under the contracts of commercial concession. The paper identifies the categories of disputes that have arisen as a result of the analysis of acts of arbitration courts and the causes of disputes for each category. </w:t>
      </w:r>
    </w:p>
    <w:p w:rsidR="00B83E8D" w:rsidRPr="00467B95" w:rsidRDefault="00B83E8D" w:rsidP="005A3DF4">
      <w:pPr>
        <w:widowControl w:val="0"/>
        <w:spacing w:after="0" w:line="240" w:lineRule="auto"/>
        <w:ind w:firstLine="709"/>
        <w:jc w:val="both"/>
        <w:rPr>
          <w:rFonts w:ascii="Times New Roman" w:hAnsi="Times New Roman"/>
          <w:b/>
          <w:bCs/>
          <w:i/>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i/>
          <w:sz w:val="28"/>
          <w:szCs w:val="28"/>
          <w:lang w:val="en-US"/>
        </w:rPr>
      </w:pPr>
      <w:r w:rsidRPr="0013208D">
        <w:rPr>
          <w:rFonts w:ascii="Times New Roman" w:hAnsi="Times New Roman"/>
          <w:bCs/>
          <w:i/>
          <w:sz w:val="28"/>
          <w:szCs w:val="28"/>
          <w:lang w:val="en-US"/>
        </w:rPr>
        <w:t>Keywords:</w:t>
      </w:r>
      <w:r w:rsidRPr="0013208D">
        <w:rPr>
          <w:rFonts w:ascii="Times New Roman" w:hAnsi="Times New Roman"/>
          <w:i/>
          <w:sz w:val="28"/>
          <w:szCs w:val="28"/>
          <w:lang w:val="en-US"/>
        </w:rPr>
        <w:t xml:space="preserve"> commercial</w:t>
      </w:r>
      <w:r w:rsidRPr="00467B95">
        <w:rPr>
          <w:rFonts w:ascii="Times New Roman" w:hAnsi="Times New Roman"/>
          <w:i/>
          <w:sz w:val="28"/>
          <w:szCs w:val="28"/>
          <w:lang w:val="en-US"/>
        </w:rPr>
        <w:t xml:space="preserve"> concession agreement, non-fulfillment of obligations of the right holder, user, exclusive right, complex of exclusive rights.</w:t>
      </w:r>
    </w:p>
    <w:p w:rsidR="00B83E8D" w:rsidRPr="00467B95" w:rsidRDefault="00B83E8D" w:rsidP="005A3DF4">
      <w:pPr>
        <w:widowControl w:val="0"/>
        <w:spacing w:after="0" w:line="240" w:lineRule="auto"/>
        <w:ind w:firstLine="709"/>
        <w:jc w:val="both"/>
        <w:rPr>
          <w:rFonts w:ascii="Times New Roman" w:hAnsi="Times New Roman"/>
          <w:b/>
          <w:i/>
          <w:sz w:val="28"/>
          <w:szCs w:val="28"/>
          <w:lang w:val="en-US"/>
        </w:rPr>
      </w:pP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Актуальность исследования, выбранной мною темы, обусловлена тем, что в настоящее время большое распространение получает применение и </w:t>
      </w:r>
      <w:r w:rsidRPr="00467B95">
        <w:rPr>
          <w:rFonts w:ascii="Times New Roman" w:hAnsi="Times New Roman"/>
          <w:sz w:val="28"/>
          <w:szCs w:val="28"/>
        </w:rPr>
        <w:lastRenderedPageBreak/>
        <w:t xml:space="preserve">использование договора коммерческой концессии в сфере предпринимательства, ввиду использования популярных торговых марок, секретов производства (ноу-хау), знаков обслуживания. Вступая в договорные отношения, правообладатель, пользователь пользуются преимуществами, также могут заранее предусмотреть ответственность сторон.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Правообладатель совершает нарушения в области своих обязательств по договору коммерческой концессии, тем самым образовывая спор между сторонами договора, следовательно, нужно найти пути решения для предотвращения нарушений, чтобы в будущем не создавались недопонимания, негативные моменты между сторонами.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Целью данной работы является выявление типичных споров, связанных с неисполнением правообладателем обязанностей из договора коммерческой концессии. Задачи следующие: анализ судебной практики арбитражных судов за последние 5 лет; выявить категории споров и их основания, доказательства; проанализировать причины возникших споров и дать правовую оценку.</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Методологическую основу работы составляют методы анализа, сравнения, индукции.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Эмпирическую базу исследования составляют 20 актов арбитражных судов первой и второй инстанций, принятые за период с 2012 года по 2018 год, а именно: постановления Девятого арбитражного апелляционного суда № 09АП-8342/2018-ГК [1], Двадцатого арбитражного апелляционного суда (дело № А68-7813/2012) [2],  Девятого арбитражного апелляционного суда № 09АП-39543/2018 [3], № 09АП-30326/2018 [4], Тринадцатого арбитражного апелляционного суда № А56-19471/2017 [5], № А56-114287/2017 [6], решение арбитражного суда Свердловской области (дело № А60-49352/2016 [7], постановление Тринадцатого арбитражного апелляционного суда (дело № 13АП-1477/2016 [8], № А56-45702/2017) [9], Семнадцатого арбитражного апелляционного суда № 17АП-11543/2018-ГК [10], Второго арбитражного апелляционного суда № 02АП-10948/2016 [11], решение арбитражного суда города Москвы (дело № А40-237287/2016) [12], постановление Девятого арбитражного апелляционного суда № 09АП-31958/2016 [13], № 09АП-35792/2018-ГК [14], № 09АП-21324/2014-ГК [15], постановление Четырнадцатого арбитражного апелляционного суда (дело № А56-70972/2017) [16], Тринадцатого арбитражного апелляционного суда № А56-70972/2017 [17], решение Рязанской области (дело № А54-4592/2016) [18], постановление Девятого арбитражного апелляционного суда № 09АП-40364/2016-ГК) [19], Пятнадцатого арбитражного апелляционного суда № 15АП-4007/2018 [20].</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результате анализа выявлено 4 категории споров, в том числе: споры о признании недействительными договоров коммерческой концессии и применении последствий их недействительности; споры о расторжении договоров коммерческой концессии; споры о взыскании неосновательного </w:t>
      </w:r>
      <w:r w:rsidRPr="00467B95">
        <w:rPr>
          <w:rFonts w:ascii="Times New Roman" w:hAnsi="Times New Roman"/>
          <w:sz w:val="28"/>
          <w:szCs w:val="28"/>
        </w:rPr>
        <w:lastRenderedPageBreak/>
        <w:t>обогащения и проценты за пользование чужими денежными средствами; споры о взыскании задолженности по договорам коммерческой концессии и штрафа.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первой категории споров было выявлено 8 судебных дел, из них 5 требований было удовлетворено судом, в 3 делах суды отказали в удовлетворении требований.</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Основаниями исков о признании договоров недействительными и применении последствий недействительности явились:</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факт совершения сделки;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наличие основания недействительности сделки.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проанализированных случаях истцы заявляли требования о недействительности договоров коммерческой концессии по следующим основаниям: ст. 168 Гражданского кодекса Российской Федерации (далее – ГК РФ) (сделка, противоречащая закону), и ст. 1028 ГК РФ (несоблюдение требований о регистрации договора коммерческой концессии) [21], [22].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Первое основание – факт совершения сделки – доказывался истцами путем предоставления самого договора – документа.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заявлении требования о недействительности договора по ст. 168 ГК РФ, факт противоречия закону подтверждался истцами при помощи сопоставления условий договоров и содержания норм, которым эти условия противоречили. Кроме того, в качестве доказательств истцы предъявляли платежные поручения для подтверждения факта исполнения обязательств пользователя и претензии (письма) от истца (пользователя) к ответчику (правообладателю) с требованием о возврате денежных средств. Указанные доказательства являются необходимой предпосылкой принятия обоснованного решения о применении последствий недействительности договоров коммерческой концессии в виде возврата всего полученного по сделке.</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Заявляя требования о недействительности договоров по ст. 1028 ГК РФ, истцам по факту нужно доказать основание заявленных требований. Но доказательства не были указаны в судебных актах, говорилось лишь об отправленных претензиях, требованиях и обращениях о предоставлении доказательств регистрации договора и оставление без ответа отправителя (пользователя).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Интересным было дело, где суд отказал в удовлетворении требования, так как по спорному договору подлежали передаче права на использование именно комплекса исключительных прав, а не сами исключительные права [19]. И по данному договору предоставлялось право на использование только коммерческого обозначения и секрета производства (ноу-хау), но не предоставлялось право на использование товарного знака, соответственно данный договор не подлежит регистрации в соответствии с пунктом 3.4.2 Приказа Роспатента, который гласит: «В случае представления в Роспатент заявления о регистрации договора коммерческой концессии, по которому предоставляется право на использование изобретений, полезных моделей, </w:t>
      </w:r>
      <w:r w:rsidRPr="00467B95">
        <w:rPr>
          <w:rFonts w:ascii="Times New Roman" w:hAnsi="Times New Roman"/>
          <w:sz w:val="28"/>
          <w:szCs w:val="28"/>
        </w:rPr>
        <w:lastRenderedPageBreak/>
        <w:t>промышленных образцов и других объектов, но не предоставлено право на использование товарных знаков, заявителю направляется уведомление об отказе такого договора с указанием вышеизложенных причин, а также предлагается сторонам договора оформить свои отношения в рамках лицензионного договора, который в последующем может быть зарегистрирован» [23];</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Причины возникновения спора по рассматриваемой категории связаны с проблемой в договорной дисциплине; в нарушении обязанности по передаче исключительных прав, которые юридически не принадлежат стороне; в несвоевременной регистрация договора, также непредоставлении доказательств проведения регистрации.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второй категории споров было найдено 3 судебных дела по спорам, связанным с расторжением договоров коммерческой концессии, из них 1 требование было удовлетворено судом и в 2 делах было отказано.</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Основаниями исков о расторжении договоров коммерческой концессии явились:</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факт заключения договора;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наличие оснований для расторжения договора, предусмотренных нормами гражданского законодательства и (или) условиями договоров коммерческой концессии.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проанализированных случаях истец заявлял требования о расторжении договора коммерческой концессии по подп. 1 п. 2 ст. 450 ГК РФ (существенное нарушение договора коммерческой концессии) [21]. И была попытка со ссылкой на п. 1 ст. 1031 ГК РФ (непредоставление технической, коммерческой документации и иной информации) [22].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Первое основание – факт заключения договора – доказывался истцами путем предоставления самого договора – документа.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Заявляя требование о расторжении договора по подп. 1 п. 2 ст. 450 ГК РФ, истец доказывал факт существенного нарушения договора коммерческой концессии путем досудебного обращения к ответчику, с предложением о расторжении указанного договора, с последующим оставлением без ответа пользователя (истца) [21].</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Заявлялось требование о расторжении договора по ст. 1031 ГК РФ, но было отказано, по причине доказанности со стороны ответчика своих обязательств по договору [22]. И фактическими доказательствами того, что правообладатель исполнял свои обязательства подтверждаются: электронным документооборотом, посредством электронной переписки на электронные адреса сторон, с вложениями документов, образцов, бланков.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постановлении Девятого арбитражного апелляционного суда от 15.09.2016, говорится о надлежащем исполнении обязательств истца (оплата паушального взноса, роялти), где правообладатель в полном объеме не передал пользователю исключительные права [9]. При этом, по факту истец пользовался товарным знаком с момента заключения договора и извлекалась прибыль от него. Интересным моментом явилась мотивировочная часть суда: </w:t>
      </w:r>
      <w:r w:rsidRPr="00467B95">
        <w:rPr>
          <w:rFonts w:ascii="Times New Roman" w:hAnsi="Times New Roman"/>
          <w:sz w:val="28"/>
          <w:szCs w:val="28"/>
        </w:rPr>
        <w:lastRenderedPageBreak/>
        <w:t>так как истец не предоставил доказательств о том, что не передача в полном объеме исключительных прав повлияла на исполнение договора в общем, он отказал в требовании о расторжении договора коммерческой концессии.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Причины возникновения спора по рассматриваемой категории связаны с недобросовестным поведением пользователя, который хотел расторгнуть договор, ссылавшись на электронные письма, которые не несли какой-либо значимой информации; существенные нарушения договора.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третьей категории дел выявлено 5 споров по требованиям о взыскании неосновательного обогащения и процентов за пользование чужими денежными средствами, где 4 из них были удовлетворены судом, а в 1 случае в удовлетворении требования было отказано.</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Можно разделить на 2 основания: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факт возникновения неосновательного обогащения на стороне ответчика;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факт невыполнения ответчиком обязанности по возврату неосновательного обогащения.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проанализированных случаях истцы заявляли требования по следующим основаниям: ст. 1028 ГК РФ (несоблюдение требований о регистрации договора коммерческой концессии), и 1031 ГК РФ (непредоставление технической, коммерческой документации и иной информации) [22].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Первое основание – факт возникновения неосновательного обогащения – доказывался истцами путем предоставления чек-ордера в качестве гарантийного взноса за заключение основного договора.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Второе основание – факт невыполнения ответчиком обязанности по возврату неосновательного обогащения – доказывался истцами путем предоставления претензии с требованием возвратить ранее перечисленную денежную сумму.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ст. 1028 ГК РФ, факт несоблюдения требований о регистрации договора коммерческой концессии подтверждается отправленными претензиями с просьбой о возврате уплаченных материальных средств [22].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одном из дел, несмотря на невыполнение требований о государственной регистрации договора коммерческой концессии, стороны надлежащим образом выполняли свои договорные обязанности, что подтверждалось подписанными актами [12].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Было заявлено требование по ст. 1031 ГК РФ, но, как и во второй категории дел, было отказано, по причине доказанности ответчиком факта надлежащего исполнения своих обязанностей по договору [22]. И фактическими доказательствами явились: отчеты о проведении периодического аудита торговой точки истца, обучения работников истца в учебном центре ответчика; отчеты о передаче схем, меню, технических карт, бланков заказов по позициям.</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Причины возникновения споров рассматриваемой категории связаны с непредоставлением необходимой документации (информации) по договору </w:t>
      </w:r>
      <w:r w:rsidRPr="00467B95">
        <w:rPr>
          <w:rFonts w:ascii="Times New Roman" w:hAnsi="Times New Roman"/>
          <w:sz w:val="28"/>
          <w:szCs w:val="28"/>
        </w:rPr>
        <w:lastRenderedPageBreak/>
        <w:t>коммерческой концессии; бездействием в осуществлении государственной регистрации договора; нарушением передачи исключительных прав, которые юридически не принадлежат стороне.</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Рассмотрев категорию дел о взыскании задолженности по договору коммерческой концессии и штрафа, было проанализировано 4 судебных акта. Только в одном из случаев требования были частично удовлетворены, а в 3 случаях заявленные требования остались без удовлетворения.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Основаниями исков о взыскании задолженности по договору коммерческой концессии и штрафа явились: наличие обязательства коммерческой концессии; надлежащее исполнение договорных обязанностей истцом; ненадлежащее исполнение обязанностей ответчиком; ненадлежащее исполнение обязанностей ответчиком, дающее основание требовать применения меры ответственности в виде уплаты штрафа.</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Заявлялось требование по ст. 309 ГК РФ, как факт ненадлежащего исполнения обязательств со стороны ответчика, истец подтверждал это претензией с требованием о погашении задолженности [21].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Первое основание – факт наличия обязательства – подтверждается договором коммерческой концессии.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Второе основание – факт надлежащего исполнения договорных обязанностей истцом – подтверждается актами приема-передачи.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Третье основание – факт ненадлежащего исполнения обязанностей ответчиком – подтверждается протоколами осмотра вещественных доказательств, претензиями с требованиями о погашении задолженности.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Требования о взыскании штрафа были заявлены, но ни одно не было удовлетворено судами.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Причины возникновения спора по рассматриваемой категории связаны с невыплатой вознаграждения по договору.</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из 20 проанализированных судебных дел, которые относятся к 4 категориям, 11 решений состоялось в пользу истцов (пользователей исключительными правами), что свидетельствует о том, что правообладатели допускают в ходе исполнения договоров коммерческой концессии нарушения. Причинами нарушений являются: передача несуществующих исключительных прав; несвоевременная регистрация договора; непредоставление доказательств о регистрации договора коммерческой концессии.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того, чтобы устранить, сгладить негативный эффект причин, порождающих споры, автор данной работы предлагает:</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включать сторонам в договор условие о вступлении в силу договора после предоставления документов, подтверждающих существование исключительного права, закрепленного именно за данным лицом (правообладателем), также после государственной регистрации в федеральном органе исполнительной власти, чтобы избежать будущих конфликтов между сторонами. Это будет являться своеобразной гарантией для будущего пользователя;</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предоставить судьям прямой доступ к порталу Роспатента, чтобы те могли в момент рассмотрения дела обратиться к нему, так как на данный момент, если нет выписки, отметки с Роспатента о приятии документов к рассмотрению (о регистрации договора) у стороны, то отсутствие последних судом считается как факт недоказанности в государственной регистрации.</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Перед тем, как заявлять определенные требования, заявителю нужно внимательно перечитать условия договора, а кому-то и впервые ознакомиться с ним.</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 нужно путать лицензионный договор и договор коммерческой концессии. В первом случае, стороны составляют договор, по которому подлежат права на использование промышленного образца, полезной модели и других объектов исключительных прав, кроме товарных знаков. При коммерческой концессии происходит передача именно комплекса исключительных прав. На это стоит обращать большое внимание.</w:t>
      </w:r>
    </w:p>
    <w:p w:rsidR="00B83E8D" w:rsidRPr="00467B95" w:rsidRDefault="00B83E8D"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О взыскании долга по договору коммерческой концессии: постановление 09АП-8342/2018-ГК Девятого арбитражного апелляционного суда [Электронный ресурс] // СПС «КонсультантПлюс». – Режим доступа: www.consultant.ru/cons/cgi/online.cgi?req=doc;base=</w:t>
      </w:r>
      <w:r w:rsidRPr="00467B95">
        <w:rPr>
          <w:rFonts w:ascii="Times New Roman" w:hAnsi="Times New Roman"/>
          <w:sz w:val="28"/>
          <w:szCs w:val="28"/>
        </w:rPr>
        <w:br/>
        <w:t xml:space="preserve">MARB009;n=1426004#04214246615518029.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О взыскании неосновательного обогащения и процентов за пользование чужими денежными средствами: постановление А68-7813/2012 Двадцатого арбитражного апелляционного суда [Электронный ресурс] // СПС «КонсультантПлюс». – Режим доступа: http://www.consultant.ru/cons/cgi/online.cgi?req=doc;base=RAPS020;n=25610#07155847165114715.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О взыскании задолженности по договору коммерческой концессии: постановление 09АП-39543/2018 Девятого арбитражного апелляционного суда [Электронный ресурс] // СПС «КонсультантПлюс». – Режим доступа: http://www.consultant.ru/cons/cgi/online.</w:t>
      </w:r>
      <w:r w:rsidRPr="00467B95">
        <w:rPr>
          <w:rFonts w:ascii="Times New Roman" w:hAnsi="Times New Roman"/>
          <w:sz w:val="28"/>
          <w:szCs w:val="28"/>
        </w:rPr>
        <w:br/>
        <w:t xml:space="preserve">cgi?req=doc;base=MARB009;n=1517060#03363178180665878.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О взыскании неосновательного обогащения в виде уплаченного первоначального платежа по договору субфранчайзинга: постановление 09АП-30326/2018 Девятого арбитражного апелляционного суда [Электронный ресурс] // СПС «КонсультантПлюс». – Режим доступа: http://www.consultant.ru/cons/cgi/online.cgi?req=doc;base=MARB009;n=1482</w:t>
      </w:r>
      <w:r w:rsidRPr="00467B95">
        <w:rPr>
          <w:rFonts w:ascii="Times New Roman" w:hAnsi="Times New Roman"/>
          <w:sz w:val="28"/>
          <w:szCs w:val="28"/>
        </w:rPr>
        <w:br/>
        <w:t xml:space="preserve">951#08246258637381088.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О взыскании неосновательного обогащения, возникшего на основании контракта коммерческой концессии: постановление А56-19471/2017 Тринадцатого арбитражного апелляционного суда [Электронный ресурс] // Судебные и нормативные акты РФ. – Режим доступа: http://sudact.ru/arbitral/doc/nOSloSDtjrLJ/?arbitral-txt=</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О взыскании неосновательного обогащения и процентов за пользование чужими денежными средствами: постановление А56-</w:t>
      </w:r>
      <w:r w:rsidRPr="00467B95">
        <w:rPr>
          <w:rFonts w:ascii="Times New Roman" w:hAnsi="Times New Roman"/>
          <w:sz w:val="28"/>
          <w:szCs w:val="28"/>
        </w:rPr>
        <w:lastRenderedPageBreak/>
        <w:t xml:space="preserve">114287/2017 Тринадцатого арбитражного апелляционного суда [Электронный ресурс] // Судебные и нормативные акты РФ. – Режим доступа: http://sudact.ru/arbitral/doc/mKNPbQKnBPxX/?arbitral-txt=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О взыскании расторжении договора коммерческой концессии, взыскании неосновательного обогащения, убытков и процентов за пользование чужими денежными средствами: решение А60-49352/2016 арбитражного суда Свердловской области [Электронный ресурс] // Судебные и нормативные акты РФ. – Режим доступа: http://sudact.ru/arbitral/doc/jCuLw4ReJbg8/?arbitral-txt=</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8 О взыскании процентов за пользование чужими денежными средствами: постановление 13АП-1477/2016 Тринадцатого арбитражного апелляционного суда [Электронный ресурс] // Судебные и нормативные акты РФ. – Режим доступа: http://sudact.</w:t>
      </w:r>
      <w:r w:rsidRPr="00467B95">
        <w:rPr>
          <w:rFonts w:ascii="Times New Roman" w:hAnsi="Times New Roman"/>
          <w:sz w:val="28"/>
          <w:szCs w:val="28"/>
        </w:rPr>
        <w:br/>
        <w:t xml:space="preserve">ru/arbitral/doc/dxprAPA3iiJ/?arbitral-txt=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9 О взыскании задолженности и штрафа, предусмотренного пунктами договора коммерческой концессии: постановление А56-45702/2017 Тринадцатого арбитражного апелляционного суда [Электронный ресурс] // Судебные и нормативные акты РФ. – Режим доступа: http://sudact.ru/arbitral/doc/oe88i7SYBn8/?arbitral-txt=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10 О взыскании штрафа по договору коммерческой концессии: постановление 17АП-11543/2018-ГК Семнадцатого арбитражного апелляционного суда [Электронный ресурс] // СПС «КонсультантПлюс».  – Режим доступа: http://www.consultant.ru/cons/cgi/online.cgi?req=</w:t>
      </w:r>
      <w:r w:rsidRPr="00467B95">
        <w:rPr>
          <w:rFonts w:ascii="Times New Roman" w:hAnsi="Times New Roman"/>
          <w:sz w:val="28"/>
          <w:szCs w:val="28"/>
        </w:rPr>
        <w:br/>
        <w:t xml:space="preserve">doc;base=RAPS017;n=203359#01626777433990021.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11 О признании договора коммерческой концессии недействительным, взыскании неосновательного обогащения, процентов за пользование чужими денежными средствами: постановление 02АП-10948/2016 Второго арбитражного апелляционного суда [Электронный ресурс] // СПС «КонсультантПлюс». – Режим доступа: http://www.consultant.ru/cons/cgi/online.</w:t>
      </w:r>
      <w:r w:rsidRPr="00467B95">
        <w:rPr>
          <w:rFonts w:ascii="Times New Roman" w:hAnsi="Times New Roman"/>
          <w:sz w:val="28"/>
          <w:szCs w:val="28"/>
        </w:rPr>
        <w:br/>
        <w:t xml:space="preserve">cgi?req=doc;base=RAPS002;n=74926#06886459850806852.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12 О признании договора коммерческой концессии недействительным, применении последствий недействительности сделки: решение А40-237287/2016 арбитражного суда г. Москвы [Электронный ресурс] // Судебные и нормативные акты РФ. – Режим доступа: http://sudact.ru/arbitral/doc/bzqVwN9enUx/?page=13&amp;arbitral-judge=&amp;arbitral-court=&amp;arbitral-case_doc=&amp;arbitral-doc_type=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13 О признании недействительным договора коммерческой концессии: постановление 09АП-31958/2016 Девятого арбитражного апелляционного суда [Электронный ресурс] // Судебные и нормативные акты РФ. – Режим доступа:</w:t>
      </w:r>
      <w:r>
        <w:rPr>
          <w:rFonts w:ascii="Times New Roman" w:hAnsi="Times New Roman"/>
          <w:sz w:val="28"/>
          <w:szCs w:val="28"/>
        </w:rPr>
        <w:t xml:space="preserve"> </w:t>
      </w:r>
      <w:r w:rsidRPr="00467B95">
        <w:rPr>
          <w:rFonts w:ascii="Times New Roman" w:hAnsi="Times New Roman"/>
          <w:sz w:val="28"/>
          <w:szCs w:val="28"/>
        </w:rPr>
        <w:t xml:space="preserve">http://sudact.ru/arbitral/doc/UHUebIVN/AGdp/?arbitral-txt=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14 О признании недействительным (ничтожным) договора коммерческой концессии и применении недействительности ничтожной сделки: постановление 09 АП-35792/2018-ГК Девятого арбитражного </w:t>
      </w:r>
      <w:r w:rsidRPr="00467B95">
        <w:rPr>
          <w:rFonts w:ascii="Times New Roman" w:hAnsi="Times New Roman"/>
          <w:sz w:val="28"/>
          <w:szCs w:val="28"/>
        </w:rPr>
        <w:lastRenderedPageBreak/>
        <w:t>апелляционного суда [Электронный ресурс] // СПС «КонсультантПлюс». – Режим доступа: http://www.consultant.ru/cons/cgi/online.cgi?req=doc;</w:t>
      </w:r>
      <w:r w:rsidRPr="00467B95">
        <w:rPr>
          <w:rFonts w:ascii="Times New Roman" w:hAnsi="Times New Roman"/>
          <w:sz w:val="28"/>
          <w:szCs w:val="28"/>
        </w:rPr>
        <w:br/>
        <w:t xml:space="preserve">base=MARB009;n=1495647#07009321709466463.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15 О признании ничтожным договора коммерческой концессии: постановление 09АП-21324/2014-ГК Девятого арбитражного апелляционного суда [Электронный ресурс] // СПС «КонсультантПлюс». – Режим доступа: http://www.consultant.ru/cons/cgi/online.cgi?req=doc;</w:t>
      </w:r>
      <w:r w:rsidRPr="00467B95">
        <w:rPr>
          <w:rFonts w:ascii="Times New Roman" w:hAnsi="Times New Roman"/>
          <w:sz w:val="28"/>
          <w:szCs w:val="28"/>
        </w:rPr>
        <w:br/>
        <w:t xml:space="preserve">base=MARB009;n=702808#01555730620296587.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16 О признании недействительным договора коммерческой концессии, применении последствий недействительности ничтожной сделки: постановление А56-70972/2017 Четырнадцатого арбитражного апелляционного суда [Электронный ресурс] // СПС «КонсультантПлюс». – Режим доступа: </w:t>
      </w:r>
      <w:r w:rsidRPr="00467B95">
        <w:rPr>
          <w:rFonts w:ascii="Times New Roman" w:hAnsi="Times New Roman"/>
          <w:sz w:val="28"/>
          <w:szCs w:val="28"/>
          <w:lang w:val="en-US"/>
        </w:rPr>
        <w:t>http</w:t>
      </w:r>
      <w:r w:rsidRPr="00467B95">
        <w:rPr>
          <w:rFonts w:ascii="Times New Roman" w:hAnsi="Times New Roman"/>
          <w:sz w:val="28"/>
          <w:szCs w:val="28"/>
        </w:rPr>
        <w:t>://</w:t>
      </w:r>
      <w:r w:rsidRPr="00467B95">
        <w:rPr>
          <w:rFonts w:ascii="Times New Roman" w:hAnsi="Times New Roman"/>
          <w:sz w:val="28"/>
          <w:szCs w:val="28"/>
          <w:lang w:val="en-US"/>
        </w:rPr>
        <w:t>www</w:t>
      </w:r>
      <w:r w:rsidRPr="00467B95">
        <w:rPr>
          <w:rFonts w:ascii="Times New Roman" w:hAnsi="Times New Roman"/>
          <w:sz w:val="28"/>
          <w:szCs w:val="28"/>
        </w:rPr>
        <w:t>.</w:t>
      </w:r>
      <w:r w:rsidRPr="00467B95">
        <w:rPr>
          <w:rFonts w:ascii="Times New Roman" w:hAnsi="Times New Roman"/>
          <w:sz w:val="28"/>
          <w:szCs w:val="28"/>
          <w:lang w:val="en-US"/>
        </w:rPr>
        <w:t>consultant</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w:t>
      </w:r>
      <w:r w:rsidRPr="00467B95">
        <w:rPr>
          <w:rFonts w:ascii="Times New Roman" w:hAnsi="Times New Roman"/>
          <w:sz w:val="28"/>
          <w:szCs w:val="28"/>
          <w:lang w:val="en-US"/>
        </w:rPr>
        <w:t>cons</w:t>
      </w:r>
      <w:r w:rsidRPr="00467B95">
        <w:rPr>
          <w:rFonts w:ascii="Times New Roman" w:hAnsi="Times New Roman"/>
          <w:sz w:val="28"/>
          <w:szCs w:val="28"/>
        </w:rPr>
        <w:t>/</w:t>
      </w:r>
      <w:r w:rsidRPr="00467B95">
        <w:rPr>
          <w:rFonts w:ascii="Times New Roman" w:hAnsi="Times New Roman"/>
          <w:sz w:val="28"/>
          <w:szCs w:val="28"/>
          <w:lang w:val="en-US"/>
        </w:rPr>
        <w:t>cgi</w:t>
      </w:r>
      <w:r w:rsidRPr="00467B95">
        <w:rPr>
          <w:rFonts w:ascii="Times New Roman" w:hAnsi="Times New Roman"/>
          <w:sz w:val="28"/>
          <w:szCs w:val="28"/>
        </w:rPr>
        <w:t>/</w:t>
      </w:r>
      <w:r w:rsidRPr="00467B95">
        <w:rPr>
          <w:rFonts w:ascii="Times New Roman" w:hAnsi="Times New Roman"/>
          <w:sz w:val="28"/>
          <w:szCs w:val="28"/>
          <w:lang w:val="en-US"/>
        </w:rPr>
        <w:t>online</w:t>
      </w:r>
      <w:r w:rsidRPr="00467B95">
        <w:rPr>
          <w:rFonts w:ascii="Times New Roman" w:hAnsi="Times New Roman"/>
          <w:sz w:val="28"/>
          <w:szCs w:val="28"/>
        </w:rPr>
        <w:t>.</w:t>
      </w:r>
      <w:r w:rsidRPr="00467B95">
        <w:rPr>
          <w:rFonts w:ascii="Times New Roman" w:hAnsi="Times New Roman"/>
          <w:sz w:val="28"/>
          <w:szCs w:val="28"/>
          <w:lang w:val="en-US"/>
        </w:rPr>
        <w:t>cgi</w:t>
      </w:r>
      <w:r w:rsidRPr="00467B95">
        <w:rPr>
          <w:rFonts w:ascii="Times New Roman" w:hAnsi="Times New Roman"/>
          <w:sz w:val="28"/>
          <w:szCs w:val="28"/>
        </w:rPr>
        <w:t>?</w:t>
      </w:r>
      <w:r w:rsidRPr="00467B95">
        <w:rPr>
          <w:rFonts w:ascii="Times New Roman" w:hAnsi="Times New Roman"/>
          <w:sz w:val="28"/>
          <w:szCs w:val="28"/>
          <w:lang w:val="en-US"/>
        </w:rPr>
        <w:t>req</w:t>
      </w:r>
      <w:r w:rsidRPr="00467B95">
        <w:rPr>
          <w:rFonts w:ascii="Times New Roman" w:hAnsi="Times New Roman"/>
          <w:sz w:val="28"/>
          <w:szCs w:val="28"/>
        </w:rPr>
        <w:t>=</w:t>
      </w:r>
      <w:r w:rsidRPr="00467B95">
        <w:rPr>
          <w:rFonts w:ascii="Times New Roman" w:hAnsi="Times New Roman"/>
          <w:sz w:val="28"/>
          <w:szCs w:val="28"/>
          <w:lang w:val="en-US"/>
        </w:rPr>
        <w:t>doc</w:t>
      </w:r>
      <w:r w:rsidRPr="00467B95">
        <w:rPr>
          <w:rFonts w:ascii="Times New Roman" w:hAnsi="Times New Roman"/>
          <w:sz w:val="28"/>
          <w:szCs w:val="28"/>
        </w:rPr>
        <w:t>;</w:t>
      </w:r>
      <w:r w:rsidRPr="00467B95">
        <w:rPr>
          <w:rFonts w:ascii="Times New Roman" w:hAnsi="Times New Roman"/>
          <w:sz w:val="28"/>
          <w:szCs w:val="28"/>
        </w:rPr>
        <w:br/>
      </w:r>
      <w:r w:rsidRPr="00467B95">
        <w:rPr>
          <w:rFonts w:ascii="Times New Roman" w:hAnsi="Times New Roman"/>
          <w:sz w:val="28"/>
          <w:szCs w:val="28"/>
          <w:lang w:val="en-US"/>
        </w:rPr>
        <w:t>base</w:t>
      </w:r>
      <w:r w:rsidRPr="00467B95">
        <w:rPr>
          <w:rFonts w:ascii="Times New Roman" w:hAnsi="Times New Roman"/>
          <w:sz w:val="28"/>
          <w:szCs w:val="28"/>
        </w:rPr>
        <w:t>=</w:t>
      </w:r>
      <w:r w:rsidRPr="00467B95">
        <w:rPr>
          <w:rFonts w:ascii="Times New Roman" w:hAnsi="Times New Roman"/>
          <w:sz w:val="28"/>
          <w:szCs w:val="28"/>
          <w:lang w:val="en-US"/>
        </w:rPr>
        <w:t>RAPS</w:t>
      </w:r>
      <w:r w:rsidRPr="00467B95">
        <w:rPr>
          <w:rFonts w:ascii="Times New Roman" w:hAnsi="Times New Roman"/>
          <w:sz w:val="28"/>
          <w:szCs w:val="28"/>
        </w:rPr>
        <w:t>014;</w:t>
      </w:r>
      <w:r w:rsidRPr="00467B95">
        <w:rPr>
          <w:rFonts w:ascii="Times New Roman" w:hAnsi="Times New Roman"/>
          <w:sz w:val="28"/>
          <w:szCs w:val="28"/>
          <w:lang w:val="en-US"/>
        </w:rPr>
        <w:t>n</w:t>
      </w:r>
      <w:r w:rsidRPr="00467B95">
        <w:rPr>
          <w:rFonts w:ascii="Times New Roman" w:hAnsi="Times New Roman"/>
          <w:sz w:val="28"/>
          <w:szCs w:val="28"/>
        </w:rPr>
        <w:t xml:space="preserve">=76152#021273111386486554.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17 О признании ничтожным договора коммерческой концессии: постановление А56-70972/2017 Тринадцатого арбитражного апелляционного суда [Электронный ресурс] // Судебные и нормативные акты РФ. – Режим доступа:http://sudact.ru/arbitral/doc/i418TljVk1Nx/?arbitral-txt=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18 О признании сделки недействительной и применении последствий недействительности сделки в виде взыскания уплаченных денежных средств по договору коммерческой концессии: решение А54-4592/2016 арбитражного суда Рязанской области [Электронный ресурс] // Судебные и нормативные акты РФ. – Режим доступа: http://sudact.ru/</w:t>
      </w:r>
      <w:r w:rsidRPr="00467B95">
        <w:rPr>
          <w:rFonts w:ascii="Times New Roman" w:hAnsi="Times New Roman"/>
          <w:sz w:val="28"/>
          <w:szCs w:val="28"/>
        </w:rPr>
        <w:br/>
        <w:t xml:space="preserve">arbitral/doc/fp4b8qkILEZb/?arbitral-txt=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19 О расторжении договора коммерческой концессии и взыскании неосновательного обогащения: постановление 09АП-40364/2016-ГК Девятого арбитражного апелляционного суда [Электронный ресурс] // СПС «КонсультантПлюс». – Режим доступа: http://www.</w:t>
      </w:r>
      <w:r w:rsidRPr="00467B95">
        <w:rPr>
          <w:rFonts w:ascii="Times New Roman" w:hAnsi="Times New Roman"/>
          <w:sz w:val="28"/>
          <w:szCs w:val="28"/>
        </w:rPr>
        <w:br/>
        <w:t xml:space="preserve">consultant.ru/cons/cgi/online.cgi?req=doc;base=MARB009;n=1092009#004659166808179016.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20 О расторжении договора франчайзинга, взыскании паушального взноса, упущенной выгоды, процентов за пользование чужими денежными средствами: постановление 15АП-4007/2018 Пятнадцатого арбитражного апелляционного суда [Электронный ресурс] // СПС «КонсультантПлюс». – Режим доступа: http://www.consultant.ru/cons/cgi/online.cgi?req=doc;b</w:t>
      </w:r>
      <w:r w:rsidRPr="00467B95">
        <w:rPr>
          <w:rFonts w:ascii="Times New Roman" w:hAnsi="Times New Roman"/>
          <w:sz w:val="28"/>
          <w:szCs w:val="28"/>
        </w:rPr>
        <w:br/>
        <w:t xml:space="preserve">ase=RAPS015;n=149954#04026174181951667.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21 Гражданский кодекс Российской Федерации. Часть первая: федеральный закон от 30.11.1994 г. № 51-ФЗ (ред. от 03.08.2018) [Электронный ресурс] // СПС «КонсультантПлюс». – Режим доступа: http://www.consultant.ru/document/cons_doc_LAW_5142/.</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22 Гражданский кодекс Российской Федерации. Часть вторая: федеральный закон от 26.01.1996 г. № 14-ФЗ (ред. от 29.07.2018) [Электронный ресурс] // СПС «КонсультантПлюс». – Режим доступа: http://www.consultant.ru/document/cons_doc_LAW_9027/. </w:t>
      </w:r>
    </w:p>
    <w:p w:rsidR="00B83E8D" w:rsidRPr="00467B95" w:rsidRDefault="00B83E8D"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23 Об утверждении Рекомендаций по вопросам проверки договоров о распоряжении исключительным правом на результаты интеллектуальной деятельности или средства индивидуализации. Приказ Роспатента от 29.12.2009 г. № 186 [Электронный ресурс] // СПС «КонсультантПлюс». – Режим доступа: http://www.consultant.ru/document/cons_doc_LAW_11</w:t>
      </w:r>
      <w:r w:rsidRPr="00467B95">
        <w:rPr>
          <w:rFonts w:ascii="Times New Roman" w:hAnsi="Times New Roman"/>
          <w:sz w:val="28"/>
          <w:szCs w:val="28"/>
        </w:rPr>
        <w:br/>
        <w:t xml:space="preserve">2006/. </w:t>
      </w:r>
    </w:p>
    <w:p w:rsidR="001F2239" w:rsidRPr="005542CD" w:rsidRDefault="001F2239" w:rsidP="005A3DF4">
      <w:pPr>
        <w:widowControl w:val="0"/>
        <w:spacing w:after="0" w:line="240" w:lineRule="auto"/>
        <w:ind w:firstLine="709"/>
        <w:rPr>
          <w:rFonts w:ascii="Times New Roman" w:hAnsi="Times New Roman"/>
          <w:sz w:val="28"/>
          <w:szCs w:val="28"/>
        </w:rPr>
      </w:pPr>
    </w:p>
    <w:p w:rsidR="00776834" w:rsidRPr="005542CD" w:rsidRDefault="00776834" w:rsidP="005A3DF4">
      <w:pPr>
        <w:widowControl w:val="0"/>
        <w:spacing w:after="0" w:line="240" w:lineRule="auto"/>
        <w:ind w:firstLine="709"/>
        <w:rPr>
          <w:rFonts w:ascii="Times New Roman" w:hAnsi="Times New Roman"/>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9E5C32" w:rsidRDefault="009E5C32" w:rsidP="005A3DF4">
      <w:pPr>
        <w:widowControl w:val="0"/>
        <w:spacing w:after="0" w:line="240" w:lineRule="auto"/>
        <w:ind w:firstLine="709"/>
        <w:rPr>
          <w:rFonts w:ascii="Times New Roman" w:hAnsi="Times New Roman"/>
          <w:b/>
          <w:sz w:val="28"/>
          <w:szCs w:val="28"/>
        </w:rPr>
      </w:pPr>
    </w:p>
    <w:p w:rsidR="001F2239" w:rsidRPr="00467B95" w:rsidRDefault="00232429" w:rsidP="005A3DF4">
      <w:pPr>
        <w:widowControl w:val="0"/>
        <w:spacing w:after="0" w:line="240" w:lineRule="auto"/>
        <w:ind w:firstLine="709"/>
        <w:rPr>
          <w:rFonts w:ascii="Times New Roman" w:hAnsi="Times New Roman"/>
          <w:b/>
          <w:sz w:val="28"/>
          <w:szCs w:val="28"/>
        </w:rPr>
      </w:pPr>
      <w:r w:rsidRPr="00467B95">
        <w:rPr>
          <w:rFonts w:ascii="Times New Roman" w:hAnsi="Times New Roman"/>
          <w:b/>
          <w:sz w:val="28"/>
          <w:szCs w:val="28"/>
        </w:rPr>
        <w:lastRenderedPageBreak/>
        <w:t>АКТУАЛЬНЫЕ ПРОБЛЕМЫ ПУБЛИЧНОГО ПРАВА</w:t>
      </w:r>
    </w:p>
    <w:p w:rsidR="001F2239" w:rsidRPr="00467B95" w:rsidRDefault="001F2239" w:rsidP="005A3DF4">
      <w:pPr>
        <w:widowControl w:val="0"/>
        <w:spacing w:after="0" w:line="240" w:lineRule="auto"/>
        <w:ind w:firstLine="709"/>
        <w:rPr>
          <w:rFonts w:ascii="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Финансирование государственных корпораций</w:t>
      </w:r>
    </w:p>
    <w:p w:rsidR="00D02D4C" w:rsidRDefault="00D02D4C" w:rsidP="005A3DF4">
      <w:pPr>
        <w:pStyle w:val="a9"/>
        <w:widowControl w:val="0"/>
        <w:spacing w:before="0" w:beforeAutospacing="0" w:after="0" w:afterAutospacing="0"/>
        <w:ind w:firstLine="709"/>
        <w:jc w:val="center"/>
        <w:rPr>
          <w:color w:val="000000"/>
          <w:sz w:val="28"/>
          <w:szCs w:val="28"/>
        </w:rPr>
      </w:pPr>
    </w:p>
    <w:p w:rsidR="00844289" w:rsidRPr="00467B95" w:rsidRDefault="00844289" w:rsidP="005A3DF4">
      <w:pPr>
        <w:pStyle w:val="a9"/>
        <w:widowControl w:val="0"/>
        <w:spacing w:before="0" w:beforeAutospacing="0" w:after="0" w:afterAutospacing="0"/>
        <w:ind w:firstLine="709"/>
        <w:jc w:val="center"/>
        <w:rPr>
          <w:color w:val="000000"/>
          <w:sz w:val="28"/>
          <w:szCs w:val="28"/>
        </w:rPr>
      </w:pPr>
      <w:r w:rsidRPr="00467B95">
        <w:rPr>
          <w:color w:val="000000"/>
          <w:sz w:val="28"/>
          <w:szCs w:val="28"/>
        </w:rPr>
        <w:t>Александрина Алена Евгеньевна</w:t>
      </w:r>
    </w:p>
    <w:p w:rsidR="00844289" w:rsidRPr="00467B95" w:rsidRDefault="00844289" w:rsidP="005A3DF4">
      <w:pPr>
        <w:pStyle w:val="a9"/>
        <w:widowControl w:val="0"/>
        <w:spacing w:before="0" w:beforeAutospacing="0" w:after="0" w:afterAutospacing="0"/>
        <w:ind w:firstLine="709"/>
        <w:jc w:val="center"/>
        <w:rPr>
          <w:color w:val="000000"/>
          <w:sz w:val="28"/>
          <w:szCs w:val="28"/>
        </w:rPr>
      </w:pPr>
      <w:r w:rsidRPr="00467B95">
        <w:rPr>
          <w:color w:val="000000"/>
          <w:sz w:val="28"/>
          <w:szCs w:val="28"/>
        </w:rPr>
        <w:t>бакалавр</w:t>
      </w:r>
    </w:p>
    <w:p w:rsidR="00844289" w:rsidRPr="00467B95" w:rsidRDefault="00844289" w:rsidP="005A3DF4">
      <w:pPr>
        <w:pStyle w:val="a9"/>
        <w:widowControl w:val="0"/>
        <w:spacing w:before="0" w:beforeAutospacing="0" w:after="0" w:afterAutospacing="0"/>
        <w:ind w:firstLine="709"/>
        <w:jc w:val="center"/>
        <w:rPr>
          <w:i/>
          <w:color w:val="000000"/>
          <w:sz w:val="28"/>
          <w:szCs w:val="28"/>
        </w:rPr>
      </w:pPr>
      <w:r w:rsidRPr="00467B95">
        <w:rPr>
          <w:i/>
          <w:color w:val="000000"/>
          <w:sz w:val="28"/>
          <w:szCs w:val="28"/>
        </w:rPr>
        <w:t>Владивостокский государственный университет экономики и сервиса</w:t>
      </w:r>
    </w:p>
    <w:p w:rsidR="00844289" w:rsidRPr="00467B95" w:rsidRDefault="00844289" w:rsidP="005A3DF4">
      <w:pPr>
        <w:pStyle w:val="a9"/>
        <w:widowControl w:val="0"/>
        <w:spacing w:before="0" w:beforeAutospacing="0" w:after="0" w:afterAutospacing="0"/>
        <w:ind w:firstLine="709"/>
        <w:jc w:val="center"/>
        <w:rPr>
          <w:i/>
          <w:color w:val="000000"/>
          <w:sz w:val="28"/>
          <w:szCs w:val="28"/>
        </w:rPr>
      </w:pPr>
      <w:r w:rsidRPr="00467B95">
        <w:rPr>
          <w:i/>
          <w:color w:val="000000"/>
          <w:sz w:val="28"/>
          <w:szCs w:val="28"/>
        </w:rPr>
        <w:t>Россия. Владивосток</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9E5C32">
        <w:rPr>
          <w:rFonts w:ascii="Times New Roman" w:hAnsi="Times New Roman"/>
          <w:sz w:val="28"/>
          <w:szCs w:val="28"/>
        </w:rPr>
        <w:t>-</w:t>
      </w:r>
      <w:r w:rsidRPr="009E5C32">
        <w:rPr>
          <w:rFonts w:ascii="Times New Roman" w:hAnsi="Times New Roman"/>
          <w:sz w:val="28"/>
          <w:szCs w:val="28"/>
          <w:lang w:val="en-US"/>
        </w:rPr>
        <w:t>mail</w:t>
      </w:r>
      <w:r w:rsidRPr="009E5C32">
        <w:rPr>
          <w:rFonts w:ascii="Times New Roman" w:hAnsi="Times New Roman"/>
          <w:sz w:val="28"/>
          <w:szCs w:val="28"/>
        </w:rPr>
        <w:t xml:space="preserve">: </w:t>
      </w:r>
      <w:hyperlink r:id="rId116" w:history="1">
        <w:r w:rsidRPr="009E5C32">
          <w:rPr>
            <w:rStyle w:val="a8"/>
            <w:rFonts w:ascii="Times New Roman" w:hAnsi="Times New Roman"/>
            <w:color w:val="auto"/>
            <w:sz w:val="28"/>
            <w:szCs w:val="28"/>
            <w:u w:val="none"/>
            <w:lang w:val="en-US"/>
          </w:rPr>
          <w:t>alensun</w:t>
        </w:r>
        <w:r w:rsidRPr="009E5C32">
          <w:rPr>
            <w:rStyle w:val="a8"/>
            <w:rFonts w:ascii="Times New Roman" w:hAnsi="Times New Roman"/>
            <w:color w:val="auto"/>
            <w:sz w:val="28"/>
            <w:szCs w:val="28"/>
            <w:u w:val="none"/>
          </w:rPr>
          <w:t>@</w:t>
        </w:r>
        <w:r w:rsidRPr="009E5C32">
          <w:rPr>
            <w:rStyle w:val="a8"/>
            <w:rFonts w:ascii="Times New Roman" w:hAnsi="Times New Roman"/>
            <w:color w:val="auto"/>
            <w:sz w:val="28"/>
            <w:szCs w:val="28"/>
            <w:u w:val="none"/>
            <w:lang w:val="en-US"/>
          </w:rPr>
          <w:t>list</w:t>
        </w:r>
        <w:r w:rsidRPr="009E5C32">
          <w:rPr>
            <w:rStyle w:val="a8"/>
            <w:rFonts w:ascii="Times New Roman" w:hAnsi="Times New Roman"/>
            <w:color w:val="auto"/>
            <w:sz w:val="28"/>
            <w:szCs w:val="28"/>
            <w:u w:val="none"/>
          </w:rPr>
          <w:t>.</w:t>
        </w:r>
        <w:r w:rsidRPr="009E5C32">
          <w:rPr>
            <w:rStyle w:val="a8"/>
            <w:rFonts w:ascii="Times New Roman" w:hAnsi="Times New Roman"/>
            <w:color w:val="auto"/>
            <w:sz w:val="28"/>
            <w:szCs w:val="28"/>
            <w:u w:val="none"/>
            <w:lang w:val="en-US"/>
          </w:rPr>
          <w:t>ru</w:t>
        </w:r>
      </w:hyperlink>
      <w:r w:rsidRPr="009E5C32">
        <w:rPr>
          <w:rFonts w:ascii="Times New Roman" w:hAnsi="Times New Roman"/>
          <w:sz w:val="28"/>
          <w:szCs w:val="28"/>
        </w:rPr>
        <w:t>; +</w:t>
      </w:r>
      <w:r w:rsidRPr="00467B95">
        <w:rPr>
          <w:rFonts w:ascii="Times New Roman" w:hAnsi="Times New Roman"/>
          <w:sz w:val="28"/>
          <w:szCs w:val="28"/>
        </w:rPr>
        <w:t>79244397070</w:t>
      </w:r>
    </w:p>
    <w:p w:rsidR="00844289" w:rsidRPr="00467B95" w:rsidRDefault="00844289" w:rsidP="005A3DF4">
      <w:pPr>
        <w:pStyle w:val="a9"/>
        <w:widowControl w:val="0"/>
        <w:spacing w:before="0" w:beforeAutospacing="0" w:after="0" w:afterAutospacing="0"/>
        <w:ind w:firstLine="709"/>
        <w:jc w:val="center"/>
        <w:rPr>
          <w:i/>
          <w:color w:val="000000"/>
          <w:sz w:val="28"/>
          <w:szCs w:val="28"/>
        </w:rPr>
      </w:pPr>
      <w:r w:rsidRPr="00467B95">
        <w:rPr>
          <w:rFonts w:eastAsia="Calibri"/>
          <w:sz w:val="28"/>
          <w:szCs w:val="28"/>
          <w:lang w:eastAsia="en-US"/>
        </w:rPr>
        <w:t>ул. Гоголя, 41, г. Владивосток, Приморский край, Россия, 690014</w:t>
      </w:r>
    </w:p>
    <w:p w:rsidR="00844289" w:rsidRPr="00467B95" w:rsidRDefault="00844289" w:rsidP="005A3DF4">
      <w:pPr>
        <w:pStyle w:val="a9"/>
        <w:widowControl w:val="0"/>
        <w:spacing w:before="0" w:beforeAutospacing="0" w:after="0" w:afterAutospacing="0"/>
        <w:ind w:firstLine="709"/>
        <w:rPr>
          <w:color w:val="000000"/>
          <w:sz w:val="28"/>
          <w:szCs w:val="28"/>
        </w:rPr>
      </w:pPr>
    </w:p>
    <w:p w:rsidR="00844289" w:rsidRPr="00467B95" w:rsidRDefault="00844289" w:rsidP="005A3DF4">
      <w:pPr>
        <w:widowControl w:val="0"/>
        <w:spacing w:after="0" w:line="240" w:lineRule="auto"/>
        <w:ind w:firstLine="709"/>
        <w:rPr>
          <w:rFonts w:ascii="Times New Roman" w:hAnsi="Times New Roman"/>
          <w:i/>
          <w:sz w:val="28"/>
          <w:szCs w:val="28"/>
        </w:rPr>
      </w:pPr>
      <w:r w:rsidRPr="00467B95">
        <w:rPr>
          <w:rFonts w:ascii="Times New Roman" w:hAnsi="Times New Roman"/>
          <w:i/>
          <w:sz w:val="28"/>
          <w:szCs w:val="28"/>
        </w:rPr>
        <w:t xml:space="preserve">В статье рассматривается практическая проблема, возникающая при участии государства в процессе финансирования государственных корпораций на примере ГК «ВЭБ.РФ» и ГК «Росатом». Приводится финансово-правовое пояснение с указанием нормативных источников и официальных отчетов. Делается вывод, что в случае смены Российской Федерацией политики расходования бюджетных средств в госкорпорации экономическая ситуация в стране улучшится. </w:t>
      </w:r>
    </w:p>
    <w:p w:rsidR="001B32CD" w:rsidRDefault="001B32CD" w:rsidP="005A3DF4">
      <w:pPr>
        <w:widowControl w:val="0"/>
        <w:spacing w:after="0" w:line="240" w:lineRule="auto"/>
        <w:ind w:firstLine="709"/>
        <w:rPr>
          <w:rFonts w:ascii="Times New Roman" w:hAnsi="Times New Roman"/>
          <w:b/>
          <w:i/>
          <w:sz w:val="28"/>
          <w:szCs w:val="28"/>
        </w:rPr>
      </w:pPr>
    </w:p>
    <w:p w:rsidR="00844289" w:rsidRPr="00467B95" w:rsidRDefault="00844289" w:rsidP="005A3DF4">
      <w:pPr>
        <w:widowControl w:val="0"/>
        <w:spacing w:after="0" w:line="240" w:lineRule="auto"/>
        <w:ind w:firstLine="709"/>
        <w:rPr>
          <w:rFonts w:ascii="Times New Roman" w:hAnsi="Times New Roman"/>
          <w:b/>
          <w:i/>
          <w:sz w:val="28"/>
          <w:szCs w:val="28"/>
        </w:rPr>
      </w:pPr>
      <w:r w:rsidRPr="001B32CD">
        <w:rPr>
          <w:rFonts w:ascii="Times New Roman" w:hAnsi="Times New Roman"/>
          <w:i/>
          <w:sz w:val="28"/>
          <w:szCs w:val="28"/>
        </w:rPr>
        <w:t>Ключевые слова и словосочетания:</w:t>
      </w:r>
      <w:r w:rsidRPr="00467B95">
        <w:rPr>
          <w:rFonts w:ascii="Times New Roman" w:hAnsi="Times New Roman"/>
          <w:b/>
          <w:i/>
          <w:sz w:val="28"/>
          <w:szCs w:val="28"/>
        </w:rPr>
        <w:t xml:space="preserve"> </w:t>
      </w:r>
      <w:r w:rsidRPr="00467B95">
        <w:rPr>
          <w:rFonts w:ascii="Times New Roman" w:hAnsi="Times New Roman"/>
          <w:i/>
          <w:sz w:val="28"/>
          <w:szCs w:val="28"/>
        </w:rPr>
        <w:t>государственная корпорация, финансирование, федеральный бюджет, Российская Федерация, ВЭБ.РФ, «Росатом».</w:t>
      </w:r>
      <w:r w:rsidRPr="00467B95">
        <w:rPr>
          <w:rFonts w:ascii="Times New Roman" w:hAnsi="Times New Roman"/>
          <w:b/>
          <w:i/>
          <w:sz w:val="28"/>
          <w:szCs w:val="28"/>
        </w:rPr>
        <w:t xml:space="preserve"> </w:t>
      </w:r>
    </w:p>
    <w:p w:rsidR="00844289" w:rsidRPr="00467B95" w:rsidRDefault="00844289"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Financing of state corporations</w:t>
      </w:r>
    </w:p>
    <w:p w:rsidR="00D02D4C" w:rsidRPr="005542CD" w:rsidRDefault="00D02D4C" w:rsidP="005A3DF4">
      <w:pPr>
        <w:widowControl w:val="0"/>
        <w:spacing w:after="0" w:line="240" w:lineRule="auto"/>
        <w:ind w:firstLine="709"/>
        <w:jc w:val="center"/>
        <w:rPr>
          <w:rFonts w:ascii="Times New Roman" w:hAnsi="Times New Roman"/>
          <w:sz w:val="28"/>
          <w:szCs w:val="28"/>
          <w:lang w:val="en-US"/>
        </w:rPr>
      </w:pPr>
    </w:p>
    <w:p w:rsidR="00844289" w:rsidRPr="00467B95" w:rsidRDefault="00844289"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 xml:space="preserve">Aleksandrina Alena Evgenevna </w:t>
      </w:r>
    </w:p>
    <w:p w:rsidR="00844289" w:rsidRPr="00467B95" w:rsidRDefault="00844289"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 xml:space="preserve">Student Vladivostok State University of Economics and service </w:t>
      </w:r>
    </w:p>
    <w:p w:rsidR="00844289" w:rsidRPr="00467B95" w:rsidRDefault="00844289"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 xml:space="preserve">course 4 g. B-YUP-15-01 </w:t>
      </w:r>
    </w:p>
    <w:p w:rsidR="00844289" w:rsidRPr="00467B95" w:rsidRDefault="00844289" w:rsidP="005A3DF4">
      <w:pPr>
        <w:widowControl w:val="0"/>
        <w:spacing w:after="0" w:line="240" w:lineRule="auto"/>
        <w:ind w:firstLine="709"/>
        <w:jc w:val="center"/>
        <w:rPr>
          <w:rFonts w:ascii="Times New Roman" w:hAnsi="Times New Roman"/>
          <w:i/>
          <w:sz w:val="28"/>
          <w:szCs w:val="28"/>
          <w:lang w:val="en-US"/>
        </w:rPr>
      </w:pPr>
      <w:r w:rsidRPr="00467B95">
        <w:rPr>
          <w:rFonts w:ascii="Times New Roman" w:hAnsi="Times New Roman"/>
          <w:i/>
          <w:sz w:val="28"/>
          <w:szCs w:val="28"/>
          <w:lang w:val="en-US"/>
        </w:rPr>
        <w:t>Vladivostok State University of Economics and service of Russia. Vladivostok</w:t>
      </w:r>
    </w:p>
    <w:p w:rsidR="00844289" w:rsidRPr="00467B95" w:rsidRDefault="00844289" w:rsidP="005A3DF4">
      <w:pPr>
        <w:widowControl w:val="0"/>
        <w:spacing w:after="0" w:line="240" w:lineRule="auto"/>
        <w:ind w:firstLine="709"/>
        <w:jc w:val="center"/>
        <w:rPr>
          <w:rFonts w:ascii="Times New Roman" w:hAnsi="Times New Roman"/>
          <w:i/>
          <w:sz w:val="28"/>
          <w:szCs w:val="28"/>
          <w:lang w:val="en-US"/>
        </w:rPr>
      </w:pPr>
    </w:p>
    <w:p w:rsidR="00844289" w:rsidRPr="00467B95" w:rsidRDefault="00844289" w:rsidP="005A3DF4">
      <w:pPr>
        <w:widowControl w:val="0"/>
        <w:spacing w:after="0" w:line="240" w:lineRule="auto"/>
        <w:ind w:firstLine="709"/>
        <w:rPr>
          <w:rFonts w:ascii="Times New Roman" w:hAnsi="Times New Roman"/>
          <w:i/>
          <w:sz w:val="28"/>
          <w:szCs w:val="28"/>
          <w:lang w:val="en-US"/>
        </w:rPr>
      </w:pPr>
      <w:r w:rsidRPr="00467B95">
        <w:rPr>
          <w:rFonts w:ascii="Times New Roman" w:hAnsi="Times New Roman"/>
          <w:i/>
          <w:sz w:val="28"/>
          <w:szCs w:val="28"/>
          <w:lang w:val="en-US"/>
        </w:rPr>
        <w:t>The article deals with the practical problem arising with the participation of the state in the process of financing of state corporations on the example of the civil code "VEB.Russia and Rosatom. The financial and legal explanation with the indication of normative sources and official reports is given. It is concluded that if the Russian Federation changes the policy of spending budgetary funds in the state Corporation, the economic situation in the country will improve.</w:t>
      </w:r>
    </w:p>
    <w:p w:rsidR="001B32CD" w:rsidRPr="005542CD" w:rsidRDefault="001B32CD" w:rsidP="005A3DF4">
      <w:pPr>
        <w:widowControl w:val="0"/>
        <w:spacing w:after="0" w:line="240" w:lineRule="auto"/>
        <w:ind w:firstLine="709"/>
        <w:rPr>
          <w:rFonts w:ascii="Times New Roman" w:hAnsi="Times New Roman"/>
          <w:b/>
          <w:i/>
          <w:sz w:val="28"/>
          <w:szCs w:val="28"/>
          <w:lang w:val="en-US"/>
        </w:rPr>
      </w:pPr>
    </w:p>
    <w:p w:rsidR="00844289" w:rsidRPr="00467B95" w:rsidRDefault="00844289" w:rsidP="005A3DF4">
      <w:pPr>
        <w:widowControl w:val="0"/>
        <w:spacing w:after="0" w:line="240" w:lineRule="auto"/>
        <w:ind w:firstLine="709"/>
        <w:rPr>
          <w:rFonts w:ascii="Times New Roman" w:hAnsi="Times New Roman"/>
          <w:i/>
          <w:sz w:val="28"/>
          <w:szCs w:val="28"/>
        </w:rPr>
      </w:pPr>
      <w:r w:rsidRPr="001B32CD">
        <w:rPr>
          <w:rFonts w:ascii="Times New Roman" w:hAnsi="Times New Roman"/>
          <w:i/>
          <w:sz w:val="28"/>
          <w:szCs w:val="28"/>
          <w:lang w:val="en-US"/>
        </w:rPr>
        <w:t>Key words and word-combinations:</w:t>
      </w:r>
      <w:r w:rsidRPr="00467B95">
        <w:rPr>
          <w:rFonts w:ascii="Times New Roman" w:hAnsi="Times New Roman"/>
          <w:b/>
          <w:i/>
          <w:sz w:val="28"/>
          <w:szCs w:val="28"/>
          <w:lang w:val="en-US"/>
        </w:rPr>
        <w:t xml:space="preserve"> </w:t>
      </w:r>
      <w:r w:rsidRPr="00467B95">
        <w:rPr>
          <w:rFonts w:ascii="Times New Roman" w:hAnsi="Times New Roman"/>
          <w:i/>
          <w:sz w:val="28"/>
          <w:szCs w:val="28"/>
          <w:lang w:val="en-US"/>
        </w:rPr>
        <w:t xml:space="preserve">State Corporation, financing, the federal budget, the Russian Federation, VEB. </w:t>
      </w:r>
      <w:r w:rsidRPr="00467B95">
        <w:rPr>
          <w:rFonts w:ascii="Times New Roman" w:hAnsi="Times New Roman"/>
          <w:i/>
          <w:sz w:val="28"/>
          <w:szCs w:val="28"/>
        </w:rPr>
        <w:t xml:space="preserve">Rf, Rosatom. </w:t>
      </w:r>
    </w:p>
    <w:p w:rsidR="001B32CD" w:rsidRDefault="001B32CD" w:rsidP="005A3DF4">
      <w:pPr>
        <w:widowControl w:val="0"/>
        <w:spacing w:after="0" w:line="240" w:lineRule="auto"/>
        <w:ind w:firstLine="709"/>
        <w:rPr>
          <w:rFonts w:ascii="Times New Roman" w:hAnsi="Times New Roman"/>
          <w:sz w:val="28"/>
          <w:szCs w:val="28"/>
        </w:rPr>
      </w:pP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Актуальность настоящей работы обусловлена тем, что уже несколько лет, Российская Федерация находится в непростом финансовом положении, переменно то повышая, то понижая уровень внутреннего валового продукта по отношению к состоянию дефицита государственного бюджета, что приводит к нестабильности в экономике и подтверждается официальными </w:t>
      </w:r>
      <w:r w:rsidRPr="00467B95">
        <w:rPr>
          <w:rFonts w:ascii="Times New Roman" w:hAnsi="Times New Roman"/>
          <w:sz w:val="28"/>
          <w:szCs w:val="28"/>
        </w:rPr>
        <w:lastRenderedPageBreak/>
        <w:t>данными Федеральной государственной службы статистики за 2017-2018 года. Данные экономические факторы отражаются главным образом на благосостоянии и финансовых возможностях граждан страны, достойная жизнь которых, согласно Конституции РФ, представляет особую значимость для государства. Однако, в виду правового и экономического нигилизма, проявляющегося, наиболее ярко на бытовом уровне, что означает, непонимание или незнание механизмов работы вышеуказанных систем, население страны пребывает в неведении относительно способа и порядка распределения их обязательных отчислений в бюджет государства – налогов. Деятельность госкорпораций по неизвестным причинам мало освещается в СМИ, хотя они также являются частью большого массива, куда впоследствии зачисляются прошедшие государственный налоговый «фильтр» активы, имеющие законодательно установленный способ зачисления и цели расходования. Исходя из вышесказанного, следует, что проблема выявления целесообразности финансирования государством госкорпораций - всенародная, поскольку базис вложений государства формируется на основе налоговых платежей граждан. Помимо прочего, актуальность настоящей работы заключается в её некоторой новизне исследования, так как при поиске научных исследований относительно правового разбора притока и оттока денежных средств государственных корпораций, автор не отметил их количественного разнообразия. Научная разработанность данной работы, основывается на сходных вопросах из смежных тем исследований в научных статьях различных экономических и правовых журналах, диссертациях и монографиях, например, таких авторов, как Беликов Е.Г.[4], Шимбарева Е.В.[13], Аштаева С.С.[3], Суханова Н.В.[9], Сысоев А.П.[9], Алексеев В.В.[1], Вдовенко Е.О. [1]. Целью настоящей работы является определение эффективности и выявление практической необходимости финансирования госкорпораций в том денежном эквиваленте, которые передаются им сегодня для реализации своих целей, для чего необходимо решить следующие задачи:</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выявить правосубъектность государственной корпорации;</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выявить порядок и способы предоставления мер финансовой поддержки государством госкорпорации;</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провести анализ финансовой отчетности деятельности госкорпораций «ВЭБ.РФ» и «Росатом».</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Методологическую основу исследования составили формально-юридический метод, метод толкования, сравнительно-правовой метод.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п. 1 ст. 48 ГК РФ юридическим лицом признается организация, которая имеет обособленное имущество и отвечает им по своим обязательствам, может от своего имени приобретать и осуществлять гражданские права и нести гражданские обязанности, быть истцом и ответчиком в суде. Понятие государственной корпорации (далее - госкорпорация) впервые вошло в историю Российского права в конце ХХ в., 08.07.1999 г., когда был подписан Федеральный закон (далее – ФЗ) о внесении дополнения в Федеральный закон о «Некоммерческих </w:t>
      </w:r>
      <w:r w:rsidRPr="00467B95">
        <w:rPr>
          <w:rFonts w:ascii="Times New Roman" w:hAnsi="Times New Roman"/>
          <w:sz w:val="28"/>
          <w:szCs w:val="28"/>
        </w:rPr>
        <w:lastRenderedPageBreak/>
        <w:t>организациях» (далее – ФЗ «О НКО»). С тех пор и по настоящее время введенная законодателем дефиниция не изменялась и определяется следующим образом - Государственной корпорацией признается не имеющая членства некоммерческая организация, учрежденная Российской Федерацией на основе имущественного взноса и созданная для осуществления социальных, управленческих или иных общественно полезных функций. Государственная корпорация создается на основании федерального закона [12, ст.7.1]. Моментом возникновения правосубъектности госкорпорации является день внесения соответствующей записи компетентным органом в ЕГЮЛ, что следует из общего требования к юридическим лицам в соответствие с п.2 ст. 48 ГК РФ, однако, такая организационно-правовая форма некоммерческой организации наделена некоторыми отличительными признаками:</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учредителем может быть исключительно Российская Федерация;</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создается исключительно на основании федерального закона, который может противоречить положениям, закрепленным в статье 7.1 ФЗ «О некоммерческих организациях», о чем сказано в п. 4 указанного закона;</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в качестве целей устанавливает исключительно осуществление социально-значимой деятельности.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Необходимость создания госкорпораций связана с тем, что в начале 2000-х г., производство, в лице частных предприятий, не имело достаточного капитала для проведения мероприятий стратегического планирования, в то время как государство располагало такими возможностями. Говоря предметно, Российская Федерация, как следует из официальных данных Казначейства России [8, переходя по ссылке сайта необходимо скачать документ формата </w:t>
      </w:r>
      <w:r w:rsidRPr="00467B95">
        <w:rPr>
          <w:rFonts w:ascii="Times New Roman" w:hAnsi="Times New Roman"/>
          <w:sz w:val="28"/>
          <w:szCs w:val="28"/>
          <w:lang w:val="en-US"/>
        </w:rPr>
        <w:t>xls</w:t>
      </w:r>
      <w:r w:rsidRPr="00467B95">
        <w:rPr>
          <w:rFonts w:ascii="Times New Roman" w:hAnsi="Times New Roman"/>
          <w:sz w:val="28"/>
          <w:szCs w:val="28"/>
        </w:rPr>
        <w:t xml:space="preserve">], к 2007 году накопила достаточный запас резервных средств, для осуществления «нового вектора развития, выбирая политику, устремленную в будущее» [6], а именно, сумму в размере 1562,2 млрд. руб. Таким образом, было решено создать предприятия, которые активно бы развивали хозяйственные и промышленные отрасли. Для каждой из них были определены отличные друг от друга цели и функции, которые госкорпорации выполняют и по настоящее время. Доля участия государства в процессе финансирования госкорпораций становится очевидна на этапе из создания - при формировании уставного капитала. Так, согласно ст. 7.1 ФЗ «О некоммерческих организациях», первое внесение имущественного взноса предполагается не иначе как из активов Российской Федерации, где она выступает собственником.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Проводя анализ обеспечения государственных корпораций финансовыми активами государства, автор уделил наибольшее внимание деятельности двум из них - ВЭБ.РФ и «Росатом».  Так, ВЭБ.РФ, учрежденный ФЗ "О банке развития" от 17.05.2007 N 82-ФЗ, устанавливает в качестве цели деятельности «содействие в обеспечении долгосрочного социально-экономического развития Российской Федерации и создание условий для устойчивого экономического роста, повышения эффективности </w:t>
      </w:r>
      <w:r w:rsidRPr="00467B95">
        <w:rPr>
          <w:rFonts w:ascii="Times New Roman" w:hAnsi="Times New Roman"/>
          <w:sz w:val="28"/>
          <w:szCs w:val="28"/>
        </w:rPr>
        <w:lastRenderedPageBreak/>
        <w:t xml:space="preserve">инвестиционной деятельности и расширения инвестирования средств в национальную экономику посредством реализации проектов в Российской Федерации и за рубежом, в том числе с участием иностранного капитала, направленных на развитие инфраструктуры, промышленности, инноваций, особых экономических зон, защиту окружающей среды, повышения энергоэффективности, поддержку экспорта и расширение доступа российской промышленной продукции (товаров, работ, услуг) на зарубежные рынки» [11, п.1 ст.3], и т.д. Данная госкорпорация является примером беспрецедентного капиталовложения средств из федерального бюджета. Согласно сведениям, представленным в презентации составленной сотрудниками ВЭба, в 2017 году «103,4 млрд рублей предоставлены ВЭБу в виде имущественного взноса Российской Федерации на компенсацию затрат по исполнению обязательств по внешним заимствованиям на рынках капитала, 16,0 млрд рублей – прочие субсидии». В 2018 г. было предано 100 млдр. рублей на те же цели, что и в прошлом году. В соответствие с принятым ФЗ о формировании федерального бюджета на 2019-2020 года планируется ежегодно передавать ВЭБу субсидии в сумме 100 млдр. рублей [7, с.5].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Всего, «с момента основания в 2007 году по настоящий момент ВЭБ РФ получил 25 имущественных взносов» [7, с.5], с 2007 по 2016 года это составило сумму в следующих размерах: «11 имущественных взносов = Объем: 596,6 млрд рублей; 10 субсидий = Объем: 165,7 млрд рублей; Средства, направленные на поддержку ликвидности в объеме 577,6 млрд рублей и 6,3 млрд долларов США» [7, с.5]. Однако, насколько релевантно вносить такие суммы в деятельность организации, которая имеет огромные возможности самоинвестирования посредством реализации проектов, сопутствующих развитию целей её деятельности, остается загадкой. Это доказывают официальные отчеты корпорации. Так, в 2017 году, согласно заключению аудитора, о финансовом положении, корпорация понесла убытки в размере 287,7 млдр.руб. [2, с.10-13].</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Как уже отмечалось ранее, ВЭБ.РФ не единственная госкорпорация, заручившаяся такой основательной финансовой поддержкой государства. Так, из отчета госкорпорации «Росатом» за 2017 год следует, что самостоятельная часть заработка не велика, в сравнении с тем, какие преференции продолжает оказывать государство. Это доказывает следующее положение: «во исполнение распоряжения Правительства Российской Федерации от 13.03.2017 № 437-р Госкорпорации «Росатом» в качестве имущественного взноса Российской Федерации были переданы акции 10 акционерных обществ (АО «ВНИИНМ», АО «ОКБМ им. И.И. Африкантова, АО «СХК», АО «НИКИЭТ», АО «Красная Звезда», АО «ВНИИХТ», АО «ГНЦ РФ—ТРИНИТИ», АО «НИИЭФА», АО «ГНЦ РФ—ФЭИ», АО «ФЦНИВТ “СПНО «Элерон»”»)» [5, с.53]. Имущество же переданное госкорпорации при её создании, закрепляется в Федеральном законе, её учреждающем.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Сдерживающим фактором от произвола количества выделяемых </w:t>
      </w:r>
      <w:r w:rsidRPr="00467B95">
        <w:rPr>
          <w:rFonts w:ascii="Times New Roman" w:hAnsi="Times New Roman"/>
          <w:sz w:val="28"/>
          <w:szCs w:val="28"/>
        </w:rPr>
        <w:lastRenderedPageBreak/>
        <w:t xml:space="preserve">средств при реализации политики оказания государственной поддержки госкорпорациям являются их контрольно-надзорные органы, а также утвержденный порядок отчетности, который корпорации обязаны предоставлять в определенные для них законом сроки. Так, в федеральном законе «О некоммерческих организациях» в ст. 7.1 установлена обязанность ежегодно публично предоставлять отчет о использовании своего имущества, если иное не установлено законом её учреждающем, а вся бухгалтерская отчетность должна быть аудирована. То есть, законодатель буквально наделяет госкорпорацию директивными функциями в части предоставления отчетности о целевом использовании вверенных средств, предоставляя возможность скрывать реальные цели растрат.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анализируя эффективность результатов деятельности госкорпораций, которые они представляют в своих отчетах, автор настоящей работы считает, что государственные корпорации не всегда справляются со своими первоначально определенными целями деятельности. В данном случае были приведены две из наиболее уязвимых госкорпораций существующих на данный момент в РФ. В связи с чем, автор считает, что РФ необходимо сменить политику распределения бюджетных средств в госкорпорации как организации, которые наделены достаточными возможностями для самостоятельного обеспечения себя  прибылью и формированием бюджета для реализации планируемых проектов. Практически, это предлагается сделать путем ужесточения в отношении всех госкорпораций отчетности, выводя её на максимально прозрачный уровень. Данное положение можно реализовать, если  средства из федерального бюджета будут выделяться госкорпорациям только по представленным ими «финансовым планам», с точно рассчитанной сметой и надлежаще проведенной комплексной проверкой со стороны, например, Счетной палаты РФ и независимого финансового аналитического центра. В данном случае, предлагается в качестве предмета проверки установить анализ соразмерности выделяемых из государственного бюджета средств, к проценту вероятности достижения конечного варианта планируемого к реализации проекта. Автор считает, что в таком случае госкорпорации станут более результативно выполнять предназначенные им функции реализаций целей деятельности. </w:t>
      </w:r>
    </w:p>
    <w:p w:rsidR="00812FD6" w:rsidRPr="00467B95" w:rsidRDefault="00812FD6"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844289" w:rsidRPr="00D02D4C"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 Алексеев Василий Владимирович, Вдовенко Евгений Олегович Особенности статуса </w:t>
      </w:r>
      <w:r w:rsidRPr="00D02D4C">
        <w:rPr>
          <w:rFonts w:ascii="Times New Roman" w:hAnsi="Times New Roman"/>
          <w:sz w:val="28"/>
          <w:szCs w:val="28"/>
        </w:rPr>
        <w:t xml:space="preserve">государственных корпораций и перспективы развития // Успехи в химии и химической технологии. 2015. №5 (164). - Режим доступа: </w:t>
      </w:r>
      <w:hyperlink r:id="rId117" w:history="1">
        <w:r w:rsidRPr="00D02D4C">
          <w:rPr>
            <w:rStyle w:val="a8"/>
            <w:rFonts w:ascii="Times New Roman" w:hAnsi="Times New Roman"/>
            <w:color w:val="auto"/>
            <w:sz w:val="28"/>
            <w:szCs w:val="28"/>
            <w:u w:val="none"/>
            <w:lang w:val="en-US"/>
          </w:rPr>
          <w:t>https</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cyberleninka</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ru</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article</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n</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osobennosti</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statusa</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gosudarstvennyh</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korporatsiy</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i</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perspektivy</w:t>
        </w:r>
        <w:r w:rsidRPr="00D02D4C">
          <w:rPr>
            <w:rStyle w:val="a8"/>
            <w:rFonts w:ascii="Times New Roman" w:hAnsi="Times New Roman"/>
            <w:color w:val="auto"/>
            <w:sz w:val="28"/>
            <w:szCs w:val="28"/>
            <w:u w:val="none"/>
          </w:rPr>
          <w:t>-</w:t>
        </w:r>
        <w:r w:rsidRPr="00D02D4C">
          <w:rPr>
            <w:rStyle w:val="a8"/>
            <w:rFonts w:ascii="Times New Roman" w:hAnsi="Times New Roman"/>
            <w:color w:val="auto"/>
            <w:sz w:val="28"/>
            <w:szCs w:val="28"/>
            <w:u w:val="none"/>
            <w:lang w:val="en-US"/>
          </w:rPr>
          <w:t>razvitiya</w:t>
        </w:r>
      </w:hyperlink>
      <w:r w:rsidRPr="00D02D4C">
        <w:rPr>
          <w:rFonts w:ascii="Times New Roman" w:hAnsi="Times New Roman"/>
          <w:sz w:val="28"/>
          <w:szCs w:val="28"/>
        </w:rPr>
        <w:t xml:space="preserve"> </w:t>
      </w:r>
    </w:p>
    <w:p w:rsidR="00844289" w:rsidRPr="00D02D4C" w:rsidRDefault="00844289" w:rsidP="005A3DF4">
      <w:pPr>
        <w:widowControl w:val="0"/>
        <w:spacing w:after="0" w:line="240" w:lineRule="auto"/>
        <w:ind w:firstLine="709"/>
        <w:jc w:val="both"/>
        <w:rPr>
          <w:rFonts w:ascii="Times New Roman" w:hAnsi="Times New Roman"/>
          <w:sz w:val="28"/>
          <w:szCs w:val="28"/>
        </w:rPr>
      </w:pPr>
      <w:r w:rsidRPr="00D02D4C">
        <w:rPr>
          <w:rFonts w:ascii="Times New Roman" w:hAnsi="Times New Roman"/>
          <w:sz w:val="28"/>
          <w:szCs w:val="28"/>
        </w:rPr>
        <w:t xml:space="preserve">2 Аудиторское заключение  независимого аудитора о консолидированной финансовой отчетности  государственной корпорации  «Банк развития и внешнеэкономической деятельности (Внешэкономбанк)» и ее дочерних организаций за 2017 год [Электронный ресурс] // ГК ВЭБ.РФ. – Режим доступа: </w:t>
      </w:r>
      <w:hyperlink r:id="rId118" w:history="1">
        <w:r w:rsidRPr="00D02D4C">
          <w:rPr>
            <w:rStyle w:val="a8"/>
            <w:rFonts w:ascii="Times New Roman" w:hAnsi="Times New Roman"/>
            <w:color w:val="auto"/>
            <w:sz w:val="28"/>
            <w:szCs w:val="28"/>
            <w:u w:val="none"/>
          </w:rPr>
          <w:t>https://veb.ru/files/?file=6c30c09e4bcf1956c2c7dd3ec2b2f6bd.pdf</w:t>
        </w:r>
      </w:hyperlink>
      <w:r w:rsidRPr="00D02D4C">
        <w:rPr>
          <w:rFonts w:ascii="Times New Roman" w:hAnsi="Times New Roman"/>
          <w:sz w:val="28"/>
          <w:szCs w:val="28"/>
        </w:rPr>
        <w:t xml:space="preserve"> </w:t>
      </w:r>
    </w:p>
    <w:p w:rsidR="00844289" w:rsidRPr="00812FD6" w:rsidRDefault="00844289" w:rsidP="005A3DF4">
      <w:pPr>
        <w:widowControl w:val="0"/>
        <w:spacing w:after="0" w:line="240" w:lineRule="auto"/>
        <w:ind w:firstLine="709"/>
        <w:jc w:val="both"/>
        <w:rPr>
          <w:rFonts w:ascii="Times New Roman" w:hAnsi="Times New Roman"/>
          <w:sz w:val="28"/>
          <w:szCs w:val="28"/>
        </w:rPr>
      </w:pPr>
      <w:r w:rsidRPr="00D02D4C">
        <w:rPr>
          <w:rFonts w:ascii="Times New Roman" w:hAnsi="Times New Roman"/>
          <w:sz w:val="28"/>
          <w:szCs w:val="28"/>
        </w:rPr>
        <w:t>3 Аштаева Саглар Сергеевна Госкорпорации в современной России: функции, структура и особенности деятельности</w:t>
      </w:r>
      <w:r w:rsidRPr="00812FD6">
        <w:rPr>
          <w:rFonts w:ascii="Times New Roman" w:hAnsi="Times New Roman"/>
          <w:sz w:val="28"/>
          <w:szCs w:val="28"/>
        </w:rPr>
        <w:t xml:space="preserve"> // Вестник КИГИ РАН. 2012. №1. - Режим доступа: </w:t>
      </w:r>
      <w:hyperlink r:id="rId119" w:history="1">
        <w:r w:rsidRPr="00812FD6">
          <w:rPr>
            <w:rStyle w:val="a8"/>
            <w:rFonts w:ascii="Times New Roman" w:hAnsi="Times New Roman"/>
            <w:color w:val="auto"/>
            <w:sz w:val="28"/>
            <w:szCs w:val="28"/>
            <w:u w:val="none"/>
          </w:rPr>
          <w:t>https://cyberleninka.ru/article/n/goskorporatsii-v-sovremennoy-rossii-funktsii-struktura-i-osobennosti-deyatelnosti</w:t>
        </w:r>
      </w:hyperlink>
      <w:r w:rsidRPr="00812FD6">
        <w:rPr>
          <w:rFonts w:ascii="Times New Roman" w:hAnsi="Times New Roman"/>
          <w:sz w:val="28"/>
          <w:szCs w:val="28"/>
        </w:rPr>
        <w:t xml:space="preserve"> </w:t>
      </w:r>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4 Беликов Евгений Геннадьевич Финансово-правовые аспекты деятельности государственных корпораций // Вестник СГЮА. 2014. №6 (101) [Электронный ресурс]  //  НЭБ «КиберЛенинка». - Режим доступа: https://cyberleninka.ru/article/n/finansovo-pravovye-aspekty-deyatelnosti-gosudarstvennyh-korporatsiy  </w:t>
      </w:r>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5 Итоги деятельности государственной корпорации по атомной энергии «РОСАТОМ» за 2017 год [Электронный ресурс] // ГК Росатом. – Режим доступа:  </w:t>
      </w:r>
      <w:hyperlink r:id="rId120" w:history="1">
        <w:r w:rsidRPr="00812FD6">
          <w:rPr>
            <w:rStyle w:val="a8"/>
            <w:rFonts w:ascii="Times New Roman" w:hAnsi="Times New Roman"/>
            <w:color w:val="auto"/>
            <w:sz w:val="28"/>
            <w:szCs w:val="28"/>
            <w:u w:val="none"/>
          </w:rPr>
          <w:t>https://rosatom.ru/upload/iblock/e5d/e5d0fefbd69c8d8a779ef817be2a63d0.pdf</w:t>
        </w:r>
      </w:hyperlink>
      <w:r w:rsidRPr="00812FD6">
        <w:rPr>
          <w:rFonts w:ascii="Times New Roman" w:hAnsi="Times New Roman"/>
          <w:sz w:val="28"/>
          <w:szCs w:val="28"/>
        </w:rPr>
        <w:t xml:space="preserve"> </w:t>
      </w:r>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 6 Послание Президента РФ Федеральному Собранию от 25.04.2005 "Послание Президента России Владимира Путина Федеральному Собранию РФ" [Электронный ресурс] // СПС «КонсультантПлюс». – Режим доступа: </w:t>
      </w:r>
      <w:hyperlink r:id="rId121" w:anchor="dst0" w:history="1">
        <w:r w:rsidRPr="00812FD6">
          <w:rPr>
            <w:rStyle w:val="a8"/>
            <w:rFonts w:ascii="Times New Roman" w:hAnsi="Times New Roman"/>
            <w:color w:val="auto"/>
            <w:sz w:val="28"/>
            <w:szCs w:val="28"/>
            <w:u w:val="none"/>
          </w:rPr>
          <w:t>http://www.consultant.ru/document/cons_doc_LAW_53088/#dst0</w:t>
        </w:r>
      </w:hyperlink>
      <w:r w:rsidRPr="00812FD6">
        <w:rPr>
          <w:rFonts w:ascii="Times New Roman" w:hAnsi="Times New Roman"/>
          <w:sz w:val="28"/>
          <w:szCs w:val="28"/>
        </w:rPr>
        <w:t xml:space="preserve"> </w:t>
      </w:r>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7 Презентация для инвесторов [Электронный ресурс] // ГК ВЭБ.РФ. – Режим доступа: </w:t>
      </w:r>
      <w:hyperlink r:id="rId122" w:history="1">
        <w:r w:rsidRPr="00812FD6">
          <w:rPr>
            <w:rStyle w:val="a8"/>
            <w:rFonts w:ascii="Times New Roman" w:hAnsi="Times New Roman"/>
            <w:color w:val="auto"/>
            <w:sz w:val="28"/>
            <w:szCs w:val="28"/>
            <w:u w:val="none"/>
          </w:rPr>
          <w:t>https://veb.ru/files/?file=c229463943bef25153d7342b77d90bd6.pdf</w:t>
        </w:r>
      </w:hyperlink>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8 Сведения о движении средств Стабилизационного фонда РФ (2004-2007) [Электронный ресурс] // Информация официального сайта Федерального казначейства. – Режим доступа: </w:t>
      </w:r>
      <w:hyperlink r:id="rId123" w:history="1">
        <w:r w:rsidRPr="00812FD6">
          <w:rPr>
            <w:rStyle w:val="a8"/>
            <w:rFonts w:ascii="Times New Roman" w:hAnsi="Times New Roman"/>
            <w:color w:val="auto"/>
            <w:sz w:val="28"/>
            <w:szCs w:val="28"/>
            <w:u w:val="none"/>
          </w:rPr>
          <w:t>http://www.roskazna.ru/finansovye-operacii/svedeniya-o-dvizhenii-sredstv-po-schetam/stabilizatsionnyy-fond/svedeniya-o-dvizhenii-sredstv-stabilizatsionnogo-fonda-rf-2004-2007/</w:t>
        </w:r>
      </w:hyperlink>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9 Суханова Наталия Виленовна, Сысоев Александр Петрович Государственные корпорации и их роль в инновационном развитии российской экономики // КЭ. 2015. №7. – Режим доступа: </w:t>
      </w:r>
      <w:hyperlink r:id="rId124" w:history="1">
        <w:r w:rsidRPr="00812FD6">
          <w:rPr>
            <w:rStyle w:val="a8"/>
            <w:rFonts w:ascii="Times New Roman" w:hAnsi="Times New Roman"/>
            <w:color w:val="auto"/>
            <w:sz w:val="28"/>
            <w:szCs w:val="28"/>
            <w:u w:val="none"/>
            <w:lang w:val="en-US"/>
          </w:rPr>
          <w:t>https</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cyberleninka</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ru</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article</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n</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gosudarstvennye</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korporatsii</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i</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ih</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rol</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v</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innovatsionnom</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razvitii</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rossiyskoy</w:t>
        </w:r>
        <w:r w:rsidRPr="00812FD6">
          <w:rPr>
            <w:rStyle w:val="a8"/>
            <w:rFonts w:ascii="Times New Roman" w:hAnsi="Times New Roman"/>
            <w:color w:val="auto"/>
            <w:sz w:val="28"/>
            <w:szCs w:val="28"/>
            <w:u w:val="none"/>
          </w:rPr>
          <w:t>-</w:t>
        </w:r>
        <w:r w:rsidRPr="00812FD6">
          <w:rPr>
            <w:rStyle w:val="a8"/>
            <w:rFonts w:ascii="Times New Roman" w:hAnsi="Times New Roman"/>
            <w:color w:val="auto"/>
            <w:sz w:val="28"/>
            <w:szCs w:val="28"/>
            <w:u w:val="none"/>
            <w:lang w:val="en-US"/>
          </w:rPr>
          <w:t>ekonomiki</w:t>
        </w:r>
      </w:hyperlink>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10 Т2 ТИТАН ХОЛДИНГ [Электронный ресурс] // «О компании». – Режим доступа: </w:t>
      </w:r>
      <w:hyperlink r:id="rId125" w:history="1">
        <w:r w:rsidRPr="00812FD6">
          <w:rPr>
            <w:rStyle w:val="a8"/>
            <w:rFonts w:ascii="Times New Roman" w:hAnsi="Times New Roman"/>
            <w:color w:val="auto"/>
            <w:sz w:val="28"/>
            <w:szCs w:val="28"/>
            <w:u w:val="none"/>
          </w:rPr>
          <w:t>http://www.titan2.ru/holding/today</w:t>
        </w:r>
      </w:hyperlink>
      <w:r w:rsidRPr="00812FD6">
        <w:rPr>
          <w:rFonts w:ascii="Times New Roman" w:hAnsi="Times New Roman"/>
          <w:sz w:val="28"/>
          <w:szCs w:val="28"/>
        </w:rPr>
        <w:t xml:space="preserve"> </w:t>
      </w:r>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11 Федеральный закон "О банке развития" от 17.05.2007 N 82-ФЗ (ред. от 28.11.18) [Электронный ресурс] // СПС «КонсультантПлюс». – Режим доступа: http://www.consultant.ru/document/cons_doc_LAW_68404/  </w:t>
      </w:r>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12 Федеральный закон "О некоммерческих организациях" от 12.01.1996 </w:t>
      </w:r>
      <w:r w:rsidRPr="00812FD6">
        <w:rPr>
          <w:rFonts w:ascii="Times New Roman" w:hAnsi="Times New Roman"/>
          <w:sz w:val="28"/>
          <w:szCs w:val="28"/>
          <w:lang w:val="en-US"/>
        </w:rPr>
        <w:t>N</w:t>
      </w:r>
      <w:r w:rsidRPr="00812FD6">
        <w:rPr>
          <w:rFonts w:ascii="Times New Roman" w:hAnsi="Times New Roman"/>
          <w:sz w:val="28"/>
          <w:szCs w:val="28"/>
        </w:rPr>
        <w:t xml:space="preserve"> 7-ФЗ (ред. от 29.07.18) [Электронный ресурс] // СПС «КонсультантПлюс». – Режим доступа: </w:t>
      </w:r>
      <w:hyperlink r:id="rId126" w:history="1">
        <w:r w:rsidRPr="00812FD6">
          <w:rPr>
            <w:rStyle w:val="a8"/>
            <w:rFonts w:ascii="Times New Roman" w:hAnsi="Times New Roman"/>
            <w:color w:val="auto"/>
            <w:sz w:val="28"/>
            <w:szCs w:val="28"/>
            <w:u w:val="none"/>
          </w:rPr>
          <w:t>http://www.consultant.ru/document/cons_doc_LAW_8824/</w:t>
        </w:r>
      </w:hyperlink>
    </w:p>
    <w:p w:rsidR="00844289" w:rsidRPr="00812FD6" w:rsidRDefault="00844289" w:rsidP="005A3DF4">
      <w:pPr>
        <w:widowControl w:val="0"/>
        <w:spacing w:after="0" w:line="240" w:lineRule="auto"/>
        <w:ind w:firstLine="709"/>
        <w:jc w:val="both"/>
        <w:rPr>
          <w:rFonts w:ascii="Times New Roman" w:hAnsi="Times New Roman"/>
          <w:sz w:val="28"/>
          <w:szCs w:val="28"/>
        </w:rPr>
      </w:pPr>
      <w:r w:rsidRPr="00812FD6">
        <w:rPr>
          <w:rFonts w:ascii="Times New Roman" w:hAnsi="Times New Roman"/>
          <w:sz w:val="28"/>
          <w:szCs w:val="28"/>
        </w:rPr>
        <w:t xml:space="preserve">13 Шимбарева Е.В. Правовой статус государственной корпорации // Экономический вестник Ростовского государственного университета 2007. Том 5 N 4 [Электронный ресурс]. - Режим доступа: </w:t>
      </w:r>
      <w:hyperlink r:id="rId127" w:history="1">
        <w:r w:rsidRPr="00812FD6">
          <w:rPr>
            <w:rFonts w:ascii="Times New Roman" w:hAnsi="Times New Roman"/>
            <w:sz w:val="28"/>
            <w:szCs w:val="28"/>
          </w:rPr>
          <w:t>http://ecsocman.hse.ru/data/474/883/1219/journal5.4-11.pdf</w:t>
        </w:r>
      </w:hyperlink>
      <w:r w:rsidRPr="00812FD6">
        <w:rPr>
          <w:rFonts w:ascii="Times New Roman" w:hAnsi="Times New Roman"/>
          <w:sz w:val="28"/>
          <w:szCs w:val="28"/>
        </w:rPr>
        <w:t xml:space="preserve"> </w:t>
      </w:r>
    </w:p>
    <w:p w:rsidR="00041B86" w:rsidRPr="00467B95" w:rsidRDefault="00041B86"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b/>
          <w:sz w:val="28"/>
          <w:szCs w:val="28"/>
        </w:rPr>
        <w:lastRenderedPageBreak/>
        <w:t>Компьютерная информация как предмет преступления, предусмотренного статьей 272 Уголовного кодекса Российской Федерации</w:t>
      </w:r>
    </w:p>
    <w:p w:rsidR="00D02D4C" w:rsidRDefault="00D02D4C" w:rsidP="005A3DF4">
      <w:pPr>
        <w:widowControl w:val="0"/>
        <w:spacing w:after="0" w:line="240" w:lineRule="auto"/>
        <w:ind w:firstLine="709"/>
        <w:jc w:val="center"/>
        <w:rPr>
          <w:rFonts w:ascii="Times New Roman" w:hAnsi="Times New Roman"/>
          <w:sz w:val="28"/>
          <w:szCs w:val="28"/>
        </w:rPr>
      </w:pP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Богачук Александра Вадимовна,</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 юриспруденции</w:t>
      </w:r>
    </w:p>
    <w:p w:rsidR="00041B86" w:rsidRPr="00467B95" w:rsidRDefault="00041B86"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Россия. Владивосток</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bogachuk</w:t>
      </w:r>
      <w:r w:rsidRPr="00467B95">
        <w:rPr>
          <w:rFonts w:ascii="Times New Roman" w:hAnsi="Times New Roman"/>
          <w:sz w:val="28"/>
          <w:szCs w:val="28"/>
        </w:rPr>
        <w:t>.14@</w:t>
      </w:r>
      <w:r w:rsidRPr="00467B95">
        <w:rPr>
          <w:rFonts w:ascii="Times New Roman" w:hAnsi="Times New Roman"/>
          <w:sz w:val="28"/>
          <w:szCs w:val="28"/>
          <w:lang w:val="en-US"/>
        </w:rPr>
        <w:t>bk</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тел.: 89241905935</w:t>
      </w:r>
    </w:p>
    <w:p w:rsidR="00041B86" w:rsidRPr="00467B95" w:rsidRDefault="00041B86" w:rsidP="005A3DF4">
      <w:pPr>
        <w:widowControl w:val="0"/>
        <w:spacing w:after="0" w:line="240" w:lineRule="auto"/>
        <w:ind w:firstLine="709"/>
        <w:jc w:val="both"/>
        <w:rPr>
          <w:rFonts w:ascii="Times New Roman" w:hAnsi="Times New Roman"/>
          <w:sz w:val="28"/>
          <w:szCs w:val="28"/>
        </w:rPr>
      </w:pPr>
    </w:p>
    <w:p w:rsidR="00041B86" w:rsidRPr="00467B95" w:rsidRDefault="00041B86"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 xml:space="preserve">В статье рассматривается предмет неправомерного доступа к компьютерной информации, изучается законодательство, анализируются позиции учёных. Автор приходит к выводу о несовершенстве законодательной дефиниции, что затрудняет выявление и раскрытие преступлений, предусмотренных ст. 272 УК РФ и делает судебную практику неоднородной. </w:t>
      </w:r>
    </w:p>
    <w:p w:rsidR="007B5033" w:rsidRDefault="007B5033" w:rsidP="005A3DF4">
      <w:pPr>
        <w:widowControl w:val="0"/>
        <w:spacing w:after="0" w:line="240" w:lineRule="auto"/>
        <w:ind w:firstLine="709"/>
        <w:jc w:val="both"/>
        <w:rPr>
          <w:rFonts w:ascii="Times New Roman" w:hAnsi="Times New Roman"/>
          <w:b/>
          <w:i/>
          <w:sz w:val="28"/>
          <w:szCs w:val="28"/>
        </w:rPr>
      </w:pPr>
    </w:p>
    <w:p w:rsidR="00041B86" w:rsidRPr="00467B95" w:rsidRDefault="00041B86" w:rsidP="005A3DF4">
      <w:pPr>
        <w:widowControl w:val="0"/>
        <w:spacing w:after="0" w:line="240" w:lineRule="auto"/>
        <w:ind w:firstLine="709"/>
        <w:jc w:val="both"/>
        <w:rPr>
          <w:rFonts w:ascii="Times New Roman" w:hAnsi="Times New Roman"/>
          <w:i/>
          <w:sz w:val="28"/>
          <w:szCs w:val="28"/>
        </w:rPr>
      </w:pPr>
      <w:r w:rsidRPr="007B5033">
        <w:rPr>
          <w:rFonts w:ascii="Times New Roman" w:hAnsi="Times New Roman"/>
          <w:i/>
          <w:sz w:val="28"/>
          <w:szCs w:val="28"/>
        </w:rPr>
        <w:t>Ключевые слова и словосочетания: компьютерная</w:t>
      </w:r>
      <w:r w:rsidRPr="00467B95">
        <w:rPr>
          <w:rFonts w:ascii="Times New Roman" w:hAnsi="Times New Roman"/>
          <w:i/>
          <w:sz w:val="28"/>
          <w:szCs w:val="28"/>
        </w:rPr>
        <w:t xml:space="preserve"> информация, неправомерный доступ, предмет преступления, компьютерные преступления.</w:t>
      </w:r>
    </w:p>
    <w:p w:rsidR="007B5033" w:rsidRDefault="007B5033" w:rsidP="005A3DF4">
      <w:pPr>
        <w:widowControl w:val="0"/>
        <w:spacing w:after="0" w:line="240" w:lineRule="auto"/>
        <w:ind w:firstLine="709"/>
        <w:jc w:val="center"/>
        <w:rPr>
          <w:rFonts w:ascii="Times New Roman" w:hAnsi="Times New Roman"/>
          <w:b/>
          <w:sz w:val="28"/>
          <w:szCs w:val="28"/>
        </w:rPr>
      </w:pPr>
    </w:p>
    <w:p w:rsidR="00041B86" w:rsidRPr="00467B95" w:rsidRDefault="00041B86"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 xml:space="preserve">Computer information as the subject of a crime under article 272 of the </w:t>
      </w:r>
    </w:p>
    <w:p w:rsidR="00041B86" w:rsidRPr="00467B95" w:rsidRDefault="00041B86"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Criminal Code of the Russian Federation</w:t>
      </w:r>
    </w:p>
    <w:p w:rsidR="007B5033" w:rsidRPr="005542CD" w:rsidRDefault="007B5033" w:rsidP="005A3DF4">
      <w:pPr>
        <w:widowControl w:val="0"/>
        <w:spacing w:after="0" w:line="240" w:lineRule="auto"/>
        <w:ind w:firstLine="709"/>
        <w:jc w:val="both"/>
        <w:rPr>
          <w:rFonts w:ascii="Times New Roman" w:hAnsi="Times New Roman"/>
          <w:i/>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The article deals with the subject of unauthorized access to computer information, examines legislation, analyzes the position of scientists. The author comes to the conclusion about the imperfection of the legislative definition, which makes it difficult to identify and disclose crimes under Art. 272 of the Criminal Code of the Russian Federation and makes judicial practice inhomogeneous.</w:t>
      </w:r>
    </w:p>
    <w:p w:rsidR="007B5033" w:rsidRPr="005542CD" w:rsidRDefault="007B5033" w:rsidP="005A3DF4">
      <w:pPr>
        <w:widowControl w:val="0"/>
        <w:spacing w:after="0" w:line="240" w:lineRule="auto"/>
        <w:ind w:firstLine="709"/>
        <w:jc w:val="both"/>
        <w:rPr>
          <w:rFonts w:ascii="Times New Roman" w:hAnsi="Times New Roman"/>
          <w:b/>
          <w:i/>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i/>
          <w:sz w:val="28"/>
          <w:szCs w:val="28"/>
          <w:lang w:val="en-US"/>
        </w:rPr>
      </w:pPr>
      <w:r w:rsidRPr="007B5033">
        <w:rPr>
          <w:rFonts w:ascii="Times New Roman" w:hAnsi="Times New Roman"/>
          <w:i/>
          <w:sz w:val="28"/>
          <w:szCs w:val="28"/>
          <w:lang w:val="en-US"/>
        </w:rPr>
        <w:t>Keywords:</w:t>
      </w:r>
      <w:r w:rsidRPr="007B5033">
        <w:rPr>
          <w:rFonts w:ascii="Times New Roman" w:hAnsi="Times New Roman"/>
          <w:sz w:val="28"/>
          <w:szCs w:val="28"/>
          <w:lang w:val="en-US"/>
        </w:rPr>
        <w:t xml:space="preserve"> </w:t>
      </w:r>
      <w:r w:rsidRPr="007B5033">
        <w:rPr>
          <w:rFonts w:ascii="Times New Roman" w:hAnsi="Times New Roman"/>
          <w:i/>
          <w:sz w:val="28"/>
          <w:szCs w:val="28"/>
          <w:lang w:val="en-US"/>
        </w:rPr>
        <w:t>Computer</w:t>
      </w:r>
      <w:r w:rsidRPr="00467B95">
        <w:rPr>
          <w:rFonts w:ascii="Times New Roman" w:hAnsi="Times New Roman"/>
          <w:i/>
          <w:sz w:val="28"/>
          <w:szCs w:val="28"/>
          <w:lang w:val="en-US"/>
        </w:rPr>
        <w:t xml:space="preserve"> information, article 272 of the Criminal Code of the Russian Federation, unauthorized access, computer crime</w:t>
      </w:r>
      <w:r w:rsidRPr="00467B95">
        <w:rPr>
          <w:rFonts w:ascii="Times New Roman" w:hAnsi="Times New Roman"/>
          <w:b/>
          <w:i/>
          <w:sz w:val="28"/>
          <w:szCs w:val="28"/>
          <w:lang w:val="en-US"/>
        </w:rPr>
        <w:t xml:space="preserve">. </w:t>
      </w:r>
    </w:p>
    <w:p w:rsidR="007B5033" w:rsidRPr="005542CD" w:rsidRDefault="007B5033" w:rsidP="005A3DF4">
      <w:pPr>
        <w:widowControl w:val="0"/>
        <w:spacing w:after="0" w:line="240" w:lineRule="auto"/>
        <w:ind w:firstLine="709"/>
        <w:jc w:val="both"/>
        <w:rPr>
          <w:rFonts w:ascii="Times New Roman" w:hAnsi="Times New Roman"/>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 данным Судебного Департамента Верховного Суда Российской Федерации доля осуждённых за преступления в сфере компьютерной информации невелика [1]. Это обусловлено низким уровнем выявления и раскрываемости этой категории преступлений. В 2017 г. их раскрываемость составила 24,4 процента [2], за январь-сентябрь 2018 г. компьютерных преступлений зарегистрировано больше на 30660 преступлений, чем в 2017 г., из них раскрыто всего 28,7 процентов [3]. Указанное свидетельствует о необходимости изучения различных аспектов компьютерных преступлений.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Неправомерный доступ к компьютерной информации является одним из наиболее выявляемых среди преступлений, предусмотренных главой 28 УК РФ «Преступления в сфере компьютерной безопасности» [4].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Статьей 8 УК РФ в качестве основания привлечения к уголовной ответственности предусмотрено «…совершение деяния, содержащего все признаки состава преступления, предусмотренного настоящим Кодексом», т.е. объект, объективную сторону, субъект, субъективную сторону. В литературе, несмотря на закрепленный УК РФ легальный четырехэлементный состав преступления нет единообразного понимания содержания этого понятия. Помимо четырёх основных элементов состава преступления – объекта, объективной стороны, субъекта и субъективной стороны, некоторые учёные отмечают несовпадение понятий объект и предмет преступления [5, с. 20], а другие, к примеру, В. Н. Винокуров, придерживаются позиции тождества предмета и объекта преступления [6, с. 45].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Позиция о несовпадении понятий предмета и объекта преступления представляется более верной, поскольку предмет – это то, на что непосредственно направлено совершение преступления, а объект – сфера общественных отношений, охраняемая уголовным законом. Уточнение такого явления как предмет преступления крайне важен для квалификации преступлений, предусмотренных главой 28 УК РФ.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Исходя из содержания главы 28 УК РФ, в общем виде предметом закрепленных в ней уголовно-правовых составов выступает компьютерная информация. В статье 2 Федерального закона «Об информации, информационных технологиях и о защите информации» (далее в тексте ФЗ «Об информации) содержится дефиниция информации, под которой понимаются сведения (сообщения, данные) независимо от формы их представления [7]. В примечании 1 к статье 272 УК РФ содержится аналогичное понятие, которое несколько конкретизировано: «Под компьютерной информацией понимаются сведения (сообщения, данные), представленные в форме электрических сигналов, независимо от средств их хранения, обработки и передачи». Именно этим легальным понятием должны оперировать правоприменители. Означенная формулировка отличается от имевшейся ранее, в соответствии с которой компьютерной информацией являлась «информация на машинном носителе, в электронно-вычислительной машине (ЭВМ), системе ЭВМ или их сети».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Достаточно корректная дефиниция закреплена и в Соглашении «О сотрудничестве государств-участников Содружества Независимых Государств в борьбе с преступлениями в сфере компьютерной информации», ратифицированном Российской Федерацией 2008 году. Статья 1 Соглашения указывает: «информация, находящаяся в памяти компьютера, на машинных или иных носителях в форме, доступной восприятию ЭВМ, или передающаяся по каналам связи». Однако соглашение ратифицировано с оговоркой о том, что при противоречии с федеральными законами Российской Федерации, последние имеют приоритет, что нивелирует её применение.</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действующая редакция закона не увязывает компьютерную информацию и её машинный носитель, электронно-</w:t>
      </w:r>
      <w:r w:rsidRPr="00467B95">
        <w:rPr>
          <w:rFonts w:ascii="Times New Roman" w:hAnsi="Times New Roman"/>
          <w:sz w:val="28"/>
          <w:szCs w:val="28"/>
        </w:rPr>
        <w:lastRenderedPageBreak/>
        <w:t>вычислительную машину (ЭВМ), систему ЭВМ или их сети. Как справедливо отмечает М. А. Ефремова «…под защиту уголовного закона попала и та компьютерная информация, которая еще не зафиксирована на каком-либо носителе или устройстве, а находится в процессе передачи» [8, с. 3].  Стремительное развитие техники порождает трудности в связи с тем, что создавать, хранить и передавать подобную информацию способны не только компьютеры, но и разного рода смарт-устройства (телефоны, планшеты и иные). Таким образом, термин «компьютерная информация» является некорректным и неполным и не отображает сущность предмета статьи 272 УК РФ.</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Изменение легального подхода к понятию «компьютерная информация» влечёт расширение сферы применения уголовно-правового запрета, однако «информация, передаваемая по беспроводным и оптическим каналам связи, не будет являться объектом уголовно-правовой охраны, т.к. не попадает под определение электрических сигналов при трактовке этого термина с точки зрения физики. В связи с этим использование такого термина, как «электрический сигнал», лишь вводит в заблуждение, и поэтому нуждается в дальнейшем разъяснении или замене более подходящим термином» [8, с. 3].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Иными словами, недостатком имеющейся дефиниции является её техническая некорректность. Определение сигнала содержится в ГОСТ 16465-70, согласно которому сигнал представляет собой изменяющуюся физическую величину, отображающую сообщение [9]. Говорить о наличии сигнала можно при любом физическом процессе, изменение которого указывает на наличие информации. Следовательно, электрический сигнал представляет собой величину (например, напряжение, мощность), изменяющуюся со временем [10]. Информацию можно передавать с помощью сигналов разной мощности, как следует из ГОСТа, изменение их состояния, а не само состояние являются признаком наличия информации, однако в таком случае говорить о хранении сигналов, представляющих собой изменение величин, представляется нелогичным. Возможно, законодатель, вводя в определение компьютерной информации формулировку о том, что не имеет значение каково средство хранения сигнала имел ввиду способы хранения самой информации, а не электрических сигналов. В любом случае имеющийся в определении компьютерной информации дефект желательно устранить.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Следует также указать, что компьютерная информация может передаваться не только посредством электрических сигналов. Так, чтение информации с лазерных оптических дисков происходит при помощи световых сигналов. Кроме того, сами электрические сигналы передают не только компьютерную информацию, а используются и для радиосвязи, телефонной связи. В силу означенных неточностей на практике возникают проблемы: встречаются дела, в которых происходит не всегда верная квалификация действий, связанных со взломом игровых приставок, </w:t>
      </w:r>
      <w:r w:rsidRPr="00467B95">
        <w:rPr>
          <w:rFonts w:ascii="Times New Roman" w:hAnsi="Times New Roman"/>
          <w:sz w:val="28"/>
          <w:szCs w:val="28"/>
        </w:rPr>
        <w:lastRenderedPageBreak/>
        <w:t xml:space="preserve">телевизионных модемов, доступом к базам данных банков, мобильным банкам и сайтам, которые квалифицируют по ст. 272 УК РФ.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научной литературе предпринимались попытки определить предмет преступления, предусмотренного ст. 272 УК РФ. Так, компьютерная информация, по мнению В.В. Крылова, есть «сведения, знания или набор команд (программ), предназначенных для использования в ЭВМ или управления ею, находящиеся в ЭВМ или на машинных носителях, – идентифицируемый элемент информационной системы, имеющей собственника, установившего правила ее использования» [11, с. 294]. Данное определение содержит указание на такой признак информации как наличие особого правового режима и соответствует п. 2.5.2 ГОСТ Р 50922-2006, в соответствии с которым защищаемая информация является предметом собственности и подлежит защите в соответствии с требованиями нормативно-правовых актов или требованиями, устанавливаемыми собственником информации. Собственником информации могут быть государство, юридическое лицо, группа физических лиц, физическое лицо [12].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Предметом посягательства, как указывают А.Н. Попов и Е.И. Панфилова, является не компьютерная информация, а информационная среда, представляющая собой связанную с созданием, преобразованием и потреблением информации [13, с. 58]. Такая информация должна обладать признаками, позволяющими её идентифицировать, и фиксироваться на материальном носителе с реквизитами. В связи с чем авторы делают вывод, что компьютерная информация представляет собой информацию, находящуюся в информационной (компьютерной) среде и имеющую идентификационные атрибуты. С таким подходом следует согласиться, поскольку отсутствие индивидуализации информации приводит к трудностям с индивидуализацией предмета преступления.</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 мнению В.Б. Вехова и К.Н. Евдокимова компьютерная информация - это «сведения о лицах, предметах, фактах, событиях, явлениях и процессах, находящиеся в памяти ЭВМ, зафиксированные на машинных или иных носителях в форме, доступной для восприятия ЭВМ, или передающиеся по каналам связи посредством электромагнитных сигналов». Недостатком данного определения является использование устаревшего термина «ЭВМ», которое отсутствует в новой редакции главы 28 УК РФ, хотя до сих пор содержится в ГК РФ [14, с. 44].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Некоторые авторы отмечают еще один недостаток легального понятия компьютерной информации, который сужает сферу применения ст. 272 УК РФ. Оно (легальное понятие) охватывает только преступления в отношении оптико-волоконных каналов связи. Следовательно, посягательство на информацию, содержащуюся на некоторых видах носителей информации, таких как оптические диски, флэш-память, не охватывается данным составом, так как она не может быть компьютерной по смыслу законодательного определения [15, с. 527].</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Законодатель при формулировке уголовно-правового запрета ст. 272 УК РФ закрепил такой признак предмета преступного посягательства как «охраняемость», т. е. наличие специального правового режима защиты, однако не дал его интерпретацию в УК РФ.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Федеральный закон «Об информации…» делит информацию на общедоступную и ограниченного доступа [16]. Именно информация ограниченного доступа, регламентируемая законом, может являться предметом преступления, предусмотренного ст. 272 УК РФ. Этой позиции придерживается Генеральная прокуратура РФ [17]. Вероятно, законодатель использовал термины «охраняемая законом информация» и «информация ограниченного доступа» как тождественные. Несмотря на однозначность позиции прокуратуры по этому вопросу, нельзя исключить разнобоя в правоприменении, поскольку законодатель все-таки оперирует двумя разными терминами. Совершенно очевидно, что следовало бы упорядочить терминологию.</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 рассматриваемой связана проблема ограничительного понятия охраны информации, которая сводится только к соблюдению режима конфиденциальности в отношении информации ограниченного доступа, достоверности и своевременности ее предоставления, и оставляет без внимания её доступность и целостность, которые в соответствии с ГОСТ Р 50922-2006 также подлежат защите. Конфиденциальность означает обязательное исполнение требования о неразглашении лицом, получившим доступ к охраняемым данным; доступность – это состояние информационных ресурсов, при котором субъекты, имеющие право доступа к ним, реализовывают их без каких-либо ограничений и изъятий. Целостность в свою очередь определяется в данном документе как состояние, при котором изменения вносятся только имеющими такое право лицами или же когда такие изменения отсутствуют вовсе. Даже в сравнении с изложенным стандартом, придерживающимся классической триады «конфиденциальность, целостность и доступность» (сокращенно – КЦД) или «confidentiality, integrity, availability» (сокращенно – CIA), который, по мнению специалистов, уже неактуален, закон ограничивает понятие охраны информации, которое, безусловно, должно соответствовать уровню развития информационных технологий [18].</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Отмеченные выше недостатки регламентации понятия «компьютерная информация» и её признаков иллюстрируется, к примеру, апелляционным постановлением Верховного Суда Республики Карелия от 19.01.2016, в котором суд, отклоняя доводы экспертов вынужден был пользоваться неточными формулировками уголовного закона [19].</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Фактором, усложняющим выведение корректного определения предмета преступления, предусмотренного статьёй 272 УК РФ, является различная природа деяний, охватываемых данным составом, обусловленная развитием сферы информационных технологий.</w:t>
      </w:r>
    </w:p>
    <w:p w:rsidR="00041B86"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имеющиеся ограничительные легальные понятия </w:t>
      </w:r>
      <w:r w:rsidRPr="00467B95">
        <w:rPr>
          <w:rFonts w:ascii="Times New Roman" w:hAnsi="Times New Roman"/>
          <w:sz w:val="28"/>
          <w:szCs w:val="28"/>
        </w:rPr>
        <w:lastRenderedPageBreak/>
        <w:t xml:space="preserve">«компьютерная информация» и «охрана компьютерной информации», некорректное использование в законе технических терминов и терминов, содержание которых не раскрыто в законе, и т.д. затрудняет выявление и раскрытие преступлений, предусмотренных ст. 272 УК РФ. Устранение отмеченных недостатков нормативной регламентации, по нашему мнению, будет способствовать упорядочению правоприменительной практики. </w:t>
      </w:r>
    </w:p>
    <w:p w:rsidR="007B5033" w:rsidRPr="00467B95" w:rsidRDefault="007B5033"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Данные судебной статистики / Судебный Департамент Верховного Суда Российской Федерации [Электронный ресурс]. – Режим доступа: http://www.cdep.ru/index.php?id=79.</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Состояние преступности в Российской Федерации. Январь - декабрь 2017 [Электронный ресурс] // Министерство внутренних дел: Официальный сайт. – Режим доступа: https://мвд.рф/reports/item/12167987/.</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3 Состояние преступности в Российской Федерации. Январь - сентябрь 2018 [Электронный ресурс] // Министерство внутренних дел: Официальный сайт. – Режим доступа: https://мвд.рф/reports/item/14696015/.</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4 Уголовный кодекс Российской Федерации от 13.06.1996 N 63-ФЗ (ред. от 27.12.2018) (с изм. и доп., вступ. в силу с 08.01.2019) Режим доступа: http://www.consultant.ru/document/cons_doc_LAW_10699/ (дата обращения: 08.04.2019). Далее в тексте УК РФ.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Шевченко В. Ю. Объект и предмет преступления // Современная наука. 2013. № 1. С. 20.</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Винокуров В. Н. Определение предмета и субъектов отношений как способы установления объекта преступления // Государство и право. 2011. №7. С. 45.</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Об информации, информационных технологиях и о защите информации: Федеральный закон от 27.07.2006 N 149-ФЗ (ред. от 18.12.2018) [Электронный ресурс] // СПС «Кон-сультантПлюс». – Режим доступа: http://www.consultant.ru/document/cons_doc_LAW_61798/.</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8 Ефремова М.А. Ответственность за неправомерный доступ к компьютерной информации по действующему уголовному законодательству // Вестник Казанского юридического института МВД России. 2012.№ 8. С. 3.</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9 ГОСТ 16465-70 «Сигналы радиотехнические измерительные» (Приложение 5) [Электронный ресурс] // Электронный фонд правовой и нормативно-правовой документации. – Режим доступа: http://docs.cntd.ru/document/gost-16465-70.</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10 Базовые понятия цифровой электроники [Электронный ресурс] // Национальный открытый университет ИНТУИТ. –  Режим доступа: https://www.intuit.ru/studies/courses/104/104/lecture/3029.</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11   Ананиан Л.Л. Реферат к научно-практическому пособию Шурухнова Н.Г. Расследование неправомерного доступа к компьютерной информации. - М.: Щит, 1999. С. 294-297.</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12 ГОСТ Р 50922-2006 [Электронный ресурс]. – Режим доступа: </w:t>
      </w:r>
      <w:r w:rsidRPr="00467B95">
        <w:rPr>
          <w:rFonts w:ascii="Times New Roman" w:hAnsi="Times New Roman"/>
          <w:sz w:val="28"/>
          <w:szCs w:val="28"/>
          <w:lang w:val="en-US"/>
        </w:rPr>
        <w:t>http</w:t>
      </w:r>
      <w:r w:rsidRPr="00467B95">
        <w:rPr>
          <w:rFonts w:ascii="Times New Roman" w:hAnsi="Times New Roman"/>
          <w:sz w:val="28"/>
          <w:szCs w:val="28"/>
        </w:rPr>
        <w:t>://</w:t>
      </w:r>
      <w:r w:rsidRPr="00467B95">
        <w:rPr>
          <w:rFonts w:ascii="Times New Roman" w:hAnsi="Times New Roman"/>
          <w:sz w:val="28"/>
          <w:szCs w:val="28"/>
          <w:lang w:val="en-US"/>
        </w:rPr>
        <w:t>dehack</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w:t>
      </w:r>
      <w:r w:rsidRPr="00467B95">
        <w:rPr>
          <w:rFonts w:ascii="Times New Roman" w:hAnsi="Times New Roman"/>
          <w:sz w:val="28"/>
          <w:szCs w:val="28"/>
          <w:lang w:val="en-US"/>
        </w:rPr>
        <w:t>zak</w:t>
      </w:r>
      <w:r w:rsidRPr="00467B95">
        <w:rPr>
          <w:rFonts w:ascii="Times New Roman" w:hAnsi="Times New Roman"/>
          <w:sz w:val="28"/>
          <w:szCs w:val="28"/>
        </w:rPr>
        <w:t>_</w:t>
      </w:r>
      <w:r w:rsidRPr="00467B95">
        <w:rPr>
          <w:rFonts w:ascii="Times New Roman" w:hAnsi="Times New Roman"/>
          <w:sz w:val="28"/>
          <w:szCs w:val="28"/>
          <w:lang w:val="en-US"/>
        </w:rPr>
        <w:t>akt</w:t>
      </w:r>
      <w:r w:rsidRPr="00467B95">
        <w:rPr>
          <w:rFonts w:ascii="Times New Roman" w:hAnsi="Times New Roman"/>
          <w:sz w:val="28"/>
          <w:szCs w:val="28"/>
        </w:rPr>
        <w:t>/</w:t>
      </w:r>
      <w:r w:rsidRPr="00467B95">
        <w:rPr>
          <w:rFonts w:ascii="Times New Roman" w:hAnsi="Times New Roman"/>
          <w:sz w:val="28"/>
          <w:szCs w:val="28"/>
          <w:lang w:val="en-US"/>
        </w:rPr>
        <w:t>standart</w:t>
      </w:r>
      <w:r w:rsidRPr="00467B95">
        <w:rPr>
          <w:rFonts w:ascii="Times New Roman" w:hAnsi="Times New Roman"/>
          <w:sz w:val="28"/>
          <w:szCs w:val="28"/>
        </w:rPr>
        <w:t>/</w:t>
      </w:r>
      <w:r w:rsidRPr="00467B95">
        <w:rPr>
          <w:rFonts w:ascii="Times New Roman" w:hAnsi="Times New Roman"/>
          <w:sz w:val="28"/>
          <w:szCs w:val="28"/>
          <w:lang w:val="en-US"/>
        </w:rPr>
        <w:t>gost</w:t>
      </w:r>
      <w:r w:rsidRPr="00467B95">
        <w:rPr>
          <w:rFonts w:ascii="Times New Roman" w:hAnsi="Times New Roman"/>
          <w:sz w:val="28"/>
          <w:szCs w:val="28"/>
        </w:rPr>
        <w:t>_</w:t>
      </w:r>
      <w:r w:rsidRPr="00467B95">
        <w:rPr>
          <w:rFonts w:ascii="Times New Roman" w:hAnsi="Times New Roman"/>
          <w:sz w:val="28"/>
          <w:szCs w:val="28"/>
          <w:lang w:val="en-US"/>
        </w:rPr>
        <w:t>r</w:t>
      </w:r>
      <w:r w:rsidRPr="00467B95">
        <w:rPr>
          <w:rFonts w:ascii="Times New Roman" w:hAnsi="Times New Roman"/>
          <w:sz w:val="28"/>
          <w:szCs w:val="28"/>
        </w:rPr>
        <w:t>_50922-2006/.</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13 Панфилова Е.И. Компьютерные преступления. – СПб., 1998, 208 с.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14 Проблемы противодействия неправомерному доступу к компьютерной информации: Уголовно-правовые и криминологические аспекты: Монография - Иркутск: ГОУ ВПО ВСИ МВД РФ, 2007. С. 44.</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15 Дворецкий М.Ю. Проблемы толкования терминов при квалификации преступлений по ст. 272 уголовного кодекса РФ // Вестник Тамбовского университета. Серия: Гуманитарные науки. 2013. № 12. С. 527-532.</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16 Об информации, информационных технологиях и о защите информации: Федеральный закон от 27.07.2006 </w:t>
      </w:r>
      <w:r w:rsidRPr="00467B95">
        <w:rPr>
          <w:rFonts w:ascii="Times New Roman" w:hAnsi="Times New Roman"/>
          <w:sz w:val="28"/>
          <w:szCs w:val="28"/>
          <w:lang w:val="en-US"/>
        </w:rPr>
        <w:t>N</w:t>
      </w:r>
      <w:r w:rsidRPr="00467B95">
        <w:rPr>
          <w:rFonts w:ascii="Times New Roman" w:hAnsi="Times New Roman"/>
          <w:sz w:val="28"/>
          <w:szCs w:val="28"/>
        </w:rPr>
        <w:t xml:space="preserve"> 149-ФЗ (ред. 18.12.2018) [Электронный ресурс] // СПС «Кон-сультантПлюс». – Режим доступа: </w:t>
      </w:r>
      <w:r w:rsidRPr="00467B95">
        <w:rPr>
          <w:rFonts w:ascii="Times New Roman" w:hAnsi="Times New Roman"/>
          <w:sz w:val="28"/>
          <w:szCs w:val="28"/>
          <w:lang w:val="en-US"/>
        </w:rPr>
        <w:t>http</w:t>
      </w:r>
      <w:r w:rsidRPr="00467B95">
        <w:rPr>
          <w:rFonts w:ascii="Times New Roman" w:hAnsi="Times New Roman"/>
          <w:sz w:val="28"/>
          <w:szCs w:val="28"/>
        </w:rPr>
        <w:t>://</w:t>
      </w:r>
      <w:r w:rsidRPr="00467B95">
        <w:rPr>
          <w:rFonts w:ascii="Times New Roman" w:hAnsi="Times New Roman"/>
          <w:sz w:val="28"/>
          <w:szCs w:val="28"/>
          <w:lang w:val="en-US"/>
        </w:rPr>
        <w:t>www</w:t>
      </w:r>
      <w:r w:rsidRPr="00467B95">
        <w:rPr>
          <w:rFonts w:ascii="Times New Roman" w:hAnsi="Times New Roman"/>
          <w:sz w:val="28"/>
          <w:szCs w:val="28"/>
        </w:rPr>
        <w:t>.</w:t>
      </w:r>
      <w:r w:rsidRPr="00467B95">
        <w:rPr>
          <w:rFonts w:ascii="Times New Roman" w:hAnsi="Times New Roman"/>
          <w:sz w:val="28"/>
          <w:szCs w:val="28"/>
          <w:lang w:val="en-US"/>
        </w:rPr>
        <w:t>consultant</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w:t>
      </w:r>
      <w:r w:rsidRPr="00467B95">
        <w:rPr>
          <w:rFonts w:ascii="Times New Roman" w:hAnsi="Times New Roman"/>
          <w:sz w:val="28"/>
          <w:szCs w:val="28"/>
          <w:lang w:val="en-US"/>
        </w:rPr>
        <w:t>document</w:t>
      </w:r>
      <w:r w:rsidRPr="00467B95">
        <w:rPr>
          <w:rFonts w:ascii="Times New Roman" w:hAnsi="Times New Roman"/>
          <w:sz w:val="28"/>
          <w:szCs w:val="28"/>
        </w:rPr>
        <w:t>/</w:t>
      </w:r>
      <w:r w:rsidRPr="00467B95">
        <w:rPr>
          <w:rFonts w:ascii="Times New Roman" w:hAnsi="Times New Roman"/>
          <w:sz w:val="28"/>
          <w:szCs w:val="28"/>
          <w:lang w:val="en-US"/>
        </w:rPr>
        <w:t>cons</w:t>
      </w:r>
      <w:r w:rsidRPr="00467B95">
        <w:rPr>
          <w:rFonts w:ascii="Times New Roman" w:hAnsi="Times New Roman"/>
          <w:sz w:val="28"/>
          <w:szCs w:val="28"/>
        </w:rPr>
        <w:t>_</w:t>
      </w:r>
      <w:r w:rsidRPr="00467B95">
        <w:rPr>
          <w:rFonts w:ascii="Times New Roman" w:hAnsi="Times New Roman"/>
          <w:sz w:val="28"/>
          <w:szCs w:val="28"/>
          <w:lang w:val="en-US"/>
        </w:rPr>
        <w:t>doc</w:t>
      </w:r>
      <w:r w:rsidRPr="00467B95">
        <w:rPr>
          <w:rFonts w:ascii="Times New Roman" w:hAnsi="Times New Roman"/>
          <w:sz w:val="28"/>
          <w:szCs w:val="28"/>
        </w:rPr>
        <w:t>_</w:t>
      </w:r>
      <w:r w:rsidRPr="00467B95">
        <w:rPr>
          <w:rFonts w:ascii="Times New Roman" w:hAnsi="Times New Roman"/>
          <w:sz w:val="28"/>
          <w:szCs w:val="28"/>
          <w:lang w:val="en-US"/>
        </w:rPr>
        <w:t>LAW</w:t>
      </w:r>
      <w:r w:rsidRPr="00467B95">
        <w:rPr>
          <w:rFonts w:ascii="Times New Roman" w:hAnsi="Times New Roman"/>
          <w:sz w:val="28"/>
          <w:szCs w:val="28"/>
        </w:rPr>
        <w:t>_61798/.</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17 Методические рекомендации по осуществлению прокурорского надзора за исполнением законов при расследовании преступлений в сфере компьютерной информации: утв. Генпрокуратурой России [Электронный ресурс] // СПС «КонсультантПлюс». – Режим доступа: </w:t>
      </w:r>
      <w:r w:rsidRPr="00467B95">
        <w:rPr>
          <w:rFonts w:ascii="Times New Roman" w:hAnsi="Times New Roman"/>
          <w:sz w:val="28"/>
          <w:szCs w:val="28"/>
          <w:lang w:val="en-US"/>
        </w:rPr>
        <w:t>http</w:t>
      </w:r>
      <w:r w:rsidRPr="00467B95">
        <w:rPr>
          <w:rFonts w:ascii="Times New Roman" w:hAnsi="Times New Roman"/>
          <w:sz w:val="28"/>
          <w:szCs w:val="28"/>
        </w:rPr>
        <w:t>://</w:t>
      </w:r>
      <w:r w:rsidRPr="00467B95">
        <w:rPr>
          <w:rFonts w:ascii="Times New Roman" w:hAnsi="Times New Roman"/>
          <w:sz w:val="28"/>
          <w:szCs w:val="28"/>
          <w:lang w:val="en-US"/>
        </w:rPr>
        <w:t>www</w:t>
      </w:r>
      <w:r w:rsidRPr="00467B95">
        <w:rPr>
          <w:rFonts w:ascii="Times New Roman" w:hAnsi="Times New Roman"/>
          <w:sz w:val="28"/>
          <w:szCs w:val="28"/>
        </w:rPr>
        <w:t>.</w:t>
      </w:r>
      <w:r w:rsidRPr="00467B95">
        <w:rPr>
          <w:rFonts w:ascii="Times New Roman" w:hAnsi="Times New Roman"/>
          <w:sz w:val="28"/>
          <w:szCs w:val="28"/>
          <w:lang w:val="en-US"/>
        </w:rPr>
        <w:t>consultant</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w:t>
      </w:r>
      <w:r w:rsidRPr="00467B95">
        <w:rPr>
          <w:rFonts w:ascii="Times New Roman" w:hAnsi="Times New Roman"/>
          <w:sz w:val="28"/>
          <w:szCs w:val="28"/>
          <w:lang w:val="en-US"/>
        </w:rPr>
        <w:t>document</w:t>
      </w:r>
      <w:r w:rsidRPr="00467B95">
        <w:rPr>
          <w:rFonts w:ascii="Times New Roman" w:hAnsi="Times New Roman"/>
          <w:sz w:val="28"/>
          <w:szCs w:val="28"/>
        </w:rPr>
        <w:t>/</w:t>
      </w:r>
      <w:r w:rsidRPr="00467B95">
        <w:rPr>
          <w:rFonts w:ascii="Times New Roman" w:hAnsi="Times New Roman"/>
          <w:sz w:val="28"/>
          <w:szCs w:val="28"/>
          <w:lang w:val="en-US"/>
        </w:rPr>
        <w:t>cons</w:t>
      </w:r>
      <w:r w:rsidRPr="00467B95">
        <w:rPr>
          <w:rFonts w:ascii="Times New Roman" w:hAnsi="Times New Roman"/>
          <w:sz w:val="28"/>
          <w:szCs w:val="28"/>
        </w:rPr>
        <w:t>_</w:t>
      </w:r>
      <w:r w:rsidRPr="00467B95">
        <w:rPr>
          <w:rFonts w:ascii="Times New Roman" w:hAnsi="Times New Roman"/>
          <w:sz w:val="28"/>
          <w:szCs w:val="28"/>
          <w:lang w:val="en-US"/>
        </w:rPr>
        <w:t>doc</w:t>
      </w:r>
      <w:r w:rsidRPr="00467B95">
        <w:rPr>
          <w:rFonts w:ascii="Times New Roman" w:hAnsi="Times New Roman"/>
          <w:sz w:val="28"/>
          <w:szCs w:val="28"/>
        </w:rPr>
        <w:t>_</w:t>
      </w:r>
      <w:r w:rsidRPr="00467B95">
        <w:rPr>
          <w:rFonts w:ascii="Times New Roman" w:hAnsi="Times New Roman"/>
          <w:sz w:val="28"/>
          <w:szCs w:val="28"/>
          <w:lang w:val="en-US"/>
        </w:rPr>
        <w:t>LAW</w:t>
      </w:r>
      <w:r w:rsidRPr="00467B95">
        <w:rPr>
          <w:rFonts w:ascii="Times New Roman" w:hAnsi="Times New Roman"/>
          <w:sz w:val="28"/>
          <w:szCs w:val="28"/>
        </w:rPr>
        <w:t>_161817/.</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18 Лукацкий А.В. Триада «конфиденциальность, целостность, доступность»: откуда она? / Информационный портал по безопасности [Электронный ресурс]. – Режим доступа: </w:t>
      </w:r>
      <w:r w:rsidRPr="00467B95">
        <w:rPr>
          <w:rFonts w:ascii="Times New Roman" w:hAnsi="Times New Roman"/>
          <w:sz w:val="28"/>
          <w:szCs w:val="28"/>
          <w:lang w:val="en-US"/>
        </w:rPr>
        <w:t>https</w:t>
      </w:r>
      <w:r w:rsidRPr="00467B95">
        <w:rPr>
          <w:rFonts w:ascii="Times New Roman" w:hAnsi="Times New Roman"/>
          <w:sz w:val="28"/>
          <w:szCs w:val="28"/>
        </w:rPr>
        <w:t>://</w:t>
      </w:r>
      <w:r w:rsidRPr="00467B95">
        <w:rPr>
          <w:rFonts w:ascii="Times New Roman" w:hAnsi="Times New Roman"/>
          <w:sz w:val="28"/>
          <w:szCs w:val="28"/>
          <w:lang w:val="en-US"/>
        </w:rPr>
        <w:t>www</w:t>
      </w:r>
      <w:r w:rsidRPr="00467B95">
        <w:rPr>
          <w:rFonts w:ascii="Times New Roman" w:hAnsi="Times New Roman"/>
          <w:sz w:val="28"/>
          <w:szCs w:val="28"/>
        </w:rPr>
        <w:t>.</w:t>
      </w:r>
      <w:r w:rsidRPr="00467B95">
        <w:rPr>
          <w:rFonts w:ascii="Times New Roman" w:hAnsi="Times New Roman"/>
          <w:sz w:val="28"/>
          <w:szCs w:val="28"/>
          <w:lang w:val="en-US"/>
        </w:rPr>
        <w:t>securitylab</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w:t>
      </w:r>
      <w:r w:rsidRPr="00467B95">
        <w:rPr>
          <w:rFonts w:ascii="Times New Roman" w:hAnsi="Times New Roman"/>
          <w:sz w:val="28"/>
          <w:szCs w:val="28"/>
          <w:lang w:val="en-US"/>
        </w:rPr>
        <w:t>blog</w:t>
      </w:r>
      <w:r w:rsidRPr="00467B95">
        <w:rPr>
          <w:rFonts w:ascii="Times New Roman" w:hAnsi="Times New Roman"/>
          <w:sz w:val="28"/>
          <w:szCs w:val="28"/>
        </w:rPr>
        <w:t>/</w:t>
      </w:r>
      <w:r w:rsidRPr="00467B95">
        <w:rPr>
          <w:rFonts w:ascii="Times New Roman" w:hAnsi="Times New Roman"/>
          <w:sz w:val="28"/>
          <w:szCs w:val="28"/>
          <w:lang w:val="en-US"/>
        </w:rPr>
        <w:t>personal</w:t>
      </w:r>
      <w:r w:rsidRPr="00467B95">
        <w:rPr>
          <w:rFonts w:ascii="Times New Roman" w:hAnsi="Times New Roman"/>
          <w:sz w:val="28"/>
          <w:szCs w:val="28"/>
        </w:rPr>
        <w:t>/</w:t>
      </w:r>
      <w:r w:rsidRPr="00467B95">
        <w:rPr>
          <w:rFonts w:ascii="Times New Roman" w:hAnsi="Times New Roman"/>
          <w:sz w:val="28"/>
          <w:szCs w:val="28"/>
          <w:lang w:val="en-US"/>
        </w:rPr>
        <w:t>Business</w:t>
      </w:r>
      <w:r w:rsidRPr="00467B95">
        <w:rPr>
          <w:rFonts w:ascii="Times New Roman" w:hAnsi="Times New Roman"/>
          <w:sz w:val="28"/>
          <w:szCs w:val="28"/>
        </w:rPr>
        <w:t>_</w:t>
      </w:r>
      <w:r w:rsidRPr="00467B95">
        <w:rPr>
          <w:rFonts w:ascii="Times New Roman" w:hAnsi="Times New Roman"/>
          <w:sz w:val="28"/>
          <w:szCs w:val="28"/>
          <w:lang w:val="en-US"/>
        </w:rPr>
        <w:t>without</w:t>
      </w:r>
      <w:r w:rsidRPr="00467B95">
        <w:rPr>
          <w:rFonts w:ascii="Times New Roman" w:hAnsi="Times New Roman"/>
          <w:sz w:val="28"/>
          <w:szCs w:val="28"/>
        </w:rPr>
        <w:t>_</w:t>
      </w:r>
      <w:r w:rsidRPr="00467B95">
        <w:rPr>
          <w:rFonts w:ascii="Times New Roman" w:hAnsi="Times New Roman"/>
          <w:sz w:val="28"/>
          <w:szCs w:val="28"/>
          <w:lang w:val="en-US"/>
        </w:rPr>
        <w:t>danger</w:t>
      </w:r>
      <w:r w:rsidRPr="00467B95">
        <w:rPr>
          <w:rFonts w:ascii="Times New Roman" w:hAnsi="Times New Roman"/>
          <w:sz w:val="28"/>
          <w:szCs w:val="28"/>
        </w:rPr>
        <w:t>/24456.</w:t>
      </w:r>
      <w:r w:rsidRPr="00467B95">
        <w:rPr>
          <w:rFonts w:ascii="Times New Roman" w:hAnsi="Times New Roman"/>
          <w:sz w:val="28"/>
          <w:szCs w:val="28"/>
          <w:lang w:val="en-US"/>
        </w:rPr>
        <w:t>php</w:t>
      </w:r>
      <w:r w:rsidRPr="00467B95">
        <w:rPr>
          <w:rFonts w:ascii="Times New Roman" w:hAnsi="Times New Roman"/>
          <w:sz w:val="28"/>
          <w:szCs w:val="28"/>
        </w:rPr>
        <w:t>.</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19 Апелляционное постановление Верховного Суда Республики Карелия от 19.01.2016 года по делу № 22-2002/2015 [Электронный ресурс] // Судебные и нормативные акты РФ (СудАкт). – Режим доступа: </w:t>
      </w:r>
      <w:r w:rsidRPr="00467B95">
        <w:rPr>
          <w:rFonts w:ascii="Times New Roman" w:hAnsi="Times New Roman"/>
          <w:sz w:val="28"/>
          <w:szCs w:val="28"/>
          <w:lang w:val="en-US"/>
        </w:rPr>
        <w:t>http</w:t>
      </w:r>
      <w:r w:rsidRPr="00467B95">
        <w:rPr>
          <w:rFonts w:ascii="Times New Roman" w:hAnsi="Times New Roman"/>
          <w:sz w:val="28"/>
          <w:szCs w:val="28"/>
        </w:rPr>
        <w:t>://</w:t>
      </w:r>
      <w:r w:rsidRPr="00467B95">
        <w:rPr>
          <w:rFonts w:ascii="Times New Roman" w:hAnsi="Times New Roman"/>
          <w:sz w:val="28"/>
          <w:szCs w:val="28"/>
          <w:lang w:val="en-US"/>
        </w:rPr>
        <w:t>sudact</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w:t>
      </w:r>
      <w:r w:rsidRPr="00467B95">
        <w:rPr>
          <w:rFonts w:ascii="Times New Roman" w:hAnsi="Times New Roman"/>
          <w:sz w:val="28"/>
          <w:szCs w:val="28"/>
          <w:lang w:val="en-US"/>
        </w:rPr>
        <w:t>regular</w:t>
      </w:r>
      <w:r w:rsidRPr="00467B95">
        <w:rPr>
          <w:rFonts w:ascii="Times New Roman" w:hAnsi="Times New Roman"/>
          <w:sz w:val="28"/>
          <w:szCs w:val="28"/>
        </w:rPr>
        <w:t>/</w:t>
      </w:r>
      <w:r w:rsidRPr="00467B95">
        <w:rPr>
          <w:rFonts w:ascii="Times New Roman" w:hAnsi="Times New Roman"/>
          <w:sz w:val="28"/>
          <w:szCs w:val="28"/>
          <w:lang w:val="en-US"/>
        </w:rPr>
        <w:t>doc</w:t>
      </w:r>
      <w:r w:rsidRPr="00467B95">
        <w:rPr>
          <w:rFonts w:ascii="Times New Roman" w:hAnsi="Times New Roman"/>
          <w:sz w:val="28"/>
          <w:szCs w:val="28"/>
        </w:rPr>
        <w:t>/</w:t>
      </w:r>
      <w:r w:rsidRPr="00467B95">
        <w:rPr>
          <w:rFonts w:ascii="Times New Roman" w:hAnsi="Times New Roman"/>
          <w:sz w:val="28"/>
          <w:szCs w:val="28"/>
          <w:lang w:val="en-US"/>
        </w:rPr>
        <w:t>afpeZK</w:t>
      </w:r>
      <w:r w:rsidRPr="00467B95">
        <w:rPr>
          <w:rFonts w:ascii="Times New Roman" w:hAnsi="Times New Roman"/>
          <w:sz w:val="28"/>
          <w:szCs w:val="28"/>
        </w:rPr>
        <w:t>5</w:t>
      </w:r>
      <w:r w:rsidRPr="00467B95">
        <w:rPr>
          <w:rFonts w:ascii="Times New Roman" w:hAnsi="Times New Roman"/>
          <w:sz w:val="28"/>
          <w:szCs w:val="28"/>
          <w:lang w:val="en-US"/>
        </w:rPr>
        <w:t>Ss</w:t>
      </w:r>
      <w:r w:rsidRPr="00467B95">
        <w:rPr>
          <w:rFonts w:ascii="Times New Roman" w:hAnsi="Times New Roman"/>
          <w:sz w:val="28"/>
          <w:szCs w:val="28"/>
        </w:rPr>
        <w:t>4</w:t>
      </w:r>
      <w:r w:rsidRPr="00467B95">
        <w:rPr>
          <w:rFonts w:ascii="Times New Roman" w:hAnsi="Times New Roman"/>
          <w:sz w:val="28"/>
          <w:szCs w:val="28"/>
          <w:lang w:val="en-US"/>
        </w:rPr>
        <w:t>dr</w:t>
      </w:r>
      <w:r w:rsidRPr="00467B95">
        <w:rPr>
          <w:rFonts w:ascii="Times New Roman" w:hAnsi="Times New Roman"/>
          <w:sz w:val="28"/>
          <w:szCs w:val="28"/>
        </w:rPr>
        <w:t>/.</w:t>
      </w:r>
    </w:p>
    <w:p w:rsidR="00041B86" w:rsidRPr="00467B95" w:rsidRDefault="00041B86" w:rsidP="005A3DF4">
      <w:pPr>
        <w:widowControl w:val="0"/>
        <w:spacing w:after="0" w:line="240" w:lineRule="auto"/>
        <w:ind w:firstLine="709"/>
        <w:jc w:val="both"/>
        <w:rPr>
          <w:rFonts w:ascii="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Некоторые особенности привлечения к административной ответственности за нарушения в сфере охраны объектов животного мира в Приморском крае.</w:t>
      </w:r>
    </w:p>
    <w:p w:rsidR="00D02D4C" w:rsidRDefault="00D02D4C" w:rsidP="005A3DF4">
      <w:pPr>
        <w:widowControl w:val="0"/>
        <w:spacing w:after="0" w:line="240" w:lineRule="auto"/>
        <w:ind w:firstLine="709"/>
        <w:jc w:val="center"/>
        <w:rPr>
          <w:rFonts w:ascii="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Басов Никита Павлович,</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Владивостокский государственный университет экономики и сервиса</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Россия. Владивосток</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9E5C32">
        <w:rPr>
          <w:rFonts w:ascii="Times New Roman" w:hAnsi="Times New Roman"/>
          <w:sz w:val="28"/>
          <w:szCs w:val="28"/>
          <w:lang w:val="en-US"/>
        </w:rPr>
        <w:t>mail</w:t>
      </w:r>
      <w:r w:rsidRPr="009E5C32">
        <w:rPr>
          <w:rFonts w:ascii="Times New Roman" w:hAnsi="Times New Roman"/>
          <w:sz w:val="28"/>
          <w:szCs w:val="28"/>
        </w:rPr>
        <w:t xml:space="preserve">: </w:t>
      </w:r>
      <w:hyperlink r:id="rId128" w:history="1">
        <w:r w:rsidRPr="009E5C32">
          <w:rPr>
            <w:rStyle w:val="a8"/>
            <w:rFonts w:ascii="Times New Roman" w:hAnsi="Times New Roman"/>
            <w:color w:val="auto"/>
            <w:sz w:val="28"/>
            <w:szCs w:val="28"/>
            <w:u w:val="none"/>
            <w:lang w:val="en-US"/>
          </w:rPr>
          <w:t>basov</w:t>
        </w:r>
        <w:r w:rsidRPr="009E5C32">
          <w:rPr>
            <w:rStyle w:val="a8"/>
            <w:rFonts w:ascii="Times New Roman" w:hAnsi="Times New Roman"/>
            <w:color w:val="auto"/>
            <w:sz w:val="28"/>
            <w:szCs w:val="28"/>
            <w:u w:val="none"/>
          </w:rPr>
          <w:t>1910@</w:t>
        </w:r>
        <w:r w:rsidRPr="009E5C32">
          <w:rPr>
            <w:rStyle w:val="a8"/>
            <w:rFonts w:ascii="Times New Roman" w:hAnsi="Times New Roman"/>
            <w:color w:val="auto"/>
            <w:sz w:val="28"/>
            <w:szCs w:val="28"/>
            <w:u w:val="none"/>
            <w:lang w:val="en-US"/>
          </w:rPr>
          <w:t>list</w:t>
        </w:r>
        <w:r w:rsidRPr="009E5C32">
          <w:rPr>
            <w:rStyle w:val="a8"/>
            <w:rFonts w:ascii="Times New Roman" w:hAnsi="Times New Roman"/>
            <w:color w:val="auto"/>
            <w:sz w:val="28"/>
            <w:szCs w:val="28"/>
            <w:u w:val="none"/>
          </w:rPr>
          <w:t>.</w:t>
        </w:r>
        <w:r w:rsidRPr="009E5C32">
          <w:rPr>
            <w:rStyle w:val="a8"/>
            <w:rFonts w:ascii="Times New Roman" w:hAnsi="Times New Roman"/>
            <w:color w:val="auto"/>
            <w:sz w:val="28"/>
            <w:szCs w:val="28"/>
            <w:u w:val="none"/>
            <w:lang w:val="en-US"/>
          </w:rPr>
          <w:t>ru</w:t>
        </w:r>
      </w:hyperlink>
      <w:r w:rsidRPr="009E5C32">
        <w:rPr>
          <w:rFonts w:ascii="Times New Roman" w:hAnsi="Times New Roman"/>
          <w:sz w:val="28"/>
          <w:szCs w:val="28"/>
        </w:rPr>
        <w:t>; тел.: +79940029551</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Ватутина, 16, г. Владивосток, Приморский край, Россия, 690109</w:t>
      </w:r>
    </w:p>
    <w:p w:rsidR="00844289" w:rsidRPr="00467B95" w:rsidRDefault="00844289" w:rsidP="005A3DF4">
      <w:pPr>
        <w:widowControl w:val="0"/>
        <w:spacing w:after="0" w:line="240" w:lineRule="auto"/>
        <w:ind w:firstLine="709"/>
        <w:jc w:val="center"/>
        <w:rPr>
          <w:rFonts w:ascii="Times New Roman" w:hAnsi="Times New Roman"/>
          <w:sz w:val="28"/>
          <w:szCs w:val="28"/>
        </w:rPr>
      </w:pPr>
    </w:p>
    <w:p w:rsidR="00844289" w:rsidRPr="00467B95" w:rsidRDefault="00844289"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Статья посвящена актуальному вопросу ответственности за ненадлежащее содержание морских животных, в частности, млекопитающих. Как показывает практика, в силу слабой проработки законодательства, за многие правонарушения привлечь к административной ответственности виновных лиц практически невозможно. Решение данного вопроса требует труда множества профессиональных юристов, так или иначе задействованных в отрасли административного регулирования экологических правоотношений.</w:t>
      </w:r>
    </w:p>
    <w:p w:rsidR="00844289" w:rsidRPr="00467B95" w:rsidRDefault="00844289" w:rsidP="005A3DF4">
      <w:pPr>
        <w:widowControl w:val="0"/>
        <w:spacing w:after="0" w:line="240" w:lineRule="auto"/>
        <w:ind w:firstLine="709"/>
        <w:jc w:val="both"/>
        <w:rPr>
          <w:rFonts w:ascii="Times New Roman" w:hAnsi="Times New Roman"/>
          <w:i/>
          <w:sz w:val="28"/>
          <w:szCs w:val="28"/>
        </w:rPr>
      </w:pPr>
    </w:p>
    <w:p w:rsidR="00844289" w:rsidRPr="00467B95" w:rsidRDefault="00844289" w:rsidP="005A3DF4">
      <w:pPr>
        <w:widowControl w:val="0"/>
        <w:spacing w:after="0" w:line="240" w:lineRule="auto"/>
        <w:ind w:firstLine="709"/>
        <w:jc w:val="both"/>
        <w:rPr>
          <w:rFonts w:ascii="Times New Roman" w:hAnsi="Times New Roman"/>
          <w:i/>
          <w:sz w:val="28"/>
          <w:szCs w:val="28"/>
        </w:rPr>
      </w:pPr>
      <w:r w:rsidRPr="00A648A5">
        <w:rPr>
          <w:rFonts w:ascii="Times New Roman" w:hAnsi="Times New Roman"/>
          <w:i/>
          <w:sz w:val="28"/>
          <w:szCs w:val="28"/>
        </w:rPr>
        <w:t>Ключевые слова и словосочетания:</w:t>
      </w:r>
      <w:r w:rsidRPr="00467B95">
        <w:rPr>
          <w:rFonts w:ascii="Times New Roman" w:hAnsi="Times New Roman"/>
          <w:i/>
          <w:sz w:val="28"/>
          <w:szCs w:val="28"/>
        </w:rPr>
        <w:t xml:space="preserve"> административная ответственность, объект животного мира, дикое животное, домашнее животное, животное, зоологическая коллекция.</w:t>
      </w:r>
    </w:p>
    <w:p w:rsidR="00844289" w:rsidRPr="00467B95" w:rsidRDefault="00844289" w:rsidP="005A3DF4">
      <w:pPr>
        <w:widowControl w:val="0"/>
        <w:spacing w:after="0" w:line="240" w:lineRule="auto"/>
        <w:ind w:firstLine="709"/>
        <w:jc w:val="both"/>
        <w:rPr>
          <w:rFonts w:ascii="Times New Roman" w:hAnsi="Times New Roman"/>
          <w:i/>
          <w:sz w:val="28"/>
          <w:szCs w:val="28"/>
        </w:rPr>
      </w:pPr>
    </w:p>
    <w:p w:rsidR="00844289" w:rsidRPr="00467B95" w:rsidRDefault="00844289"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Some features of the imposition of administrative sanctions for violations in the field of wildlife protection in Primorsky Krai.</w:t>
      </w: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The article is devoted to the topical issue of liability for the improper maintenance of marine animals, in particular mammals. As practice shows, due to the weak elaboration of legislation for many offences, it is almost impossible to impose administrative sanctions of those responsible. Solving this issue requires some doing of many professional lawyers who in one way or another are involved in the area of administrative regulation of environmental legal relations.</w:t>
      </w: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r w:rsidRPr="00A648A5">
        <w:rPr>
          <w:rFonts w:ascii="Times New Roman" w:hAnsi="Times New Roman"/>
          <w:i/>
          <w:sz w:val="28"/>
          <w:szCs w:val="28"/>
          <w:lang w:val="en-US"/>
        </w:rPr>
        <w:t>Keywords and phrases: administrative</w:t>
      </w:r>
      <w:r w:rsidRPr="00467B95">
        <w:rPr>
          <w:rFonts w:ascii="Times New Roman" w:hAnsi="Times New Roman"/>
          <w:i/>
          <w:sz w:val="28"/>
          <w:szCs w:val="28"/>
          <w:lang w:val="en-US"/>
        </w:rPr>
        <w:t xml:space="preserve"> sanctions, wildlife object, wild animal, domestic animal, zoological collection.</w:t>
      </w: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sz w:val="28"/>
          <w:szCs w:val="28"/>
        </w:rPr>
      </w:pPr>
      <w:r w:rsidRPr="00A648A5">
        <w:rPr>
          <w:rFonts w:ascii="Times New Roman" w:hAnsi="Times New Roman"/>
          <w:sz w:val="28"/>
          <w:szCs w:val="28"/>
        </w:rPr>
        <w:t>Актуальность:</w:t>
      </w:r>
      <w:r w:rsidRPr="00467B95">
        <w:rPr>
          <w:rFonts w:ascii="Times New Roman" w:hAnsi="Times New Roman"/>
          <w:sz w:val="28"/>
          <w:szCs w:val="28"/>
        </w:rPr>
        <w:t xml:space="preserve"> В 2018 году, общественности стало известно о незаконном вылове, с целью последующей продажи 11 касаток и 90 белух, которые на данный момент содержатся в закрытых вольерах в бухте «средняя», что находится в близости к городу Находка. По данному факту природоохранной прокуратурой проводилась проверка, в ходе которой выяснили, что, помимо нарушений законодательства РФ в части вылова, также есть основания полагать, что условиями их содержания, животным может причиняться вред, однако животные по сей день остаются в неволе.</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 точки зрения привлечения к административной ответственности, идентичная ситуация наблюдалась и ранее, когда на протяжении трех лет с 2014 по 2016, вызывали общественный резонанс новости о гибели 14 животных в приморском океанариуме, при этом причины были различными, но было немало случаев гибели из-за болезней животных (2015 – гибель от заболевания Белухи).</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A648A5">
        <w:rPr>
          <w:rFonts w:ascii="Times New Roman" w:hAnsi="Times New Roman"/>
          <w:sz w:val="28"/>
          <w:szCs w:val="28"/>
        </w:rPr>
        <w:t>Научная новизна: заключается</w:t>
      </w:r>
      <w:r w:rsidRPr="00467B95">
        <w:rPr>
          <w:rFonts w:ascii="Times New Roman" w:hAnsi="Times New Roman"/>
          <w:sz w:val="28"/>
          <w:szCs w:val="28"/>
        </w:rPr>
        <w:t xml:space="preserve"> в том, что исследование на данную тему проводится впервые. В исследовании раскрывается проблема привлечения к ответственности за нарушения в отношении объектов животного мира, содержащихся в неволе.</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A648A5">
        <w:rPr>
          <w:rFonts w:ascii="Times New Roman" w:hAnsi="Times New Roman"/>
          <w:sz w:val="28"/>
          <w:szCs w:val="28"/>
        </w:rPr>
        <w:t>Цель и задачи:</w:t>
      </w:r>
      <w:r w:rsidRPr="00467B95">
        <w:rPr>
          <w:rFonts w:ascii="Times New Roman" w:hAnsi="Times New Roman"/>
          <w:sz w:val="28"/>
          <w:szCs w:val="28"/>
        </w:rPr>
        <w:t xml:space="preserve"> целью данной работы является выявление возможности привлечения к административной ответственности за нарушения в отношении объектов животного мира, содержащихся в неволе. Задачами являются: разрешение вопроса правового регулирования в отношении млекопитающих, содержащихся в неволе; установление закрепленной в законодательстве категории животных, к которой относятся содержащиеся в неволе млекопитающие; установление перечня уполномоченных на осуществление контроля и надзора в исследуемой сфере, органов </w:t>
      </w:r>
      <w:r w:rsidRPr="00467B95">
        <w:rPr>
          <w:rFonts w:ascii="Times New Roman" w:hAnsi="Times New Roman"/>
          <w:sz w:val="28"/>
          <w:szCs w:val="28"/>
        </w:rPr>
        <w:lastRenderedPageBreak/>
        <w:t>государственной власти и их полномочия; установление наличия правил содержания таких животных; формирование собственных выводов.</w:t>
      </w:r>
    </w:p>
    <w:p w:rsidR="00844289" w:rsidRPr="00A648A5" w:rsidRDefault="00844289" w:rsidP="005A3DF4">
      <w:pPr>
        <w:widowControl w:val="0"/>
        <w:spacing w:after="0" w:line="240" w:lineRule="auto"/>
        <w:ind w:firstLine="709"/>
        <w:jc w:val="both"/>
        <w:rPr>
          <w:rFonts w:ascii="Times New Roman" w:hAnsi="Times New Roman"/>
          <w:sz w:val="28"/>
          <w:szCs w:val="28"/>
        </w:rPr>
      </w:pPr>
      <w:r w:rsidRPr="00A648A5">
        <w:rPr>
          <w:rFonts w:ascii="Times New Roman" w:hAnsi="Times New Roman"/>
          <w:sz w:val="28"/>
          <w:szCs w:val="28"/>
        </w:rPr>
        <w:t>Методы исследования: анализ, синтез.</w:t>
      </w:r>
    </w:p>
    <w:p w:rsidR="00844289" w:rsidRPr="00467B95" w:rsidRDefault="00844289" w:rsidP="005A3DF4">
      <w:pPr>
        <w:widowControl w:val="0"/>
        <w:spacing w:after="0" w:line="240" w:lineRule="auto"/>
        <w:ind w:firstLine="709"/>
        <w:jc w:val="both"/>
        <w:rPr>
          <w:rFonts w:ascii="Times New Roman" w:hAnsi="Times New Roman"/>
          <w:color w:val="000000" w:themeColor="text1"/>
          <w:sz w:val="28"/>
          <w:szCs w:val="28"/>
        </w:rPr>
      </w:pPr>
      <w:r w:rsidRPr="00A648A5">
        <w:rPr>
          <w:rFonts w:ascii="Times New Roman" w:hAnsi="Times New Roman"/>
          <w:color w:val="000000" w:themeColor="text1"/>
          <w:sz w:val="28"/>
          <w:szCs w:val="28"/>
        </w:rPr>
        <w:t>Полученные результаты:</w:t>
      </w:r>
      <w:r w:rsidRPr="00467B95">
        <w:rPr>
          <w:rFonts w:ascii="Times New Roman" w:hAnsi="Times New Roman"/>
          <w:color w:val="000000" w:themeColor="text1"/>
          <w:sz w:val="28"/>
          <w:szCs w:val="28"/>
        </w:rPr>
        <w:t xml:space="preserve"> выявлены пробелы административного законодательства, установлен перечень органов государственной власти, осуществляющих контроль и надзор  в области регулирования объектов животного мира, находящихся в неволе и их полномочия.</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Вопросы регулирования правоотношений по привлечению к административной ответственности за правонарушения в области охраны окружающей среды установлены и в определенной степени детализированы в Кодексе Российской Федерации об административных правонарушениях (далее по тексту – КоАП РФ), в частности, этому вопросу посвящена восьмая глава КоАП РФ. Всего, в КоАП РФ предусмотрено пять составов административных правонарушений (ст. ст. 8.33 - 8.37), предусматривающих наказание за правонарушения в сфере использования объектов животного мира. Сами по себе, эти пять норм являются бланкетными и отсылают к определенным правилам, установленным в отношении определенной категории животных. Из данного факта вытекает, что о</w:t>
      </w:r>
      <w:r w:rsidRPr="00467B95">
        <w:rPr>
          <w:rFonts w:ascii="Times New Roman" w:hAnsi="Times New Roman"/>
          <w:color w:val="000000" w:themeColor="text1"/>
          <w:sz w:val="28"/>
          <w:szCs w:val="28"/>
        </w:rPr>
        <w:t>бъективная сторона составов характеризуется нарушением положений правил, к которым отсылают указанные нормы.</w:t>
      </w:r>
      <w:r w:rsidRPr="00467B95">
        <w:rPr>
          <w:rFonts w:ascii="Times New Roman" w:hAnsi="Times New Roman"/>
          <w:sz w:val="28"/>
          <w:szCs w:val="28"/>
        </w:rPr>
        <w:t xml:space="preserve"> Общим субъектом для всех составов, будет лицо, достигшее возраста 16 лет, а субъективной стороной прямой умысел, либо неосторожность.</w:t>
      </w:r>
    </w:p>
    <w:p w:rsidR="00844289" w:rsidRPr="00467B95" w:rsidRDefault="00844289" w:rsidP="005A3DF4">
      <w:pPr>
        <w:widowControl w:val="0"/>
        <w:tabs>
          <w:tab w:val="left" w:pos="1944"/>
        </w:tabs>
        <w:spacing w:after="0" w:line="240" w:lineRule="auto"/>
        <w:ind w:firstLine="709"/>
        <w:jc w:val="both"/>
        <w:rPr>
          <w:rFonts w:ascii="Times New Roman" w:hAnsi="Times New Roman"/>
          <w:sz w:val="28"/>
          <w:szCs w:val="28"/>
        </w:rPr>
      </w:pPr>
      <w:r w:rsidRPr="00467B95">
        <w:rPr>
          <w:rFonts w:ascii="Times New Roman" w:hAnsi="Times New Roman"/>
          <w:sz w:val="28"/>
          <w:szCs w:val="28"/>
        </w:rPr>
        <w:t>Федеральным законом, регулирующим правоотношения в сфере охраны и использования объектов животного мира дано юридическое о</w:t>
      </w:r>
      <w:r w:rsidRPr="00467B95">
        <w:rPr>
          <w:rFonts w:ascii="Times New Roman" w:hAnsi="Times New Roman"/>
          <w:color w:val="000000"/>
          <w:sz w:val="28"/>
          <w:szCs w:val="28"/>
        </w:rPr>
        <w:t xml:space="preserve">пределение объекта животного мира, которым является: «организм живого происхождения (дикое животное)» находящийся в состоянии естественной свободы [1, ст. 1]. Из определения следует, что, нормы, установленные данным Законом к отловленным животным, находящимся в искусственной среде обитания, не применяются. Аналогичное определение содержит Федеральный закон «О рыболовстве и сохранении водных биологических ресурсов», которым к </w:t>
      </w:r>
      <w:r w:rsidRPr="00467B95">
        <w:rPr>
          <w:rFonts w:ascii="Times New Roman" w:hAnsi="Times New Roman"/>
          <w:sz w:val="28"/>
          <w:szCs w:val="28"/>
        </w:rPr>
        <w:t>водным биологическим ресурсам отнесены водные млекопитающие и другие водные животные, находящиеся в состоянии естественной свободы [</w:t>
      </w:r>
      <w:r w:rsidRPr="00467B95">
        <w:rPr>
          <w:rFonts w:ascii="Times New Roman" w:hAnsi="Times New Roman"/>
          <w:color w:val="000000" w:themeColor="text1"/>
          <w:sz w:val="28"/>
          <w:szCs w:val="28"/>
        </w:rPr>
        <w:t>2, ст. 1</w:t>
      </w:r>
      <w:r w:rsidRPr="00467B95">
        <w:rPr>
          <w:rFonts w:ascii="Times New Roman" w:hAnsi="Times New Roman"/>
          <w:sz w:val="28"/>
          <w:szCs w:val="28"/>
        </w:rPr>
        <w:t>].</w:t>
      </w:r>
    </w:p>
    <w:p w:rsidR="00844289" w:rsidRPr="00467B95" w:rsidRDefault="00844289" w:rsidP="005A3DF4">
      <w:pPr>
        <w:widowControl w:val="0"/>
        <w:spacing w:after="0" w:line="240" w:lineRule="auto"/>
        <w:ind w:firstLine="709"/>
        <w:jc w:val="both"/>
        <w:rPr>
          <w:rFonts w:ascii="Times New Roman" w:hAnsi="Times New Roman"/>
          <w:color w:val="000000"/>
          <w:sz w:val="28"/>
          <w:szCs w:val="28"/>
        </w:rPr>
      </w:pPr>
      <w:r w:rsidRPr="00467B95">
        <w:rPr>
          <w:rFonts w:ascii="Times New Roman" w:hAnsi="Times New Roman"/>
          <w:color w:val="000000"/>
          <w:sz w:val="28"/>
          <w:szCs w:val="28"/>
        </w:rPr>
        <w:t>До принятия в 2018 году ФЗ «Об ответственном обращении с животными», такие животные, как морские млекопитающие, содержащиеся не в домашних условиях, а, например, в океанариуме, могли рассматриваться только как живые объекты зоологических коллекций [1, ст. 29].</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Отдельными признаками зоологических коллекций является необходимость их государственного учета, а также наличие ценности такой коллекции: научной, эстетической, учебно-воспитательной, культурно-просветительной </w:t>
      </w:r>
      <w:r w:rsidRPr="00467B95">
        <w:rPr>
          <w:rFonts w:ascii="Times New Roman" w:hAnsi="Times New Roman"/>
          <w:color w:val="000000"/>
          <w:sz w:val="28"/>
          <w:szCs w:val="28"/>
        </w:rPr>
        <w:t>[1, ст. 29].</w:t>
      </w:r>
      <w:r w:rsidRPr="00467B95">
        <w:rPr>
          <w:rFonts w:ascii="Times New Roman" w:hAnsi="Times New Roman"/>
          <w:sz w:val="28"/>
          <w:szCs w:val="28"/>
        </w:rPr>
        <w:t xml:space="preserve"> Зоологическая коллекция является разновидностью биологической коллекции.</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решение о привлечении к ответственности за гибель животных в Приморском океанариуме, за исключением случаев, содержащих </w:t>
      </w:r>
      <w:r w:rsidRPr="00467B95">
        <w:rPr>
          <w:rFonts w:ascii="Times New Roman" w:hAnsi="Times New Roman"/>
          <w:sz w:val="28"/>
          <w:szCs w:val="28"/>
        </w:rPr>
        <w:lastRenderedPageBreak/>
        <w:t>признаки уголовно наказуемого деяния, должно приниматься по статье 8.34 КоАП РФ.</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целях всестороннего понимания ситуации, следует подробно изучить состав, рассматриваемой статьи, где объектом будет непосредственно объект животного мира, являющийся частью зоологической коллекции. Объективную сторону правонарушения могут составлять любые действия, либо бездействие, которые нарушают установленные правила по содержанию живых коллекций, а также намеренное уклонение от государственной регистрации коллекции и включения ее в реестр. Лицо, хранящее или, содержащее коллекцию будет являться субъектом состава. В зависимости от вида коллекции и места ее содержания, этим лицом могут быть как должностное, физическое, так и юридическое лицо. Субъективная же сторона характеризуется умышленной формой вины. Либо неосторожностью.</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Вместе с тем, имеется правовая неопределенность, в отношении лиц, наделенных полномочиями на рассмотрение дел об административных правонарушениях за нарушение правил хранения зоологических коллекций. Кодексом об административных правонарушениях данными полномочиями наделены органы осуществляющие государственный надзор в области охраны и использования особо охраняемых природных территорий, объектов животного мира, водных биологических ресурсов, государственный экологический надзор [3</w:t>
      </w:r>
      <w:r w:rsidRPr="00467B95">
        <w:rPr>
          <w:rFonts w:ascii="Times New Roman" w:hAnsi="Times New Roman"/>
          <w:color w:val="000000" w:themeColor="text1"/>
          <w:sz w:val="28"/>
          <w:szCs w:val="28"/>
        </w:rPr>
        <w:t>, гл. 23</w:t>
      </w:r>
      <w:r w:rsidRPr="00467B95">
        <w:rPr>
          <w:rFonts w:ascii="Times New Roman" w:hAnsi="Times New Roman"/>
          <w:sz w:val="28"/>
          <w:szCs w:val="28"/>
        </w:rPr>
        <w:t>]. Однако нормативными правовыми актами, определяющими функции указанных государственных органов и объем предоставленных им полномочий, не наделяют их полномочиями на осуществление государственного надзора в отношении зоологических коллекций, в рамках которого проводятся мероприятия по выявлению, пресечению и привлечению к ответственности за административные правонарушения, предусмотренные статьей 8.34 КоАП РФ. Например, государственным органом в области сохранения водных биологических ресурсов является Росрыболовство, однако  Положением о Росрыболовстве, данный государственный орган не наделен [4]. Полномочия же органов на осуществление контроля и надзора на особо охраняемых природных территориях, реализуются исключительно в границах территорий ООПТ.</w:t>
      </w:r>
    </w:p>
    <w:p w:rsidR="00844289" w:rsidRPr="00467B95" w:rsidRDefault="0084428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sz w:val="28"/>
          <w:szCs w:val="28"/>
        </w:rPr>
        <w:t>Кроме того, требования, предъявляемые, непосредственно к владельцам  зоологических коллекций, за нарушение которых установлена административная ответственность, не содержат иных положений, кроме бережного отношения к животным, находящимся в такой коллекции. В исследуемом случае с океанариумом, отсутствуют какие-либо требования к качеству воды, в которых содержатся животные, требования к кормлению, месту содержания, охране этих животных [1</w:t>
      </w:r>
      <w:r w:rsidRPr="00467B95">
        <w:rPr>
          <w:rFonts w:ascii="Times New Roman" w:hAnsi="Times New Roman"/>
          <w:color w:val="000000" w:themeColor="text1"/>
          <w:sz w:val="28"/>
          <w:szCs w:val="28"/>
        </w:rPr>
        <w:t>, ст. 29].</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Отсутствие регламентированных норм к содержанию и охране живых объектов зоологических коллекций является пробелом в нормативно-правовом регулировании, который влечет невозможность применения статьи 8.34 КоАП РФ. При этом в случае, если зоологическая коллекция не поставлена на государственный учет, дикие животные, в том числе морские </w:t>
      </w:r>
      <w:r w:rsidRPr="00467B95">
        <w:rPr>
          <w:rFonts w:ascii="Times New Roman" w:hAnsi="Times New Roman"/>
          <w:sz w:val="28"/>
          <w:szCs w:val="28"/>
        </w:rPr>
        <w:lastRenderedPageBreak/>
        <w:t>млекопитающие океанариума, оказываются за рамками правового регулирования в сфере охраны животного мира, представляя собой группу животных, к которым применяются положения гражданского законодательства об имуществе.</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принятом ФЗ  </w:t>
      </w:r>
      <w:r w:rsidRPr="00467B95">
        <w:rPr>
          <w:rFonts w:ascii="Times New Roman" w:hAnsi="Times New Roman"/>
          <w:color w:val="000000"/>
          <w:sz w:val="28"/>
          <w:szCs w:val="28"/>
        </w:rPr>
        <w:t>«Об ответственном обращении с животными» выделили как самостоятельный объект диких животных, содержащихся или используемых в условиях неволи. Новый объект укладывается в рамки вопроса регулирования правоотношений</w:t>
      </w:r>
      <w:r w:rsidRPr="00467B95">
        <w:rPr>
          <w:rFonts w:ascii="Times New Roman" w:hAnsi="Times New Roman"/>
          <w:sz w:val="28"/>
          <w:szCs w:val="28"/>
        </w:rPr>
        <w:t xml:space="preserve"> в области охраны и использования животных. При этом, отдельными объектами, при этом будут животные, находящиеся в состоянии естественной свободы, а также домашние животные [5, ст. 3]. Законом установлены требования к содержанию данной категории животных, использованию их в культурно-зрелищных целях, лицензированию указанной деятельности, определен круг государственных органов, наделенных полномочиями на осуществление государственного надзора в области обращения с животными [5</w:t>
      </w:r>
      <w:r w:rsidRPr="00467B95">
        <w:rPr>
          <w:rFonts w:ascii="Times New Roman" w:hAnsi="Times New Roman"/>
          <w:color w:val="000000" w:themeColor="text1"/>
          <w:sz w:val="28"/>
          <w:szCs w:val="28"/>
        </w:rPr>
        <w:t>, ст. 5</w:t>
      </w:r>
      <w:r w:rsidRPr="00467B95">
        <w:rPr>
          <w:rFonts w:ascii="Times New Roman" w:hAnsi="Times New Roman"/>
          <w:sz w:val="28"/>
          <w:szCs w:val="28"/>
        </w:rPr>
        <w:t>]. Однако статьей 1 данного закона подчеркивается, что его положения не применяются к отношениям в области охраны и использования животного мира [5</w:t>
      </w:r>
      <w:r w:rsidRPr="00467B95">
        <w:rPr>
          <w:rFonts w:ascii="Times New Roman" w:hAnsi="Times New Roman"/>
          <w:color w:val="000000" w:themeColor="text1"/>
          <w:sz w:val="28"/>
          <w:szCs w:val="28"/>
        </w:rPr>
        <w:t>, ст. 1</w:t>
      </w:r>
      <w:r w:rsidRPr="00467B95">
        <w:rPr>
          <w:rFonts w:ascii="Times New Roman" w:hAnsi="Times New Roman"/>
          <w:sz w:val="28"/>
          <w:szCs w:val="28"/>
        </w:rPr>
        <w:t>], что исключает возможность привлечения к административной ответственности за нарушения, совершенные в отношении диких животных, содержащихся в неволе, в том числе при их содержании и использовании, в соответствии со статьями Кодекса РФ об административных правонарушениях, за исключением случаев, предусмотренных статьей 8.35 КоАП РФ, то есть если данные животные занесенны в Красную книгу Российской Федерации либо их охрана обеспечена международными договорами.</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Выделение диких животных, по признаку содержания или использования их в условиях неволи в качестве отдельного объекта охраны, несомненно, должно повлечь внесение изменений в Кодекс РФ об административных правонарушениях путем замены в статьях 8.33 в части охраны среды обитания, 8.36 в части акклиматизации или гибридизации, ч. 3 ст. 8.37 правил пользования термина «животный мир» на «животных», либо введения дополнительной статьи, устанавливающей ответственность за нарушения правил содержания и использования диких животных, находящихся в неволе. Однако до настоящего момента в Кодекс РФ об административных правонарушениях изменения не внесены, в связи с чем, при нарушении правил содержания и использования диких животных, находящихся в неволе, виновное лицо может быть привлечено к административной ответственности по статье 8.34, в случае государственной регистрации зоологической коллекции, в которую включены данные животные, либо его противоправные действия не повлекут за собой последствий в виде административной ответственности по 8 главе кодекса как противоправное действие, совершенное в отношении объекта окружающей среды.</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Следует отметить, что требования к содержанию диких животных, находящихся в неволе, установленные </w:t>
      </w:r>
      <w:r w:rsidRPr="00467B95">
        <w:rPr>
          <w:rFonts w:ascii="Times New Roman" w:hAnsi="Times New Roman"/>
          <w:color w:val="000000"/>
          <w:sz w:val="28"/>
          <w:szCs w:val="28"/>
        </w:rPr>
        <w:t xml:space="preserve">ФЗ «Об ответственном обращении с </w:t>
      </w:r>
      <w:r w:rsidRPr="00467B95">
        <w:rPr>
          <w:rFonts w:ascii="Times New Roman" w:hAnsi="Times New Roman"/>
          <w:color w:val="000000"/>
          <w:sz w:val="28"/>
          <w:szCs w:val="28"/>
        </w:rPr>
        <w:lastRenderedPageBreak/>
        <w:t xml:space="preserve">животными» также имеют общий характер, например, требование об </w:t>
      </w:r>
      <w:r w:rsidRPr="00467B95">
        <w:rPr>
          <w:rFonts w:ascii="Times New Roman" w:hAnsi="Times New Roman"/>
          <w:sz w:val="28"/>
          <w:szCs w:val="28"/>
        </w:rPr>
        <w:t>обеспечении надлежащего ухода за животными, своевременного оказания ветеринарной помощи в отсутствии разработанных и утвержденных правил содержания животных, ветеринарных правил, устанавливающих требования к местам их содержания, кормления, оказания ветеринарной помощи, охраны [5, ст. 9], имеют оценочный характер, существенно затрудняя решение вопроса о наличии или отсутствии вины в действиях лица, нарушившего данные требования, доказывании данного основного элемента субъективной стороны административного правонарушения.</w:t>
      </w:r>
    </w:p>
    <w:p w:rsidR="00844289"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u w:val="single"/>
        </w:rPr>
        <w:t>Вывод</w:t>
      </w:r>
      <w:r w:rsidRPr="00467B95">
        <w:rPr>
          <w:rFonts w:ascii="Times New Roman" w:hAnsi="Times New Roman"/>
          <w:sz w:val="28"/>
          <w:szCs w:val="28"/>
        </w:rPr>
        <w:t>: Для решения проблемы необходимо принятие нормативно-правовых актов, устанавливающих требования к условиям содержания и охраны диких животных, находящихся в неволе, как являющихся частью зоологических коллекций, так и не являющихся ими. Помимо этого, необходимо наделить конкретными полномочиями соответствующие органы по контролю и надзору в сфере объектов животного мира и также дополнить КоАП РФ статьей, предусматривающей ответственность за нарушение правил содержания диких животных в неволе.</w:t>
      </w:r>
    </w:p>
    <w:p w:rsidR="00A648A5" w:rsidRPr="00467B95" w:rsidRDefault="00A648A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844289" w:rsidRPr="00A648A5" w:rsidRDefault="00844289" w:rsidP="007F4EC1">
      <w:pPr>
        <w:pStyle w:val="a7"/>
        <w:widowControl w:val="0"/>
        <w:numPr>
          <w:ilvl w:val="0"/>
          <w:numId w:val="19"/>
        </w:numPr>
        <w:tabs>
          <w:tab w:val="left" w:pos="1134"/>
        </w:tabs>
        <w:spacing w:after="0" w:line="240" w:lineRule="auto"/>
        <w:ind w:left="0" w:firstLine="709"/>
        <w:jc w:val="both"/>
        <w:rPr>
          <w:rFonts w:ascii="Times New Roman" w:hAnsi="Times New Roman"/>
          <w:sz w:val="28"/>
          <w:szCs w:val="28"/>
        </w:rPr>
      </w:pPr>
      <w:r w:rsidRPr="00A648A5">
        <w:rPr>
          <w:rFonts w:ascii="Times New Roman" w:hAnsi="Times New Roman"/>
          <w:sz w:val="28"/>
          <w:szCs w:val="28"/>
        </w:rPr>
        <w:t xml:space="preserve">О животном мире: федеральный закон от 24.04.1995 № 52-ФЗ (ред. от 03.08.2018). [Электронный ресурс] // </w:t>
      </w:r>
      <w:r w:rsidRPr="00A648A5">
        <w:rPr>
          <w:rFonts w:ascii="Times New Roman" w:hAnsi="Times New Roman"/>
          <w:sz w:val="28"/>
          <w:szCs w:val="28"/>
          <w:lang w:val="en-US"/>
        </w:rPr>
        <w:t>URL</w:t>
      </w:r>
      <w:r w:rsidRPr="00A648A5">
        <w:rPr>
          <w:rFonts w:ascii="Times New Roman" w:hAnsi="Times New Roman"/>
          <w:sz w:val="28"/>
          <w:szCs w:val="28"/>
        </w:rPr>
        <w:t xml:space="preserve">: </w:t>
      </w:r>
      <w:hyperlink r:id="rId129" w:history="1">
        <w:r w:rsidRPr="00A648A5">
          <w:rPr>
            <w:rStyle w:val="a8"/>
            <w:rFonts w:ascii="Times New Roman" w:hAnsi="Times New Roman"/>
            <w:color w:val="auto"/>
            <w:sz w:val="28"/>
            <w:szCs w:val="28"/>
            <w:u w:val="none"/>
          </w:rPr>
          <w:t>http://www.consultant.ru/document/cons_doc_LAW_6542/</w:t>
        </w:r>
      </w:hyperlink>
      <w:r w:rsidRPr="00A648A5">
        <w:rPr>
          <w:rFonts w:ascii="Times New Roman" w:hAnsi="Times New Roman"/>
          <w:sz w:val="28"/>
          <w:szCs w:val="28"/>
        </w:rPr>
        <w:t xml:space="preserve"> </w:t>
      </w:r>
    </w:p>
    <w:p w:rsidR="00844289" w:rsidRPr="00A648A5" w:rsidRDefault="00844289" w:rsidP="007F4EC1">
      <w:pPr>
        <w:widowControl w:val="0"/>
        <w:numPr>
          <w:ilvl w:val="0"/>
          <w:numId w:val="19"/>
        </w:numPr>
        <w:tabs>
          <w:tab w:val="left" w:pos="1134"/>
        </w:tabs>
        <w:spacing w:after="0" w:line="240" w:lineRule="auto"/>
        <w:ind w:left="0" w:firstLine="709"/>
        <w:jc w:val="both"/>
        <w:rPr>
          <w:rFonts w:ascii="Times New Roman" w:hAnsi="Times New Roman"/>
          <w:sz w:val="28"/>
          <w:szCs w:val="28"/>
        </w:rPr>
      </w:pPr>
      <w:r w:rsidRPr="00A648A5">
        <w:rPr>
          <w:rFonts w:ascii="Times New Roman" w:hAnsi="Times New Roman"/>
          <w:sz w:val="28"/>
          <w:szCs w:val="28"/>
        </w:rPr>
        <w:t xml:space="preserve">О рыболовстве и сохранении водных биологических ресурсов: федеральный закон от 20.12.2004 № 166-ФЗ (ред. от 06.03.2019). [Электронный ресурс] // </w:t>
      </w:r>
      <w:r w:rsidRPr="00A648A5">
        <w:rPr>
          <w:rFonts w:ascii="Times New Roman" w:hAnsi="Times New Roman"/>
          <w:sz w:val="28"/>
          <w:szCs w:val="28"/>
          <w:lang w:val="en-US"/>
        </w:rPr>
        <w:t>URL</w:t>
      </w:r>
      <w:r w:rsidRPr="00A648A5">
        <w:rPr>
          <w:rFonts w:ascii="Times New Roman" w:hAnsi="Times New Roman"/>
          <w:sz w:val="28"/>
          <w:szCs w:val="28"/>
        </w:rPr>
        <w:t xml:space="preserve">: </w:t>
      </w:r>
      <w:hyperlink r:id="rId130" w:history="1">
        <w:r w:rsidRPr="00A648A5">
          <w:rPr>
            <w:rStyle w:val="a8"/>
            <w:rFonts w:ascii="Times New Roman" w:hAnsi="Times New Roman"/>
            <w:color w:val="auto"/>
            <w:sz w:val="28"/>
            <w:szCs w:val="28"/>
            <w:u w:val="none"/>
          </w:rPr>
          <w:t>http://www.consultant.ru/document/cons_doc_LAW_50799/</w:t>
        </w:r>
      </w:hyperlink>
      <w:r w:rsidRPr="00A648A5">
        <w:rPr>
          <w:rFonts w:ascii="Times New Roman" w:hAnsi="Times New Roman"/>
          <w:sz w:val="28"/>
          <w:szCs w:val="28"/>
        </w:rPr>
        <w:t xml:space="preserve"> </w:t>
      </w:r>
    </w:p>
    <w:p w:rsidR="00844289" w:rsidRPr="00A648A5" w:rsidRDefault="00844289" w:rsidP="007F4EC1">
      <w:pPr>
        <w:widowControl w:val="0"/>
        <w:numPr>
          <w:ilvl w:val="0"/>
          <w:numId w:val="19"/>
        </w:numPr>
        <w:tabs>
          <w:tab w:val="left" w:pos="1134"/>
        </w:tabs>
        <w:spacing w:after="0" w:line="240" w:lineRule="auto"/>
        <w:ind w:left="0" w:firstLine="709"/>
        <w:jc w:val="both"/>
        <w:rPr>
          <w:rFonts w:ascii="Times New Roman" w:hAnsi="Times New Roman"/>
          <w:sz w:val="28"/>
          <w:szCs w:val="28"/>
        </w:rPr>
      </w:pPr>
      <w:r w:rsidRPr="00A648A5">
        <w:rPr>
          <w:rFonts w:ascii="Times New Roman" w:hAnsi="Times New Roman"/>
          <w:sz w:val="28"/>
          <w:szCs w:val="28"/>
        </w:rPr>
        <w:t xml:space="preserve">Кодекс Российской Федерации об административных правонарушениях: федеральный закон от 30.12.2001 № 195-ФЗ (ред. от 23.04.2019. [Электронный ресурс] // </w:t>
      </w:r>
      <w:r w:rsidRPr="00A648A5">
        <w:rPr>
          <w:rFonts w:ascii="Times New Roman" w:hAnsi="Times New Roman"/>
          <w:sz w:val="28"/>
          <w:szCs w:val="28"/>
          <w:lang w:val="en-US"/>
        </w:rPr>
        <w:t>URL</w:t>
      </w:r>
      <w:r w:rsidRPr="00A648A5">
        <w:rPr>
          <w:rFonts w:ascii="Times New Roman" w:hAnsi="Times New Roman"/>
          <w:sz w:val="28"/>
          <w:szCs w:val="28"/>
        </w:rPr>
        <w:t xml:space="preserve">: </w:t>
      </w:r>
      <w:hyperlink r:id="rId131" w:history="1">
        <w:r w:rsidRPr="00A648A5">
          <w:rPr>
            <w:rStyle w:val="a8"/>
            <w:rFonts w:ascii="Times New Roman" w:hAnsi="Times New Roman"/>
            <w:color w:val="auto"/>
            <w:sz w:val="28"/>
            <w:szCs w:val="28"/>
            <w:u w:val="none"/>
          </w:rPr>
          <w:t>http://www.consultant.ru/document/cons_doc_LAW_34661/</w:t>
        </w:r>
      </w:hyperlink>
      <w:r w:rsidRPr="00A648A5">
        <w:rPr>
          <w:rFonts w:ascii="Times New Roman" w:hAnsi="Times New Roman"/>
          <w:sz w:val="28"/>
          <w:szCs w:val="28"/>
        </w:rPr>
        <w:t xml:space="preserve"> </w:t>
      </w:r>
    </w:p>
    <w:p w:rsidR="00844289" w:rsidRPr="00A648A5" w:rsidRDefault="00844289" w:rsidP="007F4EC1">
      <w:pPr>
        <w:widowControl w:val="0"/>
        <w:numPr>
          <w:ilvl w:val="0"/>
          <w:numId w:val="19"/>
        </w:numPr>
        <w:tabs>
          <w:tab w:val="left" w:pos="1134"/>
        </w:tabs>
        <w:spacing w:after="0" w:line="240" w:lineRule="auto"/>
        <w:ind w:left="0" w:firstLine="709"/>
        <w:jc w:val="both"/>
        <w:rPr>
          <w:rFonts w:ascii="Times New Roman" w:hAnsi="Times New Roman"/>
          <w:sz w:val="28"/>
          <w:szCs w:val="28"/>
        </w:rPr>
      </w:pPr>
      <w:r w:rsidRPr="00A648A5">
        <w:rPr>
          <w:rFonts w:ascii="Times New Roman" w:hAnsi="Times New Roman"/>
          <w:sz w:val="28"/>
          <w:szCs w:val="28"/>
        </w:rPr>
        <w:t xml:space="preserve">О Федеральном агентстве по рыболовству: постановление Правительства РФ от 11.06.2008 № 444 (ред. от 11.04.2018) (с изм. и доп., вступ. в силу с 01.01.2019). [Электронный ресурс] //  </w:t>
      </w:r>
      <w:r w:rsidRPr="00A648A5">
        <w:rPr>
          <w:rFonts w:ascii="Times New Roman" w:hAnsi="Times New Roman"/>
          <w:sz w:val="28"/>
          <w:szCs w:val="28"/>
          <w:lang w:val="en-US"/>
        </w:rPr>
        <w:t>URL</w:t>
      </w:r>
      <w:r w:rsidRPr="00A648A5">
        <w:rPr>
          <w:rFonts w:ascii="Times New Roman" w:hAnsi="Times New Roman"/>
          <w:sz w:val="28"/>
          <w:szCs w:val="28"/>
        </w:rPr>
        <w:t xml:space="preserve">: </w:t>
      </w:r>
      <w:hyperlink r:id="rId132" w:history="1">
        <w:r w:rsidRPr="00A648A5">
          <w:rPr>
            <w:rStyle w:val="a8"/>
            <w:rFonts w:ascii="Times New Roman" w:hAnsi="Times New Roman"/>
            <w:color w:val="auto"/>
            <w:sz w:val="28"/>
            <w:szCs w:val="28"/>
            <w:u w:val="none"/>
          </w:rPr>
          <w:t>http://www.consultant.ru/document/cons_doc_LAW_77647/</w:t>
        </w:r>
      </w:hyperlink>
      <w:r w:rsidRPr="00A648A5">
        <w:rPr>
          <w:rFonts w:ascii="Times New Roman" w:hAnsi="Times New Roman"/>
          <w:sz w:val="28"/>
          <w:szCs w:val="28"/>
        </w:rPr>
        <w:t xml:space="preserve"> </w:t>
      </w:r>
    </w:p>
    <w:p w:rsidR="00844289" w:rsidRPr="00A648A5" w:rsidRDefault="00844289" w:rsidP="007F4EC1">
      <w:pPr>
        <w:widowControl w:val="0"/>
        <w:numPr>
          <w:ilvl w:val="0"/>
          <w:numId w:val="19"/>
        </w:numPr>
        <w:tabs>
          <w:tab w:val="left" w:pos="1134"/>
        </w:tabs>
        <w:spacing w:after="0" w:line="240" w:lineRule="auto"/>
        <w:ind w:left="0" w:firstLine="709"/>
        <w:jc w:val="both"/>
        <w:rPr>
          <w:rFonts w:ascii="Times New Roman" w:hAnsi="Times New Roman"/>
          <w:sz w:val="28"/>
          <w:szCs w:val="28"/>
        </w:rPr>
      </w:pPr>
      <w:r w:rsidRPr="00A648A5">
        <w:rPr>
          <w:rFonts w:ascii="Times New Roman" w:hAnsi="Times New Roman"/>
          <w:sz w:val="28"/>
          <w:szCs w:val="28"/>
        </w:rPr>
        <w:t xml:space="preserve">Об ответственном обращении с животными и о внесении изменений в отдельные законодательные акты Российской Федерации: федеральный закон от 27.12.2018 № 498-ФЗ. [Электронный ресурс] // </w:t>
      </w:r>
      <w:r w:rsidRPr="00A648A5">
        <w:rPr>
          <w:rFonts w:ascii="Times New Roman" w:hAnsi="Times New Roman"/>
          <w:sz w:val="28"/>
          <w:szCs w:val="28"/>
          <w:lang w:val="en-US"/>
        </w:rPr>
        <w:t>URL</w:t>
      </w:r>
      <w:r w:rsidRPr="00A648A5">
        <w:rPr>
          <w:rFonts w:ascii="Times New Roman" w:hAnsi="Times New Roman"/>
          <w:sz w:val="28"/>
          <w:szCs w:val="28"/>
        </w:rPr>
        <w:t xml:space="preserve">: </w:t>
      </w:r>
      <w:hyperlink r:id="rId133" w:history="1">
        <w:r w:rsidRPr="00A648A5">
          <w:rPr>
            <w:rStyle w:val="a8"/>
            <w:rFonts w:ascii="Times New Roman" w:hAnsi="Times New Roman"/>
            <w:color w:val="auto"/>
            <w:sz w:val="28"/>
            <w:szCs w:val="28"/>
            <w:u w:val="none"/>
          </w:rPr>
          <w:t>http://www.consultant.ru/document/cons_doc_LAW_314646/</w:t>
        </w:r>
      </w:hyperlink>
    </w:p>
    <w:p w:rsidR="00844289" w:rsidRPr="00467B95" w:rsidRDefault="00844289" w:rsidP="005A3DF4">
      <w:pPr>
        <w:widowControl w:val="0"/>
        <w:spacing w:after="0" w:line="240" w:lineRule="auto"/>
        <w:ind w:firstLine="709"/>
        <w:jc w:val="both"/>
        <w:rPr>
          <w:rFonts w:ascii="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Самовольные уходы несовершеннолетних: проблемы и правовые механизмы профилактики</w:t>
      </w:r>
    </w:p>
    <w:p w:rsidR="00A648A5" w:rsidRDefault="00A648A5" w:rsidP="005A3DF4">
      <w:pPr>
        <w:widowControl w:val="0"/>
        <w:spacing w:after="0" w:line="240" w:lineRule="auto"/>
        <w:ind w:firstLine="709"/>
        <w:jc w:val="center"/>
        <w:rPr>
          <w:rFonts w:ascii="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Вассерман София Валерьевна</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студент 4 курса, группы БЮП-15-04М, кафедра гражданско-правовых дисциплин, Институт права</w:t>
      </w:r>
    </w:p>
    <w:p w:rsidR="00844289" w:rsidRPr="00467B95" w:rsidRDefault="00844289"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lastRenderedPageBreak/>
        <w:t>Владивостокский государственный университет экономики и сервиса</w:t>
      </w:r>
    </w:p>
    <w:p w:rsidR="00844289" w:rsidRPr="00467B95" w:rsidRDefault="00844289"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844289" w:rsidRPr="00467B95" w:rsidRDefault="00844289" w:rsidP="005A3DF4">
      <w:pPr>
        <w:widowControl w:val="0"/>
        <w:shd w:val="clear" w:color="auto" w:fill="FFFFFF"/>
        <w:spacing w:after="0" w:line="240" w:lineRule="auto"/>
        <w:ind w:firstLine="709"/>
        <w:jc w:val="both"/>
        <w:rPr>
          <w:rFonts w:ascii="Times New Roman" w:eastAsia="Times New Roman" w:hAnsi="Times New Roman"/>
          <w:i/>
          <w:color w:val="000000"/>
          <w:sz w:val="28"/>
          <w:szCs w:val="28"/>
          <w:lang w:eastAsia="ru-RU"/>
        </w:rPr>
      </w:pPr>
      <w:r w:rsidRPr="00467B95">
        <w:rPr>
          <w:rStyle w:val="blk"/>
          <w:rFonts w:ascii="Times New Roman" w:hAnsi="Times New Roman"/>
          <w:i/>
          <w:sz w:val="28"/>
          <w:szCs w:val="28"/>
        </w:rPr>
        <w:t>В данной статье проведен анализ причин и проблем связанных с самовольными уходами несовершеннолетних, на основании действующего российского законодательства проанализированы имеющиеся правовые механизмы профилактики самовольных уходов детей из семей, а также из детских учреждений.</w:t>
      </w:r>
    </w:p>
    <w:p w:rsidR="00844289" w:rsidRPr="00467B95" w:rsidRDefault="00844289" w:rsidP="005A3DF4">
      <w:pPr>
        <w:widowControl w:val="0"/>
        <w:shd w:val="clear" w:color="auto" w:fill="FFFFFF"/>
        <w:spacing w:after="0" w:line="240" w:lineRule="auto"/>
        <w:ind w:firstLine="709"/>
        <w:jc w:val="both"/>
        <w:rPr>
          <w:rFonts w:ascii="Times New Roman" w:eastAsia="Times New Roman" w:hAnsi="Times New Roman"/>
          <w:i/>
          <w:sz w:val="28"/>
          <w:szCs w:val="28"/>
          <w:lang w:eastAsia="ru-RU"/>
        </w:rPr>
      </w:pPr>
      <w:r w:rsidRPr="00467B95">
        <w:rPr>
          <w:rStyle w:val="blk"/>
          <w:rFonts w:ascii="Times New Roman" w:hAnsi="Times New Roman"/>
          <w:i/>
          <w:sz w:val="28"/>
          <w:szCs w:val="28"/>
        </w:rPr>
        <w:t>Автор</w:t>
      </w:r>
      <w:r w:rsidRPr="00467B95">
        <w:rPr>
          <w:rFonts w:ascii="Times New Roman" w:hAnsi="Times New Roman"/>
          <w:i/>
          <w:sz w:val="28"/>
          <w:szCs w:val="28"/>
        </w:rPr>
        <w:t xml:space="preserve"> изучил </w:t>
      </w:r>
      <w:r w:rsidRPr="00467B95">
        <w:rPr>
          <w:rFonts w:ascii="Times New Roman" w:eastAsia="Times New Roman" w:hAnsi="Times New Roman"/>
          <w:i/>
          <w:sz w:val="28"/>
          <w:szCs w:val="28"/>
          <w:lang w:eastAsia="ru-RU"/>
        </w:rPr>
        <w:t>правовые</w:t>
      </w:r>
      <w:r w:rsidRPr="00467B95">
        <w:rPr>
          <w:rFonts w:ascii="Times New Roman" w:hAnsi="Times New Roman"/>
          <w:noProof/>
          <w:sz w:val="28"/>
          <w:szCs w:val="28"/>
        </w:rPr>
        <w:t xml:space="preserve"> </w:t>
      </w:r>
      <w:r w:rsidRPr="00467B95">
        <w:rPr>
          <w:rFonts w:ascii="Times New Roman" w:eastAsia="Times New Roman" w:hAnsi="Times New Roman"/>
          <w:i/>
          <w:sz w:val="28"/>
          <w:szCs w:val="28"/>
          <w:lang w:eastAsia="ru-RU"/>
        </w:rPr>
        <w:t>механизмы профилактики самовольных уходов несовершеннолетних из учреждений для детей, а также из семей, выявил соответствующие проблемы правового регулирования, а также в практике его реализации предложил пути их преодоления.</w:t>
      </w:r>
    </w:p>
    <w:p w:rsidR="00A648A5" w:rsidRDefault="00A648A5" w:rsidP="005A3DF4">
      <w:pPr>
        <w:widowControl w:val="0"/>
        <w:spacing w:after="0" w:line="240" w:lineRule="auto"/>
        <w:ind w:firstLine="709"/>
        <w:jc w:val="both"/>
        <w:rPr>
          <w:rFonts w:ascii="Times New Roman" w:hAnsi="Times New Roman"/>
          <w:b/>
          <w:i/>
          <w:color w:val="000000"/>
          <w:sz w:val="28"/>
          <w:szCs w:val="28"/>
        </w:rPr>
      </w:pPr>
    </w:p>
    <w:p w:rsidR="00844289" w:rsidRPr="00467B95" w:rsidRDefault="00844289" w:rsidP="005A3DF4">
      <w:pPr>
        <w:widowControl w:val="0"/>
        <w:spacing w:after="0" w:line="240" w:lineRule="auto"/>
        <w:ind w:firstLine="709"/>
        <w:jc w:val="both"/>
        <w:rPr>
          <w:rFonts w:ascii="Times New Roman" w:hAnsi="Times New Roman"/>
          <w:i/>
          <w:color w:val="000000"/>
          <w:sz w:val="28"/>
          <w:szCs w:val="28"/>
        </w:rPr>
      </w:pPr>
      <w:r w:rsidRPr="00A648A5">
        <w:rPr>
          <w:rFonts w:ascii="Times New Roman" w:hAnsi="Times New Roman"/>
          <w:i/>
          <w:color w:val="000000"/>
          <w:sz w:val="28"/>
          <w:szCs w:val="28"/>
        </w:rPr>
        <w:t>Ключевые слова и словосочетания:</w:t>
      </w:r>
      <w:r w:rsidRPr="00467B95">
        <w:rPr>
          <w:rFonts w:ascii="Times New Roman" w:hAnsi="Times New Roman"/>
          <w:i/>
          <w:color w:val="000000"/>
          <w:sz w:val="28"/>
          <w:szCs w:val="28"/>
        </w:rPr>
        <w:t xml:space="preserve"> несовершеннолетний, самовольные уходы, безнадзорный, причины, проблемы, механизмы профилактики.</w:t>
      </w:r>
    </w:p>
    <w:p w:rsidR="00844289" w:rsidRPr="00467B95" w:rsidRDefault="00844289" w:rsidP="005A3DF4">
      <w:pPr>
        <w:widowControl w:val="0"/>
        <w:spacing w:after="0" w:line="240" w:lineRule="auto"/>
        <w:ind w:firstLine="709"/>
        <w:rPr>
          <w:rFonts w:ascii="Times New Roman" w:hAnsi="Times New Roman"/>
          <w:sz w:val="28"/>
          <w:szCs w:val="28"/>
        </w:rPr>
      </w:pPr>
    </w:p>
    <w:p w:rsidR="00844289" w:rsidRPr="00A648A5" w:rsidRDefault="00844289" w:rsidP="005A3DF4">
      <w:pPr>
        <w:widowControl w:val="0"/>
        <w:spacing w:after="0" w:line="240" w:lineRule="auto"/>
        <w:ind w:firstLine="709"/>
        <w:jc w:val="center"/>
        <w:rPr>
          <w:rFonts w:ascii="Times New Roman" w:hAnsi="Times New Roman"/>
          <w:b/>
          <w:sz w:val="28"/>
          <w:szCs w:val="28"/>
          <w:lang w:val="en-US"/>
        </w:rPr>
      </w:pPr>
      <w:r w:rsidRPr="00A648A5">
        <w:rPr>
          <w:rFonts w:ascii="Times New Roman" w:hAnsi="Times New Roman"/>
          <w:b/>
          <w:sz w:val="28"/>
          <w:szCs w:val="28"/>
          <w:lang w:val="en-US"/>
        </w:rPr>
        <w:t>Unauthorized juvenile abandoment: issues and legal mechanisms of their prevention.</w:t>
      </w:r>
    </w:p>
    <w:p w:rsidR="009E5C32" w:rsidRPr="00250748" w:rsidRDefault="009E5C32" w:rsidP="005A3DF4">
      <w:pPr>
        <w:widowControl w:val="0"/>
        <w:spacing w:after="0" w:line="240" w:lineRule="auto"/>
        <w:ind w:firstLine="709"/>
        <w:jc w:val="center"/>
        <w:rPr>
          <w:rFonts w:ascii="Times New Roman" w:hAnsi="Times New Roman"/>
          <w:sz w:val="28"/>
          <w:szCs w:val="28"/>
          <w:lang w:val="en-US"/>
        </w:rPr>
      </w:pPr>
    </w:p>
    <w:p w:rsidR="00844289" w:rsidRPr="00467B95" w:rsidRDefault="00844289"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Vasserman Sofiya Valer'yevna,</w:t>
      </w:r>
    </w:p>
    <w:p w:rsidR="00844289" w:rsidRPr="00467B95" w:rsidRDefault="00844289"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student of the fourth year,</w:t>
      </w:r>
      <w:r w:rsidRPr="00467B95">
        <w:rPr>
          <w:rFonts w:ascii="Times New Roman" w:eastAsia="Times New Roman" w:hAnsi="Times New Roman"/>
          <w:kern w:val="36"/>
          <w:sz w:val="28"/>
          <w:szCs w:val="28"/>
          <w:lang w:val="en-US" w:eastAsia="ru-RU"/>
        </w:rPr>
        <w:t xml:space="preserve"> BIP-15-04M group,</w:t>
      </w:r>
      <w:r w:rsidRPr="00467B95">
        <w:rPr>
          <w:rFonts w:ascii="Times New Roman" w:hAnsi="Times New Roman"/>
          <w:sz w:val="28"/>
          <w:szCs w:val="28"/>
          <w:lang w:val="en-US"/>
        </w:rPr>
        <w:t xml:space="preserve"> Chair of </w:t>
      </w:r>
      <w:r w:rsidRPr="00467B95">
        <w:rPr>
          <w:rFonts w:ascii="Times New Roman" w:hAnsi="Times New Roman"/>
          <w:color w:val="000000"/>
          <w:sz w:val="28"/>
          <w:szCs w:val="28"/>
          <w:shd w:val="clear" w:color="auto" w:fill="FFFFFF"/>
          <w:lang w:val="en-US"/>
        </w:rPr>
        <w:t>civil law disciplines</w:t>
      </w:r>
      <w:r w:rsidRPr="00467B95">
        <w:rPr>
          <w:rFonts w:ascii="Times New Roman" w:hAnsi="Times New Roman"/>
          <w:sz w:val="28"/>
          <w:szCs w:val="28"/>
          <w:lang w:val="en-US"/>
        </w:rPr>
        <w:t>, Institute of Law</w:t>
      </w:r>
    </w:p>
    <w:p w:rsidR="00844289" w:rsidRPr="00467B95" w:rsidRDefault="00844289" w:rsidP="005A3DF4">
      <w:pPr>
        <w:widowControl w:val="0"/>
        <w:shd w:val="clear" w:color="auto" w:fill="FFFFFF"/>
        <w:spacing w:after="0" w:line="240" w:lineRule="auto"/>
        <w:ind w:firstLine="709"/>
        <w:jc w:val="center"/>
        <w:rPr>
          <w:rFonts w:ascii="Times New Roman" w:hAnsi="Times New Roman"/>
          <w:i/>
          <w:kern w:val="2"/>
          <w:sz w:val="28"/>
          <w:szCs w:val="28"/>
          <w:lang w:val="en-US"/>
        </w:rPr>
      </w:pPr>
      <w:r w:rsidRPr="00467B95">
        <w:rPr>
          <w:rFonts w:ascii="Times New Roman" w:hAnsi="Times New Roman"/>
          <w:i/>
          <w:kern w:val="2"/>
          <w:sz w:val="28"/>
          <w:szCs w:val="28"/>
          <w:lang w:val="en-US"/>
        </w:rPr>
        <w:t>Vladivostok State University of Economics and Service</w:t>
      </w:r>
    </w:p>
    <w:p w:rsidR="00844289" w:rsidRPr="00467B95" w:rsidRDefault="00844289" w:rsidP="005A3DF4">
      <w:pPr>
        <w:widowControl w:val="0"/>
        <w:shd w:val="clear" w:color="auto" w:fill="FFFFFF"/>
        <w:spacing w:after="0" w:line="240" w:lineRule="auto"/>
        <w:ind w:firstLine="709"/>
        <w:jc w:val="center"/>
        <w:rPr>
          <w:rFonts w:ascii="Times New Roman" w:hAnsi="Times New Roman"/>
          <w:i/>
          <w:kern w:val="2"/>
          <w:sz w:val="28"/>
          <w:szCs w:val="28"/>
          <w:lang w:val="en-US"/>
        </w:rPr>
      </w:pPr>
      <w:r w:rsidRPr="00467B95">
        <w:rPr>
          <w:rFonts w:ascii="Times New Roman" w:hAnsi="Times New Roman"/>
          <w:i/>
          <w:kern w:val="2"/>
          <w:sz w:val="28"/>
          <w:szCs w:val="28"/>
          <w:lang w:val="en-US"/>
        </w:rPr>
        <w:t>Vladivostok, Russia</w:t>
      </w:r>
    </w:p>
    <w:p w:rsidR="00844289" w:rsidRPr="00467B95" w:rsidRDefault="00844289" w:rsidP="005A3DF4">
      <w:pPr>
        <w:widowControl w:val="0"/>
        <w:spacing w:after="0" w:line="240" w:lineRule="auto"/>
        <w:ind w:firstLine="709"/>
        <w:jc w:val="center"/>
        <w:rPr>
          <w:rFonts w:ascii="Times New Roman" w:hAnsi="Times New Roman"/>
          <w:color w:val="000000"/>
          <w:sz w:val="28"/>
          <w:szCs w:val="28"/>
          <w:lang w:val="en-US"/>
        </w:rPr>
      </w:pPr>
    </w:p>
    <w:p w:rsidR="00844289" w:rsidRPr="00467B95" w:rsidRDefault="00844289" w:rsidP="005A3DF4">
      <w:pPr>
        <w:widowControl w:val="0"/>
        <w:shd w:val="clear" w:color="auto" w:fill="FFFFFF"/>
        <w:spacing w:after="0" w:line="240" w:lineRule="auto"/>
        <w:ind w:firstLine="709"/>
        <w:jc w:val="both"/>
        <w:rPr>
          <w:rFonts w:ascii="Times New Roman" w:hAnsi="Times New Roman"/>
          <w:i/>
          <w:kern w:val="2"/>
          <w:sz w:val="28"/>
          <w:szCs w:val="28"/>
          <w:lang w:val="en-US"/>
        </w:rPr>
      </w:pPr>
      <w:r w:rsidRPr="00467B95">
        <w:rPr>
          <w:rFonts w:ascii="Times New Roman" w:hAnsi="Times New Roman"/>
          <w:i/>
          <w:kern w:val="2"/>
          <w:sz w:val="28"/>
          <w:szCs w:val="28"/>
          <w:lang w:val="en-US"/>
        </w:rPr>
        <w:t>This article analyzes the causes and problems associated with the unauthorized withdrawal of minors, on the basis of current Russian legislation analyzed the existing legal mechanisms for the prevention of unauthorized withdrawal of children from families, as well as from children's institutions.</w:t>
      </w:r>
    </w:p>
    <w:p w:rsidR="00844289" w:rsidRPr="00467B95" w:rsidRDefault="00844289" w:rsidP="005A3DF4">
      <w:pPr>
        <w:widowControl w:val="0"/>
        <w:shd w:val="clear" w:color="auto" w:fill="FFFFFF"/>
        <w:spacing w:after="0" w:line="240" w:lineRule="auto"/>
        <w:ind w:firstLine="709"/>
        <w:jc w:val="both"/>
        <w:rPr>
          <w:rFonts w:ascii="Times New Roman" w:hAnsi="Times New Roman"/>
          <w:i/>
          <w:kern w:val="2"/>
          <w:sz w:val="28"/>
          <w:szCs w:val="28"/>
          <w:lang w:val="en-US"/>
        </w:rPr>
      </w:pPr>
      <w:r w:rsidRPr="00467B95">
        <w:rPr>
          <w:rFonts w:ascii="Times New Roman" w:hAnsi="Times New Roman"/>
          <w:i/>
          <w:kern w:val="2"/>
          <w:sz w:val="28"/>
          <w:szCs w:val="28"/>
          <w:lang w:val="en-US"/>
        </w:rPr>
        <w:t>The author studied the legal mechanisms for the prevention of unauthorized departure of minors from institutions for children, as well as from families, identified the relevant problems of legal regulation, and also suggested ways to overcome them in the practice of its implementation</w:t>
      </w:r>
    </w:p>
    <w:p w:rsidR="00A648A5" w:rsidRPr="005542CD" w:rsidRDefault="00A648A5" w:rsidP="005A3DF4">
      <w:pPr>
        <w:widowControl w:val="0"/>
        <w:spacing w:after="0" w:line="240" w:lineRule="auto"/>
        <w:ind w:firstLine="709"/>
        <w:jc w:val="both"/>
        <w:rPr>
          <w:rFonts w:ascii="Times New Roman" w:hAnsi="Times New Roman"/>
          <w:b/>
          <w:i/>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r w:rsidRPr="00A648A5">
        <w:rPr>
          <w:rFonts w:ascii="Times New Roman" w:hAnsi="Times New Roman"/>
          <w:i/>
          <w:sz w:val="28"/>
          <w:szCs w:val="28"/>
          <w:lang w:val="en-US"/>
        </w:rPr>
        <w:t>Keywords:</w:t>
      </w:r>
      <w:r w:rsidRPr="00467B95">
        <w:rPr>
          <w:rFonts w:ascii="Times New Roman" w:hAnsi="Times New Roman"/>
          <w:i/>
          <w:sz w:val="28"/>
          <w:szCs w:val="28"/>
          <w:lang w:val="en-US"/>
        </w:rPr>
        <w:t xml:space="preserve"> minor, unauthorized care, neglected, causes, problems, prevention mechanisms.</w:t>
      </w:r>
    </w:p>
    <w:p w:rsidR="00844289" w:rsidRPr="00467B95" w:rsidRDefault="00844289" w:rsidP="005A3DF4">
      <w:pPr>
        <w:widowControl w:val="0"/>
        <w:spacing w:after="0" w:line="240" w:lineRule="auto"/>
        <w:ind w:firstLine="709"/>
        <w:jc w:val="both"/>
        <w:rPr>
          <w:rFonts w:ascii="Times New Roman" w:hAnsi="Times New Roman"/>
          <w:b/>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bCs/>
          <w:sz w:val="28"/>
          <w:szCs w:val="28"/>
        </w:rPr>
        <w:t>Защита прав и интересов несовершеннолетнего является одной из приоритетных задач внутренней политики государства. Однако, не всегда получается  уберечь всех детей от различного рода посягательств на их права и неприкосновенность. Ненадлежащий контроль над ребенком со стороны родителя создает риск наступления разного рода опасных ситуаций для  несовершеннолетнего. Поскольку ребенок, оставшийся без присмотра, может подвергнуться насилию со стороны другого лица, либо же он сам может совершить правонарушение, а и иной раз преступление.</w:t>
      </w:r>
      <w:r w:rsidRPr="00467B95">
        <w:rPr>
          <w:rFonts w:ascii="Times New Roman" w:hAnsi="Times New Roman"/>
          <w:sz w:val="28"/>
          <w:szCs w:val="28"/>
        </w:rPr>
        <w:t xml:space="preserve"> В последнее время </w:t>
      </w:r>
      <w:r w:rsidRPr="00467B95">
        <w:rPr>
          <w:rFonts w:ascii="Times New Roman" w:hAnsi="Times New Roman"/>
          <w:sz w:val="28"/>
          <w:szCs w:val="28"/>
        </w:rPr>
        <w:lastRenderedPageBreak/>
        <w:t>все больше участились случаи самовольных уходов несовершеннолетних.</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Понятие самовольный уход несовершеннолетнего подразумевает оставление ребенком места его жительства, либо места постоянного пребывания свыше одного часа и без уведомления об этом его законных представителей.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данных обстоятельствах, несовершеннолетний становится безнадзорным, то есть тем за кем отсутствует контроль над поведением вследствие неисполнения или ненадлежащего воспитания родителями несовершеннолетнего либо лиц их заменяющих. А в случае если несовершеннолетний теряет полную связь со своей семьей, родственниками или иными лицами осуществляющими опеку над ним, а также  проживает в местах, не предназначенных для человеческого жилья, то такое лицо является беспризорным. Детское бродяжничество является одной из наиболее значимых проблем современности, угрожающей социальной безопасности государства и общества.</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Актуальность темы очевидна. Согласно, данным единой межведомственной информационно – статистической системы (ЕМИСС) за последние пять лет количество выявленных безнадзорных несовершеннолетних в Российской Федерации снизилось всего на 24 %, что вызывает особый интерес к данной проблеме. Так, в 2013 году количество выявленных безнадзорных составило – 91098 чел., а в 2018 году – 68700 человек [1].</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Причины, способствующие самовольным уходам несовершеннолетнего, могут быть разные. Ослабление института семьи как основополагающая проблема самовольных уходов детей. К ним относится падение уровня жизни семьи, ее моральных устоев, нежелание многих отцов и матерей заниматься воспитанием своих детей, увеличение числа разводов и неполных семей.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По мнению Болдиной М.А., Е.В. Деевой: «В большинстве случаев уход из дома – это реакция ребенка на какие-то неблагоприятные обстоятельства его жизни. Стремление убежать из дома в знак протеста наиболее часто проявляется в возрасте 10-13 лет. В этот период психологический климат семьи имеет для ребенка очень большое значение. Для подростка имеет большее значение психологический климат семьи» [2, с.26].</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 Дискомфорт в отношениях с родителями воспринимается остро, особенно это касается подростков, которые стремятся противопоставить свои суждения и вкусы взрослым.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Невыносимая домашняя обстановка, алкоголизм родителей, побои, сексуальное и психологическое насилие, совершаемое над несовершеннолетними, являются основными причинами отклоняющегося детского поведения, когда подростки предпочитают жить вне дома.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В семьях, где родители страдают алкогольной зависимостью, наркоманией, дети становятся заложниками ситуации, при которой им приходится совершать различного рода правонарушения,  либо преступления для того, чтоб каким-либо образом обеспечить себе жизнь для </w:t>
      </w:r>
      <w:r w:rsidRPr="00467B95">
        <w:rPr>
          <w:rFonts w:ascii="Times New Roman" w:hAnsi="Times New Roman"/>
          <w:bCs/>
          <w:sz w:val="28"/>
          <w:szCs w:val="28"/>
        </w:rPr>
        <w:lastRenderedPageBreak/>
        <w:t xml:space="preserve">существования. В основном случаи побегов из дома сопровождены с эмоциональной реакцией на ситуацию, из которой дети не видят другого выхода.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В последнее время на улице оказываются несовершеннолетние и из вполне обеспеченных семей. Причина таких уходов заключается в безразличном отношении родителей по отношению к своим детям. Не смотря  на то, что у данные дети обеспечены в материальным плане начиная от брендовых дорогих вещей, заканчивая телефонами премиум класса, то самого драгоценного, к сожалению, родители дать не могут.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Возможно, причина состоит в том, что многие родители, стремясь заработать как можно больше денежных средств, для обеспечения своей семьи забывают о том, что самое главное, что может дать родитель своему ребенку это – внимание. Ведь именно внимание и общение с ребенком является залогом дружеских и крепких взаимоотношений между членами семьи, а особенно между родителем и ребенком. Дети, имея абсолютно все в материальном плане, но, не имея внимания со стороны своих родителей, вынуждены искать это в других людях. Именно из-за отсутствия доверительных отношений, равнодушия, взаимопонимания, со стороны родителей – появляются причины, которые могут стать уходом ребенка из дома.</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Побеги из благополучных семей могут быть связаны с неправильной позицией относительно трудностей в учебе. Имея неуспеваемость по учебе, издевательское отношение со стороны одноклассников порождает ощущение изоляции. Школа также может стать причиной самовольного ухода несовершеннолетнего, поскольку неудачи в школе могут стать причиной постоянных конфликтов в доме.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Основной причиной из-за которой воспитанники государственных учреждений совершают самовольные уходы является ненадлежащий контроль со стороны уполномоченных лиц данных учреждений.</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В ежегодном отчетном докладе уполномоченного по правам ребенка при губернаторе Приморского края также имеется упоминание об основных причинах самовольных уходов несовершеннолетних из государственных учреждений детского типа.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Например,  в краевых учреждениях для детей-сирот и детей, оставшихся без попечения родителей, уходы совершают воспитанники 2001– 2004 года рождения, у которых наблюдаются проблемы в обучении, трудности социализации, особенности психофизического состояния здоровья, различные виды девиантного поведения, синдром бродяжничества. Значительная доля уходов приходится также на бывших воспитанников, обучающихся в учреждениях профессионального образования и проживающих в учреждениях для детей-сирот в каникулярное время.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В учреждениях среди несовершеннолетних ежегодно проводится анонимное анкетирование на выявление причин, способствующих самовольным уходам. По результатам анкетирования основными причинами </w:t>
      </w:r>
      <w:r w:rsidRPr="00467B95">
        <w:rPr>
          <w:rFonts w:ascii="Times New Roman" w:hAnsi="Times New Roman"/>
          <w:bCs/>
          <w:sz w:val="28"/>
          <w:szCs w:val="28"/>
        </w:rPr>
        <w:lastRenderedPageBreak/>
        <w:t>самовольных уходов являются жажда новых впечатлений; уход от необходимости соблюдения дисциплинарных требований и режима учреждения; приобщение к группе воспитанников, совершающих самовольные уходы «за компанию»; желание встретиться с родными и близкими [3].</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По нашему мнению на сегодняшний день существует 3 основные проблемы, с которыми может столкнуться государство и общество при не устранении проблем связанных с самовольными уходами несовершеннолетних:</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1) Рост преступности среди несовершеннолетних. По данным статистики генеральной прокуратуры РФ с 2016 года по 2018 год количество особо тяжких преступлений, совершенных несовершеннолетними  увеличилось на 51 %, небольшой тяжести — на 18,4 %, средней тяжести — на 22 %,  тяжких преступлений — на 13 % [4].</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2) Рост преступности в отношении несовершеннолетних. Согласно, официальной статистики Следственного комитета РФ, за девять месяцев 2018 года от рук преступников погибли 917 детей [5]. В связи с этим по инициативе СК РФ были внесены изменения в уголовное законодательство касающиеся ужесточения наказания за преступления совершенные в отношении несовершеннолетних. Усилена ответственность за преступления сексуального характера, совершенные против несовершеннолетних. С его принятием удалось добиться отмены условного осуждения лиц, совершивших преступления против половой неприкосновенности несовершеннолетних, не достигших четырнадцати лет.</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3) Рост детской смертности. Несчастный случай, суицид, убийство - главные три составляющих, с которыми ребенок может встретиться, оставшись без присмотра законных представителей.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Правовую основу регламентирующую вопросы связанные с профилактикой самовольных уходов несовершеннолетних составляют  Конституция Российской Федерации, Семейный кодекс Российской Федерации, Федеральный закон  «Об основах системы профилактики безнадзорности и правонарушений несовершеннолетних» от 24.06.1999 N 120-ФЗ  и другие федеральные и региональные нормативно-правовые акты.</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В настоящее время на федеральные и региональные органы власти возлагается основная нагрузка по преодолению и профилактике безнадзорности и беспризорности среди несовершеннолетних.</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Базовым законом, который выполняет основную координирующую функцию, в осуществлении своей деятельности органами системы профилактики, является федеральный закон №120-ФЗ «Об основах системы профилактики безнадзорности и правонарушений несовершеннолетних».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Данным актом регулируются  процедуры связанные с профилактикой беспризорности, безнадзорности и бродяжничества  несовершеннолетних,  осуществляя защиту их прав и законных интересов, а также определяются судебные процедуры такие как: помещение в центры временного содержания </w:t>
      </w:r>
      <w:r w:rsidRPr="00467B95">
        <w:rPr>
          <w:rFonts w:ascii="Times New Roman" w:hAnsi="Times New Roman"/>
          <w:bCs/>
          <w:sz w:val="28"/>
          <w:szCs w:val="28"/>
        </w:rPr>
        <w:lastRenderedPageBreak/>
        <w:t>несовершеннолетних, направление в специальное учебно-воспитательные учреждения закрытого типа, принятие судьей решения о принудительном медицинском освидетельствовании подростка.</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К несовершеннолетним, совершающим самовольные уходы, применяются меры профилактического характера [6, с.575].</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В юридическом смысле профилактика предполагает систему  государственных и общественных мер воздействия, которые направлены на выявление, изучение и предотвращение проблем толкнувших несовершеннолетних к самовольному уходу из семьи или государственного учреждения детского типа в которых проживают несовершеннолетние.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В соответствии с пунктом 1статьи 2 федерального закона об основах профилактики безнадзорности  и правонарушений несовершеннолетних от 24.06.1999 N 120-ФЗ регулируя деятельность органов системы профилактики, данный закон определил, что их деятельность должна основываться на принципах законности, демократизма, гуманного обращения с детьми и т.д., а также  задачами в осуществлении их деятельности, прежде всего являются:</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1) предупреждение, выявление и устранение причин способствующих безнадзорности, беспризорности, правонарушений и антиобщественных действий несовершеннолетних; обеспечение защиты их прав и законных интересов;</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2) оказание социально-педагогической реабилитация несовершеннолетним, находящихся в социально опасном положении;</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3) выявление и пресечение случаев вовлечения несовершеннолетних в совершение преступлений, других противоправных общественных действий, а также случаев склонения их к суицидальным действиям;</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4) проведение индивидуальной профилактической работы с несовершеннолетними их семьями, учитывая анализ  причин и условий способствующих самовольным уходам несовершеннолетних из семьи и государственных учреждений [7, ст.2].</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С подростками, совершившими самовольные уходы, проводятся профилактические мероприятия, направленные на недопущение повторных уходов. Каждый  уход несовершеннолетних обсуждается в индивидуальной беседе, выясняются все обстоятельства и причины данных фактов.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Несовершеннолетние, состоящие на профилактическом учете в ПДН УМВД России, за совершение антиобщественных действий (бродяжничество) рассматриваются на заседаниях советов профилактики в образовательных учреждениях. Данные подростки по фактам самовольных уходов приглашаются на беседу с руководящим составом отделов полиции.</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Инспектора ПДН регулярно выступают на классных часах и на родительских собраниях с лекциями по профилактике самовольных уходов из семьи и государственных учреждений.</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В учреждениях в соответствии с федеральным законом об основах системы профилактики безнадзорности правонарушений несовершеннолетних проводятся мероприятия по предупреждению </w:t>
      </w:r>
      <w:r w:rsidRPr="00467B95">
        <w:rPr>
          <w:rFonts w:ascii="Times New Roman" w:hAnsi="Times New Roman"/>
          <w:bCs/>
          <w:sz w:val="28"/>
          <w:szCs w:val="28"/>
        </w:rPr>
        <w:lastRenderedPageBreak/>
        <w:t>безнадзорности, беспризорности, правонарушений и антиобщественных действий несовершеннолетних, выявляются и устраняются причины и условия, способствующие этому, а также принимаются меры по профилактике безнадзорности и правонарушений несовершеннолетних и снижению количества уходов несовершеннолетних воспитанников (в том числе, ежедневный мониторинг количественного состава несовершеннолетних; разработаны планы воспитательной работы; проводится индивидуальная работа психолога с несовершеннолетними, склонными к нарушениям дисциплины, режима учреждений; несовершеннолетние привлекаются на дополнительные занятия (кружки), спортивные секции, организована досуговая деятельность; созданы комфортные бытовые и социально-психологические условия для жизни и развития воспитанников и т.д.) [7].</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По нашему мнению необходимо обратить внимание на появление учреждений по выявлению ранней неблагополучной обстановке в семье, которых на сегодняшний день  не много, но по опыту реализации и внедрении  таких систем в Приморском крае уже имеются положительные результаты их деятельности. В данных учреждениях осуществляется консультационная, психологическая и педагогическая помощь семьям.</w:t>
      </w:r>
      <w:r w:rsidRPr="00467B95">
        <w:rPr>
          <w:rFonts w:ascii="Times New Roman" w:hAnsi="Times New Roman"/>
          <w:sz w:val="28"/>
          <w:szCs w:val="28"/>
        </w:rPr>
        <w:t xml:space="preserve"> </w:t>
      </w:r>
      <w:r w:rsidRPr="00467B95">
        <w:rPr>
          <w:rFonts w:ascii="Times New Roman" w:hAnsi="Times New Roman"/>
          <w:bCs/>
          <w:sz w:val="28"/>
          <w:szCs w:val="28"/>
        </w:rPr>
        <w:t xml:space="preserve">В соответствии с государственными заданиями в учреждениях социального обслуживания семьи и детей в 2017 году прошли реабилитацию 6690 несовершеннолетних, находящихся в трудной жизненной ситуации и социально опасном положении  из них: в стационарных отделениях – 5856 чел., в отделениях дневного пребывания – 834 чел.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Из общего числа несовершеннолетних, прошедших реабилитацию в стационарных отделениях: 4671 чел. (79,8%) возвращены в родные семьи [8].</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Данные показатели говорят, об эффективности работы данной системы, поэтому мы полагаем, что внедрение данной  программы  послужит  толчком для создания аналогичных программ в других субъектах Российской Федерации.</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С помощью данных учреждений на начальных стадиях выявляется  социальная опасность и неблагополучие в семье, следовательно, своевременно оказывается  помощь несовершеннолетним. Чем  раньше начинается профилактика и социальная поддержка конкретной семье, тем больше шансов у ребенка остаться с родителями, что является основной задачей в профилактике самовольных уходах несовершеннолетних.</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Как следует из пункта 13 статьи 3 Примерного положения о социально-реабилитационном центре для несовершеннолетних, утвержденного Постановлением Правительства Российской Федерации от 27 ноября 2000 года № 896 в учреждение не могут быть помещены и содержаться лица, находящиеся в состоянии алкогольного или наркотического опьянения, с явными признаками обострения психического заболевания, а также совершившие правонарушении.</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Полагаем, что необходимо вносить дополнения, изменения в </w:t>
      </w:r>
      <w:r w:rsidRPr="00467B95">
        <w:rPr>
          <w:rFonts w:ascii="Times New Roman" w:hAnsi="Times New Roman"/>
          <w:bCs/>
          <w:sz w:val="28"/>
          <w:szCs w:val="28"/>
        </w:rPr>
        <w:lastRenderedPageBreak/>
        <w:t xml:space="preserve">Федеральный закон от 24.05.1999 № 120-ФЗ «Об основах системы профилактики безнадзорности и правонарушений несовершеннолетних», в части касающейся помещения несовершеннолетних, ранее совершавших уголовного наказуемые деяния, находящихся под следствием, в учреждения органов внутренних дел. </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Значительной причиной самовольных уходов является длительное, необоснованно затянутое решение вопросов дальнейшего жизнеустройства несовершеннолетних со стороны органов опеки и попечительства, что влечет необоснованное ограничение свободы передвижения подростка. Это вызывает у ребенка, находящегося в учреждении длительное время, эмоционально-протестные реакции ухода, повышение агрессии, что влечет за собой склонность к спонтанным побегам из учреждения.</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 xml:space="preserve"> Возможности самовольного ухода способствует и тот факт, что учреждения социального обслуживания семьи и детей не относятся к типу закрытых, как и образовательные учреждения, откуда воспитанники, при имеющейся мотивации беспрепятственно совершают побег.</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Таким образом, точное соблюдение действующего законодательства в вопросах организации профилактической работы с несовершеннолетними и семьями с детьми по недопущению насилия в отношении детей, вопросы безопасности ребенка это, в первую очередь, ответственность родителей, а также практическая защита детей от насилия невозможна и  без участия родительской общественности. Одним  из способов решения проблем связанных с  самовольными  уходами детей и подростков из государственных учреждений является возможность восстановления родителей в правах и возвращение детей в «кровную» семью.</w:t>
      </w:r>
    </w:p>
    <w:p w:rsidR="00844289" w:rsidRPr="00467B95" w:rsidRDefault="00844289" w:rsidP="005A3DF4">
      <w:pPr>
        <w:widowControl w:val="0"/>
        <w:spacing w:after="0" w:line="240" w:lineRule="auto"/>
        <w:ind w:firstLine="709"/>
        <w:jc w:val="both"/>
        <w:rPr>
          <w:rFonts w:ascii="Times New Roman" w:hAnsi="Times New Roman"/>
          <w:bCs/>
          <w:sz w:val="28"/>
          <w:szCs w:val="28"/>
        </w:rPr>
      </w:pPr>
      <w:r w:rsidRPr="00467B95">
        <w:rPr>
          <w:rFonts w:ascii="Times New Roman" w:hAnsi="Times New Roman"/>
          <w:bCs/>
          <w:sz w:val="28"/>
          <w:szCs w:val="28"/>
        </w:rPr>
        <w:t>Важно не забывать, что дети – это будущее государства, и забота о формировании их личности должна быть самой главной задачей государства.</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Список использованных источников</w:t>
      </w:r>
    </w:p>
    <w:p w:rsidR="00844289" w:rsidRPr="00935DF5" w:rsidRDefault="00844289"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1 </w:t>
      </w:r>
      <w:r w:rsidRPr="00935DF5">
        <w:rPr>
          <w:rFonts w:ascii="Times New Roman" w:eastAsia="Times New Roman" w:hAnsi="Times New Roman"/>
          <w:sz w:val="28"/>
          <w:szCs w:val="28"/>
          <w:lang w:eastAsia="ru-RU"/>
        </w:rPr>
        <w:t xml:space="preserve">Количество выявленных беспризорных и безнадзорных несовершеннолетних. 2019 год [Электронный ресурс] // Единая межведомственная информационно – статистическая система. - Режим доступа: </w:t>
      </w:r>
      <w:hyperlink r:id="rId134" w:history="1">
        <w:r w:rsidRPr="00935DF5">
          <w:rPr>
            <w:rStyle w:val="a8"/>
            <w:rFonts w:ascii="Times New Roman" w:eastAsia="Times New Roman" w:hAnsi="Times New Roman"/>
            <w:color w:val="auto"/>
            <w:sz w:val="28"/>
            <w:szCs w:val="28"/>
            <w:u w:val="none"/>
            <w:lang w:eastAsia="ru-RU"/>
          </w:rPr>
          <w:t>https://fedstat.ru/indicator/36186</w:t>
        </w:r>
      </w:hyperlink>
    </w:p>
    <w:p w:rsidR="00844289" w:rsidRPr="00935DF5" w:rsidRDefault="00844289" w:rsidP="005A3DF4">
      <w:pPr>
        <w:widowControl w:val="0"/>
        <w:spacing w:after="0" w:line="240" w:lineRule="auto"/>
        <w:ind w:firstLine="709"/>
        <w:jc w:val="both"/>
        <w:rPr>
          <w:rFonts w:ascii="Times New Roman" w:eastAsia="Times New Roman" w:hAnsi="Times New Roman"/>
          <w:sz w:val="28"/>
          <w:szCs w:val="28"/>
          <w:lang w:eastAsia="ru-RU"/>
        </w:rPr>
      </w:pPr>
      <w:r w:rsidRPr="00935DF5">
        <w:rPr>
          <w:rFonts w:ascii="Times New Roman" w:eastAsia="Times New Roman" w:hAnsi="Times New Roman"/>
          <w:sz w:val="28"/>
          <w:szCs w:val="28"/>
          <w:lang w:eastAsia="ru-RU"/>
        </w:rPr>
        <w:t>2 Болдина М.А.,  Деева Е.В. Организация социально-педагогической деятельности с несовершеннолетними, склонными к самовольным уходам из семей и специальных учебно-воспитательных учреждений / М.А. Болдина, Е.В. Деева // Психолого-педагогический жур-нал Гаудеамус. — 2016. — №4. — С. 25-30.</w:t>
      </w:r>
    </w:p>
    <w:p w:rsidR="00844289" w:rsidRPr="00935DF5" w:rsidRDefault="00844289" w:rsidP="005A3DF4">
      <w:pPr>
        <w:widowControl w:val="0"/>
        <w:spacing w:after="0" w:line="240" w:lineRule="auto"/>
        <w:ind w:firstLine="709"/>
        <w:jc w:val="both"/>
        <w:rPr>
          <w:rFonts w:ascii="Times New Roman" w:eastAsia="Times New Roman" w:hAnsi="Times New Roman"/>
          <w:sz w:val="28"/>
          <w:szCs w:val="28"/>
          <w:lang w:eastAsia="ru-RU"/>
        </w:rPr>
      </w:pPr>
      <w:r w:rsidRPr="00935DF5">
        <w:rPr>
          <w:rFonts w:ascii="Times New Roman" w:eastAsia="Times New Roman" w:hAnsi="Times New Roman"/>
          <w:sz w:val="28"/>
          <w:szCs w:val="28"/>
          <w:lang w:eastAsia="ru-RU"/>
        </w:rPr>
        <w:t xml:space="preserve">3  Доклад о деятельности уполномоченного при Губернаторе Приморского края по правам ребенка и о соблюдении прав и законных интересов детей на территории Приморского края в 2017 год [Электронный ресурс] // Официальный сайт Администрации Приморского края и органов исполнительной власти Приморского края. – Режим доступа: </w:t>
      </w:r>
      <w:hyperlink r:id="rId135" w:history="1">
        <w:r w:rsidRPr="00935DF5">
          <w:rPr>
            <w:rStyle w:val="a8"/>
            <w:rFonts w:ascii="Times New Roman" w:eastAsia="Times New Roman" w:hAnsi="Times New Roman"/>
            <w:color w:val="auto"/>
            <w:sz w:val="28"/>
            <w:szCs w:val="28"/>
            <w:u w:val="none"/>
            <w:lang w:eastAsia="ru-RU"/>
          </w:rPr>
          <w:t>https://www.primorsky.ru/authorities/governor-staff/child/%D0%94%D0%9E%D0%9A%D0%9B%D0%90%D0%94%202017.pdf</w:t>
        </w:r>
      </w:hyperlink>
    </w:p>
    <w:p w:rsidR="00844289" w:rsidRPr="00935DF5" w:rsidRDefault="00844289"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lastRenderedPageBreak/>
        <w:t xml:space="preserve">4 </w:t>
      </w:r>
      <w:r w:rsidRPr="00467B95">
        <w:rPr>
          <w:rFonts w:ascii="Times New Roman" w:eastAsia="Times New Roman" w:hAnsi="Times New Roman"/>
          <w:bCs/>
          <w:iCs/>
          <w:sz w:val="28"/>
          <w:szCs w:val="28"/>
          <w:lang w:eastAsia="ru-RU"/>
        </w:rPr>
        <w:t xml:space="preserve">Сравнительная статистика предварительно расследованных тяжких преступлений, совершенных несовершеннолетними или при их соучастии 2018 год [Электронный ресурс] //  Портал правовой статистики генеральной прокуратуры Российской Федерации. - Режим доступа: </w:t>
      </w:r>
      <w:hyperlink r:id="rId136" w:history="1">
        <w:r w:rsidRPr="00935DF5">
          <w:rPr>
            <w:rStyle w:val="a8"/>
            <w:rFonts w:ascii="Times New Roman" w:eastAsia="Times New Roman" w:hAnsi="Times New Roman"/>
            <w:bCs/>
            <w:iCs/>
            <w:color w:val="auto"/>
            <w:sz w:val="28"/>
            <w:szCs w:val="28"/>
            <w:u w:val="none"/>
            <w:lang w:eastAsia="ru-RU"/>
          </w:rPr>
          <w:t>http://crimestat.ru/offenses_chart</w:t>
        </w:r>
      </w:hyperlink>
    </w:p>
    <w:p w:rsidR="00844289" w:rsidRPr="00935DF5" w:rsidRDefault="00844289" w:rsidP="005A3DF4">
      <w:pPr>
        <w:widowControl w:val="0"/>
        <w:spacing w:after="0" w:line="240" w:lineRule="auto"/>
        <w:ind w:firstLine="709"/>
        <w:jc w:val="both"/>
        <w:rPr>
          <w:rFonts w:ascii="Times New Roman" w:eastAsia="Times New Roman" w:hAnsi="Times New Roman"/>
          <w:sz w:val="28"/>
          <w:szCs w:val="28"/>
          <w:lang w:eastAsia="ru-RU"/>
        </w:rPr>
      </w:pPr>
      <w:r w:rsidRPr="00935DF5">
        <w:rPr>
          <w:rFonts w:ascii="Times New Roman" w:eastAsia="Times New Roman" w:hAnsi="Times New Roman"/>
          <w:sz w:val="28"/>
          <w:szCs w:val="28"/>
          <w:lang w:eastAsia="ru-RU"/>
        </w:rPr>
        <w:t xml:space="preserve">5 </w:t>
      </w:r>
      <w:r w:rsidRPr="00935DF5">
        <w:rPr>
          <w:rFonts w:ascii="Times New Roman" w:eastAsia="Times New Roman" w:hAnsi="Times New Roman"/>
          <w:bCs/>
          <w:iCs/>
          <w:sz w:val="28"/>
          <w:szCs w:val="28"/>
          <w:lang w:eastAsia="ru-RU"/>
        </w:rPr>
        <w:t xml:space="preserve">Сведения о деятельности Следственного Комитета Российской Федерации за январь-сентябрь 2018 года [Электронный ресурс] // Официальный сайт Следственного комитета Российской Федерации. – Режим доступа:  </w:t>
      </w:r>
      <w:hyperlink r:id="rId137" w:history="1">
        <w:r w:rsidRPr="00935DF5">
          <w:rPr>
            <w:rStyle w:val="a8"/>
            <w:rFonts w:ascii="Times New Roman" w:eastAsia="Times New Roman" w:hAnsi="Times New Roman"/>
            <w:bCs/>
            <w:iCs/>
            <w:color w:val="auto"/>
            <w:sz w:val="28"/>
            <w:szCs w:val="28"/>
            <w:u w:val="none"/>
            <w:lang w:eastAsia="ru-RU"/>
          </w:rPr>
          <w:t>https://sledcom.ru/activities/statistic</w:t>
        </w:r>
      </w:hyperlink>
    </w:p>
    <w:p w:rsidR="00844289" w:rsidRPr="00935DF5" w:rsidRDefault="00844289" w:rsidP="005A3DF4">
      <w:pPr>
        <w:widowControl w:val="0"/>
        <w:spacing w:after="0" w:line="240" w:lineRule="auto"/>
        <w:ind w:firstLine="709"/>
        <w:jc w:val="both"/>
        <w:rPr>
          <w:rFonts w:ascii="Times New Roman" w:eastAsia="Times New Roman" w:hAnsi="Times New Roman"/>
          <w:bCs/>
          <w:iCs/>
          <w:sz w:val="28"/>
          <w:szCs w:val="28"/>
          <w:lang w:eastAsia="ru-RU"/>
        </w:rPr>
      </w:pPr>
      <w:r w:rsidRPr="00935DF5">
        <w:rPr>
          <w:rFonts w:ascii="Times New Roman" w:eastAsia="Times New Roman" w:hAnsi="Times New Roman"/>
          <w:sz w:val="28"/>
          <w:szCs w:val="28"/>
          <w:lang w:eastAsia="ru-RU"/>
        </w:rPr>
        <w:t xml:space="preserve">6 </w:t>
      </w:r>
      <w:r w:rsidRPr="00935DF5">
        <w:rPr>
          <w:rFonts w:ascii="Times New Roman" w:eastAsia="Times New Roman" w:hAnsi="Times New Roman"/>
          <w:bCs/>
          <w:iCs/>
          <w:sz w:val="28"/>
          <w:szCs w:val="28"/>
          <w:lang w:eastAsia="ru-RU"/>
        </w:rPr>
        <w:t>Уткина Е.Ю. Система органов по профилактике безнадзорности и правонарушений несовершеннолетних / Е.Ю. Уткина // Ученые заметки ТОГУ. - 2013. - №4. – С. 574-579.</w:t>
      </w:r>
    </w:p>
    <w:p w:rsidR="00844289" w:rsidRPr="00935DF5" w:rsidRDefault="00844289" w:rsidP="005A3DF4">
      <w:pPr>
        <w:widowControl w:val="0"/>
        <w:spacing w:after="0" w:line="240" w:lineRule="auto"/>
        <w:ind w:firstLine="709"/>
        <w:jc w:val="both"/>
        <w:rPr>
          <w:rFonts w:ascii="Times New Roman" w:eastAsia="Times New Roman" w:hAnsi="Times New Roman"/>
          <w:sz w:val="28"/>
          <w:szCs w:val="28"/>
          <w:lang w:eastAsia="ru-RU"/>
        </w:rPr>
      </w:pPr>
      <w:r w:rsidRPr="00935DF5">
        <w:rPr>
          <w:rFonts w:ascii="Times New Roman" w:eastAsia="Times New Roman" w:hAnsi="Times New Roman"/>
          <w:sz w:val="28"/>
          <w:szCs w:val="28"/>
          <w:lang w:eastAsia="ru-RU"/>
        </w:rPr>
        <w:t>7 Об основах системы профилактики безнадзорности и правонарушений несовершен-нолетних: федеральный закон от 24.06.1999 № 120-ФЗ (последняя редакция) [Электронный ресурс] // СПС «КонсультантПлюс». – Режим доступа: http://www.consultant.ru/document/cons_doc_LAW_23509/</w:t>
      </w:r>
    </w:p>
    <w:p w:rsidR="00844289" w:rsidRPr="00935DF5" w:rsidRDefault="00844289" w:rsidP="005A3DF4">
      <w:pPr>
        <w:widowControl w:val="0"/>
        <w:spacing w:after="0" w:line="240" w:lineRule="auto"/>
        <w:ind w:firstLine="709"/>
        <w:jc w:val="both"/>
        <w:rPr>
          <w:rFonts w:ascii="Times New Roman" w:eastAsia="Times New Roman" w:hAnsi="Times New Roman"/>
          <w:sz w:val="28"/>
          <w:szCs w:val="28"/>
          <w:lang w:eastAsia="ru-RU"/>
        </w:rPr>
      </w:pPr>
      <w:r w:rsidRPr="00935DF5">
        <w:rPr>
          <w:rFonts w:ascii="Times New Roman" w:eastAsia="Times New Roman" w:hAnsi="Times New Roman"/>
          <w:sz w:val="28"/>
          <w:szCs w:val="28"/>
          <w:lang w:eastAsia="ru-RU"/>
        </w:rPr>
        <w:t>8</w:t>
      </w:r>
      <w:r w:rsidRPr="00935DF5">
        <w:rPr>
          <w:rFonts w:ascii="Times New Roman" w:hAnsi="Times New Roman"/>
          <w:bCs/>
          <w:iCs/>
          <w:sz w:val="28"/>
          <w:szCs w:val="28"/>
        </w:rPr>
        <w:t xml:space="preserve"> </w:t>
      </w:r>
      <w:r w:rsidRPr="00935DF5">
        <w:rPr>
          <w:rFonts w:ascii="Times New Roman" w:eastAsia="Times New Roman" w:hAnsi="Times New Roman"/>
          <w:bCs/>
          <w:iCs/>
          <w:sz w:val="28"/>
          <w:szCs w:val="28"/>
          <w:lang w:eastAsia="ru-RU"/>
        </w:rPr>
        <w:t xml:space="preserve">Об утверждении Примерных положений о специализированных учреждениях для несовершеннолетних, нуждающихся в социальной реабилитации: Постановление Правительства РФ от 27 ноября 2000 г. № 896 [Электронный ресурс] // СПС «КонсультантПлюс». – Режим доступа: </w:t>
      </w:r>
      <w:hyperlink r:id="rId138" w:history="1">
        <w:r w:rsidRPr="00935DF5">
          <w:rPr>
            <w:rStyle w:val="a8"/>
            <w:rFonts w:ascii="Times New Roman" w:eastAsia="Times New Roman" w:hAnsi="Times New Roman"/>
            <w:bCs/>
            <w:iCs/>
            <w:color w:val="auto"/>
            <w:sz w:val="28"/>
            <w:szCs w:val="28"/>
            <w:u w:val="none"/>
            <w:lang w:eastAsia="ru-RU"/>
          </w:rPr>
          <w:t>http://www.consultant.ru/document/cons_doc_LAW_29379/</w:t>
        </w:r>
      </w:hyperlink>
    </w:p>
    <w:p w:rsidR="00844289" w:rsidRPr="00467B95" w:rsidRDefault="00844289" w:rsidP="005A3DF4">
      <w:pPr>
        <w:widowControl w:val="0"/>
        <w:spacing w:after="0" w:line="240" w:lineRule="auto"/>
        <w:ind w:firstLine="709"/>
        <w:rPr>
          <w:rFonts w:ascii="Times New Roman" w:hAnsi="Times New Roman"/>
          <w:sz w:val="28"/>
          <w:szCs w:val="28"/>
        </w:rPr>
      </w:pPr>
    </w:p>
    <w:p w:rsidR="00844289" w:rsidRPr="00467B95" w:rsidRDefault="0084428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Профилактика виктимного поведения</w:t>
      </w:r>
    </w:p>
    <w:p w:rsidR="00844289" w:rsidRPr="00467B95" w:rsidRDefault="00844289" w:rsidP="005A3DF4">
      <w:pPr>
        <w:widowControl w:val="0"/>
        <w:spacing w:after="0" w:line="240" w:lineRule="auto"/>
        <w:ind w:firstLine="709"/>
        <w:jc w:val="center"/>
        <w:rPr>
          <w:rFonts w:ascii="Times New Roman" w:hAnsi="Times New Roman"/>
          <w:b/>
          <w:sz w:val="28"/>
          <w:szCs w:val="28"/>
        </w:rPr>
      </w:pP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b/>
          <w:sz w:val="28"/>
          <w:szCs w:val="28"/>
        </w:rPr>
        <w:t xml:space="preserve">   </w:t>
      </w:r>
      <w:r w:rsidRPr="00467B95">
        <w:rPr>
          <w:rFonts w:ascii="Times New Roman" w:hAnsi="Times New Roman"/>
          <w:sz w:val="28"/>
          <w:szCs w:val="28"/>
        </w:rPr>
        <w:t>Васькин Денис Александрович</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844289" w:rsidRPr="00467B95" w:rsidRDefault="00844289"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844289" w:rsidRPr="00467B95" w:rsidRDefault="00844289"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hyperlink r:id="rId139" w:history="1">
        <w:r w:rsidRPr="00467B95">
          <w:rPr>
            <w:rStyle w:val="a8"/>
            <w:rFonts w:ascii="Times New Roman" w:hAnsi="Times New Roman"/>
            <w:color w:val="0D0D0D" w:themeColor="text1" w:themeTint="F2"/>
            <w:sz w:val="28"/>
            <w:szCs w:val="28"/>
            <w:u w:val="none"/>
            <w:lang w:val="en-US"/>
          </w:rPr>
          <w:t>denis</w:t>
        </w:r>
        <w:r w:rsidRPr="00467B95">
          <w:rPr>
            <w:rStyle w:val="a8"/>
            <w:rFonts w:ascii="Times New Roman" w:hAnsi="Times New Roman"/>
            <w:color w:val="0D0D0D" w:themeColor="text1" w:themeTint="F2"/>
            <w:sz w:val="28"/>
            <w:szCs w:val="28"/>
            <w:u w:val="none"/>
          </w:rPr>
          <w:t>.</w:t>
        </w:r>
        <w:r w:rsidRPr="00467B95">
          <w:rPr>
            <w:rStyle w:val="a8"/>
            <w:rFonts w:ascii="Times New Roman" w:hAnsi="Times New Roman"/>
            <w:color w:val="0D0D0D" w:themeColor="text1" w:themeTint="F2"/>
            <w:sz w:val="28"/>
            <w:szCs w:val="28"/>
            <w:u w:val="none"/>
            <w:lang w:val="en-US"/>
          </w:rPr>
          <w:t>vaskin</w:t>
        </w:r>
        <w:r w:rsidRPr="00467B95">
          <w:rPr>
            <w:rStyle w:val="a8"/>
            <w:rFonts w:ascii="Times New Roman" w:hAnsi="Times New Roman"/>
            <w:color w:val="0D0D0D" w:themeColor="text1" w:themeTint="F2"/>
            <w:sz w:val="28"/>
            <w:szCs w:val="28"/>
            <w:u w:val="none"/>
          </w:rPr>
          <w:t>.1997@</w:t>
        </w:r>
        <w:r w:rsidRPr="00467B95">
          <w:rPr>
            <w:rStyle w:val="a8"/>
            <w:rFonts w:ascii="Times New Roman" w:hAnsi="Times New Roman"/>
            <w:color w:val="0D0D0D" w:themeColor="text1" w:themeTint="F2"/>
            <w:sz w:val="28"/>
            <w:szCs w:val="28"/>
            <w:u w:val="none"/>
            <w:lang w:val="en-US"/>
          </w:rPr>
          <w:t>mail</w:t>
        </w:r>
        <w:r w:rsidRPr="00467B95">
          <w:rPr>
            <w:rStyle w:val="a8"/>
            <w:rFonts w:ascii="Times New Roman" w:hAnsi="Times New Roman"/>
            <w:color w:val="0D0D0D" w:themeColor="text1" w:themeTint="F2"/>
            <w:sz w:val="28"/>
            <w:szCs w:val="28"/>
            <w:u w:val="none"/>
          </w:rPr>
          <w:t>.</w:t>
        </w:r>
        <w:r w:rsidRPr="00467B95">
          <w:rPr>
            <w:rStyle w:val="a8"/>
            <w:rFonts w:ascii="Times New Roman" w:hAnsi="Times New Roman"/>
            <w:color w:val="0D0D0D" w:themeColor="text1" w:themeTint="F2"/>
            <w:sz w:val="28"/>
            <w:szCs w:val="28"/>
            <w:u w:val="none"/>
            <w:lang w:val="en-US"/>
          </w:rPr>
          <w:t>ru</w:t>
        </w:r>
      </w:hyperlink>
      <w:r w:rsidRPr="00467B95">
        <w:rPr>
          <w:rFonts w:ascii="Times New Roman" w:hAnsi="Times New Roman"/>
          <w:sz w:val="28"/>
          <w:szCs w:val="28"/>
        </w:rPr>
        <w:t>; +79532112630</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844289" w:rsidRPr="00467B95" w:rsidRDefault="00844289" w:rsidP="005A3DF4">
      <w:pPr>
        <w:widowControl w:val="0"/>
        <w:spacing w:after="0" w:line="240" w:lineRule="auto"/>
        <w:ind w:firstLine="709"/>
        <w:jc w:val="center"/>
        <w:rPr>
          <w:rFonts w:ascii="Times New Roman" w:hAnsi="Times New Roman"/>
          <w:sz w:val="28"/>
          <w:szCs w:val="28"/>
        </w:rPr>
      </w:pPr>
    </w:p>
    <w:p w:rsidR="00844289" w:rsidRPr="003A7180" w:rsidRDefault="00844289"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3A7180">
        <w:rPr>
          <w:rFonts w:ascii="Times New Roman" w:eastAsia="Times New Roman" w:hAnsi="Times New Roman"/>
          <w:i/>
          <w:kern w:val="36"/>
          <w:sz w:val="28"/>
          <w:szCs w:val="28"/>
          <w:lang w:eastAsia="ru-RU"/>
        </w:rPr>
        <w:t>Аннотация: В статье рассматривается вопрос особенностей профилактики                 виктимного поведения потерпевших на примере плана противодействию грабежу. Особое внимание уделяется конкретизации профилактических мер.</w:t>
      </w:r>
    </w:p>
    <w:p w:rsidR="003A7180" w:rsidRPr="003A7180" w:rsidRDefault="003A7180" w:rsidP="005A3DF4">
      <w:pPr>
        <w:widowControl w:val="0"/>
        <w:spacing w:after="0" w:line="240" w:lineRule="auto"/>
        <w:ind w:firstLine="709"/>
        <w:jc w:val="both"/>
        <w:rPr>
          <w:rFonts w:ascii="Times New Roman" w:eastAsia="Times New Roman" w:hAnsi="Times New Roman"/>
          <w:i/>
          <w:kern w:val="36"/>
          <w:sz w:val="28"/>
          <w:szCs w:val="28"/>
          <w:lang w:eastAsia="ru-RU"/>
        </w:rPr>
      </w:pPr>
    </w:p>
    <w:p w:rsidR="00844289" w:rsidRPr="00467B95" w:rsidRDefault="00844289" w:rsidP="005A3DF4">
      <w:pPr>
        <w:widowControl w:val="0"/>
        <w:spacing w:after="0" w:line="240" w:lineRule="auto"/>
        <w:ind w:firstLine="709"/>
        <w:jc w:val="both"/>
        <w:rPr>
          <w:rFonts w:ascii="Times New Roman" w:eastAsia="Times New Roman" w:hAnsi="Times New Roman"/>
          <w:i/>
          <w:kern w:val="36"/>
          <w:sz w:val="28"/>
          <w:szCs w:val="28"/>
          <w:lang w:eastAsia="ru-RU"/>
        </w:rPr>
      </w:pPr>
      <w:r w:rsidRPr="003A7180">
        <w:rPr>
          <w:rFonts w:ascii="Times New Roman" w:eastAsia="Times New Roman" w:hAnsi="Times New Roman"/>
          <w:i/>
          <w:kern w:val="36"/>
          <w:sz w:val="28"/>
          <w:szCs w:val="28"/>
          <w:lang w:eastAsia="ru-RU"/>
        </w:rPr>
        <w:t>Ключевые слова, словосочетания: пр</w:t>
      </w:r>
      <w:r w:rsidRPr="00467B95">
        <w:rPr>
          <w:rFonts w:ascii="Times New Roman" w:eastAsia="Times New Roman" w:hAnsi="Times New Roman"/>
          <w:i/>
          <w:kern w:val="36"/>
          <w:sz w:val="28"/>
          <w:szCs w:val="28"/>
          <w:lang w:eastAsia="ru-RU"/>
        </w:rPr>
        <w:t>офилактика, виктимность, потерпевший, предупреждение, меры.</w:t>
      </w:r>
    </w:p>
    <w:p w:rsidR="00844289" w:rsidRPr="00467B95" w:rsidRDefault="00844289" w:rsidP="005A3DF4">
      <w:pPr>
        <w:widowControl w:val="0"/>
        <w:spacing w:after="0" w:line="240" w:lineRule="auto"/>
        <w:ind w:firstLine="709"/>
        <w:jc w:val="center"/>
        <w:rPr>
          <w:rFonts w:ascii="Times New Roman" w:eastAsia="Times New Roman" w:hAnsi="Times New Roman"/>
          <w:b/>
          <w:kern w:val="36"/>
          <w:sz w:val="28"/>
          <w:szCs w:val="28"/>
          <w:lang w:eastAsia="ru-RU"/>
        </w:rPr>
      </w:pPr>
    </w:p>
    <w:p w:rsidR="00844289" w:rsidRPr="00467B95" w:rsidRDefault="00844289" w:rsidP="005A3DF4">
      <w:pPr>
        <w:widowControl w:val="0"/>
        <w:spacing w:after="0" w:line="240" w:lineRule="auto"/>
        <w:ind w:firstLine="709"/>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Victim behavior prevention</w:t>
      </w:r>
    </w:p>
    <w:p w:rsidR="00844289" w:rsidRPr="00467B95" w:rsidRDefault="00844289" w:rsidP="005A3DF4">
      <w:pPr>
        <w:widowControl w:val="0"/>
        <w:spacing w:after="0" w:line="240" w:lineRule="auto"/>
        <w:ind w:firstLine="709"/>
        <w:jc w:val="both"/>
        <w:rPr>
          <w:rFonts w:ascii="Times New Roman" w:eastAsia="Times New Roman" w:hAnsi="Times New Roman"/>
          <w:i/>
          <w:kern w:val="36"/>
          <w:sz w:val="28"/>
          <w:szCs w:val="28"/>
          <w:lang w:val="en-US" w:eastAsia="ru-RU"/>
        </w:rPr>
      </w:pPr>
    </w:p>
    <w:p w:rsidR="00844289" w:rsidRPr="003A7180" w:rsidRDefault="00844289" w:rsidP="005A3DF4">
      <w:pPr>
        <w:pStyle w:val="HTML"/>
        <w:widowControl w:val="0"/>
        <w:shd w:val="clear" w:color="auto" w:fill="FFFFFF"/>
        <w:ind w:firstLine="709"/>
        <w:jc w:val="both"/>
        <w:rPr>
          <w:rFonts w:ascii="Times New Roman" w:hAnsi="Times New Roman" w:cs="Times New Roman"/>
          <w:i/>
          <w:color w:val="212121"/>
          <w:sz w:val="28"/>
          <w:szCs w:val="28"/>
          <w:lang w:val="en-US"/>
        </w:rPr>
      </w:pPr>
      <w:r w:rsidRPr="00467B95">
        <w:rPr>
          <w:rFonts w:ascii="Times New Roman" w:hAnsi="Times New Roman" w:cs="Times New Roman"/>
          <w:b/>
          <w:i/>
          <w:sz w:val="28"/>
          <w:szCs w:val="28"/>
          <w:lang w:val="en-US"/>
        </w:rPr>
        <w:tab/>
      </w:r>
      <w:r w:rsidRPr="003A7180">
        <w:rPr>
          <w:rFonts w:ascii="Times New Roman" w:hAnsi="Times New Roman" w:cs="Times New Roman"/>
          <w:i/>
          <w:sz w:val="28"/>
          <w:szCs w:val="28"/>
          <w:lang w:val="en-US"/>
        </w:rPr>
        <w:t xml:space="preserve">Annotation: </w:t>
      </w:r>
      <w:r w:rsidRPr="003A7180">
        <w:rPr>
          <w:rFonts w:ascii="Times New Roman" w:hAnsi="Times New Roman" w:cs="Times New Roman"/>
          <w:i/>
          <w:color w:val="212121"/>
          <w:sz w:val="28"/>
          <w:szCs w:val="28"/>
          <w:lang w:val="en-US"/>
        </w:rPr>
        <w:t xml:space="preserve">The article deals with the issue of peculiarities in the prevention of victimial behavior of victims by the example of a plan to counter the </w:t>
      </w:r>
      <w:r w:rsidRPr="003A7180">
        <w:rPr>
          <w:rFonts w:ascii="Times New Roman" w:hAnsi="Times New Roman" w:cs="Times New Roman"/>
          <w:i/>
          <w:color w:val="212121"/>
          <w:sz w:val="28"/>
          <w:szCs w:val="28"/>
          <w:lang w:val="en-US"/>
        </w:rPr>
        <w:lastRenderedPageBreak/>
        <w:t>robbery. Special attention is paid to the specification of preventive measures.</w:t>
      </w:r>
    </w:p>
    <w:p w:rsidR="00844289" w:rsidRPr="003A7180" w:rsidRDefault="00844289" w:rsidP="005A3DF4">
      <w:pPr>
        <w:pStyle w:val="HTML"/>
        <w:widowControl w:val="0"/>
        <w:shd w:val="clear" w:color="auto" w:fill="FFFFFF"/>
        <w:ind w:firstLine="709"/>
        <w:jc w:val="both"/>
        <w:rPr>
          <w:rFonts w:ascii="Times New Roman" w:hAnsi="Times New Roman" w:cs="Times New Roman"/>
          <w:i/>
          <w:sz w:val="28"/>
          <w:szCs w:val="28"/>
          <w:lang w:val="en-US"/>
        </w:rPr>
      </w:pPr>
      <w:r w:rsidRPr="003A7180">
        <w:rPr>
          <w:rFonts w:ascii="Times New Roman" w:hAnsi="Times New Roman" w:cs="Times New Roman"/>
          <w:i/>
          <w:color w:val="212121"/>
          <w:sz w:val="28"/>
          <w:szCs w:val="28"/>
          <w:lang w:val="en-US"/>
        </w:rPr>
        <w:tab/>
      </w:r>
      <w:r w:rsidRPr="003A7180">
        <w:rPr>
          <w:rFonts w:ascii="Times New Roman" w:hAnsi="Times New Roman" w:cs="Times New Roman"/>
          <w:i/>
          <w:sz w:val="28"/>
          <w:szCs w:val="28"/>
          <w:lang w:val="en-US"/>
        </w:rPr>
        <w:t>Key words and phrases: prevention, victimization, victim, warning, measures.</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Предупреждение преступлений в криминологии рассматривается, как целостная социальная система, включающая в себя общесоциальное и специальное криминологическое предупреждение [1, с. 229]. Специальное криминологическое предупреждение преступлений предусматривает систему, непосредственно направленную на решение профилактических задач. В сферу данного предупреждения подпадает не только преступник, совершивший противоправное деяние и лица, которые являются потенциальными преступниками, а также жертвы и потенциальные потерпевшие от преступления.</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осуществления эффективной работы по борьбе с преступностью, необходимо осуществлять профилактику виктимного поведения, как жертв преступлений, так и потенциальных потерпевших. Виктимологическая профилактика – это деятельность социальных институтов, направленная на выявление, устранение и нейтрализацию факторов, обстоятельств формирующих виктимное поведение, а также выявление групп риска и конкретных лиц с повышенной степенью виктимности и воздействию на них, в целях восстановления защитных свойств и разработки специальных методов защиты от преступлений [2, с. 51]. Объектом профилактики виктимного поведения являются причины и условия, которые способствуют проявлению виктимного поведения. Вышеназванное поведение потерпевших является важным фактором, влияющим на формирование противоправного поведения.</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Необходимость проведения виктимологической профилактики закрепляется в нормативно-правовых актах Российской Федерации. Так, в статье 52 Конституции РФ, закрепляется, что «права потерпевших от преступлений и злоупотребления властью охраняются законом» [3]. Данное положение означает, что государство обеспечивает потерпевшим доступ к правосудию и предоставляет компенсацию причиненного вреда.</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Виктимологическая профилактика и предупреждение преступлений осуществляется посредством экономических, политических, идеологических, организационных и правовых мер. Вышеуказанные меры создают условия, снижающие риск совершения преступлений, и устраняют криминологические и виктимологические факторы. Данный факт определен развитием виктимологической профилактики преступлений, которая нацелена на предупреждение виктимного поведения, а не преступного [1, с. 229].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Направление виктимологической профилактики представляет собой систему предупреждений преступлений общего и специального характера, направленную на снижение индивидуальной и массовой виктимности с помощью устранения виктимного поведения. Также, виктимологическая профилактика направлена на изменение ситуаций связанных с совершением преступлений, на изменение восприятия таких ситуаций жертвами или потенциальными потерпевшими [4, с. 120].</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Эффективность виктимологической профилактики зависит от осуществления организационной и тактической работы. Наибольшее значение в профилактики виктимного поведения имеет учет общих криминологических факторов и характер механизма совершения конкретного преступления [5, с. 28].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Согласно вышесказанному можно привести пример плана противодействия конкретному преступлению. На примере такого противоправного деяния как грабеж. Среди преступлений против собственности грабеж имеет большое значение, так как криминогенная картина данного преступления весьма сложна [6,  с. 115]. Целью виктимологической профилактики вышеуказанного преступления является создание общественных и государственных мероприятий, которые должны воздействовать на потенциальных потерпевших и жертв грабежа, в целях реализации их физических, моральных и психологических качеств для предотвращения процесса виктимизации [6, с. 115].</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Приведенный пример плана по противодействию грабежу разработан следователем Рязанской области и направлен на профилактику потенциальных потерпевших от грабежа. Проведение профилактических мер согласно данному плану возложено на полицию, а именно на сотрудников патрульно-постовой службы. Указанные сотрудники осуществляют патрулирование городских улиц, то есть проводят мероприятия направленные на регулирование общественного порядка. Но, несмотря на это большое значение, имеет поведение потерпевшего [7]. </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 мнению автора вышеназванного плана, соблюдение определенных правил поведения позволит снизить риск стать жертвой грабежа. Таким образом, необходимо придерживаться следующих правил:</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не находится в вечернее время на улице в состоянии алкогольного опьянения, так как преступник понимает, что лицо находясь в состоянии опьянения не может оказать ему сопротивление;</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нельзя демонстрировать наличие ценного имущества, так как это может спровоцировать преступника на совершение противоправного деяния;</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нужно всегда иметь с собой средство самообороны, например газовый баллончик;</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необходимо быть осторожным, обращать внимание на подозрительных лиц;</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не соглашаться на уговоры незнакомцев пройти с ними в какое-либо место [7].</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 также данный план противодействия грабежу предусматривает создание условий препятствующих совершению противоправного деяния. К таким условиям относится критичность в поведении, это означает что лицо, находясь в общественном месте, где трудно распознать преступника должно внимательно относиться к своему имуществу, не оставлять его без присмотра, при совершении грабежа сразу обратиться за помощью</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соответствии с вышеуказанным планом по противодействию грабежу </w:t>
      </w:r>
      <w:r w:rsidRPr="00467B95">
        <w:rPr>
          <w:rFonts w:ascii="Times New Roman" w:hAnsi="Times New Roman"/>
          <w:sz w:val="28"/>
          <w:szCs w:val="28"/>
        </w:rPr>
        <w:lastRenderedPageBreak/>
        <w:t>можно подвести итог, что данный план поверхностно затрагивает профилактику преступления. Во-первых, указанный план не предполагает индивидуального подхода к потерпевшему, так как предполагает воздействие общего характера на лиц без разделения их на группы или по индивидуальным характеристикам личности. Во-вторых, приведенные правила поведения, которые должен соблюдать потенциальный потерпевший, практически не сопоставимы с действительностью. Например, в приведенных правила указано, что лицо не должно демонстрировать наличие у себя ценного имущества, но данное поведение распространено в обществе, у многих есть дорогие мобильные телефоны, которыми граждане часто пользуются в общественных метах. Такого правила поведения практически невозможно придерживаться. Указанное правило поведение нужно детализировать, привести примеры, когда не нужно демонстрировать ценное имущество, к примеру, находясь в малознакомой компании. Еще одним правилом поведения, которое не раскрыто, является наличие у лица средства обороны. Необходимо проводить ознакомительные беседы с гражданами по вопросам самообороны и как правильно нужно применять средства самообороны. В-третьих, вышеуказанные профилактические мероприятия направлены на потенциальных потерпевших. Также необходимо выстроить систему профилактики жертв грабежа, которая заключается в реабилитации лица после совершения противоправного деяния.</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Следовательно, профилактика виктимного поведения эффективна, только при всестороннем анализе информации виктимологического характера, которая позволяет учесть факторы характеризующие механизм совершения конкретного преступления. Изученная информация позволяет выявить потенциальных потерпевших. Безусловно, выявить таких лиц представляет сложную задачу,  особенно если учесть, что многие лица уже пострадавшие от преступных действий, не обращаются в правоохранительные органы [8, с. 5].</w:t>
      </w: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предупреждение преступности относится к одной из важнейших задач государства и является элементом контроля над состоянием преступности.</w:t>
      </w:r>
    </w:p>
    <w:p w:rsidR="00EE63FF" w:rsidRPr="00467B95" w:rsidRDefault="00EE63FF"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rPr>
        <w:t xml:space="preserve"> </w:t>
      </w:r>
      <w:r w:rsidRPr="00467B95">
        <w:rPr>
          <w:rFonts w:ascii="Times New Roman" w:hAnsi="Times New Roman"/>
          <w:sz w:val="28"/>
          <w:szCs w:val="28"/>
          <w:lang w:eastAsia="ru-RU"/>
        </w:rPr>
        <w:t>Рабецкая В.И. Особенности виктимологической профилактики / В.И. Рабецкая //              Юридический институт ИГУ – 2015. - № 1 – С. 227-231.</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2 Савиных Е.В. Основные направления и проблемы виктимологической профилакти преступности / Е.В. Савиных // Виктимология – 2014. - № 1 – С. 51-54.</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color w:val="FF0000"/>
          <w:sz w:val="28"/>
          <w:szCs w:val="28"/>
          <w:lang w:eastAsia="ru-RU"/>
        </w:rPr>
      </w:pPr>
      <w:r w:rsidRPr="00467B95">
        <w:rPr>
          <w:rFonts w:ascii="Times New Roman" w:hAnsi="Times New Roman"/>
          <w:sz w:val="28"/>
          <w:szCs w:val="28"/>
          <w:lang w:eastAsia="ru-RU"/>
        </w:rPr>
        <w:t>3</w:t>
      </w:r>
      <w:r w:rsidRPr="00467B95">
        <w:rPr>
          <w:rFonts w:ascii="Times New Roman" w:hAnsi="Times New Roman"/>
          <w:sz w:val="28"/>
          <w:szCs w:val="28"/>
        </w:rPr>
        <w:t xml:space="preserve"> </w:t>
      </w:r>
      <w:r w:rsidRPr="00467B95">
        <w:rPr>
          <w:rFonts w:ascii="Times New Roman" w:hAnsi="Times New Roman"/>
          <w:sz w:val="28"/>
          <w:szCs w:val="28"/>
          <w:lang w:eastAsia="ru-RU"/>
        </w:rPr>
        <w:t xml:space="preserve">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[Электронный ресурс] //  СПС «Консультантплюс» – Режим доступа: </w:t>
      </w:r>
      <w:hyperlink r:id="rId140" w:history="1">
        <w:r w:rsidRPr="00467B95">
          <w:rPr>
            <w:rStyle w:val="a8"/>
            <w:rFonts w:ascii="Times New Roman" w:hAnsi="Times New Roman"/>
            <w:color w:val="auto"/>
            <w:sz w:val="28"/>
            <w:szCs w:val="28"/>
            <w:u w:val="none"/>
            <w:lang w:eastAsia="ru-RU"/>
          </w:rPr>
          <w:t>http://www.consultant.ru/document/cons_doc_LAW_28399/</w:t>
        </w:r>
      </w:hyperlink>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4 Куженова С.С. Виктимологическая профилактика преступлений / С.С. </w:t>
      </w:r>
      <w:r w:rsidRPr="00467B95">
        <w:rPr>
          <w:rFonts w:ascii="Times New Roman" w:hAnsi="Times New Roman"/>
          <w:sz w:val="28"/>
          <w:szCs w:val="28"/>
          <w:lang w:eastAsia="ru-RU"/>
        </w:rPr>
        <w:lastRenderedPageBreak/>
        <w:t>Куженова // Вестник Челябинского государственного университета – 2016. - № 4. – С. 119-124.</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5 Борисова А.А. Виктимологическая профилактика преступлений / А.А. Борисова // Современные тенденции развития науки и технологии – 2016. - № 12. – С. 27-32.</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6  Зейналова М.М. Рамазанов Ш.Р. Виктимологическая профилактика грабежей / М.М. Зейналова Ш.Р. Рамазанова // Успехи современной науки. – 2017. - № 3. – С. 155-117.</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7 Горелов А.А. Профилактика открытого хищения имущества / А.А. Горелов [Электронный ресурс] // Официальный сайт Министерства внутренних дел Рязанской области // Режим доступа: </w:t>
      </w:r>
      <w:hyperlink r:id="rId141" w:history="1">
        <w:r w:rsidRPr="00467B95">
          <w:rPr>
            <w:rStyle w:val="a8"/>
            <w:rFonts w:ascii="Times New Roman" w:hAnsi="Times New Roman"/>
            <w:color w:val="auto"/>
            <w:sz w:val="28"/>
            <w:szCs w:val="28"/>
            <w:u w:val="none"/>
            <w:lang w:eastAsia="ru-RU"/>
          </w:rPr>
          <w:t>https://62.xn--b1aew.xn--p1ai/press_slujba/press_reliz/item/546406/</w:t>
        </w:r>
      </w:hyperlink>
      <w:r w:rsidRPr="00467B95">
        <w:rPr>
          <w:rFonts w:ascii="Times New Roman" w:hAnsi="Times New Roman"/>
          <w:sz w:val="28"/>
          <w:szCs w:val="28"/>
          <w:lang w:eastAsia="ru-RU"/>
        </w:rPr>
        <w:t>.</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r w:rsidRPr="00467B95">
        <w:rPr>
          <w:rFonts w:ascii="Times New Roman" w:hAnsi="Times New Roman"/>
          <w:sz w:val="28"/>
          <w:szCs w:val="28"/>
          <w:lang w:eastAsia="ru-RU"/>
        </w:rPr>
        <w:t xml:space="preserve">8 Гаврилюк Е.Д. Виктимологическая профилактика противоправного деяния / Е.Д. Гаврилюк // Юриспруденция – 2015. - № 3. – С. 5-11.  </w:t>
      </w:r>
    </w:p>
    <w:p w:rsidR="00844289" w:rsidRPr="00467B95" w:rsidRDefault="00844289" w:rsidP="005A3DF4">
      <w:pPr>
        <w:widowControl w:val="0"/>
        <w:tabs>
          <w:tab w:val="left" w:pos="1134"/>
        </w:tabs>
        <w:autoSpaceDE w:val="0"/>
        <w:autoSpaceDN w:val="0"/>
        <w:adjustRightInd w:val="0"/>
        <w:spacing w:after="0" w:line="240" w:lineRule="auto"/>
        <w:ind w:firstLine="709"/>
        <w:jc w:val="both"/>
        <w:rPr>
          <w:rFonts w:ascii="Times New Roman" w:hAnsi="Times New Roman"/>
          <w:sz w:val="28"/>
          <w:szCs w:val="28"/>
          <w:lang w:eastAsia="ru-RU"/>
        </w:rPr>
      </w:pPr>
    </w:p>
    <w:p w:rsidR="00844289" w:rsidRPr="00467B95" w:rsidRDefault="00844289"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Особенности нормативно-правового регулирования профилактики конфликтов с участием несовершеннолетних в системе образования Приморского края</w:t>
      </w:r>
    </w:p>
    <w:p w:rsidR="00EE63FF" w:rsidRDefault="00EE63FF" w:rsidP="005A3DF4">
      <w:pPr>
        <w:widowControl w:val="0"/>
        <w:spacing w:after="0" w:line="240" w:lineRule="auto"/>
        <w:ind w:firstLine="709"/>
        <w:contextualSpacing/>
        <w:jc w:val="center"/>
        <w:rPr>
          <w:rFonts w:ascii="Times New Roman" w:hAnsi="Times New Roman"/>
          <w:sz w:val="28"/>
          <w:szCs w:val="28"/>
        </w:rPr>
      </w:pPr>
    </w:p>
    <w:p w:rsidR="00844289" w:rsidRPr="00467B95" w:rsidRDefault="00844289" w:rsidP="005A3DF4">
      <w:pPr>
        <w:widowControl w:val="0"/>
        <w:spacing w:after="0" w:line="240" w:lineRule="auto"/>
        <w:ind w:firstLine="709"/>
        <w:contextualSpacing/>
        <w:jc w:val="center"/>
        <w:rPr>
          <w:rFonts w:ascii="Times New Roman" w:hAnsi="Times New Roman"/>
          <w:sz w:val="28"/>
          <w:szCs w:val="28"/>
        </w:rPr>
      </w:pPr>
      <w:r w:rsidRPr="00467B95">
        <w:rPr>
          <w:rFonts w:ascii="Times New Roman" w:hAnsi="Times New Roman"/>
          <w:sz w:val="28"/>
          <w:szCs w:val="28"/>
        </w:rPr>
        <w:t>Герасименко Оксана Андреевна,</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Владивостокский государственный университет экономики и сервиса</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Россия, Владивосток</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oksana</w:t>
      </w:r>
      <w:r w:rsidRPr="00467B95">
        <w:rPr>
          <w:rFonts w:ascii="Times New Roman" w:hAnsi="Times New Roman"/>
          <w:sz w:val="28"/>
          <w:szCs w:val="28"/>
        </w:rPr>
        <w:t>_</w:t>
      </w:r>
      <w:r w:rsidRPr="00467B95">
        <w:rPr>
          <w:rFonts w:ascii="Times New Roman" w:hAnsi="Times New Roman"/>
          <w:sz w:val="28"/>
          <w:szCs w:val="28"/>
          <w:lang w:val="en-US"/>
        </w:rPr>
        <w:t>gerasimenko</w:t>
      </w:r>
      <w:r w:rsidRPr="00467B95">
        <w:rPr>
          <w:rFonts w:ascii="Times New Roman" w:hAnsi="Times New Roman"/>
          <w:sz w:val="28"/>
          <w:szCs w:val="28"/>
        </w:rPr>
        <w:t>97@</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тел.: +79242424131</w:t>
      </w:r>
    </w:p>
    <w:p w:rsidR="00844289" w:rsidRPr="00467B95" w:rsidRDefault="00844289"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EE63FF" w:rsidRDefault="00EE63FF" w:rsidP="005A3DF4">
      <w:pPr>
        <w:widowControl w:val="0"/>
        <w:spacing w:after="0" w:line="240" w:lineRule="auto"/>
        <w:ind w:firstLine="709"/>
        <w:jc w:val="both"/>
        <w:rPr>
          <w:rFonts w:ascii="Times New Roman" w:hAnsi="Times New Roman"/>
          <w:i/>
          <w:sz w:val="28"/>
          <w:szCs w:val="28"/>
        </w:rPr>
      </w:pPr>
    </w:p>
    <w:p w:rsidR="00844289" w:rsidRPr="00467B95" w:rsidRDefault="00844289"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i/>
          <w:sz w:val="28"/>
          <w:szCs w:val="28"/>
        </w:rPr>
        <w:t>Данная статья посвящена анализу нормативно-правовых актов Приморского края в сфере профилактики конфликтов с участием несовершеннолетних в системе образования. В Российской Федерации на федеральном и региональном уровнях сформирована законодательная база, обеспечивающая условия для нормального получения знаний учащимися, разработана система профилактики девиантного поведения подростков, а также созданы правовые механизмы разрешения конфликтных ситуаций с несовершеннолетними. Вместе с тем, практика показывает, что, несмотря на существующие нормативно-правовые акты, а также созданные механизмы разрешения конфликтных ситуаций в системе образования, случаи конфликтов в образовательных учреждениях распространены, следовательно, данная проблема с участием учителей, школьников и их родителей до конца не решена. В связи с этим необходимы дополнительные меры правового характера, которые бы создали условия для единообразного подхода в решении конфликтов.</w:t>
      </w:r>
    </w:p>
    <w:p w:rsidR="00EE63FF" w:rsidRDefault="00EE63FF" w:rsidP="005A3DF4">
      <w:pPr>
        <w:widowControl w:val="0"/>
        <w:spacing w:after="0" w:line="240" w:lineRule="auto"/>
        <w:ind w:firstLine="709"/>
        <w:contextualSpacing/>
        <w:jc w:val="both"/>
        <w:rPr>
          <w:rFonts w:ascii="Times New Roman" w:hAnsi="Times New Roman"/>
          <w:b/>
          <w:i/>
          <w:sz w:val="28"/>
          <w:szCs w:val="28"/>
        </w:rPr>
      </w:pPr>
    </w:p>
    <w:p w:rsidR="00844289" w:rsidRPr="00467B95" w:rsidRDefault="00844289" w:rsidP="005A3DF4">
      <w:pPr>
        <w:widowControl w:val="0"/>
        <w:spacing w:after="0" w:line="240" w:lineRule="auto"/>
        <w:ind w:firstLine="709"/>
        <w:contextualSpacing/>
        <w:jc w:val="both"/>
        <w:rPr>
          <w:rFonts w:ascii="Times New Roman" w:hAnsi="Times New Roman"/>
          <w:i/>
          <w:sz w:val="28"/>
          <w:szCs w:val="28"/>
        </w:rPr>
      </w:pPr>
      <w:r w:rsidRPr="00EE63FF">
        <w:rPr>
          <w:rFonts w:ascii="Times New Roman" w:hAnsi="Times New Roman"/>
          <w:i/>
          <w:sz w:val="28"/>
          <w:szCs w:val="28"/>
        </w:rPr>
        <w:t>Ключевые слова и словосочетания:</w:t>
      </w:r>
      <w:r w:rsidRPr="00467B95">
        <w:rPr>
          <w:rFonts w:ascii="Times New Roman" w:hAnsi="Times New Roman"/>
          <w:i/>
          <w:sz w:val="28"/>
          <w:szCs w:val="28"/>
        </w:rPr>
        <w:t xml:space="preserve"> образование, образовательные учреждения, несовершеннолетние, конфликты, профилактика конфликтных </w:t>
      </w:r>
      <w:r w:rsidRPr="00467B95">
        <w:rPr>
          <w:rFonts w:ascii="Times New Roman" w:hAnsi="Times New Roman"/>
          <w:i/>
          <w:sz w:val="28"/>
          <w:szCs w:val="28"/>
        </w:rPr>
        <w:lastRenderedPageBreak/>
        <w:t>ситуаций, нормативные правовые акты, законодательство Приморского края, Школьные службы примирения, комиссии по делам несовершеннолетних и защите их прав.</w:t>
      </w:r>
    </w:p>
    <w:p w:rsidR="00D02D4C" w:rsidRDefault="00D02D4C" w:rsidP="005A3DF4">
      <w:pPr>
        <w:widowControl w:val="0"/>
        <w:spacing w:after="0" w:line="240" w:lineRule="auto"/>
        <w:ind w:firstLine="709"/>
        <w:jc w:val="center"/>
        <w:rPr>
          <w:rFonts w:ascii="Times New Roman" w:hAnsi="Times New Roman"/>
          <w:b/>
          <w:sz w:val="28"/>
          <w:szCs w:val="28"/>
        </w:rPr>
      </w:pPr>
    </w:p>
    <w:p w:rsidR="00844289" w:rsidRPr="00467B95" w:rsidRDefault="00844289"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Features of the legal regulation of conflict prevention with the participation of minors in the education system of the Primorsky Krai</w:t>
      </w:r>
    </w:p>
    <w:p w:rsidR="00D84790" w:rsidRPr="00D02D4C" w:rsidRDefault="00D84790" w:rsidP="005A3DF4">
      <w:pPr>
        <w:widowControl w:val="0"/>
        <w:spacing w:after="0" w:line="240" w:lineRule="auto"/>
        <w:ind w:firstLine="709"/>
        <w:jc w:val="both"/>
        <w:rPr>
          <w:rFonts w:ascii="Times New Roman" w:hAnsi="Times New Roman"/>
          <w:i/>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This article is devoted to the analysis of regulatory legal acts of Primorsky Krai in the field of conflict prevention with the participation of minors in the education system. In the Russian Federation, at the federal and regional levels, a legal framework has been created that provides conditions for the students to receive normal knowledge, a system has been developed to prevent the deviant behavior of adolescents, and legal mechanisms have been created to resolve conflicts with minors. At the same time, practice shows that, despite existing regulatory legal acts, as well as established mechanisms for resolving conflict situations in the educational system, conflicts in educational institutions are common, therefore, this problem involving teachers, schoolchildren and their parents is not completely solved. In this regard, additional measures of a legal nature are needed that would create conditions for a uniform approach to resolving conflicts.</w:t>
      </w:r>
    </w:p>
    <w:p w:rsidR="00D84790" w:rsidRPr="005542CD" w:rsidRDefault="00D84790" w:rsidP="005A3DF4">
      <w:pPr>
        <w:widowControl w:val="0"/>
        <w:spacing w:after="0" w:line="240" w:lineRule="auto"/>
        <w:ind w:firstLine="709"/>
        <w:jc w:val="both"/>
        <w:rPr>
          <w:rFonts w:ascii="Times New Roman" w:hAnsi="Times New Roman"/>
          <w:b/>
          <w:i/>
          <w:sz w:val="28"/>
          <w:szCs w:val="28"/>
          <w:lang w:val="en-US"/>
        </w:rPr>
      </w:pPr>
    </w:p>
    <w:p w:rsidR="00844289" w:rsidRPr="00467B95" w:rsidRDefault="00844289" w:rsidP="005A3DF4">
      <w:pPr>
        <w:widowControl w:val="0"/>
        <w:spacing w:after="0" w:line="240" w:lineRule="auto"/>
        <w:ind w:firstLine="709"/>
        <w:jc w:val="both"/>
        <w:rPr>
          <w:rFonts w:ascii="Times New Roman" w:hAnsi="Times New Roman"/>
          <w:i/>
          <w:sz w:val="28"/>
          <w:szCs w:val="28"/>
          <w:lang w:val="en-US"/>
        </w:rPr>
      </w:pPr>
      <w:r w:rsidRPr="00D84790">
        <w:rPr>
          <w:rFonts w:ascii="Times New Roman" w:hAnsi="Times New Roman"/>
          <w:i/>
          <w:sz w:val="28"/>
          <w:szCs w:val="28"/>
          <w:lang w:val="en-US"/>
        </w:rPr>
        <w:t>Keywords: education</w:t>
      </w:r>
      <w:r w:rsidRPr="00467B95">
        <w:rPr>
          <w:rFonts w:ascii="Times New Roman" w:hAnsi="Times New Roman"/>
          <w:i/>
          <w:sz w:val="28"/>
          <w:szCs w:val="28"/>
          <w:lang w:val="en-US"/>
        </w:rPr>
        <w:t>, educational institutions, minors, conflicts, conflict prevention, regulations, laws of the Primorsky Krai, school reconciliation services, commissions for minors and the protection of their rights.</w:t>
      </w:r>
    </w:p>
    <w:p w:rsidR="00D84790" w:rsidRPr="005542CD" w:rsidRDefault="00D84790" w:rsidP="005A3DF4">
      <w:pPr>
        <w:widowControl w:val="0"/>
        <w:spacing w:after="0" w:line="240" w:lineRule="auto"/>
        <w:ind w:firstLine="709"/>
        <w:contextualSpacing/>
        <w:jc w:val="both"/>
        <w:rPr>
          <w:rFonts w:ascii="Times New Roman" w:hAnsi="Times New Roman"/>
          <w:sz w:val="28"/>
          <w:szCs w:val="28"/>
          <w:lang w:val="en-US"/>
        </w:rPr>
      </w:pP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Образование в России является приоритетной областью, основы его организации закреплены в Конституции РФ [1] и в Федеральном законе от 29 декабря 2012 г. № 273-ФЗ «Об образовании в Российской Федерации» [2]. Так в соответствии с законодательством образование – это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 [2, ст. 2].</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Государство берет на себя обязанность обеспечить должным образованием каждого человека путем создания системы образовательным учреждений и соответствующих условий для их деятельности. </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соответствии со ст. 43 Конституции РФ граждане России имеют право на бесплатное дошкольное, основное общее и среднее профессиональное образования в государственных или муниципальных образовательных учреждениях и на предприятиях, а на конкурсной основе – </w:t>
      </w:r>
      <w:r w:rsidRPr="00467B95">
        <w:rPr>
          <w:rFonts w:ascii="Times New Roman" w:hAnsi="Times New Roman"/>
          <w:sz w:val="28"/>
          <w:szCs w:val="28"/>
        </w:rPr>
        <w:lastRenderedPageBreak/>
        <w:t>бесплатное высшее образование в государственном или муниципальном образовательном учреждении и на предприятии [1].</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Правовое регулирование различных аспектов профилактики конфликтов в системе образования осуществляется не только на федеральном уровне, но и на региональном уровне (то есть на уровне субъектов Российской Федерации). </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Базовым нормативным правовым актом по данному вопросу выступает Закон Приморского края «Об образовании в Приморском крае» от 13 августа 2013 года № 243-КЗ [3], согласно положениям которого в полномочия Департамента образования и науки Приморского края входит создание условий для реализации инновационных образовательных проектов, программ и внедрения их результатов в практику (к числу которых, в частности, относятся и программа «Школьная медиация»). </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Именно, благодаря практической реализации данного законодательно закрепленного полномочия Департаментом образования и науки Приморского края в начале 2017 года на базе абсолютно всех школ указанного российского региона были учреждены, и функционируют по сей день Школьные службы примирения, цель деятельности которой заключается в рассмотрении и последующем разрешении конфликтов, возникающих между участниками образовательного процесса. </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Достаточно активное участие в разрешении конфликтов в образовательной среде принимает Уполномоченный по правам ребенка в Приморском крае, особенно в делах, получивших широкий общественный резонанс. </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Одним из таких случаев явился конфликт между учащимися МБОУ СОШ № 74 г. Владивостока, в ходе которого группа учениц избила свою одноклассницу, засняв сам процесс избиения на видеокамеру мобильного телефона, в последующем выложив его в информационно-телекоммуникационную сеть «Интернет»: обсуждение этого случая прошло как в телепрограммах на региональном уровне, так и на федеральном уровне. Непосредственно деятельность Уполномоченного по правам ребенка в Приморском крае, в указанной части, урегулирована положениями постановления Губернатора Приморского края «Положение об Уполномоченном при Губернаторе Приморского края по правам ребенка» от 21.12.2010 № 109-пг [4].</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Порядок создания и функционирования комиссий по делам несовершеннолетних на территории Приморского края как одного из органов, призванных принимать участие в рассмотрении, разрешении и преодолении конфликтов, возникающих в рамках образовательного процесса между обучающимися, в положениях закона Приморского края «О комиссиях по делам несовершеннолетних и защите их прав на территории Приморского края» от 08 ноября 2005 года № 296-КЗ [5]. Помимо прочего, согласно положениям указанного регионального нормативного правового акта определяются также:</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lastRenderedPageBreak/>
        <w:t>− правовой статус Приморской краевой межведомственной комиссии по делам несовершеннолетних и защите их прав;</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порядок наделения органов местного самоуправления муниципальных районов и городских округов Приморского края государственными полномочиями по созданию и обеспечению деятельности комиссий по делам несовершеннолетних и защите их прав;</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создание и организация деятельности районных, городских, районных в городе комиссий по делам несовершеннолетних и защите их права на территории Приморского края;</w:t>
      </w:r>
    </w:p>
    <w:p w:rsidR="00844289" w:rsidRPr="00467B95" w:rsidRDefault="00844289"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порядок деятельности поселковых комиссий по делам несовершеннолетних и защите их прав [5].</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sz w:val="28"/>
          <w:szCs w:val="28"/>
        </w:rPr>
        <w:t>Именно в соответствии с положениями указанного регионального закона, а также корреспондирующего ему Федерального закона «</w:t>
      </w:r>
      <w:r w:rsidRPr="00467B95">
        <w:rPr>
          <w:rFonts w:ascii="Times New Roman" w:hAnsi="Times New Roman"/>
          <w:bCs/>
          <w:sz w:val="28"/>
          <w:szCs w:val="28"/>
        </w:rPr>
        <w:t>Об основах системы профилактики безнадзорности и правонарушений несовершеннолетних» от 24.06.1999 № 120-ФЗ, определены цели и задачи функционирования данного органа, среди которых главенствующее место отводится профилактике конфликтов обучающихся, в том числе.</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В содержании Закона Приморского края «О защите прав ребенка в Приморском крае» от 29.12.2004 № 217-КЗ определены правовой статус обучающихся детей, которые выступают и участникам конфликтов в образовательной среде. В частности, им урегулированы следующие аспекты:</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вопросы защиты прав и законных интересов ребенка в основных сферах его жизнедеятельности (в том числе и в сфере образования);</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меры по предупреждению причинения вреда здоровью детей, их физическому, интеллектуальному, психическому, духовному и нравственному развитию;</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xml:space="preserve">− организационные основы, научно-информационное обеспечение правовой и социальной защиты ребенка в Приморском крае [6]. </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xml:space="preserve">Статья 5 указанного нормативного правового акта закрепляет право каждого ребенка, проживающего на территории Приморского края на образование в объеме, определенном действующим законодательством. Нормальная реализация данного права невозможна в случае наличия обостренных конфликтных ситуаций в школьном коллективе, что обуславливает необходимость их профилактики и разрешения. </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xml:space="preserve">Помимо прочего, деятельность органов, уполномоченных на преодоление, профилактику, разрешение конфликтов, возникающих в ходе образовательного процесса, между обучающимися, а также иные меры, принимаемые по данному вопросу также урегулирована множеством актов Департамента образования и науки Приморского края, а также самих образовательных учреждений. </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xml:space="preserve">Анализ регионального законодательства, регулирующего вопросы профилактики конфликтов в системе образования, показал, что нормы, направленные на урегулирование данного вопроса, содержатся в положениях различных региональных нормативных правовых актах. Это в значительной </w:t>
      </w:r>
      <w:r w:rsidRPr="00467B95">
        <w:rPr>
          <w:rFonts w:ascii="Times New Roman" w:hAnsi="Times New Roman"/>
          <w:bCs/>
          <w:sz w:val="28"/>
          <w:szCs w:val="28"/>
        </w:rPr>
        <w:lastRenderedPageBreak/>
        <w:t xml:space="preserve">степени затрудняет практическую реализацию деятельности, направленной на урегулирование, преодоление и разрешение конфликтов, возникающих между участниками образовательного процесса на территории Приморского края. </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В этой связи, полагаем необходимым и целесообразным разработать и в последующем времени принять специальный региональный закон «О профилактике конфликтов в системе образования в Приморском крае», положения которого бы детальным образом регулировали:</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порядок создания, полномочия органов, уполномоченных на урегулирование, преодоление и разрешение конфликтов, возникающих между участниками образовательного процесса (тех, что не урегулированы на федеральном уровне, например, комиссий по делам несовершеннолетних);</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порядок принятия и последующего исполнения решений органов, уполномоченных на урегулирование, преодоление и разрешение конфликтов, возникающих между участниками образовательного процесса (в частности, комиссии по делам несовершеннолетних);</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совокупность прав, обязанностей, ответственности участников образовательного процесса, являющихся сторонами конфликта;</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процедуру участия в разрешении конфликтов, возникающих в образовательном процессе, Уполномоченного по правам ребенка в Приморском крае.</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xml:space="preserve"> Таким образом, исходя из проведенного анализа, можно сформулировать следующие выводы:</w:t>
      </w:r>
    </w:p>
    <w:p w:rsidR="00844289" w:rsidRPr="00467B95"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xml:space="preserve">1) На региональном уровне принято и действует множество нормативных правовых актов, регулирующих общественные отношения, возникающие в рамках конфликтов в образовательной среде. </w:t>
      </w:r>
    </w:p>
    <w:p w:rsidR="00844289" w:rsidRDefault="00844289" w:rsidP="005A3DF4">
      <w:pPr>
        <w:widowControl w:val="0"/>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2) Нормы, посвященные регулированию общественных отношений, складывающихся по разрешению конфликтов, содержатся в положениях различных нормативных правовых актах. Это в значительной степени затрудняет практическую реализацию деятельности, направленную на урегулирование, преодоление и разрешение конфликтов, возникающих между участниками образовательного процесса, что обуславливает необходимость принятия  закона Приморского края «О профилактике конфликтов в системе образования в Приморском крае».</w:t>
      </w:r>
    </w:p>
    <w:p w:rsidR="00D84790" w:rsidRPr="00467B95" w:rsidRDefault="00D84790"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844289" w:rsidRPr="00467B95" w:rsidRDefault="00844289" w:rsidP="005A3DF4">
      <w:pPr>
        <w:widowControl w:val="0"/>
        <w:tabs>
          <w:tab w:val="left" w:pos="2835"/>
        </w:tabs>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1 Конституция Российской Федерации: принята всенародным голосованием 12.12.1993 (ред. от 21.07.2014) [Электронный ресурс] // СПС «КонсультантПлюс». – Режим доступа: http://www.consultant.ru/document/cons_doc_LAW_28399/.</w:t>
      </w:r>
    </w:p>
    <w:p w:rsidR="00844289" w:rsidRPr="00467B95" w:rsidRDefault="00844289" w:rsidP="005A3DF4">
      <w:pPr>
        <w:widowControl w:val="0"/>
        <w:tabs>
          <w:tab w:val="left" w:pos="2835"/>
        </w:tabs>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2 Об образовании в Российской Федерации: федеральный закон от 29.12.2012 № 273-ФЗ (ред. от 06.03.2019) [Электронный ресурс] // СПС «КонсультантПлюс». – Режим доступа: http://www.consultant.ru/document/cons_doc_LAW_140174/.</w:t>
      </w:r>
    </w:p>
    <w:p w:rsidR="00844289" w:rsidRPr="00467B95" w:rsidRDefault="00844289" w:rsidP="005A3DF4">
      <w:pPr>
        <w:widowControl w:val="0"/>
        <w:tabs>
          <w:tab w:val="left" w:pos="2835"/>
        </w:tabs>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 xml:space="preserve">3 Об образовании в Приморском крае: закон Приморского края от 13.08.2013 № 243-КЗ (ред. от 02.04.2019) [Электронный ресурс] // СПС </w:t>
      </w:r>
      <w:r w:rsidRPr="00467B95">
        <w:rPr>
          <w:rFonts w:ascii="Times New Roman" w:hAnsi="Times New Roman"/>
          <w:bCs/>
          <w:sz w:val="28"/>
          <w:szCs w:val="28"/>
        </w:rPr>
        <w:lastRenderedPageBreak/>
        <w:t>«Электронный фонд правовой и нормативно-технической документации». – Режим доступа: http://docs.cntd.ru/document/494212465.</w:t>
      </w:r>
    </w:p>
    <w:p w:rsidR="00844289" w:rsidRPr="00467B95" w:rsidRDefault="00844289" w:rsidP="005A3DF4">
      <w:pPr>
        <w:widowControl w:val="0"/>
        <w:tabs>
          <w:tab w:val="left" w:pos="2835"/>
        </w:tabs>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4 Положение об Уполномоченном при Губернаторе Приморского края по правам ребенка: постановление Губернатора Приморского края от 21.12.2010 № 109-пг [Электронный ресурс] // Официальный сайт Администрации Приморского края. – Режим доступа: https://www.primorsky.ru/authorities/governor-staff/child/statement.php.</w:t>
      </w:r>
    </w:p>
    <w:p w:rsidR="00844289" w:rsidRPr="00467B95" w:rsidRDefault="00844289" w:rsidP="005A3DF4">
      <w:pPr>
        <w:widowControl w:val="0"/>
        <w:tabs>
          <w:tab w:val="left" w:pos="2835"/>
        </w:tabs>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5 О комиссиях по делам несовершеннолетних и защите их прав на территории Приморского края: закон Приморского края от 08.11. 2005 № 296-КЗ (ред. от 07.02.2019) [Электронный ресурс]  // СПС «Электронный фонд правовой и нормативно-технической документации». – Режим доступа: http://docs.cntd.ru/document/494211386.</w:t>
      </w:r>
    </w:p>
    <w:p w:rsidR="00844289" w:rsidRPr="00D02D4C" w:rsidRDefault="00844289" w:rsidP="005A3DF4">
      <w:pPr>
        <w:widowControl w:val="0"/>
        <w:tabs>
          <w:tab w:val="left" w:pos="2835"/>
        </w:tabs>
        <w:spacing w:after="0" w:line="240" w:lineRule="auto"/>
        <w:ind w:firstLine="709"/>
        <w:contextualSpacing/>
        <w:jc w:val="both"/>
        <w:rPr>
          <w:rFonts w:ascii="Times New Roman" w:hAnsi="Times New Roman"/>
          <w:bCs/>
          <w:sz w:val="28"/>
          <w:szCs w:val="28"/>
        </w:rPr>
      </w:pPr>
      <w:r w:rsidRPr="00467B95">
        <w:rPr>
          <w:rFonts w:ascii="Times New Roman" w:hAnsi="Times New Roman"/>
          <w:bCs/>
          <w:sz w:val="28"/>
          <w:szCs w:val="28"/>
        </w:rPr>
        <w:t>6 О защите прав ребенка в Приморском крае: закон Приморского края от 29.12.2004 № 217-КЗ [</w:t>
      </w:r>
      <w:r w:rsidRPr="00D02D4C">
        <w:rPr>
          <w:rFonts w:ascii="Times New Roman" w:hAnsi="Times New Roman"/>
          <w:bCs/>
          <w:sz w:val="28"/>
          <w:szCs w:val="28"/>
        </w:rPr>
        <w:t xml:space="preserve">Электронный ресурс]  // СПС «Электронный фонд правовой и нормативно-технической документации». – Режим доступа: </w:t>
      </w:r>
      <w:hyperlink r:id="rId142" w:history="1">
        <w:r w:rsidR="003417F4" w:rsidRPr="00D02D4C">
          <w:rPr>
            <w:rStyle w:val="a8"/>
            <w:rFonts w:ascii="Times New Roman" w:hAnsi="Times New Roman"/>
            <w:bCs/>
            <w:color w:val="auto"/>
            <w:sz w:val="28"/>
            <w:szCs w:val="28"/>
            <w:u w:val="none"/>
          </w:rPr>
          <w:t>http://docs.cntd.ru/document/494220986</w:t>
        </w:r>
      </w:hyperlink>
      <w:r w:rsidRPr="00D02D4C">
        <w:rPr>
          <w:rFonts w:ascii="Times New Roman" w:hAnsi="Times New Roman"/>
          <w:bCs/>
          <w:sz w:val="28"/>
          <w:szCs w:val="28"/>
        </w:rPr>
        <w:t>.</w:t>
      </w:r>
    </w:p>
    <w:p w:rsidR="003417F4" w:rsidRPr="00467B95" w:rsidRDefault="003417F4" w:rsidP="005A3DF4">
      <w:pPr>
        <w:widowControl w:val="0"/>
        <w:tabs>
          <w:tab w:val="left" w:pos="2835"/>
        </w:tabs>
        <w:spacing w:after="0" w:line="240" w:lineRule="auto"/>
        <w:ind w:firstLine="709"/>
        <w:contextualSpacing/>
        <w:jc w:val="both"/>
        <w:rPr>
          <w:rFonts w:ascii="Times New Roman" w:hAnsi="Times New Roman"/>
          <w:bCs/>
          <w:sz w:val="28"/>
          <w:szCs w:val="28"/>
        </w:rPr>
      </w:pP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Методы правового регулирования международного частного права</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Драузина Анастасия Юрьевна</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БПЮП-15-01 группы, 4 курса Институт права</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041B86" w:rsidRPr="00467B95" w:rsidRDefault="00041B86"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041B86" w:rsidRPr="00467B95" w:rsidRDefault="00041B86" w:rsidP="005A3DF4">
      <w:pPr>
        <w:widowControl w:val="0"/>
        <w:shd w:val="clear" w:color="auto" w:fill="FFFFFF"/>
        <w:spacing w:after="0" w:line="240" w:lineRule="auto"/>
        <w:ind w:firstLine="709"/>
        <w:contextualSpacing/>
        <w:jc w:val="both"/>
        <w:rPr>
          <w:rFonts w:ascii="Times New Roman" w:eastAsia="Times New Roman" w:hAnsi="Times New Roman"/>
          <w:i/>
          <w:strike/>
          <w:kern w:val="36"/>
          <w:sz w:val="28"/>
          <w:szCs w:val="28"/>
          <w:lang w:eastAsia="ru-RU"/>
        </w:rPr>
      </w:pPr>
      <w:r w:rsidRPr="00467B95">
        <w:rPr>
          <w:rFonts w:ascii="Times New Roman" w:eastAsia="Times New Roman" w:hAnsi="Times New Roman"/>
          <w:i/>
          <w:kern w:val="36"/>
          <w:sz w:val="28"/>
          <w:szCs w:val="28"/>
          <w:lang w:eastAsia="ru-RU"/>
        </w:rPr>
        <w:t>Статья посвящена выявлению методов правового регулирования</w:t>
      </w:r>
      <w:r w:rsidRPr="00467B95">
        <w:rPr>
          <w:rFonts w:ascii="Times New Roman" w:eastAsia="Times New Roman" w:hAnsi="Times New Roman"/>
          <w:i/>
          <w:color w:val="FF0000"/>
          <w:kern w:val="36"/>
          <w:sz w:val="28"/>
          <w:szCs w:val="28"/>
          <w:lang w:eastAsia="ru-RU"/>
        </w:rPr>
        <w:t xml:space="preserve"> </w:t>
      </w:r>
      <w:r w:rsidRPr="00467B95">
        <w:rPr>
          <w:rFonts w:ascii="Times New Roman" w:eastAsia="Times New Roman" w:hAnsi="Times New Roman"/>
          <w:i/>
          <w:kern w:val="36"/>
          <w:sz w:val="28"/>
          <w:szCs w:val="28"/>
          <w:lang w:eastAsia="ru-RU"/>
        </w:rPr>
        <w:t>международного частного права, выделяемые современными российскими учеными.</w:t>
      </w:r>
    </w:p>
    <w:p w:rsidR="00023FBA" w:rsidRDefault="00023FBA"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eastAsia="ru-RU"/>
        </w:rPr>
      </w:pPr>
    </w:p>
    <w:p w:rsidR="00041B86" w:rsidRPr="00467B95" w:rsidRDefault="00041B86"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3417F4">
        <w:rPr>
          <w:rFonts w:ascii="Times New Roman" w:eastAsia="Times New Roman" w:hAnsi="Times New Roman"/>
          <w:i/>
          <w:kern w:val="36"/>
          <w:sz w:val="28"/>
          <w:szCs w:val="28"/>
          <w:lang w:eastAsia="ru-RU"/>
        </w:rPr>
        <w:t>Ключевые слова и словосочетания: международное</w:t>
      </w:r>
      <w:r w:rsidRPr="00467B95">
        <w:rPr>
          <w:rFonts w:ascii="Times New Roman" w:eastAsia="Times New Roman" w:hAnsi="Times New Roman"/>
          <w:i/>
          <w:kern w:val="36"/>
          <w:sz w:val="28"/>
          <w:szCs w:val="28"/>
          <w:lang w:eastAsia="ru-RU"/>
        </w:rPr>
        <w:t xml:space="preserve"> частное право, метод международного частного права, наука международного частного права.  </w:t>
      </w:r>
    </w:p>
    <w:p w:rsidR="00023FBA" w:rsidRDefault="00023FB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Methods of legal regulation of private international law</w:t>
      </w:r>
    </w:p>
    <w:p w:rsidR="00041B86" w:rsidRPr="005542CD" w:rsidRDefault="00041B86"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Drauzina Anastasiya Urevna</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BPUP-15-01 group, 4 course, Institute of law</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State University of Economics and Service</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041B86" w:rsidRPr="00467B95" w:rsidRDefault="00041B86"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p>
    <w:p w:rsidR="00041B86" w:rsidRPr="00467B95" w:rsidRDefault="00041B86"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467B95">
        <w:rPr>
          <w:rFonts w:ascii="Times New Roman" w:hAnsi="Times New Roman"/>
          <w:i/>
          <w:iCs/>
          <w:kern w:val="36"/>
          <w:sz w:val="28"/>
          <w:szCs w:val="28"/>
          <w:lang w:val="en-US" w:eastAsia="ru-RU"/>
        </w:rPr>
        <w:t>The article is devoted to the identification of methods of legal regulation of international private law, allocated by modern Russian scientists.</w:t>
      </w:r>
    </w:p>
    <w:p w:rsidR="003417F4" w:rsidRPr="005542CD" w:rsidRDefault="003417F4"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val="en-US" w:eastAsia="ru-RU"/>
        </w:rPr>
      </w:pPr>
    </w:p>
    <w:p w:rsidR="00041B86" w:rsidRPr="00467B95" w:rsidRDefault="00041B86"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3417F4">
        <w:rPr>
          <w:rFonts w:ascii="Times New Roman" w:eastAsia="Times New Roman" w:hAnsi="Times New Roman"/>
          <w:i/>
          <w:kern w:val="36"/>
          <w:sz w:val="28"/>
          <w:szCs w:val="28"/>
          <w:lang w:val="en-US" w:eastAsia="ru-RU"/>
        </w:rPr>
        <w:t>Keywords and phrases:</w:t>
      </w:r>
      <w:r w:rsidRPr="00467B95">
        <w:rPr>
          <w:rFonts w:ascii="Times New Roman" w:eastAsia="Times New Roman" w:hAnsi="Times New Roman"/>
          <w:i/>
          <w:kern w:val="36"/>
          <w:sz w:val="28"/>
          <w:szCs w:val="28"/>
          <w:lang w:val="en-US" w:eastAsia="ru-RU"/>
        </w:rPr>
        <w:t xml:space="preserve"> private international law,</w:t>
      </w:r>
      <w:r w:rsidRPr="00467B95">
        <w:rPr>
          <w:rFonts w:ascii="Times New Roman" w:hAnsi="Times New Roman"/>
          <w:sz w:val="28"/>
          <w:szCs w:val="28"/>
          <w:lang w:val="en-US"/>
        </w:rPr>
        <w:t xml:space="preserve"> </w:t>
      </w:r>
      <w:r w:rsidRPr="00467B95">
        <w:rPr>
          <w:rFonts w:ascii="Times New Roman" w:eastAsia="Times New Roman" w:hAnsi="Times New Roman"/>
          <w:i/>
          <w:kern w:val="36"/>
          <w:sz w:val="28"/>
          <w:szCs w:val="28"/>
          <w:lang w:val="en-US" w:eastAsia="ru-RU"/>
        </w:rPr>
        <w:t>method of private international law, science of private international law.</w:t>
      </w:r>
    </w:p>
    <w:p w:rsidR="00041B86" w:rsidRPr="00467B95" w:rsidRDefault="00041B86"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val="en-US" w:eastAsia="ru-RU"/>
        </w:rPr>
      </w:pP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Метод международного частного права является правовым явлением, который</w:t>
      </w:r>
      <w:r w:rsidRPr="00467B95">
        <w:rPr>
          <w:rStyle w:val="af"/>
          <w:rFonts w:ascii="Times New Roman" w:hAnsi="Times New Roman"/>
          <w:sz w:val="28"/>
          <w:szCs w:val="28"/>
        </w:rPr>
        <w:t xml:space="preserve"> п</w:t>
      </w:r>
      <w:r w:rsidRPr="00467B95">
        <w:rPr>
          <w:rFonts w:ascii="Times New Roman" w:eastAsia="Times New Roman" w:hAnsi="Times New Roman"/>
          <w:sz w:val="28"/>
          <w:szCs w:val="28"/>
          <w:lang w:eastAsia="ru-RU"/>
        </w:rPr>
        <w:t>редставляет собой способы и приемы юридического воздействия с целью преодоления коллизии права разных государств.</w:t>
      </w:r>
      <w:r w:rsidRPr="00467B95">
        <w:rPr>
          <w:rFonts w:ascii="Times New Roman" w:eastAsia="Times New Roman" w:hAnsi="Times New Roman"/>
          <w:color w:val="FF0000"/>
          <w:sz w:val="28"/>
          <w:szCs w:val="28"/>
          <w:lang w:eastAsia="ru-RU"/>
        </w:rPr>
        <w:t xml:space="preserve"> </w:t>
      </w:r>
      <w:r w:rsidRPr="00467B95">
        <w:rPr>
          <w:rFonts w:ascii="Times New Roman" w:eastAsia="Times New Roman" w:hAnsi="Times New Roman"/>
          <w:sz w:val="28"/>
          <w:szCs w:val="28"/>
          <w:lang w:eastAsia="ru-RU"/>
        </w:rPr>
        <w:t>Под коллизией в</w:t>
      </w:r>
      <w:r w:rsidRPr="00467B95">
        <w:rPr>
          <w:rStyle w:val="af"/>
          <w:rFonts w:ascii="Times New Roman" w:hAnsi="Times New Roman"/>
          <w:sz w:val="28"/>
          <w:szCs w:val="28"/>
        </w:rPr>
        <w:t xml:space="preserve"> м</w:t>
      </w:r>
      <w:r w:rsidRPr="00467B95">
        <w:rPr>
          <w:rFonts w:ascii="Times New Roman" w:eastAsia="Times New Roman" w:hAnsi="Times New Roman"/>
          <w:sz w:val="28"/>
          <w:szCs w:val="28"/>
          <w:lang w:eastAsia="ru-RU"/>
        </w:rPr>
        <w:t>еждународном частном праве, понимается расхождение содержания (или как по-другому называют - столкновение) норм права.</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Коллизия, прежде всего, возникает между материальными нормами разных государств в национальном частном праве.</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Поскольку коллизия – это расхождение в содержании</w:t>
      </w:r>
      <w:r w:rsidRPr="00467B95">
        <w:rPr>
          <w:rStyle w:val="af"/>
          <w:rFonts w:ascii="Times New Roman" w:hAnsi="Times New Roman"/>
          <w:sz w:val="28"/>
          <w:szCs w:val="28"/>
        </w:rPr>
        <w:t xml:space="preserve"> м</w:t>
      </w:r>
      <w:r w:rsidRPr="00467B95">
        <w:rPr>
          <w:rFonts w:ascii="Times New Roman" w:eastAsia="Times New Roman" w:hAnsi="Times New Roman"/>
          <w:sz w:val="28"/>
          <w:szCs w:val="28"/>
          <w:lang w:eastAsia="ru-RU"/>
        </w:rPr>
        <w:t>атериальных норм, то она преодолевается с помощью способов правового регулирования международного частного права, такими как: коллизионно-правовой (коллизионный) и материально-правовой (материальный).</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Коллизионно-правовой способ правового регулирования осуществляется с помощью такого специального правового инструмента как коллизионная норма, под которой понимается правовая норма, закрепляющая правило, которому необходимо следовать при определении применимого права. Это означает, что коллизионная норма - закрепляет правило определения применимого права, подлежащее применению к возникшим частным отношениям.</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Материальная норма в отличие от коллизионной, закрепляет права, обязанности и запреты. Иными словами, закрепляет права и обязанности субъектов, участвующих в правоотношении.</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Следовательно, материальная и коллизионная нормы, являются инструментами, в устранении коллизии, то есть устранение столкновения между материальными нормами национального права государств.</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Следует отметить, что сложным является выделение методов МЧП, поскольку, изучая данное явление, предстоит определить, что является методом и способами правового регулирования МЧП.</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Например, М.М. Богуславский считает «материально-правовой метод и коллизионный метод – это два способа регулирования отношений с иностранным элементом…» [1, с. 12]. </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По его мнению, разницы между методом и способом нет, и они являются синонимами, регулирующими отношения, в котором присутствует «иностранный элемент».</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отличие от М.М. Богуславского, Г.К. Дмитриева, выделяя коллизионно-правовой и материально-правовой способы, в качестве метода правового регулирования называет преодоление коллизии права (устранение столкновения норм, применяемых государствами в отношении одного конкретного вопроса) [2, с. 25].</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Таким образом, Г.К. Дмитриева отождествляет метод с целью правового регулирования и выделяет два способа его осуществления.</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В отличие от предыдущих ученых, И.В. Гетьман-Павлова, считает по-иному. </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Ученым выделяется помимо специальных, ранее названных методов, </w:t>
      </w:r>
      <w:r w:rsidRPr="00467B95">
        <w:rPr>
          <w:rFonts w:ascii="Times New Roman" w:eastAsia="Times New Roman" w:hAnsi="Times New Roman"/>
          <w:sz w:val="28"/>
          <w:szCs w:val="28"/>
          <w:lang w:eastAsia="ru-RU"/>
        </w:rPr>
        <w:lastRenderedPageBreak/>
        <w:t xml:space="preserve">общие методы: децентрализации, свободы договорных отношений, равенства и автономии воли сторон [3, с. 60]. </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Общие методы, по ее мнению, можно назвать «дополнительными» методами, поскольку ими регулируются отношения частного характера.</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Следовательно, исходя из изложенной точки зрения И.В. Гетьман-Павловой, материально-правовой и коллизионно-правовой являются специальными методами международного частного права.</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Н.И. Марышева, являющаяся одним из представителей науки международного частного права, более четко, чем вышеупомянутые российские ученые, выделяет способы регулирования международного частного права и методы. </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Она утверждает, что «двум видам норм – коллизионным и материально-правовым – соответствуют два способа правового регулирования» [4, с. 17], т.е. коллизионный и материально-правовой. Под методом МЧП по мнению Н.И. Марышевой следует понимать «регулирование отношений гражданско-правового характера, осложненных иностранным элементом…» [4, с. 17].</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color w:val="FF0000"/>
          <w:sz w:val="28"/>
          <w:szCs w:val="28"/>
          <w:lang w:eastAsia="ru-RU"/>
        </w:rPr>
      </w:pPr>
      <w:r w:rsidRPr="00467B95">
        <w:rPr>
          <w:rFonts w:ascii="Times New Roman" w:eastAsia="Times New Roman" w:hAnsi="Times New Roman"/>
          <w:sz w:val="28"/>
          <w:szCs w:val="28"/>
          <w:lang w:eastAsia="ru-RU"/>
        </w:rPr>
        <w:t>Таким образом, метод и способы правового регулирования, по ее мнению, не являются тождественными. Ее позиция в отношении определения способов правового регулирования совпадает с позицией Г.К. Дмитриевой, несмотря на то что метод она определяет другой.</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Г.В. Петрова выделяет широкий перечень методов международного частного права: материально-правовой, коллизионно-правовой, государственно-правовой, процессуально-правовой, обычно-правовой [5, с. 19]. </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Государственно-правовой метод, в частности, реализуется через нормы</w:t>
      </w:r>
      <w:r w:rsidRPr="00467B95">
        <w:rPr>
          <w:rStyle w:val="af"/>
          <w:rFonts w:ascii="Times New Roman" w:hAnsi="Times New Roman"/>
          <w:sz w:val="28"/>
          <w:szCs w:val="28"/>
        </w:rPr>
        <w:t xml:space="preserve"> Конвенции о </w:t>
      </w:r>
      <w:r w:rsidRPr="00467B95">
        <w:rPr>
          <w:rFonts w:ascii="Times New Roman" w:eastAsia="Times New Roman" w:hAnsi="Times New Roman"/>
          <w:sz w:val="28"/>
          <w:szCs w:val="28"/>
          <w:lang w:eastAsia="ru-RU"/>
        </w:rPr>
        <w:t>защите прав человека и основных свобод 1950 г., поскольку отражает результат нормотворчества государств.</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trike/>
          <w:sz w:val="28"/>
          <w:szCs w:val="28"/>
          <w:lang w:eastAsia="ru-RU"/>
        </w:rPr>
      </w:pPr>
      <w:r w:rsidRPr="00467B95">
        <w:rPr>
          <w:rFonts w:ascii="Times New Roman" w:eastAsia="Times New Roman" w:hAnsi="Times New Roman"/>
          <w:sz w:val="28"/>
          <w:szCs w:val="28"/>
          <w:lang w:eastAsia="ru-RU"/>
        </w:rPr>
        <w:t xml:space="preserve">Процессуально-правовой метод реализуется посредством норм, содержащихся в конвенциях, способствующих рассмотрению споров между лицами различной национальности с применением судебной практики. Например, Гаагская конвенция по вопросам гражданского процесса 1954 г. </w:t>
      </w:r>
    </w:p>
    <w:p w:rsidR="00041B86" w:rsidRPr="00467B95" w:rsidRDefault="00041B86" w:rsidP="005A3DF4">
      <w:pPr>
        <w:widowControl w:val="0"/>
        <w:shd w:val="clear" w:color="auto" w:fill="FFFFFF"/>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Обычно-правовой метод реализуется через реализацию правовых обычаев в том случае, если стороны договора избрали в качестве регулятора своих отношений правовой обычай. Например, «ИНКОТЕРМС», представляющий собой сборник базисных условий поставки.</w:t>
      </w:r>
    </w:p>
    <w:p w:rsidR="00041B86" w:rsidRPr="00467B95" w:rsidRDefault="00041B86" w:rsidP="005A3DF4">
      <w:pPr>
        <w:widowControl w:val="0"/>
        <w:shd w:val="clear" w:color="auto" w:fill="FFFFFF"/>
        <w:tabs>
          <w:tab w:val="left" w:pos="993"/>
        </w:tabs>
        <w:autoSpaceDE w:val="0"/>
        <w:autoSpaceDN w:val="0"/>
        <w:adjustRightInd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В результате проведенного исследования были сделаны следующие выводы:</w:t>
      </w:r>
    </w:p>
    <w:p w:rsidR="00041B86" w:rsidRPr="00467B95" w:rsidRDefault="00041B86" w:rsidP="007F4EC1">
      <w:pPr>
        <w:pStyle w:val="a7"/>
        <w:widowControl w:val="0"/>
        <w:numPr>
          <w:ilvl w:val="0"/>
          <w:numId w:val="38"/>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нет единства в терминологической квалификации коллизионного и материального способов регулирования: одни авторы считают их разными методами, другие – разными способами осуществления метода правового регулирования;</w:t>
      </w:r>
    </w:p>
    <w:p w:rsidR="00041B86" w:rsidRPr="00467B95" w:rsidRDefault="00041B86" w:rsidP="007F4EC1">
      <w:pPr>
        <w:pStyle w:val="a7"/>
        <w:widowControl w:val="0"/>
        <w:numPr>
          <w:ilvl w:val="0"/>
          <w:numId w:val="38"/>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в доктрине МЧП необходимо дать определение понятиям «метод правового регулирования» и «способ правового регулирования как составляющий элемент метода»;</w:t>
      </w:r>
    </w:p>
    <w:p w:rsidR="00041B86" w:rsidRPr="00467B95" w:rsidRDefault="00041B86" w:rsidP="007F4EC1">
      <w:pPr>
        <w:pStyle w:val="a7"/>
        <w:widowControl w:val="0"/>
        <w:numPr>
          <w:ilvl w:val="0"/>
          <w:numId w:val="38"/>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lastRenderedPageBreak/>
        <w:t>не подвергается сомнению, что методами (способами) правового регулирования являются коллизионно-правовой и материально-правовой (их можно назвать традиционными);</w:t>
      </w:r>
    </w:p>
    <w:p w:rsidR="00041B86" w:rsidRPr="00467B95" w:rsidRDefault="00041B86" w:rsidP="007F4EC1">
      <w:pPr>
        <w:pStyle w:val="a7"/>
        <w:widowControl w:val="0"/>
        <w:numPr>
          <w:ilvl w:val="0"/>
          <w:numId w:val="38"/>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большинство авторов рассматривают коллизионный и материальный способы правового регулирования в качестве основных в МЧП, но есть точка зрения, в соответствии с которой эти способы являются дополнительными к методам, регулирующим частные отношения (например, И.В. Гетьман-Павловой, выделяются общие методы: децентрализации, свободы договорных отношений, равенства и автономии воли сторон);</w:t>
      </w:r>
    </w:p>
    <w:p w:rsidR="00041B86" w:rsidRPr="00467B95" w:rsidRDefault="00041B86" w:rsidP="007F4EC1">
      <w:pPr>
        <w:pStyle w:val="a7"/>
        <w:widowControl w:val="0"/>
        <w:numPr>
          <w:ilvl w:val="0"/>
          <w:numId w:val="38"/>
        </w:numPr>
        <w:shd w:val="clear" w:color="auto" w:fill="FFFFFF"/>
        <w:tabs>
          <w:tab w:val="left" w:pos="993"/>
        </w:tabs>
        <w:autoSpaceDE w:val="0"/>
        <w:autoSpaceDN w:val="0"/>
        <w:adjustRightInd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в доктрине делаются попытки выделить иные (нетрадиционные методы для МЧП) методы правового регулирования, в частности, в зависимости от вида и содержания источника права, определяющего содержание международных частных правоотношений.</w:t>
      </w:r>
    </w:p>
    <w:p w:rsidR="002678A4" w:rsidRPr="002678A4" w:rsidRDefault="002678A4" w:rsidP="005A3DF4">
      <w:pPr>
        <w:pStyle w:val="a7"/>
        <w:widowControl w:val="0"/>
        <w:spacing w:after="0" w:line="240" w:lineRule="auto"/>
        <w:ind w:left="1069"/>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2678A4">
        <w:rPr>
          <w:rFonts w:ascii="Times New Roman" w:eastAsia="Times New Roman" w:hAnsi="Times New Roman"/>
          <w:sz w:val="28"/>
          <w:szCs w:val="28"/>
          <w:lang w:eastAsia="ru-RU"/>
        </w:rPr>
        <w:t>Список использованных источников</w:t>
      </w:r>
    </w:p>
    <w:p w:rsidR="00041B86" w:rsidRPr="002678A4" w:rsidRDefault="00041B86" w:rsidP="007F4EC1">
      <w:pPr>
        <w:pStyle w:val="a7"/>
        <w:widowControl w:val="0"/>
        <w:numPr>
          <w:ilvl w:val="0"/>
          <w:numId w:val="37"/>
        </w:numPr>
        <w:tabs>
          <w:tab w:val="left" w:pos="993"/>
        </w:tabs>
        <w:spacing w:after="0" w:line="240" w:lineRule="auto"/>
        <w:ind w:left="0" w:firstLine="709"/>
        <w:contextualSpacing w:val="0"/>
        <w:jc w:val="both"/>
        <w:rPr>
          <w:rFonts w:ascii="Times New Roman" w:eastAsia="Times New Roman" w:hAnsi="Times New Roman"/>
          <w:sz w:val="28"/>
          <w:szCs w:val="28"/>
          <w:lang w:eastAsia="ru-RU"/>
        </w:rPr>
      </w:pPr>
      <w:r w:rsidRPr="002678A4">
        <w:rPr>
          <w:rFonts w:ascii="Times New Roman" w:eastAsia="Times New Roman" w:hAnsi="Times New Roman"/>
          <w:sz w:val="28"/>
          <w:szCs w:val="28"/>
          <w:lang w:eastAsia="ru-RU"/>
        </w:rPr>
        <w:t xml:space="preserve">Богуславский М.M. Международное частное право: Учебник. - 2-е изд., перераб. и доп. - М.: Междунар. отношения. - 1997. - 416 с. [Электронный ресурс] // Режим доступа: https://sinref.ru/000_uchebniki/04600_raznoe_1/782/001.htm. </w:t>
      </w:r>
    </w:p>
    <w:p w:rsidR="00041B86" w:rsidRPr="00BE23A6" w:rsidRDefault="00041B86" w:rsidP="007F4EC1">
      <w:pPr>
        <w:pStyle w:val="a7"/>
        <w:widowControl w:val="0"/>
        <w:numPr>
          <w:ilvl w:val="0"/>
          <w:numId w:val="37"/>
        </w:numPr>
        <w:tabs>
          <w:tab w:val="left" w:pos="993"/>
        </w:tabs>
        <w:spacing w:after="0" w:line="240" w:lineRule="auto"/>
        <w:ind w:left="0" w:firstLine="709"/>
        <w:contextualSpacing w:val="0"/>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 xml:space="preserve">Дмитриева Г.К. Международное частное право: Учебник / Л. П. Ануфриева, К.А. Бекяшев, Г. К. Дмитриева и др.; Отв. ред. Г. К. Дмитриева. - 2-е изд., перераб. и доп. - М.: </w:t>
      </w:r>
      <w:r w:rsidRPr="00BE23A6">
        <w:rPr>
          <w:rFonts w:ascii="Times New Roman" w:eastAsia="Times New Roman" w:hAnsi="Times New Roman" w:cs="Times New Roman"/>
          <w:sz w:val="28"/>
          <w:szCs w:val="28"/>
          <w:lang w:eastAsia="ru-RU"/>
        </w:rPr>
        <w:t xml:space="preserve">ТК Велби, Изд-во Проспект. - 2004. - 688 с. [Электронный ресурс] // Режим доступа: </w:t>
      </w:r>
      <w:hyperlink r:id="rId143" w:history="1">
        <w:r w:rsidRPr="00BE23A6">
          <w:rPr>
            <w:rStyle w:val="a8"/>
            <w:rFonts w:ascii="Times New Roman" w:eastAsia="Times New Roman" w:hAnsi="Times New Roman" w:cs="Times New Roman"/>
            <w:color w:val="auto"/>
            <w:sz w:val="28"/>
            <w:szCs w:val="28"/>
            <w:u w:val="none"/>
            <w:lang w:eastAsia="ru-RU"/>
          </w:rPr>
          <w:t>https://b-ok.org/book/519812/106eb7</w:t>
        </w:r>
      </w:hyperlink>
    </w:p>
    <w:p w:rsidR="00041B86" w:rsidRPr="00467B95" w:rsidRDefault="00041B86" w:rsidP="007F4EC1">
      <w:pPr>
        <w:pStyle w:val="a7"/>
        <w:widowControl w:val="0"/>
        <w:numPr>
          <w:ilvl w:val="0"/>
          <w:numId w:val="37"/>
        </w:numPr>
        <w:tabs>
          <w:tab w:val="left" w:pos="993"/>
        </w:tabs>
        <w:spacing w:after="0" w:line="240" w:lineRule="auto"/>
        <w:ind w:left="0" w:firstLine="709"/>
        <w:contextualSpacing w:val="0"/>
        <w:jc w:val="both"/>
        <w:rPr>
          <w:rFonts w:ascii="Times New Roman" w:eastAsia="Times New Roman" w:hAnsi="Times New Roman" w:cs="Times New Roman"/>
          <w:sz w:val="28"/>
          <w:szCs w:val="28"/>
          <w:lang w:eastAsia="ru-RU"/>
        </w:rPr>
      </w:pPr>
      <w:r w:rsidRPr="00BE23A6">
        <w:rPr>
          <w:rFonts w:ascii="Times New Roman" w:eastAsia="Times New Roman" w:hAnsi="Times New Roman" w:cs="Times New Roman"/>
          <w:sz w:val="28"/>
          <w:szCs w:val="28"/>
          <w:lang w:eastAsia="ru-RU"/>
        </w:rPr>
        <w:t>Гетьман-Павлова И.В. Международное частное право: Учебник для магистров / И. В. Гетьман-Павлова. - 4-е изд., перераб</w:t>
      </w:r>
      <w:r w:rsidRPr="00467B95">
        <w:rPr>
          <w:rFonts w:ascii="Times New Roman" w:eastAsia="Times New Roman" w:hAnsi="Times New Roman" w:cs="Times New Roman"/>
          <w:sz w:val="28"/>
          <w:szCs w:val="28"/>
          <w:lang w:eastAsia="ru-RU"/>
        </w:rPr>
        <w:t>. и доп. - М.: Издательство Юрайт. - 2016. - 959 с.</w:t>
      </w:r>
    </w:p>
    <w:p w:rsidR="00041B86" w:rsidRPr="00467B95" w:rsidRDefault="00041B86" w:rsidP="007F4EC1">
      <w:pPr>
        <w:pStyle w:val="a7"/>
        <w:widowControl w:val="0"/>
        <w:numPr>
          <w:ilvl w:val="0"/>
          <w:numId w:val="37"/>
        </w:numPr>
        <w:tabs>
          <w:tab w:val="left" w:pos="993"/>
        </w:tabs>
        <w:spacing w:after="0" w:line="240" w:lineRule="auto"/>
        <w:ind w:left="0" w:firstLine="709"/>
        <w:contextualSpacing w:val="0"/>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Марышева Н.И. Международное частное право: учебник для академического бакалавриата / Н. И. Марышева [и др.]; под ред. Н. И. Марышевой. - 5-е изд., перераб. и доп. - М.: Издательство Юрайт. - 2018. - 376 с.</w:t>
      </w:r>
    </w:p>
    <w:p w:rsidR="00041B86" w:rsidRPr="00467B95" w:rsidRDefault="00041B86" w:rsidP="007F4EC1">
      <w:pPr>
        <w:pStyle w:val="a7"/>
        <w:widowControl w:val="0"/>
        <w:numPr>
          <w:ilvl w:val="0"/>
          <w:numId w:val="37"/>
        </w:numPr>
        <w:tabs>
          <w:tab w:val="left" w:pos="993"/>
        </w:tabs>
        <w:spacing w:after="0" w:line="240" w:lineRule="auto"/>
        <w:ind w:left="0" w:firstLine="709"/>
        <w:contextualSpacing w:val="0"/>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Петрова Г.В. Международное частное право в 2 т. Том 1: учебник для академического бакалавриата / Г. В. Петрова; отв. ред. Г. В. Петрова. - М.: Издательство Юрайт. - 2019. - 396 с.</w:t>
      </w:r>
    </w:p>
    <w:p w:rsidR="00041B86" w:rsidRPr="00467B95" w:rsidRDefault="00041B86" w:rsidP="005A3DF4">
      <w:pPr>
        <w:widowControl w:val="0"/>
        <w:spacing w:after="0" w:line="240" w:lineRule="auto"/>
        <w:ind w:firstLine="709"/>
        <w:contextualSpacing/>
        <w:jc w:val="both"/>
        <w:rPr>
          <w:rFonts w:ascii="Times New Roman" w:eastAsia="Times New Roman" w:hAnsi="Times New Roman"/>
          <w:sz w:val="28"/>
          <w:szCs w:val="28"/>
          <w:lang w:eastAsia="ru-RU"/>
        </w:rPr>
      </w:pPr>
    </w:p>
    <w:p w:rsidR="00041B86" w:rsidRPr="00467B95" w:rsidRDefault="00041B86" w:rsidP="005A3DF4">
      <w:pPr>
        <w:pStyle w:val="Style3"/>
        <w:spacing w:line="240" w:lineRule="auto"/>
        <w:ind w:firstLine="709"/>
        <w:rPr>
          <w:rStyle w:val="FontStyle13"/>
          <w:rFonts w:ascii="Times New Roman" w:hAnsi="Times New Roman" w:cs="Times New Roman"/>
          <w:sz w:val="28"/>
          <w:szCs w:val="28"/>
        </w:rPr>
      </w:pPr>
      <w:r w:rsidRPr="00467B95">
        <w:rPr>
          <w:rStyle w:val="FontStyle13"/>
          <w:rFonts w:ascii="Times New Roman" w:hAnsi="Times New Roman" w:cs="Times New Roman"/>
          <w:sz w:val="28"/>
          <w:szCs w:val="28"/>
        </w:rPr>
        <w:t>Определение понятия информационной безопасности, её место в системе национальной безопасности</w:t>
      </w:r>
    </w:p>
    <w:p w:rsidR="00041B86" w:rsidRPr="00467B95" w:rsidRDefault="00041B86" w:rsidP="005A3DF4">
      <w:pPr>
        <w:pStyle w:val="Style5"/>
        <w:spacing w:line="240" w:lineRule="auto"/>
        <w:ind w:firstLine="709"/>
        <w:jc w:val="center"/>
        <w:rPr>
          <w:rStyle w:val="FontStyle20"/>
          <w:sz w:val="28"/>
          <w:szCs w:val="28"/>
        </w:rPr>
      </w:pPr>
    </w:p>
    <w:p w:rsidR="00041B86" w:rsidRPr="00467B95" w:rsidRDefault="00041B86" w:rsidP="005A3DF4">
      <w:pPr>
        <w:pStyle w:val="Style4"/>
        <w:spacing w:line="240" w:lineRule="auto"/>
        <w:ind w:firstLine="709"/>
        <w:jc w:val="center"/>
        <w:rPr>
          <w:rStyle w:val="FontStyle19"/>
          <w:b w:val="0"/>
          <w:i w:val="0"/>
          <w:sz w:val="28"/>
          <w:szCs w:val="28"/>
        </w:rPr>
      </w:pPr>
      <w:r w:rsidRPr="00467B95">
        <w:rPr>
          <w:rStyle w:val="FontStyle19"/>
          <w:b w:val="0"/>
          <w:i w:val="0"/>
          <w:sz w:val="28"/>
          <w:szCs w:val="28"/>
        </w:rPr>
        <w:t>А.А. ЖИГАЛОВ,</w:t>
      </w:r>
    </w:p>
    <w:p w:rsidR="00041B86" w:rsidRPr="00467B95" w:rsidRDefault="00041B86" w:rsidP="005A3DF4">
      <w:pPr>
        <w:pStyle w:val="Style4"/>
        <w:spacing w:line="240" w:lineRule="auto"/>
        <w:ind w:firstLine="709"/>
        <w:jc w:val="center"/>
        <w:rPr>
          <w:rStyle w:val="FontStyle19"/>
          <w:b w:val="0"/>
          <w:i w:val="0"/>
          <w:sz w:val="28"/>
          <w:szCs w:val="28"/>
        </w:rPr>
      </w:pPr>
      <w:r w:rsidRPr="00467B95">
        <w:rPr>
          <w:rStyle w:val="FontStyle19"/>
          <w:b w:val="0"/>
          <w:i w:val="0"/>
          <w:sz w:val="28"/>
          <w:szCs w:val="28"/>
        </w:rPr>
        <w:t>студент кафедры Гражданско-правовых дисциплин Института права Владивостокского государственного университета экономики и сервиса</w:t>
      </w:r>
    </w:p>
    <w:p w:rsidR="00041B86" w:rsidRPr="00467B95" w:rsidRDefault="00041B86" w:rsidP="005A3DF4">
      <w:pPr>
        <w:pStyle w:val="Style4"/>
        <w:spacing w:line="240" w:lineRule="auto"/>
        <w:ind w:firstLine="709"/>
        <w:rPr>
          <w:rStyle w:val="FontStyle19"/>
          <w:sz w:val="28"/>
          <w:szCs w:val="28"/>
        </w:rPr>
      </w:pPr>
    </w:p>
    <w:p w:rsidR="00041B86" w:rsidRPr="00467B95" w:rsidRDefault="00041B86" w:rsidP="005A3DF4">
      <w:pPr>
        <w:pStyle w:val="Style4"/>
        <w:spacing w:line="240" w:lineRule="auto"/>
        <w:ind w:firstLine="709"/>
        <w:rPr>
          <w:rStyle w:val="FontStyle20"/>
          <w:b/>
          <w:bCs/>
          <w:i/>
          <w:iCs/>
          <w:sz w:val="28"/>
          <w:szCs w:val="28"/>
        </w:rPr>
      </w:pP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Информационная безопасность в 21 веке вышла на одно из первых мест в системе национальной безопасности государства. В связи с этим форми</w:t>
      </w:r>
      <w:r w:rsidRPr="00467B95">
        <w:rPr>
          <w:rStyle w:val="FontStyle20"/>
          <w:sz w:val="28"/>
          <w:szCs w:val="28"/>
        </w:rPr>
        <w:softHyphen/>
        <w:t>рование и проведение единой государственной поли</w:t>
      </w:r>
      <w:r w:rsidRPr="00467B95">
        <w:rPr>
          <w:rStyle w:val="FontStyle20"/>
          <w:sz w:val="28"/>
          <w:szCs w:val="28"/>
        </w:rPr>
        <w:softHyphen/>
        <w:t xml:space="preserve">тики в данной сфере </w:t>
      </w:r>
      <w:r w:rsidRPr="00467B95">
        <w:rPr>
          <w:rStyle w:val="FontStyle20"/>
          <w:sz w:val="28"/>
          <w:szCs w:val="28"/>
        </w:rPr>
        <w:lastRenderedPageBreak/>
        <w:t>очень приоритетно.</w:t>
      </w:r>
    </w:p>
    <w:p w:rsidR="00041B86" w:rsidRPr="00467B95" w:rsidRDefault="00041B86" w:rsidP="005A3DF4">
      <w:pPr>
        <w:widowControl w:val="0"/>
        <w:spacing w:after="0" w:line="240" w:lineRule="auto"/>
        <w:ind w:firstLine="709"/>
        <w:rPr>
          <w:rStyle w:val="FontStyle20"/>
          <w:sz w:val="28"/>
          <w:szCs w:val="28"/>
        </w:rPr>
      </w:pPr>
      <w:r w:rsidRPr="00467B95">
        <w:rPr>
          <w:rStyle w:val="FontStyle20"/>
          <w:sz w:val="28"/>
          <w:szCs w:val="28"/>
        </w:rPr>
        <w:t>Роль информационной безопасности и ее место в системе национальной безопасности страны опре</w:t>
      </w:r>
      <w:r w:rsidRPr="00467B95">
        <w:rPr>
          <w:rStyle w:val="FontStyle20"/>
          <w:sz w:val="28"/>
          <w:szCs w:val="28"/>
        </w:rPr>
        <w:softHyphen/>
        <w:t>деляются тем, что государственная информационная политика очень тесно связана с государственной политикой обеспечения национальной безопасности страны именно через систему информационной безопаснос</w:t>
      </w:r>
      <w:r w:rsidRPr="00467B95">
        <w:rPr>
          <w:rStyle w:val="FontStyle20"/>
          <w:sz w:val="28"/>
          <w:szCs w:val="28"/>
        </w:rPr>
        <w:softHyphen/>
        <w:t>ти, где она выступает важным связующим зве</w:t>
      </w:r>
      <w:r w:rsidRPr="00467B95">
        <w:rPr>
          <w:rStyle w:val="FontStyle20"/>
          <w:sz w:val="28"/>
          <w:szCs w:val="28"/>
        </w:rPr>
        <w:softHyphen/>
        <w:t>ном всех основных компонентов  политики в единое целое.</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В соответствии с Концепцией государственной информационной политики она представляет собой совокуп</w:t>
      </w:r>
      <w:r w:rsidRPr="00467B95">
        <w:rPr>
          <w:rStyle w:val="FontStyle20"/>
          <w:sz w:val="28"/>
          <w:szCs w:val="28"/>
        </w:rPr>
        <w:softHyphen/>
        <w:t>ность целей, отражающих национальные интересы России в информационной сфере, стратегических направлений их достижения и систему мер, их реа</w:t>
      </w:r>
      <w:r w:rsidRPr="00467B95">
        <w:rPr>
          <w:rStyle w:val="FontStyle20"/>
          <w:sz w:val="28"/>
          <w:szCs w:val="28"/>
        </w:rPr>
        <w:softHyphen/>
        <w:t>лизующих, а так же является важной составной частью внеш</w:t>
      </w:r>
      <w:r w:rsidRPr="00467B95">
        <w:rPr>
          <w:rStyle w:val="FontStyle20"/>
          <w:sz w:val="28"/>
          <w:szCs w:val="28"/>
        </w:rPr>
        <w:softHyphen/>
        <w:t>ней и внутренней политики государства и охватыва</w:t>
      </w:r>
      <w:r w:rsidRPr="00467B95">
        <w:rPr>
          <w:rStyle w:val="FontStyle20"/>
          <w:sz w:val="28"/>
          <w:szCs w:val="28"/>
        </w:rPr>
        <w:softHyphen/>
        <w:t>ет все сферы жизнедеятельности общества.</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В рамках этой политики должны лежать основы для решения таких крупных задач, как формирование единого информационного про</w:t>
      </w:r>
      <w:r w:rsidRPr="00467B95">
        <w:rPr>
          <w:rStyle w:val="FontStyle20"/>
          <w:sz w:val="28"/>
          <w:szCs w:val="28"/>
        </w:rPr>
        <w:softHyphen/>
        <w:t>странства России, ее вхождение в мировое инфор</w:t>
      </w:r>
      <w:r w:rsidRPr="00467B95">
        <w:rPr>
          <w:rStyle w:val="FontStyle20"/>
          <w:sz w:val="28"/>
          <w:szCs w:val="28"/>
        </w:rPr>
        <w:softHyphen/>
        <w:t>мационное пространство, обеспечение информаци</w:t>
      </w:r>
      <w:r w:rsidRPr="00467B95">
        <w:rPr>
          <w:rStyle w:val="FontStyle20"/>
          <w:sz w:val="28"/>
          <w:szCs w:val="28"/>
        </w:rPr>
        <w:softHyphen/>
        <w:t>онной безопасности личности, общества и государ</w:t>
      </w:r>
      <w:r w:rsidRPr="00467B95">
        <w:rPr>
          <w:rStyle w:val="FontStyle20"/>
          <w:sz w:val="28"/>
          <w:szCs w:val="28"/>
        </w:rPr>
        <w:softHyphen/>
        <w:t>ства, укрепление отрасли ин</w:t>
      </w:r>
      <w:r w:rsidRPr="00467B95">
        <w:rPr>
          <w:rStyle w:val="FontStyle20"/>
          <w:sz w:val="28"/>
          <w:szCs w:val="28"/>
        </w:rPr>
        <w:softHyphen/>
        <w:t>формационных услуг, расширение правового сегмента регулирования общественных отношений, в том чис</w:t>
      </w:r>
      <w:r w:rsidRPr="00467B95">
        <w:rPr>
          <w:rStyle w:val="FontStyle20"/>
          <w:sz w:val="28"/>
          <w:szCs w:val="28"/>
        </w:rPr>
        <w:softHyphen/>
        <w:t>ле в сфере получения, распространения и использования информации.</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Говоря об информационной безопасности, в пер</w:t>
      </w:r>
      <w:r w:rsidRPr="00467B95">
        <w:rPr>
          <w:rStyle w:val="FontStyle20"/>
          <w:sz w:val="28"/>
          <w:szCs w:val="28"/>
        </w:rPr>
        <w:softHyphen/>
        <w:t>вую очередь следует определить содержание понятия «информационная безопасность». Одни ученые, следуя тому, что ранее обеспе</w:t>
      </w:r>
      <w:r w:rsidRPr="00467B95">
        <w:rPr>
          <w:rStyle w:val="FontStyle20"/>
          <w:sz w:val="28"/>
          <w:szCs w:val="28"/>
        </w:rPr>
        <w:softHyphen/>
        <w:t>чение информационной безопасности сводилось лишь к защите информации (и тоже не всей, а лишь государственной и служебной тайны), ошибочно, уравнивают два разных понятия: «защита информации» и «информационная безопасность», хотя это сегодня совсем не одно и то же.</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Так, в рамках работы «Система национальной безопасности Российской Федерации» было заявле</w:t>
      </w:r>
      <w:r w:rsidRPr="00467B95">
        <w:rPr>
          <w:rStyle w:val="FontStyle20"/>
          <w:sz w:val="28"/>
          <w:szCs w:val="28"/>
        </w:rPr>
        <w:softHyphen/>
        <w:t>но, что «одним из приоритетных направлений поли</w:t>
      </w:r>
      <w:r w:rsidRPr="00467B95">
        <w:rPr>
          <w:rStyle w:val="FontStyle20"/>
          <w:sz w:val="28"/>
          <w:szCs w:val="28"/>
        </w:rPr>
        <w:softHyphen/>
        <w:t>тики национальной безопасности является защита информации», в то же время «приоритетными объек</w:t>
      </w:r>
      <w:r w:rsidRPr="00467B95">
        <w:rPr>
          <w:rStyle w:val="FontStyle20"/>
          <w:sz w:val="28"/>
          <w:szCs w:val="28"/>
        </w:rPr>
        <w:softHyphen/>
        <w:t>тами правовой защиты в области информационной безопасности выступают права личности и интересы общества в информационной сфере, собственно ин</w:t>
      </w:r>
      <w:r w:rsidRPr="00467B95">
        <w:rPr>
          <w:rStyle w:val="FontStyle20"/>
          <w:sz w:val="28"/>
          <w:szCs w:val="28"/>
        </w:rPr>
        <w:softHyphen/>
        <w:t>формация и информационные системы». В этом случае, вместе с допущенной здесь неточностью применения понятия «защита информации», интерес государства исключен из объектов защиты информационной безопасности, что прямо не соответству</w:t>
      </w:r>
      <w:r w:rsidRPr="00467B95">
        <w:rPr>
          <w:rStyle w:val="FontStyle20"/>
          <w:sz w:val="28"/>
          <w:szCs w:val="28"/>
        </w:rPr>
        <w:softHyphen/>
        <w:t>ет предмету национальной безопасности, где инфор</w:t>
      </w:r>
      <w:r w:rsidRPr="00467B95">
        <w:rPr>
          <w:rStyle w:val="FontStyle20"/>
          <w:sz w:val="28"/>
          <w:szCs w:val="28"/>
        </w:rPr>
        <w:softHyphen/>
        <w:t>мационная безопасность является важной составной частью.</w:t>
      </w:r>
    </w:p>
    <w:p w:rsidR="00041B86" w:rsidRPr="00467B95" w:rsidRDefault="00041B86" w:rsidP="005A3DF4">
      <w:pPr>
        <w:pStyle w:val="Style6"/>
        <w:spacing w:line="240" w:lineRule="auto"/>
        <w:ind w:firstLine="709"/>
        <w:rPr>
          <w:rStyle w:val="FontStyle20"/>
          <w:sz w:val="28"/>
          <w:szCs w:val="28"/>
        </w:rPr>
      </w:pPr>
      <w:r w:rsidRPr="00467B95">
        <w:rPr>
          <w:rStyle w:val="FontStyle20"/>
          <w:sz w:val="28"/>
          <w:szCs w:val="28"/>
        </w:rPr>
        <w:t>Другие авторы, говоря об информационной бе</w:t>
      </w:r>
      <w:r w:rsidRPr="00467B95">
        <w:rPr>
          <w:rStyle w:val="FontStyle20"/>
          <w:sz w:val="28"/>
          <w:szCs w:val="28"/>
        </w:rPr>
        <w:softHyphen/>
        <w:t>зопасности, часто раскрывают этот термин неполно, как набор программных или компьютерных средств для обес</w:t>
      </w:r>
      <w:r w:rsidRPr="00467B95">
        <w:rPr>
          <w:rStyle w:val="FontStyle20"/>
          <w:sz w:val="28"/>
          <w:szCs w:val="28"/>
        </w:rPr>
        <w:softHyphen/>
        <w:t>печения сохранности, доступности и конфиденциаль</w:t>
      </w:r>
      <w:r w:rsidRPr="00467B95">
        <w:rPr>
          <w:rStyle w:val="FontStyle20"/>
          <w:sz w:val="28"/>
          <w:szCs w:val="28"/>
        </w:rPr>
        <w:softHyphen/>
        <w:t>ности данных в компьютерных сетях. Информаци</w:t>
      </w:r>
      <w:r w:rsidRPr="00467B95">
        <w:rPr>
          <w:rStyle w:val="FontStyle20"/>
          <w:sz w:val="28"/>
          <w:szCs w:val="28"/>
        </w:rPr>
        <w:softHyphen/>
        <w:t>онной безопасностью также называют «меры по за</w:t>
      </w:r>
      <w:r w:rsidRPr="00467B95">
        <w:rPr>
          <w:rStyle w:val="FontStyle20"/>
          <w:sz w:val="28"/>
          <w:szCs w:val="28"/>
        </w:rPr>
        <w:softHyphen/>
        <w:t>щите информации от неавторизованного доступа, разрушения, модификации, раскрытия и задержек в доступе»</w:t>
      </w:r>
      <w:r w:rsidRPr="00467B95">
        <w:rPr>
          <w:rStyle w:val="FontStyle20"/>
          <w:sz w:val="28"/>
          <w:szCs w:val="28"/>
          <w:vertAlign w:val="superscript"/>
        </w:rPr>
        <w:t>2</w:t>
      </w:r>
      <w:r w:rsidRPr="00467B95">
        <w:rPr>
          <w:rStyle w:val="FontStyle20"/>
          <w:sz w:val="28"/>
          <w:szCs w:val="28"/>
        </w:rPr>
        <w:t xml:space="preserve">. При этом </w:t>
      </w:r>
      <w:r w:rsidRPr="00467B95">
        <w:rPr>
          <w:rStyle w:val="FontStyle20"/>
          <w:sz w:val="28"/>
          <w:szCs w:val="28"/>
        </w:rPr>
        <w:lastRenderedPageBreak/>
        <w:t>используется термин «критичес</w:t>
      </w:r>
      <w:r w:rsidRPr="00467B95">
        <w:rPr>
          <w:rStyle w:val="FontStyle20"/>
          <w:sz w:val="28"/>
          <w:szCs w:val="28"/>
        </w:rPr>
        <w:softHyphen/>
        <w:t>кие данные», под которыми понимают данные, тре</w:t>
      </w:r>
      <w:r w:rsidRPr="00467B95">
        <w:rPr>
          <w:rStyle w:val="FontStyle20"/>
          <w:sz w:val="28"/>
          <w:szCs w:val="28"/>
        </w:rPr>
        <w:softHyphen/>
        <w:t>бующие защиты из-за вероятной возможности нанесения (рис</w:t>
      </w:r>
      <w:r w:rsidRPr="00467B95">
        <w:rPr>
          <w:rStyle w:val="FontStyle20"/>
          <w:sz w:val="28"/>
          <w:szCs w:val="28"/>
        </w:rPr>
        <w:softHyphen/>
        <w:t>ка) ущерба и его величины в том случае, если про</w:t>
      </w:r>
      <w:r w:rsidRPr="00467B95">
        <w:rPr>
          <w:rStyle w:val="FontStyle20"/>
          <w:sz w:val="28"/>
          <w:szCs w:val="28"/>
        </w:rPr>
        <w:softHyphen/>
        <w:t>изойдет их преднамеренное или случайное раскрытие, изменение или уничтожение. Некоторые авторы под информационной бе</w:t>
      </w:r>
      <w:r w:rsidRPr="00467B95">
        <w:rPr>
          <w:rStyle w:val="FontStyle20"/>
          <w:sz w:val="28"/>
          <w:szCs w:val="28"/>
        </w:rPr>
        <w:softHyphen/>
        <w:t>зопасностью понимают «защищенность информации и поддерживающей инфраструктуры от случайных или преднамеренных воздействий естественного или ис</w:t>
      </w:r>
      <w:r w:rsidRPr="00467B95">
        <w:rPr>
          <w:rStyle w:val="FontStyle20"/>
          <w:sz w:val="28"/>
          <w:szCs w:val="28"/>
        </w:rPr>
        <w:softHyphen/>
        <w:t>кусственного характера, чреватых нанесением ущерба владельцам или пользователям информации и под</w:t>
      </w:r>
      <w:r w:rsidRPr="00467B95">
        <w:rPr>
          <w:rStyle w:val="FontStyle20"/>
          <w:sz w:val="28"/>
          <w:szCs w:val="28"/>
        </w:rPr>
        <w:softHyphen/>
        <w:t>держивающей инфраструктуры»</w:t>
      </w:r>
      <w:r w:rsidRPr="00467B95">
        <w:rPr>
          <w:rStyle w:val="FontStyle20"/>
          <w:sz w:val="28"/>
          <w:szCs w:val="28"/>
          <w:vertAlign w:val="superscript"/>
        </w:rPr>
        <w:t>3</w:t>
      </w:r>
      <w:r w:rsidRPr="00467B95">
        <w:rPr>
          <w:rStyle w:val="FontStyle20"/>
          <w:sz w:val="28"/>
          <w:szCs w:val="28"/>
        </w:rPr>
        <w:t>, говоря в итоге уже о двух объектах защиты — информации и информаци</w:t>
      </w:r>
      <w:r w:rsidRPr="00467B95">
        <w:rPr>
          <w:rStyle w:val="FontStyle20"/>
          <w:sz w:val="28"/>
          <w:szCs w:val="28"/>
        </w:rPr>
        <w:softHyphen/>
        <w:t>онной инфраструктуре. Отдельные же ученые считают, что состояние информационной безопасности личности, общества и государства определяется главным образом двумя факторами: информационно-психологической удов</w:t>
      </w:r>
      <w:r w:rsidRPr="00467B95">
        <w:rPr>
          <w:rStyle w:val="FontStyle20"/>
          <w:sz w:val="28"/>
          <w:szCs w:val="28"/>
        </w:rPr>
        <w:softHyphen/>
        <w:t>летворенностью потребностей населения и негативны</w:t>
      </w:r>
      <w:r w:rsidRPr="00467B95">
        <w:rPr>
          <w:rStyle w:val="FontStyle20"/>
          <w:sz w:val="28"/>
          <w:szCs w:val="28"/>
        </w:rPr>
        <w:softHyphen/>
        <w:t>ми (преднамеренными и случайными) информаци</w:t>
      </w:r>
      <w:r w:rsidRPr="00467B95">
        <w:rPr>
          <w:rStyle w:val="FontStyle20"/>
          <w:sz w:val="28"/>
          <w:szCs w:val="28"/>
        </w:rPr>
        <w:softHyphen/>
        <w:t>онно-психологическими и информационно-техничес</w:t>
      </w:r>
      <w:r w:rsidRPr="00467B95">
        <w:rPr>
          <w:rStyle w:val="FontStyle20"/>
          <w:sz w:val="28"/>
          <w:szCs w:val="28"/>
        </w:rPr>
        <w:softHyphen/>
        <w:t>кими воздействиями. В связи с этим под информаци</w:t>
      </w:r>
      <w:r w:rsidRPr="00467B95">
        <w:rPr>
          <w:rStyle w:val="FontStyle20"/>
          <w:sz w:val="28"/>
          <w:szCs w:val="28"/>
        </w:rPr>
        <w:softHyphen/>
        <w:t>онной безопасностью (в широте смысла этого слова) они понимают защищенность потребностей граждан, от</w:t>
      </w:r>
      <w:r w:rsidRPr="00467B95">
        <w:rPr>
          <w:rStyle w:val="FontStyle20"/>
          <w:sz w:val="28"/>
          <w:szCs w:val="28"/>
        </w:rPr>
        <w:softHyphen/>
        <w:t>дельных групп и социальных слоев, массовых объе</w:t>
      </w:r>
      <w:r w:rsidRPr="00467B95">
        <w:rPr>
          <w:rStyle w:val="FontStyle20"/>
          <w:sz w:val="28"/>
          <w:szCs w:val="28"/>
        </w:rPr>
        <w:softHyphen/>
        <w:t>динений людей и населения в целом в качественной информации, необходимой для их жизне</w:t>
      </w:r>
      <w:r w:rsidRPr="00467B95">
        <w:rPr>
          <w:rStyle w:val="FontStyle20"/>
          <w:sz w:val="28"/>
          <w:szCs w:val="28"/>
        </w:rPr>
        <w:softHyphen/>
        <w:t>деятельности, образования и развития</w:t>
      </w:r>
      <w:r w:rsidRPr="00467B95">
        <w:rPr>
          <w:rStyle w:val="FontStyle20"/>
          <w:sz w:val="28"/>
          <w:szCs w:val="28"/>
          <w:vertAlign w:val="superscript"/>
        </w:rPr>
        <w:t>4</w:t>
      </w:r>
      <w:r w:rsidRPr="00467B95">
        <w:rPr>
          <w:rStyle w:val="FontStyle20"/>
          <w:sz w:val="28"/>
          <w:szCs w:val="28"/>
        </w:rPr>
        <w:t>Другими словами, в данном случае при оп</w:t>
      </w:r>
      <w:r w:rsidRPr="00467B95">
        <w:rPr>
          <w:rStyle w:val="FontStyle20"/>
          <w:sz w:val="28"/>
          <w:szCs w:val="28"/>
        </w:rPr>
        <w:softHyphen/>
        <w:t>ределении информационной безопасности через по</w:t>
      </w:r>
      <w:r w:rsidRPr="00467B95">
        <w:rPr>
          <w:rStyle w:val="FontStyle20"/>
          <w:sz w:val="28"/>
          <w:szCs w:val="28"/>
        </w:rPr>
        <w:softHyphen/>
        <w:t>требности забываются интересы государства как са</w:t>
      </w:r>
      <w:r w:rsidRPr="00467B95">
        <w:rPr>
          <w:rStyle w:val="FontStyle20"/>
          <w:sz w:val="28"/>
          <w:szCs w:val="28"/>
        </w:rPr>
        <w:softHyphen/>
        <w:t>мостоятельного объекта защиты в системе национальной безопасности.</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Неуместно в рассматриваемом ас</w:t>
      </w:r>
      <w:r w:rsidRPr="00467B95">
        <w:rPr>
          <w:rStyle w:val="FontStyle20"/>
          <w:sz w:val="28"/>
          <w:szCs w:val="28"/>
        </w:rPr>
        <w:softHyphen/>
        <w:t>пекте и определение данного понятия, данное в ФЗ «Об участии в международном информационном обмене» (ст. 2). В указанном Законе под информа</w:t>
      </w:r>
      <w:r w:rsidRPr="00467B95">
        <w:rPr>
          <w:rStyle w:val="FontStyle20"/>
          <w:sz w:val="28"/>
          <w:szCs w:val="28"/>
        </w:rPr>
        <w:softHyphen/>
        <w:t>ционной безопасностью предлагается понимать «со</w:t>
      </w:r>
      <w:r w:rsidRPr="00467B95">
        <w:rPr>
          <w:rStyle w:val="FontStyle20"/>
          <w:sz w:val="28"/>
          <w:szCs w:val="28"/>
        </w:rPr>
        <w:softHyphen/>
        <w:t>стояние защищенности информационной среды об</w:t>
      </w:r>
      <w:r w:rsidRPr="00467B95">
        <w:rPr>
          <w:rStyle w:val="FontStyle20"/>
          <w:sz w:val="28"/>
          <w:szCs w:val="28"/>
        </w:rPr>
        <w:softHyphen/>
        <w:t>щества, обеспечивающее ее формирование, исполь</w:t>
      </w:r>
      <w:r w:rsidRPr="00467B95">
        <w:rPr>
          <w:rStyle w:val="FontStyle20"/>
          <w:sz w:val="28"/>
          <w:szCs w:val="28"/>
        </w:rPr>
        <w:softHyphen/>
        <w:t>зование и развитие в интересах граждан, организа</w:t>
      </w:r>
      <w:r w:rsidRPr="00467B95">
        <w:rPr>
          <w:rStyle w:val="FontStyle20"/>
          <w:sz w:val="28"/>
          <w:szCs w:val="28"/>
        </w:rPr>
        <w:softHyphen/>
        <w:t>ций, государства». В этом случае мы сталкиваемся как с неточностью понятия «инфор</w:t>
      </w:r>
      <w:r w:rsidRPr="00467B95">
        <w:rPr>
          <w:rStyle w:val="FontStyle20"/>
          <w:sz w:val="28"/>
          <w:szCs w:val="28"/>
        </w:rPr>
        <w:softHyphen/>
        <w:t>мационная среда», так и с несоответствием предме</w:t>
      </w:r>
      <w:r w:rsidRPr="00467B95">
        <w:rPr>
          <w:rStyle w:val="FontStyle20"/>
          <w:sz w:val="28"/>
          <w:szCs w:val="28"/>
        </w:rPr>
        <w:softHyphen/>
        <w:t>ту национальной безопасности.</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По-видимому, процитированное определение нужно первостепенно воспринимать как первый опыт приграничное взаимодействие предметных сфер информацион</w:t>
      </w:r>
      <w:r w:rsidRPr="00467B95">
        <w:rPr>
          <w:rStyle w:val="FontStyle20"/>
          <w:sz w:val="28"/>
          <w:szCs w:val="28"/>
        </w:rPr>
        <w:softHyphen/>
        <w:t>ной политики и политики национальной безопасно</w:t>
      </w:r>
      <w:r w:rsidRPr="00467B95">
        <w:rPr>
          <w:rStyle w:val="FontStyle20"/>
          <w:sz w:val="28"/>
          <w:szCs w:val="28"/>
        </w:rPr>
        <w:softHyphen/>
        <w:t>сти. И это обусловливает необходимость внесения соответствующих изменений и  уточнений в законо</w:t>
      </w:r>
      <w:r w:rsidRPr="00467B95">
        <w:rPr>
          <w:rStyle w:val="FontStyle20"/>
          <w:sz w:val="28"/>
          <w:szCs w:val="28"/>
        </w:rPr>
        <w:softHyphen/>
        <w:t>дательство.</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В соответствии с Конституцией РФ (ст. 80, 84) Президент РФ определяет основные направления внутренней и внешней политики, в том числе в сфере информационной безопасности.</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Жизненно важными интересами в информацион</w:t>
      </w:r>
      <w:r w:rsidRPr="00467B95">
        <w:rPr>
          <w:rStyle w:val="FontStyle20"/>
          <w:sz w:val="28"/>
          <w:szCs w:val="28"/>
        </w:rPr>
        <w:softHyphen/>
        <w:t>ной среде первостепенно являются:</w:t>
      </w:r>
    </w:p>
    <w:p w:rsidR="00041B86" w:rsidRPr="00467B95" w:rsidRDefault="00041B86" w:rsidP="005A3DF4">
      <w:pPr>
        <w:pStyle w:val="Style9"/>
        <w:tabs>
          <w:tab w:val="left" w:pos="571"/>
        </w:tabs>
        <w:ind w:firstLine="709"/>
        <w:jc w:val="both"/>
        <w:rPr>
          <w:rStyle w:val="FontStyle20"/>
          <w:sz w:val="28"/>
          <w:szCs w:val="28"/>
        </w:rPr>
      </w:pPr>
      <w:r w:rsidRPr="00467B95">
        <w:rPr>
          <w:rStyle w:val="FontStyle20"/>
          <w:sz w:val="28"/>
          <w:szCs w:val="28"/>
        </w:rPr>
        <w:t>1)</w:t>
      </w:r>
      <w:r w:rsidRPr="00467B95">
        <w:rPr>
          <w:rStyle w:val="FontStyle20"/>
          <w:sz w:val="28"/>
          <w:szCs w:val="28"/>
        </w:rPr>
        <w:tab/>
        <w:t>для личности:</w:t>
      </w:r>
    </w:p>
    <w:p w:rsidR="00041B86" w:rsidRPr="00467B95" w:rsidRDefault="00041B86" w:rsidP="007F4EC1">
      <w:pPr>
        <w:pStyle w:val="Style5"/>
        <w:numPr>
          <w:ilvl w:val="0"/>
          <w:numId w:val="39"/>
        </w:numPr>
        <w:tabs>
          <w:tab w:val="left" w:pos="547"/>
        </w:tabs>
        <w:spacing w:line="240" w:lineRule="auto"/>
        <w:ind w:firstLine="709"/>
        <w:rPr>
          <w:rStyle w:val="FontStyle20"/>
          <w:sz w:val="28"/>
          <w:szCs w:val="28"/>
        </w:rPr>
      </w:pPr>
      <w:r w:rsidRPr="00467B95">
        <w:rPr>
          <w:rStyle w:val="FontStyle20"/>
          <w:sz w:val="28"/>
          <w:szCs w:val="28"/>
        </w:rPr>
        <w:t>соблюдение конституционных прав и свобод граждан на поиск, получение, передачу, производство и распространение информации;</w:t>
      </w:r>
    </w:p>
    <w:p w:rsidR="00041B86" w:rsidRPr="00467B95" w:rsidRDefault="00041B86" w:rsidP="007F4EC1">
      <w:pPr>
        <w:pStyle w:val="Style5"/>
        <w:numPr>
          <w:ilvl w:val="0"/>
          <w:numId w:val="39"/>
        </w:numPr>
        <w:tabs>
          <w:tab w:val="left" w:pos="547"/>
        </w:tabs>
        <w:spacing w:line="240" w:lineRule="auto"/>
        <w:ind w:firstLine="709"/>
        <w:rPr>
          <w:rStyle w:val="FontStyle20"/>
          <w:sz w:val="28"/>
          <w:szCs w:val="28"/>
        </w:rPr>
      </w:pPr>
      <w:r w:rsidRPr="00467B95">
        <w:rPr>
          <w:rStyle w:val="FontStyle20"/>
          <w:sz w:val="28"/>
          <w:szCs w:val="28"/>
        </w:rPr>
        <w:lastRenderedPageBreak/>
        <w:t>реализация права граждан на неприкосновен</w:t>
      </w:r>
      <w:r w:rsidRPr="00467B95">
        <w:rPr>
          <w:rStyle w:val="FontStyle20"/>
          <w:sz w:val="28"/>
          <w:szCs w:val="28"/>
        </w:rPr>
        <w:softHyphen/>
        <w:t>ность частной жизни;</w:t>
      </w:r>
    </w:p>
    <w:p w:rsidR="00041B86" w:rsidRPr="00467B95" w:rsidRDefault="00041B86" w:rsidP="007F4EC1">
      <w:pPr>
        <w:pStyle w:val="Style5"/>
        <w:numPr>
          <w:ilvl w:val="0"/>
          <w:numId w:val="39"/>
        </w:numPr>
        <w:tabs>
          <w:tab w:val="left" w:pos="547"/>
        </w:tabs>
        <w:spacing w:line="240" w:lineRule="auto"/>
        <w:ind w:firstLine="709"/>
        <w:rPr>
          <w:rStyle w:val="FontStyle20"/>
          <w:sz w:val="28"/>
          <w:szCs w:val="28"/>
        </w:rPr>
      </w:pPr>
      <w:r w:rsidRPr="00467B95">
        <w:rPr>
          <w:rStyle w:val="FontStyle20"/>
          <w:sz w:val="28"/>
          <w:szCs w:val="28"/>
        </w:rPr>
        <w:t>обеспечение права граждан на защиту своего здоровья от неосознаваемой человеком вредной ин</w:t>
      </w:r>
      <w:r w:rsidRPr="00467B95">
        <w:rPr>
          <w:rStyle w:val="FontStyle20"/>
          <w:sz w:val="28"/>
          <w:szCs w:val="28"/>
        </w:rPr>
        <w:softHyphen/>
        <w:t>формации;</w:t>
      </w:r>
    </w:p>
    <w:p w:rsidR="00041B86" w:rsidRPr="00467B95" w:rsidRDefault="00041B86" w:rsidP="007F4EC1">
      <w:pPr>
        <w:pStyle w:val="Style5"/>
        <w:numPr>
          <w:ilvl w:val="0"/>
          <w:numId w:val="39"/>
        </w:numPr>
        <w:tabs>
          <w:tab w:val="left" w:pos="547"/>
        </w:tabs>
        <w:spacing w:line="240" w:lineRule="auto"/>
        <w:ind w:firstLine="709"/>
        <w:rPr>
          <w:rStyle w:val="FontStyle20"/>
          <w:sz w:val="28"/>
          <w:szCs w:val="28"/>
        </w:rPr>
      </w:pPr>
      <w:r w:rsidRPr="00467B95">
        <w:rPr>
          <w:rStyle w:val="FontStyle20"/>
          <w:sz w:val="28"/>
          <w:szCs w:val="28"/>
        </w:rPr>
        <w:t>защита права на объекты интеллектуальной собственности;</w:t>
      </w:r>
    </w:p>
    <w:p w:rsidR="00041B86" w:rsidRPr="00467B95" w:rsidRDefault="00041B86" w:rsidP="005A3DF4">
      <w:pPr>
        <w:pStyle w:val="Style9"/>
        <w:tabs>
          <w:tab w:val="left" w:pos="571"/>
        </w:tabs>
        <w:ind w:firstLine="709"/>
        <w:jc w:val="both"/>
        <w:rPr>
          <w:rStyle w:val="FontStyle20"/>
          <w:sz w:val="28"/>
          <w:szCs w:val="28"/>
        </w:rPr>
      </w:pPr>
      <w:r w:rsidRPr="00467B95">
        <w:rPr>
          <w:rStyle w:val="FontStyle20"/>
          <w:sz w:val="28"/>
          <w:szCs w:val="28"/>
        </w:rPr>
        <w:t>2)</w:t>
      </w:r>
      <w:r w:rsidRPr="00467B95">
        <w:rPr>
          <w:rStyle w:val="FontStyle20"/>
          <w:sz w:val="28"/>
          <w:szCs w:val="28"/>
        </w:rPr>
        <w:tab/>
        <w:t>для общества:</w:t>
      </w:r>
    </w:p>
    <w:p w:rsidR="00041B86" w:rsidRPr="00467B95" w:rsidRDefault="00041B86" w:rsidP="005A3DF4">
      <w:pPr>
        <w:pStyle w:val="Style5"/>
        <w:tabs>
          <w:tab w:val="left" w:pos="557"/>
        </w:tabs>
        <w:spacing w:line="240" w:lineRule="auto"/>
        <w:ind w:firstLine="709"/>
        <w:rPr>
          <w:rStyle w:val="FontStyle20"/>
          <w:sz w:val="28"/>
          <w:szCs w:val="28"/>
        </w:rPr>
      </w:pPr>
      <w:r w:rsidRPr="00467B95">
        <w:rPr>
          <w:rStyle w:val="FontStyle20"/>
          <w:sz w:val="28"/>
          <w:szCs w:val="28"/>
        </w:rPr>
        <w:t>—</w:t>
      </w:r>
      <w:r w:rsidRPr="00467B95">
        <w:rPr>
          <w:rStyle w:val="FontStyle20"/>
          <w:sz w:val="28"/>
          <w:szCs w:val="28"/>
        </w:rPr>
        <w:tab/>
        <w:t>построение информационного общества;</w:t>
      </w:r>
    </w:p>
    <w:p w:rsidR="00041B86" w:rsidRPr="00467B95" w:rsidRDefault="00041B86" w:rsidP="007F4EC1">
      <w:pPr>
        <w:pStyle w:val="Style5"/>
        <w:numPr>
          <w:ilvl w:val="0"/>
          <w:numId w:val="39"/>
        </w:numPr>
        <w:tabs>
          <w:tab w:val="left" w:pos="547"/>
        </w:tabs>
        <w:spacing w:line="240" w:lineRule="auto"/>
        <w:ind w:firstLine="709"/>
        <w:rPr>
          <w:rStyle w:val="FontStyle20"/>
          <w:sz w:val="28"/>
          <w:szCs w:val="28"/>
        </w:rPr>
      </w:pPr>
      <w:r w:rsidRPr="00467B95">
        <w:rPr>
          <w:rStyle w:val="FontStyle20"/>
          <w:sz w:val="28"/>
          <w:szCs w:val="28"/>
        </w:rPr>
        <w:t>духовное обновление общества, сохранение его нравственных ценностей, утверждение в обществе идеалов нравственности, патриотизма, развитие мно</w:t>
      </w:r>
      <w:r w:rsidRPr="00467B95">
        <w:rPr>
          <w:rStyle w:val="FontStyle20"/>
          <w:sz w:val="28"/>
          <w:szCs w:val="28"/>
        </w:rPr>
        <w:softHyphen/>
        <w:t>говековых духовных традиций страны, пропаганда национального культурного наследия, норм морали и общественной нравственности;</w:t>
      </w:r>
    </w:p>
    <w:p w:rsidR="00041B86" w:rsidRPr="00467B95" w:rsidRDefault="00041B86" w:rsidP="007F4EC1">
      <w:pPr>
        <w:pStyle w:val="Style5"/>
        <w:numPr>
          <w:ilvl w:val="0"/>
          <w:numId w:val="39"/>
        </w:numPr>
        <w:tabs>
          <w:tab w:val="left" w:pos="547"/>
        </w:tabs>
        <w:spacing w:line="240" w:lineRule="auto"/>
        <w:ind w:firstLine="709"/>
        <w:rPr>
          <w:rStyle w:val="FontStyle20"/>
          <w:sz w:val="28"/>
          <w:szCs w:val="28"/>
        </w:rPr>
      </w:pPr>
      <w:r w:rsidRPr="00467B95">
        <w:rPr>
          <w:rStyle w:val="FontStyle20"/>
          <w:sz w:val="28"/>
          <w:szCs w:val="28"/>
        </w:rPr>
        <w:t>предотвращение манипулирования массовым сознанием;</w:t>
      </w:r>
    </w:p>
    <w:p w:rsidR="00041B86" w:rsidRPr="00467B95" w:rsidRDefault="00041B86" w:rsidP="005A3DF4">
      <w:pPr>
        <w:pStyle w:val="Style5"/>
        <w:tabs>
          <w:tab w:val="left" w:pos="566"/>
        </w:tabs>
        <w:spacing w:line="240" w:lineRule="auto"/>
        <w:ind w:firstLine="709"/>
        <w:rPr>
          <w:rStyle w:val="FontStyle20"/>
          <w:sz w:val="28"/>
          <w:szCs w:val="28"/>
        </w:rPr>
      </w:pPr>
      <w:r w:rsidRPr="00467B95">
        <w:rPr>
          <w:rStyle w:val="FontStyle20"/>
          <w:sz w:val="28"/>
          <w:szCs w:val="28"/>
        </w:rPr>
        <w:t>—</w:t>
      </w:r>
      <w:r w:rsidRPr="00467B95">
        <w:rPr>
          <w:rStyle w:val="FontStyle20"/>
          <w:sz w:val="28"/>
          <w:szCs w:val="28"/>
        </w:rPr>
        <w:tab/>
        <w:t>приоритетное развитие телекоммуникационных технологий, развитие отечественного научного и про</w:t>
      </w:r>
      <w:r w:rsidRPr="00467B95">
        <w:rPr>
          <w:rStyle w:val="FontStyle20"/>
          <w:sz w:val="28"/>
          <w:szCs w:val="28"/>
        </w:rPr>
        <w:softHyphen/>
        <w:t>изводственного потенциала;</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3) для государства:</w:t>
      </w:r>
    </w:p>
    <w:p w:rsidR="00041B86" w:rsidRPr="00467B95" w:rsidRDefault="00041B86" w:rsidP="007F4EC1">
      <w:pPr>
        <w:pStyle w:val="Style5"/>
        <w:numPr>
          <w:ilvl w:val="0"/>
          <w:numId w:val="40"/>
        </w:numPr>
        <w:tabs>
          <w:tab w:val="left" w:pos="566"/>
        </w:tabs>
        <w:spacing w:line="240" w:lineRule="auto"/>
        <w:ind w:firstLine="709"/>
        <w:rPr>
          <w:rStyle w:val="FontStyle20"/>
          <w:sz w:val="28"/>
          <w:szCs w:val="28"/>
        </w:rPr>
      </w:pPr>
      <w:r w:rsidRPr="00467B95">
        <w:rPr>
          <w:rStyle w:val="FontStyle20"/>
          <w:sz w:val="28"/>
          <w:szCs w:val="28"/>
        </w:rPr>
        <w:t>защита интересов личности и общества;</w:t>
      </w:r>
    </w:p>
    <w:p w:rsidR="00041B86" w:rsidRPr="00467B95" w:rsidRDefault="00041B86" w:rsidP="007F4EC1">
      <w:pPr>
        <w:pStyle w:val="Style5"/>
        <w:numPr>
          <w:ilvl w:val="0"/>
          <w:numId w:val="40"/>
        </w:numPr>
        <w:tabs>
          <w:tab w:val="left" w:pos="566"/>
        </w:tabs>
        <w:spacing w:line="240" w:lineRule="auto"/>
        <w:ind w:firstLine="709"/>
        <w:rPr>
          <w:rStyle w:val="FontStyle20"/>
          <w:sz w:val="28"/>
          <w:szCs w:val="28"/>
        </w:rPr>
      </w:pPr>
      <w:r w:rsidRPr="00467B95">
        <w:rPr>
          <w:rStyle w:val="FontStyle20"/>
          <w:sz w:val="28"/>
          <w:szCs w:val="28"/>
        </w:rPr>
        <w:t>построение правового государства;</w:t>
      </w:r>
    </w:p>
    <w:p w:rsidR="00041B86" w:rsidRPr="00467B95" w:rsidRDefault="00041B86" w:rsidP="007F4EC1">
      <w:pPr>
        <w:pStyle w:val="Style5"/>
        <w:numPr>
          <w:ilvl w:val="0"/>
          <w:numId w:val="40"/>
        </w:numPr>
        <w:tabs>
          <w:tab w:val="left" w:pos="566"/>
        </w:tabs>
        <w:spacing w:line="240" w:lineRule="auto"/>
        <w:ind w:firstLine="709"/>
        <w:rPr>
          <w:rStyle w:val="FontStyle20"/>
          <w:sz w:val="28"/>
          <w:szCs w:val="28"/>
        </w:rPr>
      </w:pPr>
      <w:r w:rsidRPr="00467B95">
        <w:rPr>
          <w:rStyle w:val="FontStyle20"/>
          <w:sz w:val="28"/>
          <w:szCs w:val="28"/>
        </w:rPr>
        <w:t>формирование институтов общественного кон</w:t>
      </w:r>
      <w:r w:rsidRPr="00467B95">
        <w:rPr>
          <w:rStyle w:val="FontStyle20"/>
          <w:sz w:val="28"/>
          <w:szCs w:val="28"/>
        </w:rPr>
        <w:softHyphen/>
        <w:t>троля за органами государственной власти;</w:t>
      </w:r>
    </w:p>
    <w:p w:rsidR="00041B86" w:rsidRPr="00467B95" w:rsidRDefault="00041B86" w:rsidP="007F4EC1">
      <w:pPr>
        <w:pStyle w:val="Style5"/>
        <w:numPr>
          <w:ilvl w:val="0"/>
          <w:numId w:val="40"/>
        </w:numPr>
        <w:tabs>
          <w:tab w:val="left" w:pos="566"/>
        </w:tabs>
        <w:spacing w:line="240" w:lineRule="auto"/>
        <w:ind w:firstLine="709"/>
        <w:rPr>
          <w:rStyle w:val="FontStyle20"/>
          <w:sz w:val="28"/>
          <w:szCs w:val="28"/>
        </w:rPr>
      </w:pPr>
      <w:r w:rsidRPr="00467B95">
        <w:rPr>
          <w:rStyle w:val="FontStyle20"/>
          <w:sz w:val="28"/>
          <w:szCs w:val="28"/>
        </w:rPr>
        <w:t>формирование системы подготовки, принятия и реализации решений органами государственной власти, обеспечивающей баланс интересов личнос</w:t>
      </w:r>
      <w:r w:rsidRPr="00467B95">
        <w:rPr>
          <w:rStyle w:val="FontStyle20"/>
          <w:sz w:val="28"/>
          <w:szCs w:val="28"/>
        </w:rPr>
        <w:softHyphen/>
        <w:t>ти, общества и государства;</w:t>
      </w:r>
    </w:p>
    <w:p w:rsidR="00041B86" w:rsidRPr="00467B95" w:rsidRDefault="00041B86" w:rsidP="007F4EC1">
      <w:pPr>
        <w:pStyle w:val="Style5"/>
        <w:numPr>
          <w:ilvl w:val="0"/>
          <w:numId w:val="40"/>
        </w:numPr>
        <w:tabs>
          <w:tab w:val="left" w:pos="566"/>
        </w:tabs>
        <w:spacing w:line="240" w:lineRule="auto"/>
        <w:ind w:firstLine="709"/>
        <w:rPr>
          <w:rStyle w:val="FontStyle20"/>
          <w:sz w:val="28"/>
          <w:szCs w:val="28"/>
        </w:rPr>
      </w:pPr>
      <w:r w:rsidRPr="00467B95">
        <w:rPr>
          <w:rStyle w:val="FontStyle20"/>
          <w:sz w:val="28"/>
          <w:szCs w:val="28"/>
        </w:rPr>
        <w:t>защита государственных информационных си</w:t>
      </w:r>
      <w:r w:rsidRPr="00467B95">
        <w:rPr>
          <w:rStyle w:val="FontStyle20"/>
          <w:sz w:val="28"/>
          <w:szCs w:val="28"/>
        </w:rPr>
        <w:softHyphen/>
        <w:t>стем и государственных информационных ресурсов;</w:t>
      </w:r>
    </w:p>
    <w:p w:rsidR="00041B86" w:rsidRPr="00467B95" w:rsidRDefault="00041B86" w:rsidP="007F4EC1">
      <w:pPr>
        <w:pStyle w:val="Style5"/>
        <w:numPr>
          <w:ilvl w:val="0"/>
          <w:numId w:val="40"/>
        </w:numPr>
        <w:tabs>
          <w:tab w:val="left" w:pos="566"/>
        </w:tabs>
        <w:spacing w:line="240" w:lineRule="auto"/>
        <w:ind w:firstLine="709"/>
        <w:rPr>
          <w:rStyle w:val="FontStyle20"/>
          <w:sz w:val="28"/>
          <w:szCs w:val="28"/>
        </w:rPr>
      </w:pPr>
      <w:r w:rsidRPr="00467B95">
        <w:rPr>
          <w:rStyle w:val="FontStyle20"/>
          <w:sz w:val="28"/>
          <w:szCs w:val="28"/>
        </w:rPr>
        <w:t>защита единого информационного простран</w:t>
      </w:r>
      <w:r w:rsidRPr="00467B95">
        <w:rPr>
          <w:rStyle w:val="FontStyle20"/>
          <w:sz w:val="28"/>
          <w:szCs w:val="28"/>
        </w:rPr>
        <w:softHyphen/>
        <w:t>ства страны.</w:t>
      </w:r>
    </w:p>
    <w:p w:rsidR="00041B86" w:rsidRPr="00467B95" w:rsidRDefault="00041B86" w:rsidP="005A3DF4">
      <w:pPr>
        <w:pStyle w:val="Style5"/>
        <w:spacing w:line="240" w:lineRule="auto"/>
        <w:ind w:firstLine="709"/>
        <w:rPr>
          <w:rStyle w:val="FontStyle20"/>
          <w:sz w:val="28"/>
          <w:szCs w:val="28"/>
        </w:rPr>
      </w:pPr>
      <w:r w:rsidRPr="00467B95">
        <w:rPr>
          <w:rStyle w:val="FontStyle20"/>
          <w:sz w:val="28"/>
          <w:szCs w:val="28"/>
        </w:rPr>
        <w:t>При рассмотрении вопроса угроз жизненно важным интересам в информационной среде следует обратить внимание на то, что до сих пор остается актуальным вопрос классификации основных внешних и внутренних уг</w:t>
      </w:r>
      <w:r w:rsidRPr="00467B95">
        <w:rPr>
          <w:rStyle w:val="FontStyle20"/>
          <w:sz w:val="28"/>
          <w:szCs w:val="28"/>
        </w:rPr>
        <w:softHyphen/>
        <w:t>роз и требований интересам личности, общества, госу</w:t>
      </w:r>
      <w:r w:rsidRPr="00467B95">
        <w:rPr>
          <w:rStyle w:val="FontStyle20"/>
          <w:sz w:val="28"/>
          <w:szCs w:val="28"/>
        </w:rPr>
        <w:softHyphen/>
        <w:t>дарства, а также разработка понятийного аппарата и методологии оценки уровня угроз, уязвимостей их реализации.</w:t>
      </w:r>
    </w:p>
    <w:p w:rsidR="00041B86" w:rsidRPr="000D6666" w:rsidRDefault="00041B86" w:rsidP="005A3DF4">
      <w:pPr>
        <w:pStyle w:val="Style5"/>
        <w:spacing w:line="240" w:lineRule="auto"/>
        <w:ind w:firstLine="709"/>
        <w:rPr>
          <w:rStyle w:val="FontStyle19"/>
          <w:b w:val="0"/>
          <w:i w:val="0"/>
          <w:sz w:val="28"/>
          <w:szCs w:val="28"/>
        </w:rPr>
      </w:pPr>
      <w:r w:rsidRPr="00467B95">
        <w:rPr>
          <w:rStyle w:val="FontStyle20"/>
          <w:sz w:val="28"/>
          <w:szCs w:val="28"/>
        </w:rPr>
        <w:t xml:space="preserve">Сравнительный анализ регламентирующих нормативных документов, актов, позволяет определить следующие </w:t>
      </w:r>
      <w:r w:rsidRPr="000D6666">
        <w:rPr>
          <w:rStyle w:val="FontStyle19"/>
          <w:b w:val="0"/>
          <w:i w:val="0"/>
          <w:sz w:val="28"/>
          <w:szCs w:val="28"/>
        </w:rPr>
        <w:t>основные угрозы национальным интересам в сфере информаци</w:t>
      </w:r>
      <w:r w:rsidRPr="000D6666">
        <w:rPr>
          <w:rStyle w:val="FontStyle19"/>
          <w:b w:val="0"/>
          <w:i w:val="0"/>
          <w:sz w:val="28"/>
          <w:szCs w:val="28"/>
        </w:rPr>
        <w:softHyphen/>
        <w:t>онной безопасности:</w:t>
      </w:r>
    </w:p>
    <w:p w:rsidR="00041B86" w:rsidRPr="000D6666" w:rsidRDefault="00041B86" w:rsidP="005A3DF4">
      <w:pPr>
        <w:pStyle w:val="Style11"/>
        <w:tabs>
          <w:tab w:val="left" w:pos="562"/>
        </w:tabs>
        <w:ind w:firstLine="709"/>
        <w:jc w:val="both"/>
        <w:rPr>
          <w:rStyle w:val="FontStyle14"/>
          <w:i w:val="0"/>
          <w:sz w:val="28"/>
          <w:szCs w:val="28"/>
        </w:rPr>
      </w:pPr>
      <w:r w:rsidRPr="000D6666">
        <w:rPr>
          <w:rStyle w:val="FontStyle20"/>
          <w:sz w:val="28"/>
          <w:szCs w:val="28"/>
        </w:rPr>
        <w:t>а)</w:t>
      </w:r>
      <w:r w:rsidRPr="000D6666">
        <w:rPr>
          <w:rStyle w:val="FontStyle20"/>
          <w:sz w:val="28"/>
          <w:szCs w:val="28"/>
        </w:rPr>
        <w:tab/>
      </w:r>
      <w:r w:rsidRPr="000D6666">
        <w:rPr>
          <w:rStyle w:val="FontStyle14"/>
          <w:i w:val="0"/>
          <w:sz w:val="28"/>
          <w:szCs w:val="28"/>
        </w:rPr>
        <w:t>внутренние:</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некоторое отставание России от других ведущих стран мира по уровню информатизации;</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ослабление роли русского языка как государ</w:t>
      </w:r>
      <w:r w:rsidRPr="000D6666">
        <w:rPr>
          <w:rStyle w:val="FontStyle20"/>
          <w:sz w:val="28"/>
          <w:szCs w:val="28"/>
        </w:rPr>
        <w:softHyphen/>
        <w:t>ственного языка Российской Федерации;</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размытие единого правового пространства страны в результате принятия субъектами Российской Федерации нормативных правовых актов, расходящихся с  Конституцией РФ и федеральном законо</w:t>
      </w:r>
      <w:r w:rsidRPr="000D6666">
        <w:rPr>
          <w:rStyle w:val="FontStyle20"/>
          <w:sz w:val="28"/>
          <w:szCs w:val="28"/>
        </w:rPr>
        <w:softHyphen/>
        <w:t>дательством;</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разрушение единого информационного и ду</w:t>
      </w:r>
      <w:r w:rsidRPr="000D6666">
        <w:rPr>
          <w:rStyle w:val="FontStyle20"/>
          <w:sz w:val="28"/>
          <w:szCs w:val="28"/>
        </w:rPr>
        <w:softHyphen/>
        <w:t xml:space="preserve">ховного пространства, активизация разного рода религиозных сект, наносящих значительный ущерб </w:t>
      </w:r>
      <w:r w:rsidRPr="000D6666">
        <w:rPr>
          <w:rStyle w:val="FontStyle20"/>
          <w:sz w:val="28"/>
          <w:szCs w:val="28"/>
        </w:rPr>
        <w:lastRenderedPageBreak/>
        <w:t>духовной жизни общества, представляющих прямую опасность для жизни и здоровья граждан;</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отсутствие четко выраженной инфор</w:t>
      </w:r>
      <w:r w:rsidRPr="000D6666">
        <w:rPr>
          <w:rStyle w:val="FontStyle20"/>
          <w:sz w:val="28"/>
          <w:szCs w:val="28"/>
        </w:rPr>
        <w:softHyphen/>
        <w:t>мационной политики, отвечающей национальным целям, интересам;</w:t>
      </w:r>
    </w:p>
    <w:p w:rsidR="00041B86" w:rsidRPr="000D6666" w:rsidRDefault="00041B86" w:rsidP="005A3DF4">
      <w:pPr>
        <w:pStyle w:val="Style11"/>
        <w:tabs>
          <w:tab w:val="left" w:pos="562"/>
        </w:tabs>
        <w:ind w:firstLine="709"/>
        <w:jc w:val="both"/>
        <w:rPr>
          <w:rStyle w:val="FontStyle14"/>
          <w:i w:val="0"/>
          <w:sz w:val="28"/>
          <w:szCs w:val="28"/>
        </w:rPr>
      </w:pPr>
      <w:r w:rsidRPr="000D6666">
        <w:rPr>
          <w:rStyle w:val="FontStyle20"/>
          <w:sz w:val="28"/>
          <w:szCs w:val="28"/>
        </w:rPr>
        <w:t>б)</w:t>
      </w:r>
      <w:r w:rsidRPr="000D6666">
        <w:rPr>
          <w:rStyle w:val="FontStyle20"/>
          <w:sz w:val="28"/>
          <w:szCs w:val="28"/>
        </w:rPr>
        <w:tab/>
      </w:r>
      <w:r w:rsidRPr="000D6666">
        <w:rPr>
          <w:rStyle w:val="FontStyle14"/>
          <w:i w:val="0"/>
          <w:sz w:val="28"/>
          <w:szCs w:val="28"/>
        </w:rPr>
        <w:t>внешние:</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целенаправленное вмешательство и проник</w:t>
      </w:r>
      <w:r w:rsidRPr="000D6666">
        <w:rPr>
          <w:rStyle w:val="FontStyle20"/>
          <w:sz w:val="28"/>
          <w:szCs w:val="28"/>
        </w:rPr>
        <w:softHyphen/>
        <w:t>новение в деятельность и развитие информационных систем Российской Федерации;</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стремление сократить использование и влияние русского языка как средства общения за пределами Российской Федерации;</w:t>
      </w:r>
    </w:p>
    <w:p w:rsidR="00041B86" w:rsidRPr="000D6666" w:rsidRDefault="00041B86" w:rsidP="007F4EC1">
      <w:pPr>
        <w:pStyle w:val="Style5"/>
        <w:numPr>
          <w:ilvl w:val="0"/>
          <w:numId w:val="40"/>
        </w:numPr>
        <w:tabs>
          <w:tab w:val="left" w:pos="566"/>
        </w:tabs>
        <w:spacing w:line="240" w:lineRule="auto"/>
        <w:ind w:firstLine="709"/>
        <w:rPr>
          <w:rStyle w:val="FontStyle20"/>
          <w:sz w:val="28"/>
          <w:szCs w:val="28"/>
        </w:rPr>
      </w:pPr>
      <w:r w:rsidRPr="000D6666">
        <w:rPr>
          <w:rStyle w:val="FontStyle20"/>
          <w:sz w:val="28"/>
          <w:szCs w:val="28"/>
        </w:rPr>
        <w:t>попытки не допустить участия России на рав</w:t>
      </w:r>
      <w:r w:rsidRPr="000D6666">
        <w:rPr>
          <w:rStyle w:val="FontStyle20"/>
          <w:sz w:val="28"/>
          <w:szCs w:val="28"/>
        </w:rPr>
        <w:softHyphen/>
        <w:t>ноправной основе в международном информацион</w:t>
      </w:r>
      <w:r w:rsidRPr="000D6666">
        <w:rPr>
          <w:rStyle w:val="FontStyle20"/>
          <w:sz w:val="28"/>
          <w:szCs w:val="28"/>
        </w:rPr>
        <w:softHyphen/>
        <w:t>ном обмене.</w:t>
      </w:r>
    </w:p>
    <w:p w:rsidR="00041B86" w:rsidRPr="000D6666" w:rsidRDefault="00041B86" w:rsidP="005A3DF4">
      <w:pPr>
        <w:pStyle w:val="Style11"/>
        <w:tabs>
          <w:tab w:val="left" w:pos="0"/>
        </w:tabs>
        <w:ind w:firstLine="709"/>
        <w:jc w:val="both"/>
        <w:rPr>
          <w:rStyle w:val="FontStyle20"/>
          <w:sz w:val="28"/>
          <w:szCs w:val="28"/>
        </w:rPr>
      </w:pPr>
      <w:r w:rsidRPr="000D6666">
        <w:rPr>
          <w:rStyle w:val="FontStyle20"/>
          <w:sz w:val="28"/>
          <w:szCs w:val="28"/>
        </w:rPr>
        <w:t>Исходя из вышеизложенного, отметим, что для успешного вы</w:t>
      </w:r>
      <w:r w:rsidRPr="000D6666">
        <w:rPr>
          <w:rStyle w:val="FontStyle20"/>
          <w:sz w:val="28"/>
          <w:szCs w:val="28"/>
        </w:rPr>
        <w:softHyphen/>
        <w:t>полнения поставленных задач по обеспечению ин</w:t>
      </w:r>
      <w:r w:rsidRPr="000D6666">
        <w:rPr>
          <w:rStyle w:val="FontStyle20"/>
          <w:sz w:val="28"/>
          <w:szCs w:val="28"/>
        </w:rPr>
        <w:softHyphen/>
        <w:t>формационной и национальной безопасности необходима единая го</w:t>
      </w:r>
      <w:r w:rsidRPr="000D6666">
        <w:rPr>
          <w:rStyle w:val="FontStyle20"/>
          <w:sz w:val="28"/>
          <w:szCs w:val="28"/>
        </w:rPr>
        <w:softHyphen/>
        <w:t>сударственная правовая система.</w:t>
      </w:r>
    </w:p>
    <w:p w:rsidR="00041B86" w:rsidRPr="000D6666" w:rsidRDefault="00041B86" w:rsidP="005A3DF4">
      <w:pPr>
        <w:pStyle w:val="Style11"/>
        <w:tabs>
          <w:tab w:val="left" w:pos="0"/>
        </w:tabs>
        <w:ind w:firstLine="709"/>
        <w:jc w:val="both"/>
        <w:rPr>
          <w:rStyle w:val="FontStyle14"/>
          <w:i w:val="0"/>
          <w:sz w:val="28"/>
          <w:szCs w:val="28"/>
        </w:rPr>
      </w:pPr>
      <w:r w:rsidRPr="000D6666">
        <w:rPr>
          <w:rStyle w:val="FontStyle19"/>
          <w:b w:val="0"/>
          <w:i w:val="0"/>
          <w:sz w:val="28"/>
          <w:szCs w:val="28"/>
        </w:rPr>
        <w:t xml:space="preserve">Основными функциями </w:t>
      </w:r>
      <w:r w:rsidRPr="000D6666">
        <w:rPr>
          <w:rStyle w:val="FontStyle20"/>
          <w:sz w:val="28"/>
          <w:szCs w:val="28"/>
        </w:rPr>
        <w:t>таковой системы, на мой взгляд, являются следующие:</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0D6666">
        <w:rPr>
          <w:rStyle w:val="FontStyle20"/>
          <w:sz w:val="28"/>
          <w:szCs w:val="28"/>
        </w:rPr>
        <w:t>оценка состояния и места информационной безопас</w:t>
      </w:r>
      <w:r w:rsidRPr="000D6666">
        <w:rPr>
          <w:rStyle w:val="FontStyle20"/>
          <w:sz w:val="28"/>
          <w:szCs w:val="28"/>
        </w:rPr>
        <w:softHyphen/>
        <w:t>ности в стране, определение приоритетов по интере</w:t>
      </w:r>
      <w:r w:rsidRPr="000D6666">
        <w:rPr>
          <w:rStyle w:val="FontStyle20"/>
          <w:sz w:val="28"/>
          <w:szCs w:val="28"/>
        </w:rPr>
        <w:softHyphen/>
        <w:t>сам в информационной</w:t>
      </w:r>
      <w:r w:rsidRPr="00467B95">
        <w:rPr>
          <w:rStyle w:val="FontStyle20"/>
          <w:sz w:val="28"/>
          <w:szCs w:val="28"/>
        </w:rPr>
        <w:t xml:space="preserve"> сфере, формирование их ба</w:t>
      </w:r>
      <w:r w:rsidRPr="00467B95">
        <w:rPr>
          <w:rStyle w:val="FontStyle20"/>
          <w:sz w:val="28"/>
          <w:szCs w:val="28"/>
        </w:rPr>
        <w:softHyphen/>
        <w:t>ланса в конкретных условиях;</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выявление и учет источников внутренних и внешних угроз, проведение мониторинга и класси</w:t>
      </w:r>
      <w:r w:rsidRPr="00467B95">
        <w:rPr>
          <w:rStyle w:val="FontStyle20"/>
          <w:sz w:val="28"/>
          <w:szCs w:val="28"/>
        </w:rPr>
        <w:softHyphen/>
        <w:t>фикации;</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определение основных направлений предот</w:t>
      </w:r>
      <w:r w:rsidRPr="00467B95">
        <w:rPr>
          <w:rStyle w:val="FontStyle20"/>
          <w:sz w:val="28"/>
          <w:szCs w:val="28"/>
        </w:rPr>
        <w:softHyphen/>
        <w:t>вращения угроз или минимизации их ущерба;</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организация исследований в сфере обеспече</w:t>
      </w:r>
      <w:r w:rsidRPr="00467B95">
        <w:rPr>
          <w:rStyle w:val="FontStyle20"/>
          <w:sz w:val="28"/>
          <w:szCs w:val="28"/>
        </w:rPr>
        <w:softHyphen/>
        <w:t>ния информационной безопасности;</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разработка, рассмотрение и принятие законов и иных норма</w:t>
      </w:r>
      <w:r w:rsidRPr="00467B95">
        <w:rPr>
          <w:rStyle w:val="FontStyle20"/>
          <w:sz w:val="28"/>
          <w:szCs w:val="28"/>
        </w:rPr>
        <w:softHyphen/>
        <w:t>тивных правовых актов;</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организация единой системы лицензирования, сертификации, контроля в данной сфере;</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подготовка специалистов по обеспечению ин</w:t>
      </w:r>
      <w:r w:rsidRPr="00467B95">
        <w:rPr>
          <w:rStyle w:val="FontStyle20"/>
          <w:sz w:val="28"/>
          <w:szCs w:val="28"/>
        </w:rPr>
        <w:softHyphen/>
        <w:t>формационной безопасности и информатизации государства в целом;</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извещение общественности о реальной ситуации в сфере обеспечения информационной бе</w:t>
      </w:r>
      <w:r w:rsidRPr="00467B95">
        <w:rPr>
          <w:rStyle w:val="FontStyle20"/>
          <w:sz w:val="28"/>
          <w:szCs w:val="28"/>
        </w:rPr>
        <w:softHyphen/>
        <w:t>зопасности и работе государственных органов;</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правовая защита прав и интересов граждан, интересов общества и страны в информа</w:t>
      </w:r>
      <w:r w:rsidRPr="00467B95">
        <w:rPr>
          <w:rStyle w:val="FontStyle20"/>
          <w:sz w:val="28"/>
          <w:szCs w:val="28"/>
        </w:rPr>
        <w:softHyphen/>
        <w:t>ционной деятельности и её безопасности;</w:t>
      </w:r>
    </w:p>
    <w:p w:rsidR="00041B86" w:rsidRPr="00467B95" w:rsidRDefault="00041B86" w:rsidP="007F4EC1">
      <w:pPr>
        <w:pStyle w:val="Style5"/>
        <w:numPr>
          <w:ilvl w:val="0"/>
          <w:numId w:val="41"/>
        </w:numPr>
        <w:tabs>
          <w:tab w:val="left" w:pos="566"/>
        </w:tabs>
        <w:spacing w:line="240" w:lineRule="auto"/>
        <w:ind w:firstLine="709"/>
        <w:rPr>
          <w:rStyle w:val="FontStyle20"/>
          <w:sz w:val="28"/>
          <w:szCs w:val="28"/>
        </w:rPr>
      </w:pPr>
      <w:r w:rsidRPr="00467B95">
        <w:rPr>
          <w:rStyle w:val="FontStyle20"/>
          <w:sz w:val="28"/>
          <w:szCs w:val="28"/>
        </w:rPr>
        <w:t>содействие разработке и принятию норм меж</w:t>
      </w:r>
      <w:r w:rsidRPr="00467B95">
        <w:rPr>
          <w:rStyle w:val="FontStyle20"/>
          <w:sz w:val="28"/>
          <w:szCs w:val="28"/>
        </w:rPr>
        <w:softHyphen/>
        <w:t>дународного права в сфере обеспечения информаци</w:t>
      </w:r>
      <w:r w:rsidRPr="00467B95">
        <w:rPr>
          <w:rStyle w:val="FontStyle20"/>
          <w:sz w:val="28"/>
          <w:szCs w:val="28"/>
        </w:rPr>
        <w:softHyphen/>
        <w:t>онной безопасности.</w:t>
      </w:r>
    </w:p>
    <w:p w:rsidR="00041B86" w:rsidRPr="00467B95" w:rsidRDefault="00041B86" w:rsidP="005A3DF4">
      <w:pPr>
        <w:widowControl w:val="0"/>
        <w:spacing w:after="0" w:line="240" w:lineRule="auto"/>
        <w:ind w:firstLine="709"/>
        <w:contextualSpacing/>
        <w:jc w:val="both"/>
        <w:rPr>
          <w:rFonts w:ascii="Times New Roman" w:eastAsia="Times New Roman" w:hAnsi="Times New Roman"/>
          <w:sz w:val="28"/>
          <w:szCs w:val="28"/>
          <w:lang w:eastAsia="ru-RU"/>
        </w:rPr>
      </w:pP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rPr>
      </w:pPr>
      <w:r w:rsidRPr="00467B95">
        <w:rPr>
          <w:rFonts w:ascii="Times New Roman" w:eastAsia="Times New Roman" w:hAnsi="Times New Roman"/>
          <w:b/>
          <w:kern w:val="36"/>
          <w:sz w:val="28"/>
          <w:szCs w:val="28"/>
        </w:rPr>
        <w:t>Процессуальные особенности использование результатов ОРД в доказывании по уголовным делам в странах бывшего СССР</w:t>
      </w:r>
    </w:p>
    <w:p w:rsidR="00041B86" w:rsidRPr="00467B95" w:rsidRDefault="00041B86"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rPr>
      </w:pP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Заичкин Максим Вадимович</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041B86" w:rsidRPr="00467B95" w:rsidRDefault="00041B86"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041B86" w:rsidRPr="00467B95" w:rsidRDefault="00041B86"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lastRenderedPageBreak/>
        <w:t>Россия. г. Владивосток</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mzaichkin</w:t>
      </w:r>
      <w:r w:rsidRPr="00467B95">
        <w:rPr>
          <w:rFonts w:ascii="Times New Roman" w:hAnsi="Times New Roman"/>
          <w:sz w:val="28"/>
          <w:szCs w:val="28"/>
        </w:rPr>
        <w:t>1998@</w:t>
      </w:r>
      <w:r w:rsidRPr="00467B95">
        <w:rPr>
          <w:rFonts w:ascii="Times New Roman" w:hAnsi="Times New Roman"/>
          <w:sz w:val="28"/>
          <w:szCs w:val="28"/>
          <w:lang w:val="en-US"/>
        </w:rPr>
        <w:t>inbox</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+79149615408</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D02D4C" w:rsidRDefault="00D02D4C" w:rsidP="005A3DF4">
      <w:pPr>
        <w:widowControl w:val="0"/>
        <w:spacing w:after="0" w:line="240" w:lineRule="auto"/>
        <w:ind w:firstLine="709"/>
        <w:jc w:val="both"/>
        <w:rPr>
          <w:rFonts w:ascii="Times New Roman" w:hAnsi="Times New Roman"/>
          <w:sz w:val="28"/>
          <w:szCs w:val="28"/>
        </w:rPr>
      </w:pPr>
    </w:p>
    <w:p w:rsidR="00041B86" w:rsidRPr="00467B95" w:rsidRDefault="00041B86" w:rsidP="005A3DF4">
      <w:pPr>
        <w:widowControl w:val="0"/>
        <w:spacing w:after="0" w:line="240" w:lineRule="auto"/>
        <w:ind w:firstLine="709"/>
        <w:jc w:val="both"/>
        <w:rPr>
          <w:rFonts w:ascii="Times New Roman" w:eastAsia="Times New Roman" w:hAnsi="Times New Roman"/>
          <w:i/>
          <w:color w:val="000000"/>
          <w:sz w:val="28"/>
          <w:szCs w:val="28"/>
        </w:rPr>
      </w:pPr>
      <w:r w:rsidRPr="00D02D4C">
        <w:rPr>
          <w:rFonts w:ascii="Times New Roman" w:hAnsi="Times New Roman"/>
          <w:i/>
          <w:sz w:val="28"/>
          <w:szCs w:val="28"/>
        </w:rPr>
        <w:t xml:space="preserve">Аннотация. </w:t>
      </w:r>
      <w:r w:rsidRPr="00D02D4C">
        <w:rPr>
          <w:rFonts w:ascii="Times New Roman" w:eastAsia="Times New Roman" w:hAnsi="Times New Roman"/>
          <w:i/>
          <w:color w:val="000000"/>
          <w:sz w:val="28"/>
          <w:szCs w:val="28"/>
        </w:rPr>
        <w:t>Статья</w:t>
      </w:r>
      <w:r w:rsidRPr="00467B95">
        <w:rPr>
          <w:rFonts w:ascii="Times New Roman" w:eastAsia="Times New Roman" w:hAnsi="Times New Roman"/>
          <w:i/>
          <w:color w:val="000000"/>
          <w:sz w:val="28"/>
          <w:szCs w:val="28"/>
        </w:rPr>
        <w:t xml:space="preserve"> посвящена изучению института использования результа</w:t>
      </w:r>
      <w:r w:rsidRPr="00467B95">
        <w:rPr>
          <w:rFonts w:ascii="Times New Roman" w:eastAsia="Times New Roman" w:hAnsi="Times New Roman"/>
          <w:i/>
          <w:color w:val="000000"/>
          <w:sz w:val="28"/>
          <w:szCs w:val="28"/>
        </w:rPr>
        <w:softHyphen/>
        <w:t>тов оперативно-розыскной деятельности в государствах постсоветского простран</w:t>
      </w:r>
      <w:r w:rsidRPr="00467B95">
        <w:rPr>
          <w:rFonts w:ascii="Times New Roman" w:eastAsia="Times New Roman" w:hAnsi="Times New Roman"/>
          <w:i/>
          <w:color w:val="000000"/>
          <w:sz w:val="28"/>
          <w:szCs w:val="28"/>
        </w:rPr>
        <w:softHyphen/>
        <w:t>ства. Пред</w:t>
      </w:r>
      <w:r w:rsidRPr="00467B95">
        <w:rPr>
          <w:rFonts w:ascii="Times New Roman" w:eastAsia="Times New Roman" w:hAnsi="Times New Roman"/>
          <w:i/>
          <w:color w:val="000000"/>
          <w:sz w:val="28"/>
          <w:szCs w:val="28"/>
        </w:rPr>
        <w:softHyphen/>
        <w:t>метом работы является исследование литературы, нормативно-правовых актов, направ</w:t>
      </w:r>
      <w:r w:rsidRPr="00467B95">
        <w:rPr>
          <w:rFonts w:ascii="Times New Roman" w:eastAsia="Times New Roman" w:hAnsi="Times New Roman"/>
          <w:i/>
          <w:color w:val="000000"/>
          <w:sz w:val="28"/>
          <w:szCs w:val="28"/>
        </w:rPr>
        <w:softHyphen/>
        <w:t>лен</w:t>
      </w:r>
      <w:r w:rsidRPr="00467B95">
        <w:rPr>
          <w:rFonts w:ascii="Times New Roman" w:eastAsia="Times New Roman" w:hAnsi="Times New Roman"/>
          <w:i/>
          <w:color w:val="000000"/>
          <w:sz w:val="28"/>
          <w:szCs w:val="28"/>
        </w:rPr>
        <w:softHyphen/>
        <w:t>ных на регулирование процессуальных особенностей использование ре</w:t>
      </w:r>
      <w:r w:rsidRPr="00467B95">
        <w:rPr>
          <w:rFonts w:ascii="Times New Roman" w:eastAsia="Times New Roman" w:hAnsi="Times New Roman"/>
          <w:i/>
          <w:color w:val="000000"/>
          <w:sz w:val="28"/>
          <w:szCs w:val="28"/>
        </w:rPr>
        <w:softHyphen/>
        <w:t>зультатов опера</w:t>
      </w:r>
      <w:r w:rsidRPr="00467B95">
        <w:rPr>
          <w:rFonts w:ascii="Times New Roman" w:eastAsia="Times New Roman" w:hAnsi="Times New Roman"/>
          <w:i/>
          <w:color w:val="000000"/>
          <w:sz w:val="28"/>
          <w:szCs w:val="28"/>
        </w:rPr>
        <w:softHyphen/>
        <w:t>тивно-розыскной деятельности в доказывании по уголовным делам. Це</w:t>
      </w:r>
      <w:r w:rsidRPr="00467B95">
        <w:rPr>
          <w:rFonts w:ascii="Times New Roman" w:eastAsia="Times New Roman" w:hAnsi="Times New Roman"/>
          <w:i/>
          <w:color w:val="000000"/>
          <w:sz w:val="28"/>
          <w:szCs w:val="28"/>
        </w:rPr>
        <w:softHyphen/>
        <w:t xml:space="preserve">лью работы является изучение </w:t>
      </w:r>
      <w:r w:rsidRPr="00467B95">
        <w:rPr>
          <w:rFonts w:ascii="Times New Roman" w:hAnsi="Times New Roman"/>
          <w:i/>
          <w:color w:val="000000"/>
          <w:sz w:val="28"/>
          <w:szCs w:val="28"/>
        </w:rPr>
        <w:t>механизма использования результатов ОРД в процессе доказывания в России и дру</w:t>
      </w:r>
      <w:r w:rsidRPr="00467B95">
        <w:rPr>
          <w:rFonts w:ascii="Times New Roman" w:hAnsi="Times New Roman"/>
          <w:i/>
          <w:color w:val="000000"/>
          <w:sz w:val="28"/>
          <w:szCs w:val="28"/>
        </w:rPr>
        <w:softHyphen/>
        <w:t xml:space="preserve">гих странах постсоветского пространства. </w:t>
      </w:r>
      <w:r w:rsidRPr="00467B95">
        <w:rPr>
          <w:rFonts w:ascii="Times New Roman" w:eastAsia="Times New Roman" w:hAnsi="Times New Roman"/>
          <w:i/>
          <w:color w:val="000000"/>
          <w:sz w:val="28"/>
          <w:szCs w:val="28"/>
        </w:rPr>
        <w:t xml:space="preserve">При исследовании применялись </w:t>
      </w:r>
      <w:r w:rsidRPr="00467B95">
        <w:rPr>
          <w:rFonts w:ascii="Times New Roman" w:hAnsi="Times New Roman"/>
          <w:i/>
          <w:color w:val="000000"/>
          <w:sz w:val="28"/>
          <w:szCs w:val="28"/>
        </w:rPr>
        <w:t>сравнительно-правовой, сравнительно-исторический, формально-логический методы.</w:t>
      </w:r>
      <w:r w:rsidRPr="00467B95">
        <w:rPr>
          <w:rFonts w:ascii="Times New Roman" w:eastAsia="Times New Roman" w:hAnsi="Times New Roman"/>
          <w:i/>
          <w:color w:val="000000"/>
          <w:sz w:val="28"/>
          <w:szCs w:val="28"/>
        </w:rPr>
        <w:t xml:space="preserve"> </w:t>
      </w:r>
    </w:p>
    <w:p w:rsidR="00041B86" w:rsidRPr="00467B95" w:rsidRDefault="00041B86" w:rsidP="005A3DF4">
      <w:pPr>
        <w:widowControl w:val="0"/>
        <w:spacing w:after="0" w:line="240" w:lineRule="auto"/>
        <w:ind w:firstLine="709"/>
        <w:jc w:val="both"/>
        <w:rPr>
          <w:rFonts w:ascii="Times New Roman" w:eastAsia="Times New Roman" w:hAnsi="Times New Roman"/>
          <w:i/>
          <w:color w:val="000000"/>
          <w:sz w:val="28"/>
          <w:szCs w:val="28"/>
        </w:rPr>
      </w:pPr>
      <w:r w:rsidRPr="00467B95">
        <w:rPr>
          <w:rFonts w:ascii="Times New Roman" w:hAnsi="Times New Roman"/>
          <w:i/>
          <w:sz w:val="28"/>
          <w:szCs w:val="28"/>
        </w:rPr>
        <w:t>Под доказыванием в каждом отдельном взятом государстве понимаются действия, уполномоченных государственных органов и должностных лиц, направленные на установ</w:t>
      </w:r>
      <w:r w:rsidRPr="00467B95">
        <w:rPr>
          <w:rFonts w:ascii="Times New Roman" w:hAnsi="Times New Roman"/>
          <w:i/>
          <w:sz w:val="28"/>
          <w:szCs w:val="28"/>
        </w:rPr>
        <w:softHyphen/>
        <w:t>ленные конкретных обстоятельств, имеющих значение для правильного (справедливого, законного, обоснованного) и своевременного разрешения уголовного дела.  Установление всей совокупности обстоятельств, имеющих непосредственное значение для разрешения уголовного дела по существу, возможно лишь при проведении оперативно-розыскных мероприятий, результаты которых отражаются в:</w:t>
      </w:r>
      <w:r w:rsidRPr="00467B95">
        <w:rPr>
          <w:rFonts w:ascii="Times New Roman" w:hAnsi="Times New Roman"/>
          <w:sz w:val="28"/>
          <w:szCs w:val="28"/>
        </w:rPr>
        <w:t xml:space="preserve"> </w:t>
      </w:r>
      <w:r w:rsidRPr="00467B95">
        <w:rPr>
          <w:rFonts w:ascii="Times New Roman" w:hAnsi="Times New Roman"/>
          <w:i/>
          <w:color w:val="000000"/>
          <w:sz w:val="28"/>
          <w:szCs w:val="28"/>
        </w:rPr>
        <w:t>рапорте об обнаружении признаков преступления и в сообщении о результатах ОРД. Отметим, что для использования таких результатов по уголовному делу, они должно пройти процессуаль</w:t>
      </w:r>
      <w:r w:rsidRPr="00467B95">
        <w:rPr>
          <w:rFonts w:ascii="Times New Roman" w:hAnsi="Times New Roman"/>
          <w:i/>
          <w:color w:val="000000"/>
          <w:sz w:val="28"/>
          <w:szCs w:val="28"/>
        </w:rPr>
        <w:softHyphen/>
        <w:t>ную проверку на возможность их использования в каче</w:t>
      </w:r>
      <w:r w:rsidRPr="00467B95">
        <w:rPr>
          <w:rFonts w:ascii="Times New Roman" w:hAnsi="Times New Roman"/>
          <w:i/>
          <w:color w:val="000000"/>
          <w:sz w:val="28"/>
          <w:szCs w:val="28"/>
        </w:rPr>
        <w:softHyphen/>
        <w:t xml:space="preserve">стве доказательств. </w:t>
      </w:r>
    </w:p>
    <w:p w:rsidR="00041B86" w:rsidRPr="00467B95" w:rsidRDefault="00041B86" w:rsidP="005A3DF4">
      <w:pPr>
        <w:widowControl w:val="0"/>
        <w:spacing w:after="0" w:line="240" w:lineRule="auto"/>
        <w:ind w:firstLine="709"/>
        <w:jc w:val="both"/>
        <w:rPr>
          <w:rFonts w:ascii="Times New Roman" w:eastAsia="Times New Roman" w:hAnsi="Times New Roman"/>
          <w:i/>
          <w:color w:val="000000"/>
          <w:sz w:val="28"/>
          <w:szCs w:val="28"/>
        </w:rPr>
      </w:pPr>
      <w:r w:rsidRPr="00467B95">
        <w:rPr>
          <w:rFonts w:ascii="Times New Roman" w:eastAsia="Times New Roman" w:hAnsi="Times New Roman"/>
          <w:i/>
          <w:color w:val="000000"/>
          <w:sz w:val="28"/>
          <w:szCs w:val="28"/>
        </w:rPr>
        <w:t>Новизна работы заключается в том, что, несмотря на наличие огромного количе</w:t>
      </w:r>
      <w:r w:rsidRPr="00467B95">
        <w:rPr>
          <w:rFonts w:ascii="Times New Roman" w:eastAsia="Times New Roman" w:hAnsi="Times New Roman"/>
          <w:i/>
          <w:color w:val="000000"/>
          <w:sz w:val="28"/>
          <w:szCs w:val="28"/>
        </w:rPr>
        <w:softHyphen/>
        <w:t>ства трудов, посвящённых институту использовании результатов ОРД, для него харак</w:t>
      </w:r>
      <w:r w:rsidRPr="00467B95">
        <w:rPr>
          <w:rFonts w:ascii="Times New Roman" w:eastAsia="Times New Roman" w:hAnsi="Times New Roman"/>
          <w:i/>
          <w:color w:val="000000"/>
          <w:sz w:val="28"/>
          <w:szCs w:val="28"/>
        </w:rPr>
        <w:softHyphen/>
        <w:t>терно наличие и обширного круга проблем. Одной из которых, является отсутствие за</w:t>
      </w:r>
      <w:r w:rsidRPr="00467B95">
        <w:rPr>
          <w:rFonts w:ascii="Times New Roman" w:eastAsia="Times New Roman" w:hAnsi="Times New Roman"/>
          <w:i/>
          <w:color w:val="000000"/>
          <w:sz w:val="28"/>
          <w:szCs w:val="28"/>
        </w:rPr>
        <w:softHyphen/>
        <w:t>ко</w:t>
      </w:r>
      <w:r w:rsidRPr="00467B95">
        <w:rPr>
          <w:rFonts w:ascii="Times New Roman" w:eastAsia="Times New Roman" w:hAnsi="Times New Roman"/>
          <w:i/>
          <w:color w:val="000000"/>
          <w:sz w:val="28"/>
          <w:szCs w:val="28"/>
        </w:rPr>
        <w:softHyphen/>
        <w:t>нодательно закрепленного механизма вовлечения результатов ОРД в доказывание. Настоя</w:t>
      </w:r>
      <w:r w:rsidRPr="00467B95">
        <w:rPr>
          <w:rFonts w:ascii="Times New Roman" w:eastAsia="Times New Roman" w:hAnsi="Times New Roman"/>
          <w:i/>
          <w:color w:val="000000"/>
          <w:sz w:val="28"/>
          <w:szCs w:val="28"/>
        </w:rPr>
        <w:softHyphen/>
        <w:t xml:space="preserve">щая статья как раз и посвящена возможному законодательному урегулированию данного пробела. </w:t>
      </w:r>
    </w:p>
    <w:p w:rsidR="000526D3" w:rsidRDefault="000526D3" w:rsidP="005A3DF4">
      <w:pPr>
        <w:widowControl w:val="0"/>
        <w:spacing w:after="0" w:line="240" w:lineRule="auto"/>
        <w:ind w:firstLine="709"/>
        <w:jc w:val="both"/>
        <w:rPr>
          <w:rFonts w:ascii="Times New Roman" w:hAnsi="Times New Roman"/>
          <w:b/>
          <w:i/>
          <w:sz w:val="28"/>
          <w:szCs w:val="28"/>
        </w:rPr>
      </w:pPr>
    </w:p>
    <w:p w:rsidR="00041B86" w:rsidRPr="00467B95" w:rsidRDefault="00041B86" w:rsidP="005A3DF4">
      <w:pPr>
        <w:widowControl w:val="0"/>
        <w:spacing w:after="0" w:line="240" w:lineRule="auto"/>
        <w:ind w:firstLine="709"/>
        <w:jc w:val="both"/>
        <w:rPr>
          <w:rFonts w:ascii="Times New Roman" w:eastAsia="Times New Roman" w:hAnsi="Times New Roman"/>
          <w:i/>
          <w:color w:val="000000"/>
          <w:sz w:val="28"/>
          <w:szCs w:val="28"/>
        </w:rPr>
      </w:pPr>
      <w:r w:rsidRPr="000526D3">
        <w:rPr>
          <w:rFonts w:ascii="Times New Roman" w:hAnsi="Times New Roman"/>
          <w:i/>
          <w:sz w:val="28"/>
          <w:szCs w:val="28"/>
        </w:rPr>
        <w:t>Ключевые слова и словосочетания:</w:t>
      </w:r>
      <w:r w:rsidRPr="00467B95">
        <w:rPr>
          <w:rFonts w:ascii="Times New Roman" w:hAnsi="Times New Roman"/>
          <w:i/>
          <w:sz w:val="28"/>
          <w:szCs w:val="28"/>
        </w:rPr>
        <w:t xml:space="preserve"> оперативно-розыскная деятельность, уголов</w:t>
      </w:r>
      <w:r w:rsidRPr="00467B95">
        <w:rPr>
          <w:rFonts w:ascii="Times New Roman" w:hAnsi="Times New Roman"/>
          <w:i/>
          <w:sz w:val="28"/>
          <w:szCs w:val="28"/>
        </w:rPr>
        <w:softHyphen/>
        <w:t xml:space="preserve">ный процесс, оперативно-розыскные мероприятия, результаты ОРД </w:t>
      </w:r>
    </w:p>
    <w:p w:rsidR="00041B86" w:rsidRPr="00467B95" w:rsidRDefault="00041B86" w:rsidP="005A3DF4">
      <w:pPr>
        <w:widowControl w:val="0"/>
        <w:spacing w:after="0" w:line="240" w:lineRule="auto"/>
        <w:ind w:firstLine="709"/>
        <w:rPr>
          <w:rFonts w:ascii="Times New Roman" w:hAnsi="Times New Roman"/>
          <w:b/>
          <w:sz w:val="28"/>
          <w:szCs w:val="28"/>
        </w:rPr>
      </w:pPr>
    </w:p>
    <w:p w:rsidR="00041B86" w:rsidRPr="00467B95" w:rsidRDefault="00041B86"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Procedural features of the use of the results of operational investigative activities in proving criminal cases in the countries of the former USSR</w:t>
      </w:r>
    </w:p>
    <w:p w:rsidR="000526D3" w:rsidRPr="005542CD" w:rsidRDefault="000526D3" w:rsidP="005A3DF4">
      <w:pPr>
        <w:widowControl w:val="0"/>
        <w:spacing w:after="0" w:line="240" w:lineRule="auto"/>
        <w:ind w:firstLine="709"/>
        <w:jc w:val="center"/>
        <w:rPr>
          <w:rFonts w:ascii="Times New Roman" w:hAnsi="Times New Roman"/>
          <w:sz w:val="28"/>
          <w:szCs w:val="28"/>
          <w:lang w:val="en-US"/>
        </w:rPr>
      </w:pPr>
    </w:p>
    <w:p w:rsidR="00041B86" w:rsidRPr="00467B95" w:rsidRDefault="00041B86"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Zaichkin Maksim Vadimovich</w:t>
      </w:r>
    </w:p>
    <w:p w:rsidR="00041B86" w:rsidRPr="00467B95" w:rsidRDefault="00041B86"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Bachelor</w:t>
      </w:r>
    </w:p>
    <w:p w:rsidR="00041B86" w:rsidRPr="00467B95" w:rsidRDefault="00041B86" w:rsidP="005A3DF4">
      <w:pPr>
        <w:widowControl w:val="0"/>
        <w:spacing w:after="0" w:line="240" w:lineRule="auto"/>
        <w:ind w:firstLine="709"/>
        <w:jc w:val="center"/>
        <w:rPr>
          <w:rFonts w:ascii="Times New Roman" w:eastAsia="Times New Roman" w:hAnsi="Times New Roman"/>
          <w:color w:val="000000"/>
          <w:sz w:val="28"/>
          <w:szCs w:val="28"/>
          <w:lang w:val="en-US"/>
        </w:rPr>
      </w:pPr>
      <w:r w:rsidRPr="00467B95">
        <w:rPr>
          <w:rFonts w:ascii="Times New Roman" w:eastAsia="Times New Roman" w:hAnsi="Times New Roman"/>
          <w:color w:val="000000"/>
          <w:sz w:val="28"/>
          <w:szCs w:val="28"/>
          <w:lang w:val="en-US"/>
        </w:rPr>
        <w:lastRenderedPageBreak/>
        <w:t>Vladivostok State University of Economics and Service</w:t>
      </w:r>
    </w:p>
    <w:p w:rsidR="00041B86" w:rsidRPr="00467B95" w:rsidRDefault="00041B86"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Russia. Vladivostok</w:t>
      </w:r>
    </w:p>
    <w:p w:rsidR="00041B86" w:rsidRPr="00467B95" w:rsidRDefault="00041B86"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E-mail: mzaichkin1998@inbox.ru; +79149615408</w:t>
      </w:r>
    </w:p>
    <w:p w:rsidR="00041B86" w:rsidRPr="00467B95" w:rsidRDefault="00041B86"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st. Gogol, 41, Vladivostok, Primorsky Krai, Russia, 690014</w:t>
      </w:r>
    </w:p>
    <w:p w:rsidR="00D02D4C" w:rsidRPr="005542CD" w:rsidRDefault="00D02D4C" w:rsidP="005A3DF4">
      <w:pPr>
        <w:widowControl w:val="0"/>
        <w:spacing w:after="0" w:line="240" w:lineRule="auto"/>
        <w:ind w:firstLine="709"/>
        <w:jc w:val="both"/>
        <w:rPr>
          <w:rFonts w:ascii="Times New Roman" w:hAnsi="Times New Roman"/>
          <w:i/>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i/>
          <w:sz w:val="28"/>
          <w:szCs w:val="28"/>
          <w:lang w:val="en-US"/>
        </w:rPr>
      </w:pPr>
      <w:r w:rsidRPr="000526D3">
        <w:rPr>
          <w:rFonts w:ascii="Times New Roman" w:hAnsi="Times New Roman"/>
          <w:i/>
          <w:sz w:val="28"/>
          <w:szCs w:val="28"/>
          <w:lang w:val="en-US"/>
        </w:rPr>
        <w:t>Annotation. The</w:t>
      </w:r>
      <w:r w:rsidRPr="00467B95">
        <w:rPr>
          <w:rFonts w:ascii="Times New Roman" w:hAnsi="Times New Roman"/>
          <w:i/>
          <w:sz w:val="28"/>
          <w:szCs w:val="28"/>
          <w:lang w:val="en-US"/>
        </w:rPr>
        <w:t xml:space="preserve"> article is devoted to the study of the institute of using the results of the op</w:t>
      </w:r>
      <w:r w:rsidRPr="00467B95">
        <w:rPr>
          <w:rFonts w:ascii="Times New Roman" w:hAnsi="Times New Roman"/>
          <w:i/>
          <w:sz w:val="28"/>
          <w:szCs w:val="28"/>
          <w:lang w:val="en-US"/>
        </w:rPr>
        <w:softHyphen/>
        <w:t>er</w:t>
      </w:r>
      <w:r w:rsidRPr="00467B95">
        <w:rPr>
          <w:rFonts w:ascii="Times New Roman" w:hAnsi="Times New Roman"/>
          <w:i/>
          <w:sz w:val="28"/>
          <w:szCs w:val="28"/>
          <w:lang w:val="en-US"/>
        </w:rPr>
        <w:softHyphen/>
        <w:t>ational-search activity in the post-Soviet states. The subject of the work is the study of literature, legal acts aimed at regulating procedural peculiarities of using the results of operational-search activity in proving criminal cases. The aim of the work is to study the mechanism of using the results of operational-search activity in the process of proving in Russia and other countries of the post-Soviet space. The study used comparative legal, comparative historical, formal logical methods.</w:t>
      </w:r>
    </w:p>
    <w:p w:rsidR="00041B86" w:rsidRPr="00467B95" w:rsidRDefault="00041B86"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Evidence in each individual state taken is understood to be actions by authorized state bodies and officials aimed at the established specific circumstances that are important for the correct (fair, lawful, reasonable) and timely resolution of the criminal case. Establishing the totality of circumstances that are of direct importance for resolving a criminal case on the merits is possible only when conducting operational search activities, the results of which are reflected in: a report on the discovery of evidence of a crime and in reporting on the results of operational search activity. Note that in order to use such results in a criminal case, they must undergo a procedural check on the possibility of using them as evidence.</w:t>
      </w:r>
    </w:p>
    <w:p w:rsidR="00041B86" w:rsidRPr="00467B95" w:rsidRDefault="00041B86"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The novelty of the work lies in the fact that, despite the presence of a huge number of works devoted to the institution of using the results of the OSA, it is also characterized by a wide range of problems. One of which is the absence of a statutory mechanism for involving the results of the OSA in proof. This article is just devoted to the possible legislative settlement of this gap.</w:t>
      </w:r>
    </w:p>
    <w:p w:rsidR="000526D3" w:rsidRPr="005542CD" w:rsidRDefault="000526D3" w:rsidP="005A3DF4">
      <w:pPr>
        <w:widowControl w:val="0"/>
        <w:spacing w:after="0" w:line="240" w:lineRule="auto"/>
        <w:ind w:firstLine="709"/>
        <w:jc w:val="both"/>
        <w:rPr>
          <w:rFonts w:ascii="Times New Roman" w:hAnsi="Times New Roman"/>
          <w:b/>
          <w:i/>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i/>
          <w:sz w:val="28"/>
          <w:szCs w:val="28"/>
          <w:lang w:val="en-US"/>
        </w:rPr>
      </w:pPr>
      <w:r w:rsidRPr="000526D3">
        <w:rPr>
          <w:rFonts w:ascii="Times New Roman" w:hAnsi="Times New Roman"/>
          <w:i/>
          <w:sz w:val="28"/>
          <w:szCs w:val="28"/>
          <w:lang w:val="en-US"/>
        </w:rPr>
        <w:t>Key words and phrases:</w:t>
      </w:r>
      <w:r w:rsidRPr="00467B95">
        <w:rPr>
          <w:rFonts w:ascii="Times New Roman" w:hAnsi="Times New Roman"/>
          <w:i/>
          <w:sz w:val="28"/>
          <w:szCs w:val="28"/>
          <w:lang w:val="en-US"/>
        </w:rPr>
        <w:t xml:space="preserve"> Operational-search activity, criminal procedure, operational-search activities, results of operational-search activity.</w:t>
      </w:r>
    </w:p>
    <w:p w:rsidR="00041B86" w:rsidRPr="00467B95" w:rsidRDefault="00041B86" w:rsidP="005A3DF4">
      <w:pPr>
        <w:widowControl w:val="0"/>
        <w:spacing w:after="0" w:line="240" w:lineRule="auto"/>
        <w:ind w:firstLine="709"/>
        <w:jc w:val="both"/>
        <w:rPr>
          <w:rFonts w:ascii="Times New Roman" w:hAnsi="Times New Roman"/>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уголовном процессе использование результатов оперативно-розыскной деятель</w:t>
      </w:r>
      <w:r w:rsidRPr="00467B95">
        <w:rPr>
          <w:rFonts w:ascii="Times New Roman" w:hAnsi="Times New Roman"/>
          <w:sz w:val="28"/>
          <w:szCs w:val="28"/>
        </w:rPr>
        <w:softHyphen/>
        <w:t>ности (далее ОРД) занимает очень важное место. Оперативно-розыскная деятельность обеспечивает стабильное функционирование государства его органов и учреждений, что затрагивает абсолютно все сферы жизни современного общества. Для безопасности госу</w:t>
      </w:r>
      <w:r w:rsidRPr="00467B95">
        <w:rPr>
          <w:rFonts w:ascii="Times New Roman" w:hAnsi="Times New Roman"/>
          <w:sz w:val="28"/>
          <w:szCs w:val="28"/>
        </w:rPr>
        <w:softHyphen/>
        <w:t>дарства оперативно-розыскная деятельность является одним из ключевых институтов. По этой причине любое государство всеми необходимыми способами и методами на уровне законодательной и исполнительной и судебной власти обеспечивает организацию инсти</w:t>
      </w:r>
      <w:r w:rsidRPr="00467B95">
        <w:rPr>
          <w:rFonts w:ascii="Times New Roman" w:hAnsi="Times New Roman"/>
          <w:sz w:val="28"/>
          <w:szCs w:val="28"/>
        </w:rPr>
        <w:softHyphen/>
        <w:t>тута оперативно-розыскной деятельности. Использование результатов такой государ</w:t>
      </w:r>
      <w:r w:rsidRPr="00467B95">
        <w:rPr>
          <w:rFonts w:ascii="Times New Roman" w:hAnsi="Times New Roman"/>
          <w:sz w:val="28"/>
          <w:szCs w:val="28"/>
        </w:rPr>
        <w:softHyphen/>
        <w:t xml:space="preserve">ственной деятельности в процессе доказывания в странах постсоветского пространства, является одной из актуальных проблем в уголовном судопроизводстве.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Во-первых, это связано с тем, что часть сведений и информации ОРД является гос</w:t>
      </w:r>
      <w:r w:rsidRPr="00467B95">
        <w:rPr>
          <w:rFonts w:ascii="Times New Roman" w:hAnsi="Times New Roman"/>
          <w:sz w:val="28"/>
          <w:szCs w:val="28"/>
        </w:rPr>
        <w:softHyphen/>
        <w:t>ударственной тайной. Она засекречена, но в то же время служит одним из самых эффек</w:t>
      </w:r>
      <w:r w:rsidRPr="00467B95">
        <w:rPr>
          <w:rFonts w:ascii="Times New Roman" w:hAnsi="Times New Roman"/>
          <w:sz w:val="28"/>
          <w:szCs w:val="28"/>
        </w:rPr>
        <w:softHyphen/>
        <w:t>тивных инструментов борьбы с преступностью. Во времена существования Советского Союза около 90% всех преступлений раскрывалось именно методами оперативно-розыск</w:t>
      </w:r>
      <w:r w:rsidRPr="00467B95">
        <w:rPr>
          <w:rFonts w:ascii="Times New Roman" w:hAnsi="Times New Roman"/>
          <w:sz w:val="28"/>
          <w:szCs w:val="28"/>
        </w:rPr>
        <w:softHyphen/>
        <w:t xml:space="preserve">ной деятельности.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Во-вторых, это связано и с отсутствием законодательно-закрепленного механизма внесения результатов оперативно-розыскной деятельности в качестве доказательств по уголовному делу.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Изучение законодательства стран постсоветского пространства позволит выявить тенденции, пути и особенности развития уголовно процессуального института использо</w:t>
      </w:r>
      <w:r w:rsidRPr="00467B95">
        <w:rPr>
          <w:rFonts w:ascii="Times New Roman" w:hAnsi="Times New Roman"/>
          <w:sz w:val="28"/>
          <w:szCs w:val="28"/>
        </w:rPr>
        <w:softHyphen/>
        <w:t>вания результатов ОРД в доказывании. Ввиду фактической тождественности нормативно-правой основы уголовно-процессуального права Российской Федерации и стран бывшего СССР, опыт, полученный в связи с проведением сравнительно-правового анализа, обеспе</w:t>
      </w:r>
      <w:r w:rsidRPr="00467B95">
        <w:rPr>
          <w:rFonts w:ascii="Times New Roman" w:hAnsi="Times New Roman"/>
          <w:sz w:val="28"/>
          <w:szCs w:val="28"/>
        </w:rPr>
        <w:softHyphen/>
        <w:t>чит возможность прогнозирования последствий преобразования правовых норм, регла</w:t>
      </w:r>
      <w:r w:rsidRPr="00467B95">
        <w:rPr>
          <w:rFonts w:ascii="Times New Roman" w:hAnsi="Times New Roman"/>
          <w:sz w:val="28"/>
          <w:szCs w:val="28"/>
        </w:rPr>
        <w:softHyphen/>
        <w:t xml:space="preserve">ментирующих использования результатов ОРД в доказывании. Полученный опыт может служить в качестве анализа возможности и результативности реформирования тех или иных структурных элементов данного института в России.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Нормативную базу настоящего исследования составляют законодательные акты госу</w:t>
      </w:r>
      <w:r w:rsidRPr="00467B95">
        <w:rPr>
          <w:rFonts w:ascii="Times New Roman" w:hAnsi="Times New Roman"/>
          <w:sz w:val="28"/>
          <w:szCs w:val="28"/>
        </w:rPr>
        <w:softHyphen/>
        <w:t>дарств постсоветского пространства.</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Цель работы - изучить механизм использование результатов ОРД в процессе дока</w:t>
      </w:r>
      <w:r w:rsidRPr="00467B95">
        <w:rPr>
          <w:rFonts w:ascii="Times New Roman" w:hAnsi="Times New Roman"/>
          <w:sz w:val="28"/>
          <w:szCs w:val="28"/>
        </w:rPr>
        <w:softHyphen/>
        <w:t>зыва</w:t>
      </w:r>
      <w:r w:rsidRPr="00467B95">
        <w:rPr>
          <w:rFonts w:ascii="Times New Roman" w:hAnsi="Times New Roman"/>
          <w:sz w:val="28"/>
          <w:szCs w:val="28"/>
        </w:rPr>
        <w:softHyphen/>
        <w:t>ния в России и других странах постсоветского пространства.</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достижения обозначенной цели были поставлены следующие задачи исследо</w:t>
      </w:r>
      <w:r w:rsidRPr="00467B95">
        <w:rPr>
          <w:rFonts w:ascii="Times New Roman" w:hAnsi="Times New Roman"/>
          <w:sz w:val="28"/>
          <w:szCs w:val="28"/>
        </w:rPr>
        <w:softHyphen/>
        <w:t>вания:</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выявить процессуальные особенности использования результатов оперативно-розыскной деятельности в доказывании;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раскрыть понятие «доказывание в уголовном судопроизводстве».</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Объектом исследования являются нормы уголовно-процессуального права, регули</w:t>
      </w:r>
      <w:r w:rsidRPr="00467B95">
        <w:rPr>
          <w:rFonts w:ascii="Times New Roman" w:hAnsi="Times New Roman"/>
          <w:sz w:val="28"/>
          <w:szCs w:val="28"/>
        </w:rPr>
        <w:softHyphen/>
        <w:t>рующие правоотношения в области доказывания и доказательств в уголовном судопроиз</w:t>
      </w:r>
      <w:r w:rsidRPr="00467B95">
        <w:rPr>
          <w:rFonts w:ascii="Times New Roman" w:hAnsi="Times New Roman"/>
          <w:sz w:val="28"/>
          <w:szCs w:val="28"/>
        </w:rPr>
        <w:softHyphen/>
        <w:t>водстве.</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Предметом работы является исследование литературы, нормативно-правовых ак</w:t>
      </w:r>
      <w:r w:rsidRPr="00467B95">
        <w:rPr>
          <w:rFonts w:ascii="Times New Roman" w:hAnsi="Times New Roman"/>
          <w:sz w:val="28"/>
          <w:szCs w:val="28"/>
        </w:rPr>
        <w:softHyphen/>
        <w:t>тов, направленных на регулирование процессуальных особенностей использование ре</w:t>
      </w:r>
      <w:r w:rsidRPr="00467B95">
        <w:rPr>
          <w:rFonts w:ascii="Times New Roman" w:hAnsi="Times New Roman"/>
          <w:sz w:val="28"/>
          <w:szCs w:val="28"/>
        </w:rPr>
        <w:softHyphen/>
        <w:t>зультатов оперативно-розыскной деятельности в доказывании по уголовным делам.</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написании работы применялись следующие методы: частно-научные методы: сравнительно-правовой, сравнительно-исторический, формально-логический.</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Оперативно-розыскная деятельность является одной из составных частей правоохранительной сферы. Ее функции имеют важнейшее значение в борьбе с организованной преступностью. Анализируя нормы уголовно-процессуального права, будь то в России или странах постсоветского пространства, можно заметить тенденцию вовлечение результатов ОРД в </w:t>
      </w:r>
      <w:r w:rsidRPr="00467B95">
        <w:rPr>
          <w:rFonts w:ascii="Times New Roman" w:hAnsi="Times New Roman"/>
          <w:sz w:val="28"/>
          <w:szCs w:val="28"/>
        </w:rPr>
        <w:lastRenderedPageBreak/>
        <w:t xml:space="preserve">доказывание по уголовным делам. Несмотря на то, что с момента распада Союза Советских Социалистических Республик прошло 28 лет, в законодательстве рассматриваемых нами стран до сих пор имеются общие нормы, направленные на регулирование оперативно-розыскной деятельности. По нашему мнению, это связано прежде всего с тем, что у всех рассматриваемых нами институтов использования результатов ОРД имеется общее начало – законодательство СССР.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Прежде чем перейти к процессуальным особенностям использования результатов оперативно-розыскной деятельности в качестве доказательств по уголовному делу. Необходимо отметить, что в зависимости от конкретного вида информации, полученной в связи с проведением того или иного оперативно-розыскного мероприятия, определяется и возможность использования результатов. Так, Закон «Об ОРД» Республики Украина устанавливает, что материалы, полученные в результате проведения оперативно-розыскных действий могут быть использованы не только для предотвращения, пресечения и расследования правонарушений, но и для обнаружения «разведывательно-подрывных посягательств», направленных против Украины [7]. В этом же государстве имеется практика о взаимном информировании всех правоохранительных органов о проводящихся ОРМ. Аналогичные положения имеются и в законодательстве Республике Латвии.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Отметим, что в рассматриваемых нами государствах постсоветского пространства, полученная оперативным путем информация в большинстве своих случаях, используется как основания для проведения следственных или розыскных действий. Так, например, в Латвии и Литве существуют положения, возлагающие на соответствующие органы, определённые обязанности по обработке, полученной оперативным путем информации.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Законы об ОРД и УПК стран бывшего СССР, предусматривают также и использование результатов ОРД, как основание для возбуждения уголовного дела. Но при этом, решение о возбуждении или не возбуждении уголовного дела, по поступившим от органа дознания материалов, как правило принимает следователь. Подчеркнем, что во всех случаях такое решение зависит от имеющихся в результатах ОРД данных, указывающих на наличие признаков преступления. Особенно четко данное суждение подтверждает ч. 4 ст. 24 Закона «Об ОРД» Латвии в которой говорится, что для возбуждения уголовного дела, лицу, осуществляющему расследование, и руководящему ходом уголовного-процесса, необходимо знать всю имеющуюся информацию, полученную в ходе оперативно-розыскных мероприя</w:t>
      </w:r>
      <w:r w:rsidRPr="00467B95">
        <w:rPr>
          <w:rFonts w:ascii="Times New Roman" w:hAnsi="Times New Roman"/>
          <w:sz w:val="28"/>
          <w:szCs w:val="28"/>
        </w:rPr>
        <w:softHyphen/>
        <w:t>тий.</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законодательства стран постсоветского пространства, как отмечает Л.В. Бертов</w:t>
      </w:r>
      <w:r w:rsidRPr="00467B95">
        <w:rPr>
          <w:rFonts w:ascii="Times New Roman" w:hAnsi="Times New Roman"/>
          <w:sz w:val="28"/>
          <w:szCs w:val="28"/>
        </w:rPr>
        <w:softHyphen/>
        <w:t xml:space="preserve">ский, характерно использование результатов ОРД в «профилактических целях», подтверждается это тем, что во многих рассматриваемых нами государствах, имеется специальное положение, конкретизирующее использование результатов, полученных в ходе оперативно-розыскных мероприятий к определённым видам субъектов «чьи личностные данные и поведение подлежат оценке на предмет их допуска к </w:t>
      </w:r>
      <w:r w:rsidRPr="00467B95">
        <w:rPr>
          <w:rFonts w:ascii="Times New Roman" w:hAnsi="Times New Roman"/>
          <w:sz w:val="28"/>
          <w:szCs w:val="28"/>
        </w:rPr>
        <w:lastRenderedPageBreak/>
        <w:t>определенному роду информации или видов деятельности» [1, с. 218].</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Перейдем непосредственно к вопросу об использовании результатов ОРД в качестве доказательств по уголовному делу.</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Рассматривая процессуальные особенности использования результатов ОРД в странах постсоветского пространства, необходимо отметить, что в зависимости от исполь</w:t>
      </w:r>
      <w:r w:rsidRPr="00467B95">
        <w:rPr>
          <w:rFonts w:ascii="Times New Roman" w:hAnsi="Times New Roman"/>
          <w:sz w:val="28"/>
          <w:szCs w:val="28"/>
        </w:rPr>
        <w:softHyphen/>
        <w:t>зования результатов ОРД, все рассматриваемые нами государства, можно квалифициро</w:t>
      </w:r>
      <w:r w:rsidRPr="00467B95">
        <w:rPr>
          <w:rFonts w:ascii="Times New Roman" w:hAnsi="Times New Roman"/>
          <w:sz w:val="28"/>
          <w:szCs w:val="28"/>
        </w:rPr>
        <w:softHyphen/>
        <w:t>вать на различные группы. Классификация, в первую очередь, основана на фактах, (име</w:t>
      </w:r>
      <w:r w:rsidRPr="00467B95">
        <w:rPr>
          <w:rFonts w:ascii="Times New Roman" w:hAnsi="Times New Roman"/>
          <w:sz w:val="28"/>
          <w:szCs w:val="28"/>
        </w:rPr>
        <w:softHyphen/>
        <w:t xml:space="preserve">ются ли отдельные нормы или законы, регламентирующие использование ОРД в качестве доказательства по уголовному делу).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 в ходе проведенного нами анализа, были выделены следующие три группы государств.</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 первой группе относятся государства, в которых законодательно закреплена воз</w:t>
      </w:r>
      <w:r w:rsidRPr="00467B95">
        <w:rPr>
          <w:rFonts w:ascii="Times New Roman" w:hAnsi="Times New Roman"/>
          <w:sz w:val="28"/>
          <w:szCs w:val="28"/>
        </w:rPr>
        <w:softHyphen/>
        <w:t>можность использоваться результаты ОРД в качестве доказательств, без проведения в от</w:t>
      </w:r>
      <w:r w:rsidRPr="00467B95">
        <w:rPr>
          <w:rFonts w:ascii="Times New Roman" w:hAnsi="Times New Roman"/>
          <w:sz w:val="28"/>
          <w:szCs w:val="28"/>
        </w:rPr>
        <w:softHyphen/>
        <w:t>ношении них каких-либо проверок. К ним можно отнести такие страны, как Республику Армению, Латвию, Литву и Эстонию - в данных государствах законодательно закреплено и легализовано использование результатов оперативно-розыскной деятельности на уровне специальных законов, регламентация, которых близка к европейской модели. Так, напри</w:t>
      </w:r>
      <w:r w:rsidRPr="00467B95">
        <w:rPr>
          <w:rFonts w:ascii="Times New Roman" w:hAnsi="Times New Roman"/>
          <w:sz w:val="28"/>
          <w:szCs w:val="28"/>
        </w:rPr>
        <w:softHyphen/>
        <w:t>мер, в Законе «Об ОРД» Армении в п.1 ст. 40 прямо предусмотрено, что результаты опе</w:t>
      </w:r>
      <w:r w:rsidRPr="00467B95">
        <w:rPr>
          <w:rFonts w:ascii="Times New Roman" w:hAnsi="Times New Roman"/>
          <w:sz w:val="28"/>
          <w:szCs w:val="28"/>
        </w:rPr>
        <w:softHyphen/>
        <w:t>ративно розыскной деятельности, полученные в соответствии с законодательством, явля</w:t>
      </w:r>
      <w:r w:rsidRPr="00467B95">
        <w:rPr>
          <w:rFonts w:ascii="Times New Roman" w:hAnsi="Times New Roman"/>
          <w:sz w:val="28"/>
          <w:szCs w:val="28"/>
        </w:rPr>
        <w:softHyphen/>
        <w:t xml:space="preserve">ются доказательствами [5].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Ко-второй группе относятся государства, законодательством которых допускается использование результатов оперативно-розыскной деятельности в качестве доказательств, но только после проведенной в их отношения проверки – это Российская Федерация, Украина, Молдова, Азербайджан, Казахстан, Туркменистан, Киргизия. Такими условиями является надлежащая фиксация и проверка полученных в ходе ОРД результатов на возможность их использования в качестве доказательств.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Ну и на конец, в третью группу входят государства, в которых законодательно не закреплено и плохо развито использование результатов оперативно-розыскной деятельно</w:t>
      </w:r>
      <w:r w:rsidRPr="00467B95">
        <w:rPr>
          <w:rFonts w:ascii="Times New Roman" w:hAnsi="Times New Roman"/>
          <w:sz w:val="28"/>
          <w:szCs w:val="28"/>
        </w:rPr>
        <w:softHyphen/>
        <w:t>сти в качестве доказательств – Беларусь, Грузия, Таджикистан, Узбекистан. Согласно ст. 49 Закона Республики Беларусь «Об оперативно розыскной-деятельности», результаты ОРД могут использоваться лишь по двум основаниям, а именно: 1) с целью возбуждения уголовного дела и использования полученных результатов в качестве доказывания в уго</w:t>
      </w:r>
      <w:r w:rsidRPr="00467B95">
        <w:rPr>
          <w:rFonts w:ascii="Times New Roman" w:hAnsi="Times New Roman"/>
          <w:sz w:val="28"/>
          <w:szCs w:val="28"/>
        </w:rPr>
        <w:softHyphen/>
        <w:t>ловном процессе; 2) как самостоятельное основания для проведения определенных след</w:t>
      </w:r>
      <w:r w:rsidRPr="00467B95">
        <w:rPr>
          <w:rFonts w:ascii="Times New Roman" w:hAnsi="Times New Roman"/>
          <w:sz w:val="28"/>
          <w:szCs w:val="28"/>
        </w:rPr>
        <w:softHyphen/>
        <w:t>ственных действий [6]. Сопоставляя данную норму с положениями ст. 101 Уголовно-процессуального кодекса Республики Беларусь, в которой сказано, что «материалы, по</w:t>
      </w:r>
      <w:r w:rsidRPr="00467B95">
        <w:rPr>
          <w:rFonts w:ascii="Times New Roman" w:hAnsi="Times New Roman"/>
          <w:sz w:val="28"/>
          <w:szCs w:val="28"/>
        </w:rPr>
        <w:softHyphen/>
        <w:t xml:space="preserve">лученные в ходе оперативно-розыскной деятельности, могут быть признаны в качестве источников доказательств при условии того, что они были получены и предоставлены в соответствии с законодательством Республики Беларусь, проверены и </w:t>
      </w:r>
      <w:r w:rsidRPr="00467B95">
        <w:rPr>
          <w:rFonts w:ascii="Times New Roman" w:hAnsi="Times New Roman"/>
          <w:sz w:val="28"/>
          <w:szCs w:val="28"/>
        </w:rPr>
        <w:lastRenderedPageBreak/>
        <w:t>оценены в порядке, установленном УПК Республики Беларусь» [11]. В результате толкования этих норм, можно заметить, что институт использования результатов ОРД в данном государстве плохо развит, поскольку установить, каким именно образом результаты, полученные в ходе оперативно-розыскной деятельности, будут использованы в доказывании не счита</w:t>
      </w:r>
      <w:r w:rsidRPr="00467B95">
        <w:rPr>
          <w:rFonts w:ascii="Times New Roman" w:hAnsi="Times New Roman"/>
          <w:sz w:val="28"/>
          <w:szCs w:val="28"/>
        </w:rPr>
        <w:softHyphen/>
        <w:t>ется возможным.</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Отметим, что одними из первых государств, решивших узаконить использование результатов ОРД в качестве доказательств можно считать Республики Казахстан и Киргизию. Подтверждение этому можно найти в ч. 1 ст. 119 УПК Республики Казахстан, где предусматривается, что «доказательствами по уголовному делу» являются фактические данные, содержащиеся в составленных в ходе следственных действиях-протоколе. Также, в УПК Казахстана содержится норма о том, что информация, полученная в результате проведе</w:t>
      </w:r>
      <w:r w:rsidRPr="00467B95">
        <w:rPr>
          <w:rFonts w:ascii="Times New Roman" w:hAnsi="Times New Roman"/>
          <w:sz w:val="28"/>
          <w:szCs w:val="28"/>
        </w:rPr>
        <w:softHyphen/>
        <w:t xml:space="preserve">ния негласного следственного действия, может быть использована после ее исследования на соответствие требованиям, предъявляемым к доказательствам, о чем так же будет составлен протокол [12].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то же время в п. 44 ст. 5 Уголовно-процессуального кодекса Киргизской республики содержится термин «специальные следственные действия», под которыми понимаются «действия, проводимые без информирования вовлеченных в уголовное судопроизводство лиц, интересы которых они затрагивают, и направленные на выяснение обстоятельств, получение сведений, подлежащих доказыванию в уголовном судопроизводстве, когда следственными действиями установить это не представляется возможным» [13]. Ч. 2 ст. 82 УПК Киргизской республики к источникам доказательств, наряду с «показаниями подозреваемого, обвиняемого, потерпевшего, свидетеля; заключениями и показаниями эксперта; показаниями специалиста; вещественных доказательств» относит «протоколы специальных следственных, следственных и судебных действий» [13]. Однако ст. 90 УПК Киргизской республики устанавливает определенное требование, согласно которому «протоколы специальных следственных, и судебных действий допускаются в качестве доказательств, если они составлены в соответствии с требованиями кодекса» [13]. Еще одна норма регулирующая использование результатов орд в доказывании имеется в Уголовно-процессуальном кодексе Киргизской Республики от 2.02.2017 № 20. Так в ст. 221 говорится, что составленные по итогу проведенных специальных следственных действий протоколы имеют такую же доказательственную силу, как и протоколы, полученные в результате проведения следственных действий. При этом в данной норме законодатель Республики Киргизии подчеркивает, что все имеющиеся в данном протоколе объекты и предметы, должны быть надлежащим образом «зафиксированы с помощью технических средств», к примеру, с помощью аудио и видео записи, фотосьемки и т.д. Помимо этого в Киргизии предусмотрена практика допроса должностных лиц, которые непосредственно учувствовали в поиске и </w:t>
      </w:r>
      <w:r w:rsidRPr="00467B95">
        <w:rPr>
          <w:rFonts w:ascii="Times New Roman" w:hAnsi="Times New Roman"/>
          <w:sz w:val="28"/>
          <w:szCs w:val="28"/>
        </w:rPr>
        <w:lastRenderedPageBreak/>
        <w:t>фиксации данных, которые в дальнейшем будут трансформироваться в результаты ОРД и использоваться в качестве доказательств по уголовному делу.</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как можно заметить из анализа норм законодательства об ОРД и УПК Республики Киргизии и Казахстана, результаты, полученные в ходе оперативно-розыскной и специальной деятельности, могут быть использованы в доказывании только в том случае, если были получены и проверены в соответствии с законом.</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Анализируя законодательство стран постсоветского пространства характерно, что под доказыванием в каждом отдельном взятом государстве понимаются действия, уполномоченных государственных органов и должностных лиц, направленные на установленные конкретных обстоятельства, имеющих значение для правильного (справедливого, законного, обоснованного) и своевременного разрешения уголовного дела.  Установление всей совокупности обстоятельств, имеющих непосредственное значение для разрешения уголовного дела по существу, возможно лишь при проведении оперативно-розыскных мероприятий, результаты которых отражаются в: рапорте об обнаружении признаков преступления и в сообщении о результатах ОРД.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Как отмечают К.К. Горяинов, В.С. Овчинский, Г.К. Синилов А.Ю. Шумилов, выраженные в таком виде результаты «могут служить основанием для формирования любых видов доказательств, создавать усло</w:t>
      </w:r>
      <w:r w:rsidRPr="00467B95">
        <w:rPr>
          <w:rFonts w:ascii="Times New Roman" w:hAnsi="Times New Roman"/>
          <w:sz w:val="28"/>
          <w:szCs w:val="28"/>
        </w:rPr>
        <w:softHyphen/>
        <w:t>вия и предпосылки для их установления, но при условии, что такие результаты были по</w:t>
      </w:r>
      <w:r w:rsidRPr="00467B95">
        <w:rPr>
          <w:rFonts w:ascii="Times New Roman" w:hAnsi="Times New Roman"/>
          <w:sz w:val="28"/>
          <w:szCs w:val="28"/>
        </w:rPr>
        <w:softHyphen/>
        <w:t>лучены в соответствии с действующим законодательством» [15]. Так, согласно ст. 11 Федерального Закона РФ «Об оперативно-розыскной деятельности» в использование резуль</w:t>
      </w:r>
      <w:r w:rsidRPr="00467B95">
        <w:rPr>
          <w:rFonts w:ascii="Times New Roman" w:hAnsi="Times New Roman"/>
          <w:sz w:val="28"/>
          <w:szCs w:val="28"/>
        </w:rPr>
        <w:softHyphen/>
        <w:t>татов оперативно-розыскной деятельности в доказывании по уголовным делам возможно строго в соответствии с положениями УПК РФ, которые непосредственно регламенти</w:t>
      </w:r>
      <w:r w:rsidRPr="00467B95">
        <w:rPr>
          <w:rFonts w:ascii="Times New Roman" w:hAnsi="Times New Roman"/>
          <w:sz w:val="28"/>
          <w:szCs w:val="28"/>
        </w:rPr>
        <w:softHyphen/>
        <w:t>руют процесс сбора, проверки и оценки доказательств [9]. В тоже время ст. 89 УПК РФ регламентирует, что для приобщения материалов, полученных в ходе ОРМ и использова</w:t>
      </w:r>
      <w:r w:rsidRPr="00467B95">
        <w:rPr>
          <w:rFonts w:ascii="Times New Roman" w:hAnsi="Times New Roman"/>
          <w:sz w:val="28"/>
          <w:szCs w:val="28"/>
        </w:rPr>
        <w:softHyphen/>
        <w:t>ния их в суде, возможно лишь только в том случае, если они будут отвечать всем требова</w:t>
      </w:r>
      <w:r w:rsidRPr="00467B95">
        <w:rPr>
          <w:rFonts w:ascii="Times New Roman" w:hAnsi="Times New Roman"/>
          <w:sz w:val="28"/>
          <w:szCs w:val="28"/>
        </w:rPr>
        <w:softHyphen/>
        <w:t>ниям, предъявляемым к доказательствам [14].</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Но, возникает вопрос, какие требования предъявляются к материалам, полученным в ходе ОРМ? Как отмечала О.А. Зацепина результаты, полученные вне рамок УПК, не мо</w:t>
      </w:r>
      <w:r w:rsidRPr="00467B95">
        <w:rPr>
          <w:rFonts w:ascii="Times New Roman" w:hAnsi="Times New Roman"/>
          <w:sz w:val="28"/>
          <w:szCs w:val="28"/>
        </w:rPr>
        <w:softHyphen/>
        <w:t>гут отвечать признаками допустимости [2]. Возникает большое количество споров о до</w:t>
      </w:r>
      <w:r w:rsidRPr="00467B95">
        <w:rPr>
          <w:rFonts w:ascii="Times New Roman" w:hAnsi="Times New Roman"/>
          <w:sz w:val="28"/>
          <w:szCs w:val="28"/>
        </w:rPr>
        <w:softHyphen/>
        <w:t>стоверно</w:t>
      </w:r>
      <w:r w:rsidRPr="00467B95">
        <w:rPr>
          <w:rFonts w:ascii="Times New Roman" w:hAnsi="Times New Roman"/>
          <w:sz w:val="28"/>
          <w:szCs w:val="28"/>
        </w:rPr>
        <w:softHyphen/>
        <w:t>сти данных, полученных оперативных путем и методах их получения. В связи с этим, особо актуально будет мнения М.В. Ремизова и Р.Н. Ласточкина считающих, что недопустимо использовать информацию в доказывании, полученную в результате обмана и т.п. [9, с 72].</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Вопросы о недопустимости использования результатов ОРД решаются как на досу</w:t>
      </w:r>
      <w:r w:rsidRPr="00467B95">
        <w:rPr>
          <w:rFonts w:ascii="Times New Roman" w:hAnsi="Times New Roman"/>
          <w:sz w:val="28"/>
          <w:szCs w:val="28"/>
        </w:rPr>
        <w:softHyphen/>
        <w:t xml:space="preserve">дебной, так и в судебной стадии уголовного процесса. Так, на досудебной стадии процесса следователь, дознаватель решает вопрос о </w:t>
      </w:r>
      <w:r w:rsidRPr="00467B95">
        <w:rPr>
          <w:rFonts w:ascii="Times New Roman" w:hAnsi="Times New Roman"/>
          <w:sz w:val="28"/>
          <w:szCs w:val="28"/>
        </w:rPr>
        <w:lastRenderedPageBreak/>
        <w:t>возможности их включения в перечень доказа</w:t>
      </w:r>
      <w:r w:rsidRPr="00467B95">
        <w:rPr>
          <w:rFonts w:ascii="Times New Roman" w:hAnsi="Times New Roman"/>
          <w:sz w:val="28"/>
          <w:szCs w:val="28"/>
        </w:rPr>
        <w:softHyphen/>
        <w:t>тельств, на которые сторона обвинения будет ссылаться в суде, если они будут отвечать всем требованиям, предъявляемые к доказательствам. Для того чтобы материалы опера</w:t>
      </w:r>
      <w:r w:rsidRPr="00467B95">
        <w:rPr>
          <w:rFonts w:ascii="Times New Roman" w:hAnsi="Times New Roman"/>
          <w:sz w:val="28"/>
          <w:szCs w:val="28"/>
        </w:rPr>
        <w:softHyphen/>
        <w:t>тивно-розыскных мероприятий отвечали таким требования, по мнению А.В. Макарова и О.В. Фирсовова «они должны пройти процессуальный путь их преобразования в доказа</w:t>
      </w:r>
      <w:r w:rsidRPr="00467B95">
        <w:rPr>
          <w:rFonts w:ascii="Times New Roman" w:hAnsi="Times New Roman"/>
          <w:sz w:val="28"/>
          <w:szCs w:val="28"/>
        </w:rPr>
        <w:softHyphen/>
        <w:t>тельства» [7].</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Анализируя законодательство Российской Федерации, можно заметить, что такой преобразовательный путь закреплен в хорошо известной нам Инструкции о порядке пред</w:t>
      </w:r>
      <w:r w:rsidRPr="00467B95">
        <w:rPr>
          <w:rFonts w:ascii="Times New Roman" w:hAnsi="Times New Roman"/>
          <w:sz w:val="28"/>
          <w:szCs w:val="28"/>
        </w:rPr>
        <w:softHyphen/>
        <w:t>ставления результатов оперативно-розыскной деятельности органу дознания, следователю или в суд [6]. Так, в соответствии с положениями данной инструкции, полученные долж</w:t>
      </w:r>
      <w:r w:rsidRPr="00467B95">
        <w:rPr>
          <w:rFonts w:ascii="Times New Roman" w:hAnsi="Times New Roman"/>
          <w:sz w:val="28"/>
          <w:szCs w:val="28"/>
        </w:rPr>
        <w:softHyphen/>
        <w:t>ностными лицами результаты ОРД выражаются в форме рапортов об обнаружении при</w:t>
      </w:r>
      <w:r w:rsidRPr="00467B95">
        <w:rPr>
          <w:rFonts w:ascii="Times New Roman" w:hAnsi="Times New Roman"/>
          <w:sz w:val="28"/>
          <w:szCs w:val="28"/>
        </w:rPr>
        <w:softHyphen/>
        <w:t>знаков преступлений, которые в соответствии с УПК РФ должны содержать, по словам А.В. Макарова и О.В. Фирсовова «обстоятельства совершенного деяния и источник полу</w:t>
      </w:r>
      <w:r w:rsidRPr="00467B95">
        <w:rPr>
          <w:rFonts w:ascii="Times New Roman" w:hAnsi="Times New Roman"/>
          <w:sz w:val="28"/>
          <w:szCs w:val="28"/>
        </w:rPr>
        <w:softHyphen/>
        <w:t xml:space="preserve">чения информации» [3]. Также результаты ОРД могут выражаться в форме сообщения о проведенном оперативно-розыскном мероприятии, который, как и рапорт об обнаружении признаков преступления должен содержать определённые сведения.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Вопрос о предоставлении результатов оперативно-розыскных мероприятий следо</w:t>
      </w:r>
      <w:r w:rsidRPr="00467B95">
        <w:rPr>
          <w:rFonts w:ascii="Times New Roman" w:hAnsi="Times New Roman"/>
          <w:sz w:val="28"/>
          <w:szCs w:val="28"/>
        </w:rPr>
        <w:softHyphen/>
        <w:t>вателю, судье, прокурору, с целью проведения в отношении этих результатов – проверки, на возможность их использования в качестве оснований для возбуждения уголовного дела, или в качестве доказательства, решается руководителям органа ОРД, и выражается в форме «постановления о представлении результатов оперативно-розыскной деятельно</w:t>
      </w:r>
      <w:r w:rsidRPr="00467B95">
        <w:rPr>
          <w:rFonts w:ascii="Times New Roman" w:hAnsi="Times New Roman"/>
          <w:sz w:val="28"/>
          <w:szCs w:val="28"/>
        </w:rPr>
        <w:softHyphen/>
        <w:t>сти». Весьма интересно стоит вопрос о рассекречивании информации, сведений или дан</w:t>
      </w:r>
      <w:r w:rsidRPr="00467B95">
        <w:rPr>
          <w:rFonts w:ascii="Times New Roman" w:hAnsi="Times New Roman"/>
          <w:sz w:val="28"/>
          <w:szCs w:val="28"/>
        </w:rPr>
        <w:softHyphen/>
        <w:t>ных, которые могут содержать государственную тайну. Прежде чем, такие материалы бу</w:t>
      </w:r>
      <w:r w:rsidRPr="00467B95">
        <w:rPr>
          <w:rFonts w:ascii="Times New Roman" w:hAnsi="Times New Roman"/>
          <w:sz w:val="28"/>
          <w:szCs w:val="28"/>
        </w:rPr>
        <w:softHyphen/>
        <w:t>дут отправлены в соответствующие органы для проверки на возможность их использова</w:t>
      </w:r>
      <w:r w:rsidRPr="00467B95">
        <w:rPr>
          <w:rFonts w:ascii="Times New Roman" w:hAnsi="Times New Roman"/>
          <w:sz w:val="28"/>
          <w:szCs w:val="28"/>
        </w:rPr>
        <w:softHyphen/>
        <w:t>ния в качестве доказательств по уголовному делу, руководителя органа ОРД, выносит по</w:t>
      </w:r>
      <w:r w:rsidRPr="00467B95">
        <w:rPr>
          <w:rFonts w:ascii="Times New Roman" w:hAnsi="Times New Roman"/>
          <w:sz w:val="28"/>
          <w:szCs w:val="28"/>
        </w:rPr>
        <w:softHyphen/>
        <w:t>становление о рассекречивании сведений, являющимися государственной тайной. В случаях, если проведение оперативно-розыскных мероприятий было сопряжено с ограничением конституционных прав человека (например, право на тайну телефонных переговоров) должностным лицом органа ОРД прикладываются копии судебных решений о возможности проведении таких ОРМ.</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Отметим, что помимо выше указанных постановлений, руководителем органа ОРД, могут также прикладываться различные документы, полученные в ходе проведен</w:t>
      </w:r>
      <w:r w:rsidRPr="00467B95">
        <w:rPr>
          <w:rFonts w:ascii="Times New Roman" w:hAnsi="Times New Roman"/>
          <w:sz w:val="28"/>
          <w:szCs w:val="28"/>
        </w:rPr>
        <w:softHyphen/>
        <w:t>ного оперативно-розыскного мероприятия, к примеру, киноленты, различные кассеты, со</w:t>
      </w:r>
      <w:r w:rsidRPr="00467B95">
        <w:rPr>
          <w:rFonts w:ascii="Times New Roman" w:hAnsi="Times New Roman"/>
          <w:sz w:val="28"/>
          <w:szCs w:val="28"/>
        </w:rPr>
        <w:softHyphen/>
        <w:t>держащие на себе информацию, имеющую значение для дела, чертежи, акты, схемы, снимки, и другие объекты материального мира, которые в соответствии с уголовно-про</w:t>
      </w:r>
      <w:r w:rsidRPr="00467B95">
        <w:rPr>
          <w:rFonts w:ascii="Times New Roman" w:hAnsi="Times New Roman"/>
          <w:sz w:val="28"/>
          <w:szCs w:val="28"/>
        </w:rPr>
        <w:softHyphen/>
        <w:t xml:space="preserve">цессуальным кодексом, могут быть признаны доказательствами.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Анализируя положения действующего законодательства, а именно УПК РФ, можно сказать, что все документы, поступающие на проверку из органов </w:t>
      </w:r>
      <w:r w:rsidRPr="00467B95">
        <w:rPr>
          <w:rFonts w:ascii="Times New Roman" w:hAnsi="Times New Roman"/>
          <w:sz w:val="28"/>
          <w:szCs w:val="28"/>
        </w:rPr>
        <w:lastRenderedPageBreak/>
        <w:t>дознания, а также при</w:t>
      </w:r>
      <w:r w:rsidRPr="00467B95">
        <w:rPr>
          <w:rFonts w:ascii="Times New Roman" w:hAnsi="Times New Roman"/>
          <w:sz w:val="28"/>
          <w:szCs w:val="28"/>
        </w:rPr>
        <w:softHyphen/>
        <w:t>лагаемые к ним приложения, рассматриваются как «иные документы» [20]. Для их даль</w:t>
      </w:r>
      <w:r w:rsidRPr="00467B95">
        <w:rPr>
          <w:rFonts w:ascii="Times New Roman" w:hAnsi="Times New Roman"/>
          <w:sz w:val="28"/>
          <w:szCs w:val="28"/>
        </w:rPr>
        <w:softHyphen/>
        <w:t>нейшего использования следователем или судом они должны быть проверены, а лишь по</w:t>
      </w:r>
      <w:r w:rsidRPr="00467B95">
        <w:rPr>
          <w:rFonts w:ascii="Times New Roman" w:hAnsi="Times New Roman"/>
          <w:sz w:val="28"/>
          <w:szCs w:val="28"/>
        </w:rPr>
        <w:softHyphen/>
        <w:t>том, по мнению все тех же А.В. Макарова и О.В. Фирсовова, будут преобразованы в «форму доказательств» [3]. При этом вводимые в уголовное судопроизводство резуль</w:t>
      </w:r>
      <w:r w:rsidRPr="00467B95">
        <w:rPr>
          <w:rFonts w:ascii="Times New Roman" w:hAnsi="Times New Roman"/>
          <w:sz w:val="28"/>
          <w:szCs w:val="28"/>
        </w:rPr>
        <w:softHyphen/>
        <w:t>таты, должны быть, как уже ранее было отмечено, отвечать критериям доказательств (до</w:t>
      </w:r>
      <w:r w:rsidRPr="00467B95">
        <w:rPr>
          <w:rFonts w:ascii="Times New Roman" w:hAnsi="Times New Roman"/>
          <w:sz w:val="28"/>
          <w:szCs w:val="28"/>
        </w:rPr>
        <w:softHyphen/>
        <w:t>пустимости, досто</w:t>
      </w:r>
      <w:r w:rsidRPr="00467B95">
        <w:rPr>
          <w:rFonts w:ascii="Times New Roman" w:hAnsi="Times New Roman"/>
          <w:sz w:val="28"/>
          <w:szCs w:val="28"/>
        </w:rPr>
        <w:softHyphen/>
        <w:t xml:space="preserve">верности, относимости).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Под допустимостью использования результатов ОРД в качестве доказательств, по</w:t>
      </w:r>
      <w:r w:rsidRPr="00467B95">
        <w:rPr>
          <w:rFonts w:ascii="Times New Roman" w:hAnsi="Times New Roman"/>
          <w:sz w:val="28"/>
          <w:szCs w:val="28"/>
        </w:rPr>
        <w:softHyphen/>
        <w:t>нимаются определенные процессуальные действия, по итогу проведения которых воз</w:t>
      </w:r>
      <w:r w:rsidRPr="00467B95">
        <w:rPr>
          <w:rFonts w:ascii="Times New Roman" w:hAnsi="Times New Roman"/>
          <w:sz w:val="28"/>
          <w:szCs w:val="28"/>
        </w:rPr>
        <w:softHyphen/>
        <w:t>можно будет установить - соблюдались ли условия, или законодательный порядок прове</w:t>
      </w:r>
      <w:r w:rsidRPr="00467B95">
        <w:rPr>
          <w:rFonts w:ascii="Times New Roman" w:hAnsi="Times New Roman"/>
          <w:sz w:val="28"/>
          <w:szCs w:val="28"/>
        </w:rPr>
        <w:softHyphen/>
        <w:t>дения оперативно-розыскных мероприятий. К примеру, имеется ли решение суда на про</w:t>
      </w:r>
      <w:r w:rsidRPr="00467B95">
        <w:rPr>
          <w:rFonts w:ascii="Times New Roman" w:hAnsi="Times New Roman"/>
          <w:sz w:val="28"/>
          <w:szCs w:val="28"/>
        </w:rPr>
        <w:softHyphen/>
        <w:t>ведение действий ограничивающие права граждан, имеется ли постановление руководи</w:t>
      </w:r>
      <w:r w:rsidRPr="00467B95">
        <w:rPr>
          <w:rFonts w:ascii="Times New Roman" w:hAnsi="Times New Roman"/>
          <w:sz w:val="28"/>
          <w:szCs w:val="28"/>
        </w:rPr>
        <w:softHyphen/>
        <w:t>теля органа ОРД, на рассекречивание конфиденциальной информации и т.д.</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В свою очередь, достоверность результатов оперативно-розыскной деятельности и их относимость, проверяется соответствующими должностными лицами путем проведе</w:t>
      </w:r>
      <w:r w:rsidRPr="00467B95">
        <w:rPr>
          <w:rFonts w:ascii="Times New Roman" w:hAnsi="Times New Roman"/>
          <w:sz w:val="28"/>
          <w:szCs w:val="28"/>
        </w:rPr>
        <w:softHyphen/>
        <w:t>ния определенных следственных действий (осмотров предметов, полученных оператив</w:t>
      </w:r>
      <w:r w:rsidRPr="00467B95">
        <w:rPr>
          <w:rFonts w:ascii="Times New Roman" w:hAnsi="Times New Roman"/>
          <w:sz w:val="28"/>
          <w:szCs w:val="28"/>
        </w:rPr>
        <w:softHyphen/>
        <w:t>ным путем, допроса лиц, обладающими необходимыми сведениями).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Из всех поступающих от органов дознания результатов, следователь выбирает только те результаты ОРД, которые могут использоваться в качестве доказательств и иметь значение для производства по делу. Решение о выборе тех или иных результатов следователь заносит в протокол. Отметим, что все результаты оперативно-розыскных ме</w:t>
      </w:r>
      <w:r w:rsidRPr="00467B95">
        <w:rPr>
          <w:rFonts w:ascii="Times New Roman" w:hAnsi="Times New Roman"/>
          <w:sz w:val="28"/>
          <w:szCs w:val="28"/>
        </w:rPr>
        <w:softHyphen/>
        <w:t>роприятий, полученные «непроцесуальным путем», могут снова использоваться в доказы</w:t>
      </w:r>
      <w:r w:rsidRPr="00467B95">
        <w:rPr>
          <w:rFonts w:ascii="Times New Roman" w:hAnsi="Times New Roman"/>
          <w:sz w:val="28"/>
          <w:szCs w:val="28"/>
        </w:rPr>
        <w:softHyphen/>
        <w:t xml:space="preserve">вании, если они получат законодательно закрепленную форму, путем проведения уже не розыскных мероприятий, а следственных действий.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Что касается судебной стадии, то в ходе рассмотрения дела по существу, будет установлено, что результаты ОРД были получены с нарушением законов и подзаконных актов, то они в соответствии с законодательством рассматриваемых нами стран, не будут иметь юридической силы, и не будут в дальнейшем использоваться стороной обвинения. Тем самым, можно сделать вывод, что законодатель не предусматривает каких-либо ис</w:t>
      </w:r>
      <w:r w:rsidRPr="00467B95">
        <w:rPr>
          <w:rFonts w:ascii="Times New Roman" w:hAnsi="Times New Roman"/>
          <w:sz w:val="28"/>
          <w:szCs w:val="28"/>
        </w:rPr>
        <w:softHyphen/>
        <w:t xml:space="preserve">ключений для дальнейшей возможности их использования.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Невозможно не согласиться с мнением Е. З. Тургумбаева, который считает, что при использование следователем результатов ОРД возникает ряд проблем. Во-первых, в своей работе он отметил, что: «как бы того не хотели следователи сотрудники ОРД, в большин</w:t>
      </w:r>
      <w:r w:rsidRPr="00467B95">
        <w:rPr>
          <w:rFonts w:ascii="Times New Roman" w:hAnsi="Times New Roman"/>
          <w:sz w:val="28"/>
          <w:szCs w:val="28"/>
        </w:rPr>
        <w:softHyphen/>
        <w:t>стве случаев, предоставляют не все результаты ОРМ». Причем, как им было отмечено, оперативные сотрудники целенаправленно не допускали следователей к ознакомлению с оперативно-розыскными данными, ограничиваясь показом только конечных результатов ОРД. Во-вторых, он приводил ряд примеров, когда результаты ОРМ получались от право</w:t>
      </w:r>
      <w:r w:rsidRPr="00467B95">
        <w:rPr>
          <w:rFonts w:ascii="Times New Roman" w:hAnsi="Times New Roman"/>
          <w:sz w:val="28"/>
          <w:szCs w:val="28"/>
        </w:rPr>
        <w:softHyphen/>
        <w:t xml:space="preserve">охранительных органов на конфиденциальной основе, </w:t>
      </w:r>
      <w:r w:rsidRPr="00467B95">
        <w:rPr>
          <w:rFonts w:ascii="Times New Roman" w:hAnsi="Times New Roman"/>
          <w:sz w:val="28"/>
          <w:szCs w:val="28"/>
        </w:rPr>
        <w:lastRenderedPageBreak/>
        <w:t>что в дальнейшем негативно сказы</w:t>
      </w:r>
      <w:r w:rsidRPr="00467B95">
        <w:rPr>
          <w:rFonts w:ascii="Times New Roman" w:hAnsi="Times New Roman"/>
          <w:sz w:val="28"/>
          <w:szCs w:val="28"/>
        </w:rPr>
        <w:softHyphen/>
        <w:t>валось на их использовании в качестве доказательств. Ну и в- третьих, самая важная про</w:t>
      </w:r>
      <w:r w:rsidRPr="00467B95">
        <w:rPr>
          <w:rFonts w:ascii="Times New Roman" w:hAnsi="Times New Roman"/>
          <w:sz w:val="28"/>
          <w:szCs w:val="28"/>
        </w:rPr>
        <w:softHyphen/>
        <w:t>блема, которая присуща всем странам бывшего СССР, это отсутствие процессуально-закрепленного механизма вовлечения результатов оперативно-розыскной деятельности в уголовное судопроизводство. [10].</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Отметим, что проблемы, связанные с возможностью использования в качестве до</w:t>
      </w:r>
      <w:r w:rsidRPr="00467B95">
        <w:rPr>
          <w:rFonts w:ascii="Times New Roman" w:hAnsi="Times New Roman"/>
          <w:sz w:val="28"/>
          <w:szCs w:val="28"/>
        </w:rPr>
        <w:softHyphen/>
        <w:t>казательств сведений, полученных в результате оперативно-розыскной деятельности, яв</w:t>
      </w:r>
      <w:r w:rsidRPr="00467B95">
        <w:rPr>
          <w:rFonts w:ascii="Times New Roman" w:hAnsi="Times New Roman"/>
          <w:sz w:val="28"/>
          <w:szCs w:val="28"/>
        </w:rPr>
        <w:softHyphen/>
        <w:t xml:space="preserve">ляются одними из наиболее обсуждаемых не только в теории уголовного процесса, но и криминалистической науке.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связи с чем, по нашему мнению, представляется целесообразным: 1) обеспечить единообразное использование терминов «оперативно-розыскные мероприятия», «резуль</w:t>
      </w:r>
      <w:r w:rsidRPr="00467B95">
        <w:rPr>
          <w:rFonts w:ascii="Times New Roman" w:hAnsi="Times New Roman"/>
          <w:sz w:val="28"/>
          <w:szCs w:val="28"/>
        </w:rPr>
        <w:softHyphen/>
        <w:t>таты ОРД», «информация оперативно-розыскной деятельности»; 2) внести изменения, в УПК РФ, а именно: ст. 5 УПК РФ дополнить понятием «специальные (негласные) след</w:t>
      </w:r>
      <w:r w:rsidRPr="00467B95">
        <w:rPr>
          <w:rFonts w:ascii="Times New Roman" w:hAnsi="Times New Roman"/>
          <w:sz w:val="28"/>
          <w:szCs w:val="28"/>
        </w:rPr>
        <w:softHyphen/>
        <w:t>ственные действия»; ст. 74 УПК РФ дополнить п. 5.1 «протоколы специальных (неглас</w:t>
      </w:r>
      <w:r w:rsidRPr="00467B95">
        <w:rPr>
          <w:rFonts w:ascii="Times New Roman" w:hAnsi="Times New Roman"/>
          <w:sz w:val="28"/>
          <w:szCs w:val="28"/>
        </w:rPr>
        <w:softHyphen/>
        <w:t>ных) следственных действий»; дополнить УПК РФ отдельной главой 21 «Специальные (негласные) следственные действия»; 3) закрепить на уровне УПК РФ механизм использо</w:t>
      </w:r>
      <w:r w:rsidRPr="00467B95">
        <w:rPr>
          <w:rFonts w:ascii="Times New Roman" w:hAnsi="Times New Roman"/>
          <w:sz w:val="28"/>
          <w:szCs w:val="28"/>
        </w:rPr>
        <w:softHyphen/>
        <w:t>вания результатов ОРД в качестве доказательств.</w:t>
      </w:r>
    </w:p>
    <w:p w:rsidR="00807358" w:rsidRPr="00467B95" w:rsidRDefault="00807358"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1 Бертовский Л.В. Криминалистика. Учебник для бакалавров / под. ред. Л.В. Бертов</w:t>
      </w:r>
      <w:r w:rsidRPr="002C4005">
        <w:rPr>
          <w:rFonts w:ascii="Times New Roman" w:hAnsi="Times New Roman"/>
          <w:sz w:val="28"/>
          <w:szCs w:val="28"/>
        </w:rPr>
        <w:softHyphen/>
        <w:t>ского – М: Проспект, 2018. – 941 с.</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 xml:space="preserve">2 Зацепина О. А. Порядок действия (Алгоритм) использование результатов ОРД в доказывании по уголовным делам [Электронный ресурс] / О.А. Зацепина // Интернет журнал «Отечественная юриспруденция». – 2017. – № 27. - Режим доступа: </w:t>
      </w:r>
      <w:hyperlink r:id="rId144" w:history="1">
        <w:r w:rsidRPr="002C4005">
          <w:rPr>
            <w:rStyle w:val="a8"/>
            <w:rFonts w:ascii="Times New Roman" w:hAnsi="Times New Roman"/>
            <w:color w:val="auto"/>
            <w:sz w:val="28"/>
            <w:szCs w:val="28"/>
            <w:u w:val="none"/>
          </w:rPr>
          <w:t>https://legalscience.ru/blizhajshij-nomer/ugolovnyj-protsess-kriminalistika-operativno-rozysknaya-deyatelnost/375-poryadok-dejstvij.html</w:t>
        </w:r>
      </w:hyperlink>
      <w:r w:rsidRPr="002C4005">
        <w:rPr>
          <w:rFonts w:ascii="Times New Roman" w:hAnsi="Times New Roman"/>
          <w:sz w:val="28"/>
          <w:szCs w:val="28"/>
        </w:rPr>
        <w:t xml:space="preserve"> </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 xml:space="preserve"> 3 Макаров А.В. Особенности использования результатов оперативно-розыскной дея</w:t>
      </w:r>
      <w:r w:rsidRPr="002C4005">
        <w:rPr>
          <w:rFonts w:ascii="Times New Roman" w:hAnsi="Times New Roman"/>
          <w:sz w:val="28"/>
          <w:szCs w:val="28"/>
        </w:rPr>
        <w:softHyphen/>
        <w:t>тельности в процессе доказывания по уголовным делам [Электронный ресурс] / А.В. Мака</w:t>
      </w:r>
      <w:r w:rsidRPr="002C4005">
        <w:rPr>
          <w:rFonts w:ascii="Times New Roman" w:hAnsi="Times New Roman"/>
          <w:sz w:val="28"/>
          <w:szCs w:val="28"/>
        </w:rPr>
        <w:softHyphen/>
        <w:t xml:space="preserve">ров, О.В. Фирсов // ИС «Юриспруденция». – Режим доступа: </w:t>
      </w:r>
      <w:hyperlink r:id="rId145" w:history="1">
        <w:r w:rsidRPr="002C4005">
          <w:rPr>
            <w:rStyle w:val="a8"/>
            <w:rFonts w:ascii="Times New Roman" w:hAnsi="Times New Roman"/>
            <w:color w:val="auto"/>
            <w:sz w:val="28"/>
            <w:szCs w:val="28"/>
            <w:u w:val="none"/>
          </w:rPr>
          <w:t>http://www.justicemaker.ru/view-article.php?id=22&amp;art=3768</w:t>
        </w:r>
      </w:hyperlink>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4 Об инструкции о порядке представления результатов оперативно-розыскной дея</w:t>
      </w:r>
      <w:r w:rsidRPr="002C4005">
        <w:rPr>
          <w:rFonts w:ascii="Times New Roman" w:hAnsi="Times New Roman"/>
          <w:sz w:val="28"/>
          <w:szCs w:val="28"/>
        </w:rPr>
        <w:softHyphen/>
        <w:t>тельности органу дознания, следователю или в суд: приказ МВД России № 776, Минобороны России № 703, ФСБ России № 509, ФСО России № 507, ФТС России № 1820, СВР России № 42, ФСИН России № 535, ФСКН России № 398, СК России № 68 от 27.09.2013 от 27 сентября 2013 года №776/703/509/507/1820/42/535/39 8/68 // [Электронный ресурс] // СПС «Консуль</w:t>
      </w:r>
      <w:r w:rsidRPr="002C4005">
        <w:rPr>
          <w:rFonts w:ascii="Times New Roman" w:hAnsi="Times New Roman"/>
          <w:sz w:val="28"/>
          <w:szCs w:val="28"/>
        </w:rPr>
        <w:softHyphen/>
        <w:t>тант-Плюс». – Режим доступа: http://www.consultant.ru/cons/cgi/ online.cgi?req=doc&amp;base=LAW&amp;n=155629&amp;fld=134&amp;dst=100028,0&amp;rnd=0.30297691293315565#05611544481981585</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5 Об оперативно-розыскной деятельности: закон Республики Армении от 19.11.2007 года № ЗР-223-Н (ред. от 28.06.2018) [Электронный ресурс] // ИС «База данных законода</w:t>
      </w:r>
      <w:r w:rsidRPr="002C4005">
        <w:rPr>
          <w:rFonts w:ascii="Times New Roman" w:hAnsi="Times New Roman"/>
          <w:sz w:val="28"/>
          <w:szCs w:val="28"/>
        </w:rPr>
        <w:softHyphen/>
        <w:t>тельства стран СНГ». – Режим доступа: http://base.spinform.ru/show_ doc.fwx?rgn=52390</w:t>
      </w:r>
    </w:p>
    <w:p w:rsidR="00041B86" w:rsidRPr="002C4005" w:rsidRDefault="00041B86" w:rsidP="005A3DF4">
      <w:pPr>
        <w:widowControl w:val="0"/>
        <w:spacing w:after="0" w:line="240" w:lineRule="auto"/>
        <w:ind w:firstLine="709"/>
        <w:jc w:val="both"/>
        <w:rPr>
          <w:rStyle w:val="a8"/>
          <w:rFonts w:ascii="Times New Roman" w:hAnsi="Times New Roman"/>
          <w:color w:val="auto"/>
          <w:sz w:val="28"/>
          <w:szCs w:val="28"/>
          <w:u w:val="none"/>
        </w:rPr>
      </w:pPr>
      <w:r w:rsidRPr="002C4005">
        <w:rPr>
          <w:rFonts w:ascii="Times New Roman" w:hAnsi="Times New Roman"/>
          <w:sz w:val="28"/>
          <w:szCs w:val="28"/>
        </w:rPr>
        <w:lastRenderedPageBreak/>
        <w:t xml:space="preserve">6 Об оперативно-розыскной деятельности: закон Республики Белоруссии от 15.07.2015 №307-З [Электронный ресурс] // ИС «База данных законодательства стран СНГ». – Режим доступа: </w:t>
      </w:r>
      <w:hyperlink r:id="rId146" w:history="1">
        <w:r w:rsidRPr="002C4005">
          <w:rPr>
            <w:rStyle w:val="a8"/>
            <w:rFonts w:ascii="Times New Roman" w:hAnsi="Times New Roman"/>
            <w:color w:val="auto"/>
            <w:sz w:val="28"/>
            <w:szCs w:val="28"/>
            <w:u w:val="none"/>
          </w:rPr>
          <w:t>http://base.spinform.ru/show_doc.fwx?rgn=77612</w:t>
        </w:r>
      </w:hyperlink>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Style w:val="a8"/>
          <w:rFonts w:ascii="Times New Roman" w:hAnsi="Times New Roman"/>
          <w:color w:val="auto"/>
          <w:sz w:val="28"/>
          <w:szCs w:val="28"/>
          <w:u w:val="none"/>
        </w:rPr>
        <w:t>7 Об оперативно-розыскной деятельности: закон Республики Украины от 18.02.1992 №2135-XII (ред. от 15.01.2019) [Электронный ресурс] // ИС «IAC Консультант». – Режим доступа: http://consultant.parus.ua/?doc=005Z305943</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8 Об оперативно-розыскной деятельности: федеральный Закон Российской Федера</w:t>
      </w:r>
      <w:r w:rsidRPr="002C4005">
        <w:rPr>
          <w:rFonts w:ascii="Times New Roman" w:hAnsi="Times New Roman"/>
          <w:sz w:val="28"/>
          <w:szCs w:val="28"/>
        </w:rPr>
        <w:softHyphen/>
        <w:t>ции от 12.09.1995 № 144-ФЗ (ред. от 12.11.2018) [Электронный ресурс] // СПС «Консуль</w:t>
      </w:r>
      <w:r w:rsidRPr="002C4005">
        <w:rPr>
          <w:rFonts w:ascii="Times New Roman" w:hAnsi="Times New Roman"/>
          <w:sz w:val="28"/>
          <w:szCs w:val="28"/>
        </w:rPr>
        <w:softHyphen/>
        <w:t>тантПлюс». – Режим доступа: http://www.consultant.ru/document/cons_ doc_LAW_7519/</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9 Ремизов М. В. Оперативно-розыскная деятельность: правовое регулирование и ис</w:t>
      </w:r>
      <w:r w:rsidRPr="002C4005">
        <w:rPr>
          <w:rFonts w:ascii="Times New Roman" w:hAnsi="Times New Roman"/>
          <w:sz w:val="28"/>
          <w:szCs w:val="28"/>
        </w:rPr>
        <w:softHyphen/>
        <w:t>пользование результатов в уголовном судопроизводстве: учебное / М.В. Ремизов, Р.Н. Ла</w:t>
      </w:r>
      <w:r w:rsidRPr="002C4005">
        <w:rPr>
          <w:rFonts w:ascii="Times New Roman" w:hAnsi="Times New Roman"/>
          <w:sz w:val="28"/>
          <w:szCs w:val="28"/>
        </w:rPr>
        <w:softHyphen/>
        <w:t xml:space="preserve">сточкина – Ярославль: Ярославский государственный университет. – 2007. – 93 с. </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10 Тургумбаев Е. З. Проблемы оператиdно-розыскной деятельности при расследо</w:t>
      </w:r>
      <w:r w:rsidRPr="002C4005">
        <w:rPr>
          <w:rFonts w:ascii="Times New Roman" w:hAnsi="Times New Roman"/>
          <w:sz w:val="28"/>
          <w:szCs w:val="28"/>
        </w:rPr>
        <w:softHyphen/>
        <w:t>ва</w:t>
      </w:r>
      <w:r w:rsidRPr="002C4005">
        <w:rPr>
          <w:rFonts w:ascii="Times New Roman" w:hAnsi="Times New Roman"/>
          <w:sz w:val="28"/>
          <w:szCs w:val="28"/>
        </w:rPr>
        <w:softHyphen/>
        <w:t>нии преступлений, совершаемых сотрудниками органов внутренних дел / Е. З. Тургум</w:t>
      </w:r>
      <w:r w:rsidRPr="002C4005">
        <w:rPr>
          <w:rFonts w:ascii="Times New Roman" w:hAnsi="Times New Roman"/>
          <w:sz w:val="28"/>
          <w:szCs w:val="28"/>
        </w:rPr>
        <w:softHyphen/>
        <w:t>баев / Мировые и региональные тенденции современной преступности и стратегии проти</w:t>
      </w:r>
      <w:r w:rsidRPr="002C4005">
        <w:rPr>
          <w:rFonts w:ascii="Times New Roman" w:hAnsi="Times New Roman"/>
          <w:sz w:val="28"/>
          <w:szCs w:val="28"/>
        </w:rPr>
        <w:softHyphen/>
        <w:t>водей</w:t>
      </w:r>
      <w:r w:rsidRPr="002C4005">
        <w:rPr>
          <w:rFonts w:ascii="Times New Roman" w:hAnsi="Times New Roman"/>
          <w:sz w:val="28"/>
          <w:szCs w:val="28"/>
        </w:rPr>
        <w:softHyphen/>
        <w:t>ствия: сб. мат. межд. Научно-практической конференции Алматы: КазНУ им. аль-Фараби, – 2012.</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 xml:space="preserve">11 Уголовно-процессуальный кодекс Республики Белоруссии: кодекс от 16.07.1999 № 295-З (ред. от 17.07.2018) [Электронный ресурс] // ИС «Право». – Режим доступа: </w:t>
      </w:r>
      <w:hyperlink r:id="rId147" w:history="1">
        <w:r w:rsidRPr="002C4005">
          <w:rPr>
            <w:rStyle w:val="a8"/>
            <w:rFonts w:ascii="Times New Roman" w:hAnsi="Times New Roman"/>
            <w:color w:val="auto"/>
            <w:sz w:val="28"/>
            <w:szCs w:val="28"/>
            <w:u w:val="none"/>
          </w:rPr>
          <w:t>http://etalonline.by/?type=text&amp;regnum=HK9900295</w:t>
        </w:r>
      </w:hyperlink>
    </w:p>
    <w:p w:rsidR="00041B86" w:rsidRPr="002C4005" w:rsidRDefault="00041B86" w:rsidP="005A3DF4">
      <w:pPr>
        <w:widowControl w:val="0"/>
        <w:spacing w:after="0" w:line="240" w:lineRule="auto"/>
        <w:ind w:firstLine="709"/>
        <w:jc w:val="both"/>
        <w:rPr>
          <w:rStyle w:val="a8"/>
          <w:rFonts w:ascii="Times New Roman" w:hAnsi="Times New Roman"/>
          <w:color w:val="auto"/>
          <w:sz w:val="28"/>
          <w:szCs w:val="28"/>
          <w:u w:val="none"/>
        </w:rPr>
      </w:pPr>
      <w:r w:rsidRPr="002C4005">
        <w:rPr>
          <w:rFonts w:ascii="Times New Roman" w:hAnsi="Times New Roman"/>
          <w:sz w:val="28"/>
          <w:szCs w:val="28"/>
        </w:rPr>
        <w:t xml:space="preserve">12 Уголовно-процессуальный кодекс Республики Казахстан: кодекс от 4.07.2014 № 231-V (ред. от 01.04.2019) [Электронный ресурс] // ИС «Параграф». – Режим доступа: </w:t>
      </w:r>
      <w:hyperlink r:id="rId148" w:history="1">
        <w:r w:rsidRPr="002C4005">
          <w:rPr>
            <w:rStyle w:val="a8"/>
            <w:rFonts w:ascii="Times New Roman" w:hAnsi="Times New Roman"/>
            <w:color w:val="auto"/>
            <w:sz w:val="28"/>
            <w:szCs w:val="28"/>
            <w:u w:val="none"/>
          </w:rPr>
          <w:t>http://online.zakon.kz/Document/?doc_id=31575852</w:t>
        </w:r>
      </w:hyperlink>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Style w:val="a8"/>
          <w:rFonts w:ascii="Times New Roman" w:hAnsi="Times New Roman"/>
          <w:color w:val="auto"/>
          <w:sz w:val="28"/>
          <w:szCs w:val="28"/>
          <w:u w:val="none"/>
        </w:rPr>
        <w:t>13 Уголовно-процессуальный кодекс Киргизской Республики: кодекс от 2.02.2017 № 20 (ред. от 15.05.2019) [Электронный ресурс] // Министерство юстиции Киргизской Республики: официал. сайт. – Режим доступа: http://cbd.minjust.gov.kg/act/view/ru-ru/111530/30?mode=tekst</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14 Уголовно-процессуальный кодекс Российской Федерации: федеральный закон от 18.12.2001 № 174-ФЗ (ред. от 01.04.2019) [Электронный ресурс] // СПС «Консультант–Плюс». – Режим доступа: http://w ww.consultant.ru/document/cons_doc_LAW_34481/</w:t>
      </w:r>
    </w:p>
    <w:p w:rsidR="00041B86" w:rsidRPr="002C4005" w:rsidRDefault="00041B86" w:rsidP="005A3DF4">
      <w:pPr>
        <w:widowControl w:val="0"/>
        <w:spacing w:after="0" w:line="240" w:lineRule="auto"/>
        <w:ind w:firstLine="709"/>
        <w:jc w:val="both"/>
        <w:rPr>
          <w:rFonts w:ascii="Times New Roman" w:hAnsi="Times New Roman"/>
          <w:sz w:val="28"/>
          <w:szCs w:val="28"/>
        </w:rPr>
      </w:pPr>
      <w:r w:rsidRPr="002C4005">
        <w:rPr>
          <w:rFonts w:ascii="Times New Roman" w:hAnsi="Times New Roman"/>
          <w:sz w:val="28"/>
          <w:szCs w:val="28"/>
        </w:rPr>
        <w:t>15 Оперативно-розыскная деятельность: учебник / авт. К. Горяинова, В.С. Овчин</w:t>
      </w:r>
      <w:r w:rsidRPr="002C4005">
        <w:rPr>
          <w:rFonts w:ascii="Times New Roman" w:hAnsi="Times New Roman"/>
          <w:sz w:val="28"/>
          <w:szCs w:val="28"/>
        </w:rPr>
        <w:softHyphen/>
        <w:t>ского, А.Ю. Шумилова. – М., РТА, 2001. – 848 с.</w:t>
      </w:r>
    </w:p>
    <w:p w:rsidR="00041B86" w:rsidRPr="00467B95" w:rsidRDefault="00041B86" w:rsidP="005A3DF4">
      <w:pPr>
        <w:widowControl w:val="0"/>
        <w:spacing w:after="0" w:line="240" w:lineRule="auto"/>
        <w:ind w:firstLine="709"/>
        <w:rPr>
          <w:rFonts w:ascii="Times New Roman" w:hAnsi="Times New Roman"/>
          <w:sz w:val="28"/>
          <w:szCs w:val="28"/>
        </w:rPr>
      </w:pPr>
    </w:p>
    <w:p w:rsidR="00041B86" w:rsidRPr="00467B95" w:rsidRDefault="00041B86" w:rsidP="005A3DF4">
      <w:pPr>
        <w:widowControl w:val="0"/>
        <w:spacing w:after="0" w:line="240" w:lineRule="auto"/>
        <w:ind w:firstLine="709"/>
        <w:jc w:val="center"/>
        <w:rPr>
          <w:rFonts w:ascii="Times New Roman" w:eastAsia="Times New Roman" w:hAnsi="Times New Roman"/>
          <w:b/>
          <w:color w:val="000000"/>
          <w:sz w:val="28"/>
          <w:szCs w:val="28"/>
          <w:lang w:eastAsia="ru-RU"/>
        </w:rPr>
      </w:pPr>
      <w:r w:rsidRPr="00467B95">
        <w:rPr>
          <w:rFonts w:ascii="Times New Roman" w:eastAsia="Times New Roman" w:hAnsi="Times New Roman"/>
          <w:b/>
          <w:color w:val="000000"/>
          <w:sz w:val="28"/>
          <w:szCs w:val="28"/>
          <w:lang w:eastAsia="ru-RU"/>
        </w:rPr>
        <w:t xml:space="preserve">К вопросу об исправлении осужденных как к достижению </w:t>
      </w:r>
    </w:p>
    <w:p w:rsidR="00041B86" w:rsidRPr="00467B95" w:rsidRDefault="00041B86" w:rsidP="005A3DF4">
      <w:pPr>
        <w:widowControl w:val="0"/>
        <w:spacing w:after="0" w:line="240" w:lineRule="auto"/>
        <w:ind w:firstLine="709"/>
        <w:jc w:val="center"/>
        <w:rPr>
          <w:rFonts w:ascii="Times New Roman" w:eastAsia="Times New Roman" w:hAnsi="Times New Roman"/>
          <w:b/>
          <w:color w:val="000000"/>
          <w:sz w:val="28"/>
          <w:szCs w:val="28"/>
          <w:lang w:eastAsia="ru-RU"/>
        </w:rPr>
      </w:pPr>
      <w:r w:rsidRPr="00467B95">
        <w:rPr>
          <w:rFonts w:ascii="Times New Roman" w:eastAsia="Times New Roman" w:hAnsi="Times New Roman"/>
          <w:b/>
          <w:color w:val="000000"/>
          <w:sz w:val="28"/>
          <w:szCs w:val="28"/>
          <w:lang w:eastAsia="ru-RU"/>
        </w:rPr>
        <w:t>цели уголовного наказания</w:t>
      </w:r>
    </w:p>
    <w:p w:rsidR="00041B86" w:rsidRPr="00467B95" w:rsidRDefault="00041B86" w:rsidP="005A3DF4">
      <w:pPr>
        <w:widowControl w:val="0"/>
        <w:spacing w:after="0" w:line="240" w:lineRule="auto"/>
        <w:ind w:firstLine="709"/>
        <w:jc w:val="both"/>
        <w:rPr>
          <w:rFonts w:ascii="Times New Roman" w:eastAsia="Times New Roman" w:hAnsi="Times New Roman"/>
          <w:color w:val="000000"/>
          <w:sz w:val="28"/>
          <w:szCs w:val="28"/>
          <w:lang w:eastAsia="ru-RU"/>
        </w:rPr>
      </w:pPr>
    </w:p>
    <w:p w:rsidR="00041B86" w:rsidRPr="00467B95" w:rsidRDefault="00041B86" w:rsidP="005A3DF4">
      <w:pPr>
        <w:widowControl w:val="0"/>
        <w:spacing w:after="0" w:line="240" w:lineRule="auto"/>
        <w:ind w:firstLine="709"/>
        <w:jc w:val="center"/>
        <w:rPr>
          <w:rFonts w:ascii="Times New Roman" w:eastAsia="Times New Roman" w:hAnsi="Times New Roman"/>
          <w:b/>
          <w:i/>
          <w:color w:val="000000"/>
          <w:sz w:val="28"/>
          <w:szCs w:val="28"/>
          <w:lang w:eastAsia="ru-RU"/>
        </w:rPr>
      </w:pPr>
      <w:r w:rsidRPr="00467B95">
        <w:rPr>
          <w:rFonts w:ascii="Times New Roman" w:eastAsia="Times New Roman" w:hAnsi="Times New Roman"/>
          <w:b/>
          <w:i/>
          <w:color w:val="000000"/>
          <w:sz w:val="28"/>
          <w:szCs w:val="28"/>
          <w:lang w:eastAsia="ru-RU"/>
        </w:rPr>
        <w:t>Иозеф Ефим Станиславович,</w:t>
      </w:r>
    </w:p>
    <w:p w:rsidR="00041B86" w:rsidRPr="00467B95" w:rsidRDefault="00041B86" w:rsidP="005A3DF4">
      <w:pPr>
        <w:widowControl w:val="0"/>
        <w:spacing w:after="0" w:line="240" w:lineRule="auto"/>
        <w:ind w:firstLine="709"/>
        <w:jc w:val="center"/>
        <w:rPr>
          <w:rFonts w:ascii="Times New Roman" w:eastAsia="Times New Roman" w:hAnsi="Times New Roman"/>
          <w:i/>
          <w:color w:val="000000"/>
          <w:sz w:val="28"/>
          <w:szCs w:val="28"/>
          <w:lang w:eastAsia="ru-RU"/>
        </w:rPr>
      </w:pPr>
      <w:r w:rsidRPr="00467B95">
        <w:rPr>
          <w:rFonts w:ascii="Times New Roman" w:eastAsia="Times New Roman" w:hAnsi="Times New Roman"/>
          <w:i/>
          <w:color w:val="000000"/>
          <w:sz w:val="28"/>
          <w:szCs w:val="28"/>
          <w:lang w:eastAsia="ru-RU"/>
        </w:rPr>
        <w:t>студент Института права</w:t>
      </w:r>
    </w:p>
    <w:p w:rsidR="00041B86" w:rsidRPr="00467B95" w:rsidRDefault="00041B86" w:rsidP="005A3DF4">
      <w:pPr>
        <w:widowControl w:val="0"/>
        <w:spacing w:after="0" w:line="240" w:lineRule="auto"/>
        <w:ind w:firstLine="709"/>
        <w:jc w:val="center"/>
        <w:rPr>
          <w:rFonts w:ascii="Times New Roman" w:eastAsia="Times New Roman" w:hAnsi="Times New Roman"/>
          <w:i/>
          <w:color w:val="000000"/>
          <w:sz w:val="28"/>
          <w:szCs w:val="28"/>
          <w:lang w:eastAsia="ru-RU"/>
        </w:rPr>
      </w:pPr>
      <w:r w:rsidRPr="00467B95">
        <w:rPr>
          <w:rFonts w:ascii="Times New Roman" w:eastAsia="Times New Roman" w:hAnsi="Times New Roman"/>
          <w:i/>
          <w:color w:val="000000"/>
          <w:sz w:val="28"/>
          <w:szCs w:val="28"/>
          <w:lang w:eastAsia="ru-RU"/>
        </w:rPr>
        <w:lastRenderedPageBreak/>
        <w:t>Владивостокского государственного</w:t>
      </w:r>
    </w:p>
    <w:p w:rsidR="00041B86" w:rsidRPr="00467B95" w:rsidRDefault="00041B86" w:rsidP="005A3DF4">
      <w:pPr>
        <w:widowControl w:val="0"/>
        <w:spacing w:after="0" w:line="240" w:lineRule="auto"/>
        <w:ind w:firstLine="709"/>
        <w:jc w:val="center"/>
        <w:rPr>
          <w:rFonts w:ascii="Times New Roman" w:eastAsia="Times New Roman" w:hAnsi="Times New Roman"/>
          <w:i/>
          <w:color w:val="000000"/>
          <w:sz w:val="28"/>
          <w:szCs w:val="28"/>
          <w:lang w:eastAsia="ru-RU"/>
        </w:rPr>
      </w:pPr>
      <w:r w:rsidRPr="00467B95">
        <w:rPr>
          <w:rFonts w:ascii="Times New Roman" w:eastAsia="Times New Roman" w:hAnsi="Times New Roman"/>
          <w:i/>
          <w:color w:val="000000"/>
          <w:sz w:val="28"/>
          <w:szCs w:val="28"/>
          <w:lang w:eastAsia="ru-RU"/>
        </w:rPr>
        <w:t>Университета экономики и сервиса,</w:t>
      </w:r>
    </w:p>
    <w:p w:rsidR="009E5C32" w:rsidRDefault="009E5C32" w:rsidP="005A3DF4">
      <w:pPr>
        <w:widowControl w:val="0"/>
        <w:spacing w:after="0" w:line="240" w:lineRule="auto"/>
        <w:ind w:firstLine="709"/>
        <w:jc w:val="both"/>
        <w:rPr>
          <w:rFonts w:ascii="Times New Roman" w:eastAsia="Times New Roman" w:hAnsi="Times New Roman"/>
          <w:color w:val="000000"/>
          <w:sz w:val="28"/>
          <w:szCs w:val="28"/>
          <w:lang w:eastAsia="ru-RU"/>
        </w:rPr>
      </w:pPr>
    </w:p>
    <w:p w:rsidR="00041B86" w:rsidRPr="00467B95" w:rsidRDefault="00E108DB" w:rsidP="005A3DF4">
      <w:pPr>
        <w:widowControl w:val="0"/>
        <w:spacing w:after="0" w:line="240" w:lineRule="auto"/>
        <w:ind w:firstLine="709"/>
        <w:jc w:val="both"/>
        <w:rPr>
          <w:rFonts w:ascii="Times New Roman" w:eastAsia="Times New Roman" w:hAnsi="Times New Roman"/>
          <w:color w:val="000000"/>
          <w:sz w:val="28"/>
          <w:szCs w:val="28"/>
          <w:lang w:eastAsia="ru-RU"/>
        </w:rPr>
      </w:pPr>
      <w:r w:rsidRPr="00467B95">
        <w:rPr>
          <w:rFonts w:ascii="Times New Roman" w:eastAsia="Times New Roman" w:hAnsi="Times New Roman"/>
          <w:color w:val="000000"/>
          <w:sz w:val="28"/>
          <w:szCs w:val="28"/>
          <w:lang w:eastAsia="ru-RU"/>
        </w:rPr>
        <w:t xml:space="preserve"> </w:t>
      </w:r>
      <w:r w:rsidR="00041B86" w:rsidRPr="00467B95">
        <w:rPr>
          <w:rFonts w:ascii="Times New Roman" w:eastAsia="Times New Roman" w:hAnsi="Times New Roman"/>
          <w:color w:val="000000"/>
          <w:sz w:val="28"/>
          <w:szCs w:val="28"/>
          <w:lang w:eastAsia="ru-RU"/>
        </w:rPr>
        <w:t>«Исправление осужденных», как цель уголовного наказания находит свое воплощения на стадии исполнения приговора. Такая связь обусловлена самой категорией «исправление», поскольку последнее есть процесс, протекающий под гнетом государственного принуждения, и направленный на «формирование у осужденных уважительного отношения</w:t>
      </w:r>
      <w:r w:rsidR="00041B86" w:rsidRPr="00467B95">
        <w:rPr>
          <w:rFonts w:ascii="Times New Roman" w:hAnsi="Times New Roman"/>
          <w:sz w:val="28"/>
          <w:szCs w:val="28"/>
        </w:rPr>
        <w:t xml:space="preserve"> </w:t>
      </w:r>
      <w:r w:rsidR="00041B86" w:rsidRPr="00467B95">
        <w:rPr>
          <w:rFonts w:ascii="Times New Roman" w:eastAsia="Times New Roman" w:hAnsi="Times New Roman"/>
          <w:color w:val="000000"/>
          <w:sz w:val="28"/>
          <w:szCs w:val="28"/>
          <w:lang w:eastAsia="ru-RU"/>
        </w:rPr>
        <w:t>к человеку, обществу, труду, нормам, правилам и традициям человеческого общежития и стимулирование правопослушного поведения» [1].</w:t>
      </w:r>
    </w:p>
    <w:p w:rsidR="00041B86" w:rsidRPr="00467B95" w:rsidRDefault="00041B86" w:rsidP="005A3DF4">
      <w:pPr>
        <w:pStyle w:val="a9"/>
        <w:widowControl w:val="0"/>
        <w:spacing w:before="0" w:beforeAutospacing="0" w:after="0" w:afterAutospacing="0"/>
        <w:ind w:firstLine="709"/>
        <w:jc w:val="both"/>
        <w:rPr>
          <w:color w:val="000000"/>
          <w:sz w:val="28"/>
          <w:szCs w:val="28"/>
        </w:rPr>
      </w:pPr>
      <w:r w:rsidRPr="00467B95">
        <w:rPr>
          <w:color w:val="000000"/>
          <w:sz w:val="28"/>
          <w:szCs w:val="28"/>
        </w:rPr>
        <w:t>Исправление предполагает повторное усвоение осужденным определенной системы знаний, норм и ценностей, и их переосмысления. Будучи сложным процессом, оно может быть достигнуто лишь при многоаспектном воздействии. «Основными средствами исправления являются: установленный порядок исполнения и отбывания наказания (режим), воспитательная работа, общественно полезный труд, получение общего образования, профессиональное обучение и общественное воздействие» [2]. Как следствие, исправление может быть достигнуто лишь в рамках исправительного учреждения при контроле и обеспечении администрацией реализации процесса «формирования положительного отношения».</w:t>
      </w:r>
    </w:p>
    <w:p w:rsidR="00041B86" w:rsidRPr="00467B95" w:rsidRDefault="00041B86" w:rsidP="005A3DF4">
      <w:pPr>
        <w:widowControl w:val="0"/>
        <w:spacing w:after="0" w:line="240" w:lineRule="auto"/>
        <w:ind w:firstLine="709"/>
        <w:jc w:val="both"/>
        <w:rPr>
          <w:rFonts w:ascii="Times New Roman" w:eastAsia="Times New Roman" w:hAnsi="Times New Roman"/>
          <w:color w:val="000000"/>
          <w:sz w:val="28"/>
          <w:szCs w:val="28"/>
          <w:lang w:eastAsia="ru-RU"/>
        </w:rPr>
      </w:pPr>
      <w:r w:rsidRPr="00467B95">
        <w:rPr>
          <w:rFonts w:ascii="Times New Roman" w:eastAsia="Times New Roman" w:hAnsi="Times New Roman"/>
          <w:color w:val="000000"/>
          <w:sz w:val="28"/>
          <w:szCs w:val="28"/>
          <w:lang w:eastAsia="ru-RU"/>
        </w:rPr>
        <w:t>В то же время, «исправление» имеет оценочный характер, поскольку отражает поведение осужденного, а значит выступает эквивалентом его «сформированного положительного отношения». Необходимость объективирования «исправления» в качестве результата, возникает при реализации поощрительных и карательных мер, предусмотренных средствами исправления осужденных [3].</w:t>
      </w:r>
    </w:p>
    <w:p w:rsidR="00041B86" w:rsidRPr="00467B95" w:rsidRDefault="00041B86" w:rsidP="005A3DF4">
      <w:pPr>
        <w:widowControl w:val="0"/>
        <w:spacing w:after="0" w:line="240" w:lineRule="auto"/>
        <w:ind w:firstLine="709"/>
        <w:jc w:val="both"/>
        <w:rPr>
          <w:rFonts w:ascii="Times New Roman" w:eastAsia="Times New Roman" w:hAnsi="Times New Roman"/>
          <w:color w:val="000000"/>
          <w:sz w:val="28"/>
          <w:szCs w:val="28"/>
          <w:lang w:eastAsia="ru-RU"/>
        </w:rPr>
      </w:pPr>
      <w:r w:rsidRPr="00467B95">
        <w:rPr>
          <w:rFonts w:ascii="Times New Roman" w:eastAsia="Times New Roman" w:hAnsi="Times New Roman"/>
          <w:color w:val="000000"/>
          <w:sz w:val="28"/>
          <w:szCs w:val="28"/>
          <w:lang w:eastAsia="ru-RU"/>
        </w:rPr>
        <w:t>При разрешении вопроса об изменении вида исправительного учреждения, администрация исправительного учреждения либо органа, в котором осужденный отбывает наказание оценивает степень исправления осужденного, анализируя его поведение за весь период отбывания наказания. Результаты оценки отражаются в характеристике, которая вместе с представлением направляется в суд. Затем, исследовав материалы дела, суд принимает соответствующее решение – подтверждая либо опровергая исправление осужденного.</w:t>
      </w:r>
    </w:p>
    <w:p w:rsidR="00041B86" w:rsidRPr="00467B95" w:rsidRDefault="00041B86" w:rsidP="005A3DF4">
      <w:pPr>
        <w:widowControl w:val="0"/>
        <w:spacing w:after="0" w:line="240" w:lineRule="auto"/>
        <w:ind w:firstLine="709"/>
        <w:jc w:val="both"/>
        <w:rPr>
          <w:rFonts w:ascii="Times New Roman" w:eastAsia="Times New Roman" w:hAnsi="Times New Roman"/>
          <w:color w:val="000000"/>
          <w:sz w:val="28"/>
          <w:szCs w:val="28"/>
          <w:lang w:eastAsia="ru-RU"/>
        </w:rPr>
      </w:pPr>
      <w:r w:rsidRPr="00467B95">
        <w:rPr>
          <w:rFonts w:ascii="Times New Roman" w:eastAsia="Times New Roman" w:hAnsi="Times New Roman"/>
          <w:color w:val="000000"/>
          <w:sz w:val="28"/>
          <w:szCs w:val="28"/>
          <w:lang w:eastAsia="ru-RU"/>
        </w:rPr>
        <w:t xml:space="preserve">Примечательно, что осужденные дифференцируются на уголовно-правовые группы еще на стадии назначения наказания.  Реализация принципа справедливости обеспечивает соответствие характера и </w:t>
      </w:r>
      <w:r w:rsidRPr="00467B95">
        <w:rPr>
          <w:rFonts w:ascii="Times New Roman" w:eastAsia="Times New Roman" w:hAnsi="Times New Roman"/>
          <w:sz w:val="28"/>
          <w:szCs w:val="28"/>
          <w:lang w:eastAsia="ru-RU"/>
        </w:rPr>
        <w:t xml:space="preserve">степени общественной опасности преступления назначаемой мере принуждения, и способствует </w:t>
      </w:r>
      <w:r w:rsidRPr="00467B95">
        <w:rPr>
          <w:rFonts w:ascii="Times New Roman" w:eastAsia="Times New Roman" w:hAnsi="Times New Roman"/>
          <w:color w:val="000000"/>
          <w:sz w:val="28"/>
          <w:szCs w:val="28"/>
          <w:lang w:eastAsia="ru-RU"/>
        </w:rPr>
        <w:t xml:space="preserve">определению необходимого объема воздействия способного обеспечить достижение цели уголовного наказания. </w:t>
      </w:r>
    </w:p>
    <w:p w:rsidR="00041B86" w:rsidRPr="00467B95" w:rsidRDefault="00041B86" w:rsidP="005A3DF4">
      <w:pPr>
        <w:widowControl w:val="0"/>
        <w:spacing w:after="0" w:line="240" w:lineRule="auto"/>
        <w:ind w:firstLine="709"/>
        <w:jc w:val="both"/>
        <w:rPr>
          <w:rFonts w:ascii="Times New Roman" w:eastAsia="Times New Roman" w:hAnsi="Times New Roman"/>
          <w:color w:val="000000"/>
          <w:sz w:val="28"/>
          <w:szCs w:val="28"/>
          <w:lang w:eastAsia="ru-RU"/>
        </w:rPr>
      </w:pPr>
      <w:r w:rsidRPr="00467B95">
        <w:rPr>
          <w:rFonts w:ascii="Times New Roman" w:eastAsia="Times New Roman" w:hAnsi="Times New Roman"/>
          <w:color w:val="000000"/>
          <w:sz w:val="28"/>
          <w:szCs w:val="28"/>
          <w:lang w:eastAsia="ru-RU"/>
        </w:rPr>
        <w:t>Таким образом, учитывая характер, тяжесть и количество преступлений происходит разграничение требований предполагаемого поведения осужденного, которое свидетельствовало бы о его исправлении.</w:t>
      </w:r>
    </w:p>
    <w:p w:rsidR="00041B86" w:rsidRPr="00467B95" w:rsidRDefault="00041B86" w:rsidP="005A3DF4">
      <w:pPr>
        <w:widowControl w:val="0"/>
        <w:spacing w:after="0" w:line="240" w:lineRule="auto"/>
        <w:ind w:firstLine="709"/>
        <w:jc w:val="both"/>
        <w:rPr>
          <w:rFonts w:ascii="Times New Roman" w:eastAsia="Times New Roman" w:hAnsi="Times New Roman"/>
          <w:color w:val="000000"/>
          <w:sz w:val="28"/>
          <w:szCs w:val="28"/>
          <w:lang w:eastAsia="ru-RU"/>
        </w:rPr>
      </w:pPr>
      <w:r w:rsidRPr="00467B95">
        <w:rPr>
          <w:rFonts w:ascii="Times New Roman" w:eastAsia="Times New Roman" w:hAnsi="Times New Roman"/>
          <w:color w:val="000000"/>
          <w:sz w:val="28"/>
          <w:szCs w:val="28"/>
          <w:lang w:eastAsia="ru-RU"/>
        </w:rPr>
        <w:lastRenderedPageBreak/>
        <w:t xml:space="preserve">В данном случае, можно говорить не столько о требованиях, сколько о формальном установлении представления о личности преступника, изменение которой происходит в рамках исправления осужденного. </w:t>
      </w:r>
    </w:p>
    <w:p w:rsidR="00041B86" w:rsidRPr="00467B95" w:rsidRDefault="00041B86" w:rsidP="005A3DF4">
      <w:pPr>
        <w:widowControl w:val="0"/>
        <w:tabs>
          <w:tab w:val="left" w:pos="6300"/>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 формировании оснований изменения вида исправительного учреждения законодатель использует абстрактный способ изложения правовой нормы, обобщая разнообразие образа жизни и действий термином «поведение».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ходе исследования института изменения вида исправительного учреждения, мной было проанализировано 30 апелляционных постановлений по Приморскому краю с 2018 по 2013 год, на основании анализа которой, можно определить формы выражения поведения, осужденного:</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соблюдение правил внутреннего распорядка;</w:t>
      </w:r>
      <w:r w:rsidRPr="00467B95">
        <w:rPr>
          <w:rFonts w:ascii="Times New Roman" w:hAnsi="Times New Roman" w:cs="Times New Roman"/>
          <w:sz w:val="28"/>
          <w:szCs w:val="28"/>
        </w:rPr>
        <w:tab/>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выполнение требований администрации исправительного учреждения;</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участие в мероприятиях воспитательного характера и в общественной жизни исправительного учреждения;</w:t>
      </w:r>
      <w:r w:rsidRPr="00467B95">
        <w:rPr>
          <w:rFonts w:ascii="Times New Roman" w:hAnsi="Times New Roman" w:cs="Times New Roman"/>
          <w:sz w:val="28"/>
          <w:szCs w:val="28"/>
        </w:rPr>
        <w:tab/>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поддержание отношений с родственниками, а также с осужденными;</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отношение к труду и трудоустройство;</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количество взысканий и поощрений; </w:t>
      </w:r>
      <w:r w:rsidRPr="00467B95">
        <w:rPr>
          <w:rFonts w:ascii="Times New Roman" w:hAnsi="Times New Roman" w:cs="Times New Roman"/>
          <w:sz w:val="28"/>
          <w:szCs w:val="28"/>
        </w:rPr>
        <w:tab/>
        <w:t xml:space="preserve"> </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результат бесед воспитательного характера;   </w:t>
      </w:r>
      <w:r w:rsidRPr="00467B95">
        <w:rPr>
          <w:rFonts w:ascii="Times New Roman" w:hAnsi="Times New Roman" w:cs="Times New Roman"/>
          <w:sz w:val="28"/>
          <w:szCs w:val="28"/>
        </w:rPr>
        <w:tab/>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характер осужденного, и его планы на будущее;</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частичное или полное возмещение причиненного ущерба, или заглаживание вреда, причиненного в результате преступлениям иным образом;</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отношение к учебе;</w:t>
      </w:r>
    </w:p>
    <w:p w:rsidR="00041B86" w:rsidRPr="00467B95" w:rsidRDefault="00041B86" w:rsidP="007F4EC1">
      <w:pPr>
        <w:pStyle w:val="a7"/>
        <w:widowControl w:val="0"/>
        <w:numPr>
          <w:ilvl w:val="0"/>
          <w:numId w:val="21"/>
        </w:numPr>
        <w:tabs>
          <w:tab w:val="left" w:pos="426"/>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отношение к преступлению.</w:t>
      </w:r>
    </w:p>
    <w:p w:rsidR="00041B86" w:rsidRPr="00467B95" w:rsidRDefault="00041B86" w:rsidP="005A3DF4">
      <w:pPr>
        <w:widowControl w:val="0"/>
        <w:tabs>
          <w:tab w:val="left" w:pos="993"/>
          <w:tab w:val="left" w:pos="6300"/>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 этом поведение представляет собой не только отношение к режиму, участию в воспитательных мероприятиях, но и личное отношение к таким мероприятиям – их результаты.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 из бесед воспитательного характера осужденный может делать для себя положительные выводы, либо относиться к таким беседам безразлично, он может участвовать в общественной жизни исправительного учреждения, но не проявлять к ней особого интереса.</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Трудоустройство также не имеет определяющего значения. Здесь необходим анализ отношения осужденного к труду, установление которого осуществляется не только на основании исполнения трудовых обязанностей, вытекающих из выполнения им оплачиваемой работы, но и из выполнения бесплатных работ по благоустройству исправительных учреждений.</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Вообще все, что может восприниматься с точки зрения администрации исправительного учреждения как положительно влияющее на степень исправления осужденного, может быть отражено в характеристике и свидетельствовать об исправлении осужденного. Но, при этом еще не значит, что, например, осужденный, получивший образование за время отбытия наказания, будет иметь положительную характеристику, а лицо не </w:t>
      </w:r>
      <w:r w:rsidRPr="00467B95">
        <w:rPr>
          <w:rFonts w:ascii="Times New Roman" w:hAnsi="Times New Roman"/>
          <w:sz w:val="28"/>
          <w:szCs w:val="28"/>
        </w:rPr>
        <w:lastRenderedPageBreak/>
        <w:t xml:space="preserve">получившее – нет.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Это объясняется наличием формальных и материальных оснований изменения вида исправительного учреждения. Их категорирование позволяет определить критерии поведения явно свидетельствующие об исправлении личности осужденного.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Как указал суд, в одном из дел, «сообщение осужденного о том, что за время отбытия наказания он создал семью, получил образование и профессию, не влияют на решение суда об изменении вида исправительного учреждения, поскольку личная жизнь осужденного не является весомой причиной для удовлетворения его ходатайства» [4].</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Однако несмотря на различное значение тех или иных критериев, можно однозначно установить одно – положительная характеристика требует отсутствия каких-либо аспектов негативно влияющих на оценку поведения осужденного.</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 например, разрешая вопрос о степени исправления, администрация исправительного учреждения сделала вывод о том, что осужденный характеризуется удовлетворительно, несмотря на то, что:</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1</w:t>
      </w:r>
      <w:r w:rsidRPr="00467B95">
        <w:rPr>
          <w:rFonts w:ascii="Times New Roman" w:hAnsi="Times New Roman"/>
          <w:sz w:val="28"/>
          <w:szCs w:val="28"/>
        </w:rPr>
        <w:tab/>
        <w:t xml:space="preserve">осужденный трудоустроен, к труду относится добросовестно; </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2</w:t>
      </w:r>
      <w:r w:rsidRPr="00467B95">
        <w:rPr>
          <w:rFonts w:ascii="Times New Roman" w:hAnsi="Times New Roman"/>
          <w:sz w:val="28"/>
          <w:szCs w:val="28"/>
        </w:rPr>
        <w:tab/>
        <w:t>порядок отбывания наказания старается не нарушать;</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3</w:t>
      </w:r>
      <w:r w:rsidRPr="00467B95">
        <w:rPr>
          <w:rFonts w:ascii="Times New Roman" w:hAnsi="Times New Roman"/>
          <w:sz w:val="28"/>
          <w:szCs w:val="28"/>
        </w:rPr>
        <w:tab/>
        <w:t>правила внутреннего распорядка соблюдает;</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4</w:t>
      </w:r>
      <w:r w:rsidRPr="00467B95">
        <w:rPr>
          <w:rFonts w:ascii="Times New Roman" w:hAnsi="Times New Roman"/>
          <w:sz w:val="28"/>
          <w:szCs w:val="28"/>
        </w:rPr>
        <w:tab/>
        <w:t>требования администрации исправительного учреждения выполняет;</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5</w:t>
      </w:r>
      <w:r w:rsidRPr="00467B95">
        <w:rPr>
          <w:rFonts w:ascii="Times New Roman" w:hAnsi="Times New Roman"/>
          <w:sz w:val="28"/>
          <w:szCs w:val="28"/>
        </w:rPr>
        <w:tab/>
        <w:t>взысканий не имеет;</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6</w:t>
      </w:r>
      <w:r w:rsidRPr="00467B95">
        <w:rPr>
          <w:rFonts w:ascii="Times New Roman" w:hAnsi="Times New Roman"/>
          <w:sz w:val="28"/>
          <w:szCs w:val="28"/>
        </w:rPr>
        <w:tab/>
        <w:t>имеет 2 поощрения;</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7</w:t>
      </w:r>
      <w:r w:rsidRPr="00467B95">
        <w:rPr>
          <w:rFonts w:ascii="Times New Roman" w:hAnsi="Times New Roman"/>
          <w:sz w:val="28"/>
          <w:szCs w:val="28"/>
        </w:rPr>
        <w:tab/>
        <w:t>в подготовке и проведении воспитательных и культурно-массовых мероприятиях эпизодически принимает участие;</w:t>
      </w:r>
    </w:p>
    <w:p w:rsidR="00041B86" w:rsidRPr="00467B95" w:rsidRDefault="00041B86" w:rsidP="005A3DF4">
      <w:pPr>
        <w:widowControl w:val="0"/>
        <w:tabs>
          <w:tab w:val="left" w:pos="426"/>
          <w:tab w:val="left" w:pos="993"/>
        </w:tabs>
        <w:spacing w:after="0" w:line="240" w:lineRule="auto"/>
        <w:ind w:firstLine="709"/>
        <w:jc w:val="both"/>
        <w:rPr>
          <w:rFonts w:ascii="Times New Roman" w:hAnsi="Times New Roman"/>
          <w:sz w:val="28"/>
          <w:szCs w:val="28"/>
        </w:rPr>
      </w:pPr>
      <w:r w:rsidRPr="00467B95">
        <w:rPr>
          <w:rFonts w:ascii="Times New Roman" w:hAnsi="Times New Roman"/>
          <w:sz w:val="28"/>
          <w:szCs w:val="28"/>
        </w:rPr>
        <w:t>8</w:t>
      </w:r>
      <w:r w:rsidRPr="00467B95">
        <w:rPr>
          <w:rFonts w:ascii="Times New Roman" w:hAnsi="Times New Roman"/>
          <w:sz w:val="28"/>
          <w:szCs w:val="28"/>
        </w:rPr>
        <w:tab/>
        <w:t xml:space="preserve">вину в совершенном преступлении признаёт, в содеянном раскаивается.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Получив отказ в удовлетворении ходатайства об изменении вида исправительного учреждения, осужденный подал апелляционную жалобу в которой указал, «что администрация колонии необоснованно дала на него удовлетворительную, а не положительную характеристику и сознательно занижает критерии характеризующие его положительно» [5].</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суде, представитель исправительного учреждения пояснил, чем руководствовалась администрация исправительного учреждениям принимая такое решение. Во-первых, из бесед воспитательного характера осужденный не всегда делает для себя положительный вывод. Во-вторых, осужденный не имеет сформированных планов на будущее. В-третьих, ведет приспособленчески образ жизни.</w:t>
      </w:r>
    </w:p>
    <w:p w:rsidR="00041B86" w:rsidRPr="00467B95" w:rsidRDefault="00041B86" w:rsidP="005A3DF4">
      <w:pPr>
        <w:widowControl w:val="0"/>
        <w:spacing w:after="0" w:line="240" w:lineRule="auto"/>
        <w:ind w:firstLine="709"/>
        <w:jc w:val="both"/>
        <w:rPr>
          <w:rFonts w:ascii="Times New Roman" w:eastAsia="Times New Roman" w:hAnsi="Times New Roman"/>
          <w:color w:val="000000"/>
          <w:sz w:val="28"/>
          <w:szCs w:val="28"/>
          <w:lang w:eastAsia="ru-RU"/>
        </w:rPr>
      </w:pPr>
      <w:r w:rsidRPr="00467B95">
        <w:rPr>
          <w:rFonts w:ascii="Times New Roman" w:eastAsia="Times New Roman" w:hAnsi="Times New Roman"/>
          <w:color w:val="000000"/>
          <w:sz w:val="28"/>
          <w:szCs w:val="28"/>
          <w:lang w:eastAsia="ru-RU"/>
        </w:rPr>
        <w:t xml:space="preserve">Таким образом, при анализе степени исправления осужденного, администрацией исправительного учреждения и судом исследуется личность осужденного, его психологический портрет, привычки и образ жизни, устанавливается наличие социальных связей и планов на будущее. Объективная сторона преступления предопределяет ожидаемое отражение положительного поведения осужденного, которое бы могло с учетом тяжести </w:t>
      </w:r>
      <w:r w:rsidRPr="00467B95">
        <w:rPr>
          <w:rFonts w:ascii="Times New Roman" w:eastAsia="Times New Roman" w:hAnsi="Times New Roman"/>
          <w:color w:val="000000"/>
          <w:sz w:val="28"/>
          <w:szCs w:val="28"/>
          <w:lang w:eastAsia="ru-RU"/>
        </w:rPr>
        <w:lastRenderedPageBreak/>
        <w:t>совершенного деяния свидетельствовать об исправлении.</w:t>
      </w:r>
    </w:p>
    <w:p w:rsidR="00E108DB" w:rsidRPr="00467B95" w:rsidRDefault="00E108DB"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041B86" w:rsidRPr="00E108DB" w:rsidRDefault="00041B86" w:rsidP="007F4EC1">
      <w:pPr>
        <w:pStyle w:val="a7"/>
        <w:widowControl w:val="0"/>
        <w:numPr>
          <w:ilvl w:val="0"/>
          <w:numId w:val="20"/>
        </w:numPr>
        <w:tabs>
          <w:tab w:val="left" w:pos="426"/>
        </w:tabs>
        <w:spacing w:after="0" w:line="240" w:lineRule="auto"/>
        <w:ind w:left="0" w:firstLine="709"/>
        <w:jc w:val="both"/>
        <w:rPr>
          <w:rFonts w:ascii="Times New Roman" w:eastAsia="Times New Roman" w:hAnsi="Times New Roman"/>
          <w:color w:val="000000"/>
          <w:sz w:val="28"/>
          <w:szCs w:val="28"/>
          <w:lang w:eastAsia="ru-RU"/>
        </w:rPr>
      </w:pPr>
      <w:r w:rsidRPr="00E108DB">
        <w:rPr>
          <w:rFonts w:ascii="Times New Roman" w:eastAsia="Times New Roman" w:hAnsi="Times New Roman"/>
          <w:color w:val="000000"/>
          <w:sz w:val="28"/>
          <w:szCs w:val="28"/>
          <w:lang w:eastAsia="ru-RU"/>
        </w:rPr>
        <w:t xml:space="preserve">Уголовный кодекс Российской Федерации [Электронный ресурс]: федеральный закон от 13.06.1996 № 63-ФЗ (ред. от 12.11.2018). Доступ из справ. -правовой системы </w:t>
      </w:r>
      <w:r w:rsidR="00E108DB">
        <w:rPr>
          <w:rFonts w:ascii="Times New Roman" w:eastAsia="Times New Roman" w:hAnsi="Times New Roman"/>
          <w:color w:val="000000"/>
          <w:sz w:val="28"/>
          <w:szCs w:val="28"/>
          <w:lang w:eastAsia="ru-RU"/>
        </w:rPr>
        <w:t>«КонсультантПлюс»</w:t>
      </w:r>
      <w:r w:rsidRPr="00E108DB">
        <w:rPr>
          <w:rFonts w:ascii="Times New Roman" w:eastAsia="Times New Roman" w:hAnsi="Times New Roman"/>
          <w:color w:val="000000"/>
          <w:sz w:val="28"/>
          <w:szCs w:val="28"/>
          <w:lang w:eastAsia="ru-RU"/>
        </w:rPr>
        <w:t>.</w:t>
      </w:r>
    </w:p>
    <w:p w:rsidR="00041B86" w:rsidRPr="00467B95" w:rsidRDefault="00041B86" w:rsidP="007F4EC1">
      <w:pPr>
        <w:pStyle w:val="a7"/>
        <w:widowControl w:val="0"/>
        <w:numPr>
          <w:ilvl w:val="0"/>
          <w:numId w:val="20"/>
        </w:numPr>
        <w:tabs>
          <w:tab w:val="left" w:pos="426"/>
        </w:tabs>
        <w:spacing w:after="0" w:line="240" w:lineRule="auto"/>
        <w:ind w:left="0" w:firstLine="709"/>
        <w:jc w:val="both"/>
        <w:rPr>
          <w:rFonts w:ascii="Times New Roman" w:eastAsia="Times New Roman" w:hAnsi="Times New Roman" w:cs="Times New Roman"/>
          <w:color w:val="000000"/>
          <w:sz w:val="28"/>
          <w:szCs w:val="28"/>
          <w:lang w:eastAsia="ru-RU"/>
        </w:rPr>
      </w:pPr>
      <w:r w:rsidRPr="00467B95">
        <w:rPr>
          <w:rFonts w:ascii="Times New Roman" w:eastAsia="Times New Roman" w:hAnsi="Times New Roman" w:cs="Times New Roman"/>
          <w:color w:val="000000"/>
          <w:sz w:val="28"/>
          <w:szCs w:val="28"/>
          <w:lang w:eastAsia="ru-RU"/>
        </w:rPr>
        <w:t xml:space="preserve">Уголовно-исполнительный кодекс Российской Федерации: [Электронный ресурс] федеральный закон от 08.01.1997 № 1-ФЗ (ред. от 20.12.2017) // Доступ из справ. -правовой системы </w:t>
      </w:r>
      <w:r w:rsidR="00E108DB">
        <w:rPr>
          <w:rFonts w:ascii="Times New Roman" w:eastAsia="Times New Roman" w:hAnsi="Times New Roman" w:cs="Times New Roman"/>
          <w:color w:val="000000"/>
          <w:sz w:val="28"/>
          <w:szCs w:val="28"/>
          <w:lang w:eastAsia="ru-RU"/>
        </w:rPr>
        <w:t>«</w:t>
      </w:r>
      <w:r w:rsidRPr="00467B95">
        <w:rPr>
          <w:rFonts w:ascii="Times New Roman" w:eastAsia="Times New Roman" w:hAnsi="Times New Roman" w:cs="Times New Roman"/>
          <w:color w:val="000000"/>
          <w:sz w:val="28"/>
          <w:szCs w:val="28"/>
          <w:lang w:eastAsia="ru-RU"/>
        </w:rPr>
        <w:t>КонсультантПлюс</w:t>
      </w:r>
      <w:r w:rsidR="00E108DB">
        <w:rPr>
          <w:rFonts w:ascii="Times New Roman" w:eastAsia="Times New Roman" w:hAnsi="Times New Roman" w:cs="Times New Roman"/>
          <w:color w:val="000000"/>
          <w:sz w:val="28"/>
          <w:szCs w:val="28"/>
          <w:lang w:eastAsia="ru-RU"/>
        </w:rPr>
        <w:t>»</w:t>
      </w:r>
      <w:r w:rsidRPr="00467B95">
        <w:rPr>
          <w:rFonts w:ascii="Times New Roman" w:eastAsia="Times New Roman" w:hAnsi="Times New Roman" w:cs="Times New Roman"/>
          <w:color w:val="000000"/>
          <w:sz w:val="28"/>
          <w:szCs w:val="28"/>
          <w:lang w:eastAsia="ru-RU"/>
        </w:rPr>
        <w:t>.</w:t>
      </w:r>
    </w:p>
    <w:p w:rsidR="00041B86" w:rsidRPr="00467B95" w:rsidRDefault="00041B86" w:rsidP="007F4EC1">
      <w:pPr>
        <w:pStyle w:val="a7"/>
        <w:widowControl w:val="0"/>
        <w:numPr>
          <w:ilvl w:val="0"/>
          <w:numId w:val="20"/>
        </w:numPr>
        <w:tabs>
          <w:tab w:val="left" w:pos="426"/>
        </w:tabs>
        <w:spacing w:after="0" w:line="240" w:lineRule="auto"/>
        <w:ind w:left="0" w:firstLine="709"/>
        <w:jc w:val="both"/>
        <w:rPr>
          <w:rFonts w:ascii="Times New Roman" w:eastAsia="Times New Roman" w:hAnsi="Times New Roman" w:cs="Times New Roman"/>
          <w:color w:val="000000"/>
          <w:sz w:val="28"/>
          <w:szCs w:val="28"/>
          <w:lang w:eastAsia="ru-RU"/>
        </w:rPr>
      </w:pPr>
      <w:r w:rsidRPr="00467B95">
        <w:rPr>
          <w:rFonts w:ascii="Times New Roman" w:eastAsia="Times New Roman" w:hAnsi="Times New Roman" w:cs="Times New Roman"/>
          <w:color w:val="000000"/>
          <w:sz w:val="28"/>
          <w:szCs w:val="28"/>
          <w:lang w:eastAsia="ru-RU"/>
        </w:rPr>
        <w:t>Тюфяков Н.А. Правовая природа и характеристика основных признаков института изменения вида исправительного учреждения для осужденных к лишению свободы: современное состояние и перспективы развития / Н.А. Тюфяков // Вестник Омской юридической академии. - 2017. - № 1. - С. 112-114 [Электронный ресурс] // Режим доступа: https://cyberleninka.ru/article/v/pravovaya-priroda-i-harakteristika-osnovnyh-priznakov-instituta-izmeneniya-vida-ispravitelnogo-uchrezhdeniya-dlya-osuzhdennyh-k</w:t>
      </w:r>
    </w:p>
    <w:p w:rsidR="00041B86" w:rsidRPr="00467B95" w:rsidRDefault="00041B86" w:rsidP="007F4EC1">
      <w:pPr>
        <w:pStyle w:val="a7"/>
        <w:widowControl w:val="0"/>
        <w:numPr>
          <w:ilvl w:val="0"/>
          <w:numId w:val="20"/>
        </w:numPr>
        <w:tabs>
          <w:tab w:val="left" w:pos="426"/>
          <w:tab w:val="left" w:pos="993"/>
        </w:tabs>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467B95">
        <w:rPr>
          <w:rFonts w:ascii="Times New Roman" w:eastAsia="Calibri" w:hAnsi="Times New Roman" w:cs="Times New Roman"/>
          <w:sz w:val="28"/>
          <w:szCs w:val="28"/>
        </w:rPr>
        <w:t>Апелляционное постановление</w:t>
      </w:r>
      <w:r w:rsidRPr="00467B95">
        <w:rPr>
          <w:rFonts w:ascii="Times New Roman" w:hAnsi="Times New Roman" w:cs="Times New Roman"/>
          <w:sz w:val="28"/>
          <w:szCs w:val="28"/>
        </w:rPr>
        <w:t xml:space="preserve"> </w:t>
      </w:r>
      <w:r w:rsidRPr="00467B95">
        <w:rPr>
          <w:rFonts w:ascii="Times New Roman" w:eastAsia="Calibri" w:hAnsi="Times New Roman" w:cs="Times New Roman"/>
          <w:sz w:val="28"/>
          <w:szCs w:val="28"/>
        </w:rPr>
        <w:t>Приморского краевого суда 19 ноября 2014 г. № 22-6619/2014 [Электронный ресурс] // СПС «Судебные и нормативные акты РФ». – Режим доступа: http://sudact.ru/regular/doc/g3FdPRQifzxP/</w:t>
      </w:r>
    </w:p>
    <w:p w:rsidR="00041B86" w:rsidRPr="00467B95" w:rsidRDefault="00041B86" w:rsidP="007F4EC1">
      <w:pPr>
        <w:pStyle w:val="a7"/>
        <w:widowControl w:val="0"/>
        <w:numPr>
          <w:ilvl w:val="0"/>
          <w:numId w:val="20"/>
        </w:numPr>
        <w:tabs>
          <w:tab w:val="left" w:pos="426"/>
          <w:tab w:val="left" w:pos="993"/>
        </w:tabs>
        <w:autoSpaceDE w:val="0"/>
        <w:autoSpaceDN w:val="0"/>
        <w:adjustRightInd w:val="0"/>
        <w:spacing w:after="0" w:line="240" w:lineRule="auto"/>
        <w:ind w:left="0" w:firstLine="709"/>
        <w:jc w:val="both"/>
        <w:rPr>
          <w:rFonts w:ascii="Times New Roman" w:eastAsia="Calibri" w:hAnsi="Times New Roman" w:cs="Times New Roman"/>
          <w:sz w:val="28"/>
          <w:szCs w:val="28"/>
        </w:rPr>
      </w:pPr>
      <w:r w:rsidRPr="00467B95">
        <w:rPr>
          <w:rFonts w:ascii="Times New Roman" w:eastAsia="Calibri" w:hAnsi="Times New Roman" w:cs="Times New Roman"/>
          <w:sz w:val="28"/>
          <w:szCs w:val="28"/>
        </w:rPr>
        <w:t>Апелляционное постановление</w:t>
      </w:r>
      <w:r w:rsidRPr="00467B95">
        <w:rPr>
          <w:rFonts w:ascii="Times New Roman" w:hAnsi="Times New Roman" w:cs="Times New Roman"/>
          <w:sz w:val="28"/>
          <w:szCs w:val="28"/>
        </w:rPr>
        <w:t xml:space="preserve"> </w:t>
      </w:r>
      <w:r w:rsidRPr="00467B95">
        <w:rPr>
          <w:rFonts w:ascii="Times New Roman" w:eastAsia="Calibri" w:hAnsi="Times New Roman" w:cs="Times New Roman"/>
          <w:sz w:val="28"/>
          <w:szCs w:val="28"/>
        </w:rPr>
        <w:t>Приморского краевого суда от 1 марта 2017 г. №22-1095/2017 [Электронный ресурс] // СПС «Судебныерешения.рф» – Режим доступа: http://xn--90afdbaav0bd1afy6eub5d.xn--p1ai/25639853</w:t>
      </w:r>
    </w:p>
    <w:p w:rsidR="00041B86" w:rsidRPr="00467B95" w:rsidRDefault="00041B86" w:rsidP="005A3DF4">
      <w:pPr>
        <w:pStyle w:val="a7"/>
        <w:widowControl w:val="0"/>
        <w:spacing w:after="0" w:line="240" w:lineRule="auto"/>
        <w:ind w:left="0" w:firstLine="709"/>
        <w:jc w:val="both"/>
        <w:rPr>
          <w:rFonts w:ascii="Times New Roman" w:eastAsia="Times New Roman" w:hAnsi="Times New Roman" w:cs="Times New Roman"/>
          <w:color w:val="000000"/>
          <w:sz w:val="28"/>
          <w:szCs w:val="28"/>
          <w:lang w:eastAsia="ru-RU"/>
        </w:rPr>
      </w:pPr>
    </w:p>
    <w:p w:rsidR="00264BEE" w:rsidRPr="00467B95" w:rsidRDefault="00264BEE"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Проблемы, возникающие при исполнении исполнительных документов о выселении должника и пути их решения</w:t>
      </w:r>
    </w:p>
    <w:p w:rsidR="00D02D4C" w:rsidRDefault="00D02D4C" w:rsidP="005A3DF4">
      <w:pPr>
        <w:widowControl w:val="0"/>
        <w:spacing w:after="0" w:line="240" w:lineRule="auto"/>
        <w:ind w:firstLine="709"/>
        <w:jc w:val="center"/>
        <w:rPr>
          <w:rFonts w:ascii="Times New Roman" w:hAnsi="Times New Roman"/>
          <w:sz w:val="28"/>
          <w:szCs w:val="28"/>
        </w:rPr>
      </w:pPr>
    </w:p>
    <w:p w:rsidR="00264BEE" w:rsidRPr="00467B95" w:rsidRDefault="00264BEE"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Косырев Иван Алексеевич,</w:t>
      </w:r>
    </w:p>
    <w:p w:rsidR="00264BEE" w:rsidRPr="00467B95" w:rsidRDefault="00264BEE"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264BEE" w:rsidRPr="00467B95" w:rsidRDefault="00264BEE"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264BEE" w:rsidRPr="00467B95" w:rsidRDefault="00264BEE"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264BEE" w:rsidRPr="00467B95" w:rsidRDefault="00264BEE"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ivancos</w:t>
      </w:r>
      <w:r w:rsidRPr="00467B95">
        <w:rPr>
          <w:rFonts w:ascii="Times New Roman" w:hAnsi="Times New Roman"/>
          <w:sz w:val="28"/>
          <w:szCs w:val="28"/>
        </w:rPr>
        <w:t>1997@</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тел: +7 (914) 705-27-63</w:t>
      </w:r>
    </w:p>
    <w:p w:rsidR="00264BEE" w:rsidRPr="00467B95" w:rsidRDefault="00264BEE"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264BEE" w:rsidRPr="00467B95" w:rsidRDefault="00264BEE" w:rsidP="005A3DF4">
      <w:pPr>
        <w:widowControl w:val="0"/>
        <w:spacing w:after="0" w:line="240" w:lineRule="auto"/>
        <w:ind w:firstLine="709"/>
        <w:jc w:val="both"/>
        <w:rPr>
          <w:rFonts w:ascii="Times New Roman" w:hAnsi="Times New Roman"/>
          <w:sz w:val="28"/>
          <w:szCs w:val="28"/>
        </w:rPr>
      </w:pPr>
    </w:p>
    <w:p w:rsidR="00264BEE" w:rsidRPr="00E108DB" w:rsidRDefault="00264BEE" w:rsidP="005A3DF4">
      <w:pPr>
        <w:widowControl w:val="0"/>
        <w:spacing w:after="0" w:line="240" w:lineRule="auto"/>
        <w:ind w:firstLine="709"/>
        <w:jc w:val="both"/>
        <w:rPr>
          <w:rFonts w:ascii="Times New Roman" w:hAnsi="Times New Roman"/>
          <w:i/>
          <w:sz w:val="28"/>
          <w:szCs w:val="28"/>
        </w:rPr>
      </w:pPr>
      <w:r w:rsidRPr="00E108DB">
        <w:rPr>
          <w:rFonts w:ascii="Times New Roman" w:hAnsi="Times New Roman"/>
          <w:i/>
          <w:sz w:val="28"/>
          <w:szCs w:val="28"/>
        </w:rPr>
        <w:t>Аннотация: В данной статье будут рассмотрены основные положения в области выселения должника из жилого помещения, регламентированные законом «Об исполнительном производстве». Выявлены проблемы при разрешении вопросов о выселении должника из жилой площади и пути их решения.</w:t>
      </w:r>
    </w:p>
    <w:p w:rsidR="00264BEE" w:rsidRPr="00467B95" w:rsidRDefault="00264BEE" w:rsidP="005A3DF4">
      <w:pPr>
        <w:widowControl w:val="0"/>
        <w:spacing w:after="0" w:line="240" w:lineRule="auto"/>
        <w:ind w:firstLine="709"/>
        <w:jc w:val="both"/>
        <w:rPr>
          <w:rFonts w:ascii="Times New Roman" w:hAnsi="Times New Roman"/>
          <w:i/>
          <w:sz w:val="28"/>
          <w:szCs w:val="28"/>
        </w:rPr>
      </w:pPr>
      <w:r w:rsidRPr="00E108DB">
        <w:rPr>
          <w:rFonts w:ascii="Times New Roman" w:hAnsi="Times New Roman"/>
          <w:i/>
          <w:sz w:val="28"/>
          <w:szCs w:val="28"/>
        </w:rPr>
        <w:t>Ключевые слова: пристав</w:t>
      </w:r>
      <w:r w:rsidRPr="00467B95">
        <w:rPr>
          <w:rFonts w:ascii="Times New Roman" w:hAnsi="Times New Roman"/>
          <w:i/>
          <w:sz w:val="28"/>
          <w:szCs w:val="28"/>
        </w:rPr>
        <w:t>-исполнитель, выселение, должник, жилое помещение, исполнительный документ, решение суда, федеральный закон.</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ab/>
      </w:r>
    </w:p>
    <w:p w:rsidR="00264BEE" w:rsidRPr="00467B95" w:rsidRDefault="00264BEE"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 xml:space="preserve">Problems arising in the execution of Executive documents on the eviction </w:t>
      </w:r>
      <w:r w:rsidRPr="00467B95">
        <w:rPr>
          <w:rFonts w:ascii="Times New Roman" w:hAnsi="Times New Roman"/>
          <w:b/>
          <w:sz w:val="28"/>
          <w:szCs w:val="28"/>
          <w:lang w:val="en-US"/>
        </w:rPr>
        <w:lastRenderedPageBreak/>
        <w:t>of the debtor</w:t>
      </w:r>
    </w:p>
    <w:p w:rsidR="00264BEE" w:rsidRPr="00467B95" w:rsidRDefault="00264BEE" w:rsidP="005A3DF4">
      <w:pPr>
        <w:widowControl w:val="0"/>
        <w:spacing w:after="0" w:line="240" w:lineRule="auto"/>
        <w:ind w:firstLine="709"/>
        <w:jc w:val="both"/>
        <w:rPr>
          <w:rFonts w:ascii="Times New Roman" w:hAnsi="Times New Roman"/>
          <w:sz w:val="28"/>
          <w:szCs w:val="28"/>
          <w:lang w:val="en-US"/>
        </w:rPr>
      </w:pPr>
    </w:p>
    <w:p w:rsidR="00264BEE" w:rsidRPr="00467B95" w:rsidRDefault="00264BEE" w:rsidP="005A3DF4">
      <w:pPr>
        <w:widowControl w:val="0"/>
        <w:spacing w:after="0" w:line="240" w:lineRule="auto"/>
        <w:ind w:firstLine="709"/>
        <w:jc w:val="both"/>
        <w:rPr>
          <w:rFonts w:ascii="Times New Roman" w:hAnsi="Times New Roman"/>
          <w:b/>
          <w:i/>
          <w:sz w:val="28"/>
          <w:szCs w:val="28"/>
          <w:lang w:val="en-US"/>
        </w:rPr>
      </w:pPr>
      <w:r w:rsidRPr="00E108DB">
        <w:rPr>
          <w:rFonts w:ascii="Times New Roman" w:hAnsi="Times New Roman"/>
          <w:i/>
          <w:sz w:val="28"/>
          <w:szCs w:val="28"/>
          <w:lang w:val="en-US"/>
        </w:rPr>
        <w:t>Annotation: This</w:t>
      </w:r>
      <w:r w:rsidRPr="00467B95">
        <w:rPr>
          <w:rFonts w:ascii="Times New Roman" w:hAnsi="Times New Roman"/>
          <w:i/>
          <w:sz w:val="28"/>
          <w:szCs w:val="28"/>
          <w:lang w:val="en-US"/>
        </w:rPr>
        <w:t xml:space="preserve"> article will consider the main provisions in the field of eviction of the debtor from the premises, regulated by the law "on enforcement proceedings". Identified problems in resolving issues of eviction of the debtor from the living space, and ways to solve them.</w:t>
      </w:r>
    </w:p>
    <w:p w:rsidR="00E108DB" w:rsidRPr="005542CD" w:rsidRDefault="00264BEE"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ab/>
      </w:r>
    </w:p>
    <w:p w:rsidR="00264BEE" w:rsidRPr="00467B95" w:rsidRDefault="00264BEE" w:rsidP="005A3DF4">
      <w:pPr>
        <w:widowControl w:val="0"/>
        <w:spacing w:after="0" w:line="240" w:lineRule="auto"/>
        <w:ind w:firstLine="709"/>
        <w:jc w:val="both"/>
        <w:rPr>
          <w:rFonts w:ascii="Times New Roman" w:hAnsi="Times New Roman"/>
          <w:i/>
          <w:sz w:val="28"/>
          <w:szCs w:val="28"/>
          <w:lang w:val="en-US"/>
        </w:rPr>
      </w:pPr>
      <w:r w:rsidRPr="00E108DB">
        <w:rPr>
          <w:rFonts w:ascii="Times New Roman" w:hAnsi="Times New Roman"/>
          <w:i/>
          <w:sz w:val="28"/>
          <w:szCs w:val="28"/>
          <w:lang w:val="en-US"/>
        </w:rPr>
        <w:t>Keywords:</w:t>
      </w:r>
      <w:r w:rsidRPr="00467B95">
        <w:rPr>
          <w:rFonts w:ascii="Times New Roman" w:hAnsi="Times New Roman"/>
          <w:i/>
          <w:sz w:val="28"/>
          <w:szCs w:val="28"/>
          <w:lang w:val="en-US"/>
        </w:rPr>
        <w:t xml:space="preserve"> bailiff, eviction, debtor, living quarters, Executive document, court decision, federal law.</w:t>
      </w:r>
    </w:p>
    <w:p w:rsidR="00264BEE" w:rsidRPr="00467B95" w:rsidRDefault="00264BEE" w:rsidP="005A3DF4">
      <w:pPr>
        <w:widowControl w:val="0"/>
        <w:spacing w:after="0" w:line="240" w:lineRule="auto"/>
        <w:ind w:firstLine="709"/>
        <w:jc w:val="both"/>
        <w:rPr>
          <w:rFonts w:ascii="Times New Roman" w:hAnsi="Times New Roman"/>
          <w:sz w:val="28"/>
          <w:szCs w:val="28"/>
          <w:lang w:val="en-US"/>
        </w:rPr>
      </w:pPr>
    </w:p>
    <w:p w:rsidR="00264BEE" w:rsidRPr="00467B95" w:rsidRDefault="00264BEE"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Исполнение исполнительных документов о выселении должников из занимаемого ими жилого помещения на практике – один из самых проблемных, сложных и трудноосуществимых задач, которую должен выполнить судебный пристав-исполнитель на основании порученного ему исполнительного листа. </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Статья 107 Федерального Закона «Об исполнительном производстве» от 02.10.2007 №229-ФЗ[1] (далее – ФЗ «Об исполнительном производстве», ФЗ №229) гласит, что выселения должника из жилого помещения производиться как в добровольном порядке, законом установленные сроки, так и в принудительном порядке, если лицо добровольно не исполнило законные требования судебного пристава-исполнителя.</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п.12 ст.30 ФЗ №229 </w:t>
      </w:r>
      <w:r w:rsidRPr="00467B95">
        <w:rPr>
          <w:rFonts w:ascii="Times New Roman" w:hAnsi="Times New Roman"/>
          <w:sz w:val="28"/>
          <w:szCs w:val="28"/>
          <w:shd w:val="clear" w:color="auto" w:fill="FFFFFF"/>
        </w:rPr>
        <w:t xml:space="preserve">срок для добровольного исполнения составляет пять дней со дня получения должником постановления о возбуждении исполнительного производства. По нашему мнению считаем данный срок слишком малый для добровольного исполнения, его необходимо увеличить до 30 календарных дней. Данный срок считаю более приемлемым, он носит </w:t>
      </w:r>
      <w:r w:rsidRPr="00467B95">
        <w:rPr>
          <w:rFonts w:ascii="Times New Roman" w:hAnsi="Times New Roman"/>
          <w:sz w:val="28"/>
          <w:szCs w:val="28"/>
        </w:rPr>
        <w:t xml:space="preserve">социально ориентированный и гуманный характер. </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rPr>
        <w:t xml:space="preserve">В случае, если производится принудительное исполнение </w:t>
      </w:r>
      <w:r w:rsidRPr="00467B95">
        <w:rPr>
          <w:rFonts w:ascii="Times New Roman" w:hAnsi="Times New Roman"/>
          <w:sz w:val="28"/>
          <w:szCs w:val="28"/>
          <w:shd w:val="clear" w:color="auto" w:fill="FFFFFF"/>
        </w:rPr>
        <w:t>требования о выселении должника из занимаемого им жилого помещения, то данная процедура осуществляется с обязательным «участием понятых, в необходимых случаях - при содействии сотрудников органов внутренних дел с составлением соответствующего акта о выселении»[1].</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shd w:val="clear" w:color="auto" w:fill="FFFFFF"/>
        </w:rPr>
        <w:t xml:space="preserve">По моему мнению, в </w:t>
      </w:r>
      <w:r w:rsidRPr="00467B95">
        <w:rPr>
          <w:rFonts w:ascii="Times New Roman" w:hAnsi="Times New Roman"/>
          <w:sz w:val="28"/>
          <w:szCs w:val="28"/>
        </w:rPr>
        <w:t>ФЗ «Об исполнительном производстве» нет четко выраженной, расписанной регламентации процедуры осуществления выселения должников из жилых помещений. Считаю необходимым составить соответствующий нормативный правовой акт (далее - НПА) или расширить и дополнить данный федеральный закон в области процедуры выселения должника.</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Во многих случаях, жизненные ситуации складываются таком образом, что осуществить процедуру выселения получается не так уж просто, как указано в ФЗ « Об исполнительном производстве». Это проявляется в виде, к примеру, лицо которое является должником в исполнительном производстве, заранее знает, или его кто-то из 3-х лиц уведомляет, что в скором времени прибудет судебный пристав-исполнитель для осуществления процедуры </w:t>
      </w:r>
      <w:r w:rsidRPr="00467B95">
        <w:rPr>
          <w:rFonts w:ascii="Times New Roman" w:hAnsi="Times New Roman"/>
          <w:sz w:val="28"/>
          <w:szCs w:val="28"/>
        </w:rPr>
        <w:lastRenderedPageBreak/>
        <w:t>выселения из занимаемого им жилого помещения. Тем самым должник, обладая данной информацией, покидает квартиру на несколько часов вплоть до нескольких суток. Или же лицо, находясь в квартире, специально не хочет открывать дверь для приведения в действия решения суда о выселении. Из приведенных выше примеров наблюдается тот факт, что приставу-исполнителю затруднительно будет осуществить выселения должника без посторонней помощи. Так ещё и необходимо чтобы выселяемый подписал акт о выселении, чтоб надлежащим образом исполнить решения суда, без его подписи выселить субъекта не представляется возможным.</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можно привести яркий пример, который действительно подтверждает, что необходимо внести изменения в законодательство, а именно, перечень гарантий для выселяемого, который находится в трудной жизненной ситуации. Так как ст.91 Жилищного Кодекса РФ предусматривает выселение должника без предоставления другого жилого помещения[2]. К примеру, мать-одиночка воспитывает 2-х детей самостоятельно. В отношении нее и ее членов семьи возбуждено исполнительное производство о выселении из занимаемой ею жилой площади[3]. Пристав-исполнитель выполнит предписания суда, но вопрос заключается в том, что делать матери-одиночке, которая осталась одна с двумя детьми?</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Ни ФЗ «Об исполнительном производстве», ни иной НПА не регламентирует порядок определения места жительства выселенных из квартиры лиц, хотя статья 40 Конституции РФ гарантирует каждому право на жилище[4].</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Проведя анализ ст. 107 ФЗ «Об исполнительном производстве» следует, что в ней прописана только процедура выселения должника из занимаемой им жилой площади, но нет ни единого слова о предоставлении другого, благоустроенного, жилья[5, с. 114]. Что является существенным пробелом в законодательстве.</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основании вышеизложенного предлагаю внести изменения в законодательство, а именно, нормы, которые бы предусматривали для выселяемых лиц, право иметь благоустроенное жилье. В частности наделить полномочиями пристава-исполнителя и иных органов исполнительной власти по предоставлению жилого помещения, равного тому из которого выселили должников. Также указать, чтобы данная процедура осуществлялась в кратчайшие сроки, а не растягивалась на более длинный срок (от месяца и более). Здесь же должна быть норма, которая бы регулировала жесткий контроль со стороны органов прокуратуры за исполнением своих должностных обязанностей пристава-исполнителя по предоставлению выселенным - жилья. Тем самым у каждого гражданина правового и социального государства будет реализовано право на жилище.</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Тем, кого выселили из квартиры, и это касается также многодетных, малоимущих семей, пенсионеров, инвалидов, недееспособных лиц в предоставленных квартирах уменьшить плату за жилье и коммунальные услуги (от 0,1% до 20%) на определенный период времени от одного до трех </w:t>
      </w:r>
      <w:r w:rsidRPr="00467B95">
        <w:rPr>
          <w:rFonts w:ascii="Times New Roman" w:hAnsi="Times New Roman"/>
          <w:sz w:val="28"/>
          <w:szCs w:val="28"/>
        </w:rPr>
        <w:lastRenderedPageBreak/>
        <w:t>месяцев (в зависимости от ситуации). Это поспособствует адаптации к новому месту жительству.</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Согласно законодательству выселить должника из помещения могут только приставы и на основании соответствующих документов. Предлагаю, со своей стороны, на законодательном уровне увеличить круг субъектов, которые могли бы приводить в исполнения исполнительные документы (к примеру, министерство строительства и жилищно-коммунального хозяйства и др.). Соответственно, это будет способствовать большему исполнению исполнительных документов.</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по моему мнению, для более эффективной и быстрой работы необходимо создать электронную базу данных должников по выселению из занимаемых ими жилых помещений, чтоб этой базой данных мог воспользоваться любой орган исполнительной власти для проведения в действие исполнительных документов.</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rPr>
        <w:t>Из вышеназванного примера, стоит отметить следующее. Согласно ст.65 ФЗ №229 в случае, если невозможно установить местонахождения должника, то пристав-исполнитель объявляет исполнительный розыск должника. При осуществлении розыскных мероприятий в рамках исполнительного производства должностным лицом, уполномоченным на проведение розыскных мероприятий, возникает масса проблем, связанных с тем, что полномочия судебного пристава-исполнителя, осуществляющего розыскные мероприятия, не попадают в закон об оперативно-розыскной деятельности и ограничены законом об исполнительном производстве[6, с. 274].</w:t>
      </w:r>
      <w:r w:rsidRPr="00467B95">
        <w:rPr>
          <w:rFonts w:ascii="Times New Roman" w:hAnsi="Times New Roman"/>
          <w:sz w:val="28"/>
          <w:szCs w:val="28"/>
          <w:shd w:val="clear" w:color="auto" w:fill="FFFFFF"/>
        </w:rPr>
        <w:t xml:space="preserve"> </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Также, если мы обратимся к статье 13 Федерального Закона «Об оперативно-розыскной деятельности» от 12.08.1995 г., то видно, что Федеральная служба судебных приставов (далее – ФССП) не относиться к органам, которые уполномочены осуществлять оперативно-розыскную деятельность (далее – ОРД). Следовательно, если ФССП не имеет право получать информацию, необходимую им для исполнения исполнительных документов, то они ограничены в полной мере осуществлять свою деятельность. Поэтому, со своей стороны предлагаю, наделить службу судебных приставов полномочиями по осуществлению ОРД. Соответственно, если они смогут осуществлять ОРД, то, во-первых, у них появится больше прав, в части проведения оперативно-розыскных мероприятий, во-вторых, это будет способствовать большему исполнению исполнительных документов.</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случае обнаружения (уже повторного) должника, пристав-исполнитель не имеет полномочий обязать должника не менять место жительства, либо взять с должника подписку о невыезде, всё это усложняет процедуру выселения, так как должник не имеет процессуального статуса подозреваемого, обвиняемого. Тем самым, предлагаю внести в законодательство об исполнительном производстве норму, которая бы обязывала пристава-исполнителя, при попытки скрыться от государственного исполнителя, брать с должника документ-подписку о не смене места </w:t>
      </w:r>
      <w:r w:rsidRPr="00467B95">
        <w:rPr>
          <w:rFonts w:ascii="Times New Roman" w:hAnsi="Times New Roman"/>
          <w:sz w:val="28"/>
          <w:szCs w:val="28"/>
        </w:rPr>
        <w:lastRenderedPageBreak/>
        <w:t>жительства либо подписку о не выезде. Если данная норма нарушена – применить уголовное законодательство о попытке скрыться от ФССП.</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Ещё одно нововведение, которое ускорит процедуру выселения должников, это создать подразделения органа ФССП, который бы занимался отслеживанием субъектов-должников по телефонам/смартфонам через специальные технические средства, тем самым определяя последнее место нахождение должника. Даже если должник не находится по месту проживания/прописки все равно осуществлять выселение. </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Предлагаю, чтобы соответствующие органы, при злостном уклонении, от осуществления выселения из квартиры применяли в отношении должников-собственников/нанимателей уголовную ответственность вплоть до лишения свободы. Соответственно, субъект, находящийся в исправительной колонии – имеет временное место жительство, и автоматически он перестает быть должником по выселению из квартиры, так как его привлекли к ответственности за несоблюдения уголовного законодательства.</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rPr>
        <w:t xml:space="preserve">Так, большим вкладом в исполнительное производство будет тот факт, если со стороны законодательной власти последуют изменения в части урегулирования процедуры запросов в разные органы государственной власти, организации, учреждения о лицах-должниках с предоставлением полной информации о них. К примеру, согласно </w:t>
      </w:r>
      <w:r w:rsidRPr="00467B95">
        <w:rPr>
          <w:rFonts w:ascii="Times New Roman" w:hAnsi="Times New Roman"/>
          <w:sz w:val="28"/>
          <w:szCs w:val="28"/>
          <w:shd w:val="clear" w:color="auto" w:fill="FFFFFF"/>
        </w:rPr>
        <w:t xml:space="preserve">постановлению Президиума ВАС РФ от 05.10.2010 №6336/10[7], судебный пристав-исполнитель запросил у оператора сотовой связи ОАО «Вымпел-Коммуникации» информацию о субъекте-абоненте, в отношении которого было возбуждено исполнительное производство, о наличии зарегистрированного на имя должника мобильного телефонного номера. В свою очередь, от оператора связи последовал отказ предоставить имеющеюся информацию об абоненте, сославшись на то, что персональные данные субъекта передаются только с согласия самого субъекта, который является абонентом сотовой связи, на передачу информации третьим лицам, в данном случае – судебному приставу-исполнителю. </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shd w:val="clear" w:color="auto" w:fill="FFFFFF"/>
        </w:rPr>
        <w:t xml:space="preserve">В приведенном примере видно, что оператор сотовой связи поступил, с точки зрения законодательства правильно, а именно, что не предоставил информацию, так как судебный пристав не является, согласно ФЗ «О связи» которым руководствуются все субъекты сотовой связи, субъектом, уполномоченным на изъятие, хранение, передачи информации которым операторы связи обязаны предоставлять такие сведения об абонентах-гражданах. В свою очередь, </w:t>
      </w:r>
      <w:r w:rsidRPr="00467B95">
        <w:rPr>
          <w:rFonts w:ascii="Times New Roman" w:hAnsi="Times New Roman"/>
          <w:sz w:val="28"/>
          <w:szCs w:val="28"/>
        </w:rPr>
        <w:t xml:space="preserve">судебный пристав-исполнитель счел, что его требование законно, не исполнено обществом без уважительных причин и вынес постановление о привлечении общества к </w:t>
      </w:r>
      <w:r w:rsidRPr="00467B95">
        <w:rPr>
          <w:rFonts w:ascii="Times New Roman" w:hAnsi="Times New Roman"/>
          <w:sz w:val="28"/>
          <w:szCs w:val="28"/>
          <w:shd w:val="clear" w:color="auto" w:fill="FFFFFF"/>
        </w:rPr>
        <w:t>административном правонарушении по ч.3 ст.17.14 КоАП.</w:t>
      </w:r>
      <w:r w:rsidRPr="00467B95">
        <w:rPr>
          <w:rFonts w:ascii="Times New Roman" w:hAnsi="Times New Roman"/>
          <w:sz w:val="28"/>
          <w:szCs w:val="28"/>
        </w:rPr>
        <w:t xml:space="preserve"> Истец обратился в суд о признании незаконным протокол об административном правонарушении. Суд первой инстанции, удовлетворяя требование истца, исходил из того, что в действиях общества отсутствует состав вменяемого ему административного </w:t>
      </w:r>
      <w:r w:rsidRPr="00467B95">
        <w:rPr>
          <w:rFonts w:ascii="Times New Roman" w:hAnsi="Times New Roman"/>
          <w:sz w:val="28"/>
          <w:szCs w:val="28"/>
        </w:rPr>
        <w:lastRenderedPageBreak/>
        <w:t xml:space="preserve">правонарушения. Суды апелляционной и кассационной инстанций, отменяя решение суда первой инстанции, признали требование судебного пристава-исполнителя о предоставлении запрашиваемой информации законным, неисполнение которого образует объективную сторону административного правонарушения. </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 xml:space="preserve">Рассматривая данное дело в Президиуме ВАС РФ, судьи встали на сторону ответчика, так как, согласно п. 1.1. ст.64 Федерального закона «О связи», «операторы связи обязаны предоставлять уполномоченным государственным органам, осуществляющим оперативно-розыскную деятельность или обеспечение безопасности Российской Федерации, а также осуществляющие следственные действия, информацию о пользователях услугами связи и об оказанных им услугах связи и иную информацию, необходимую для выполнения возложенных на эти органы задач»[8]. </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 xml:space="preserve">Тем самым, суд поставил точку в этом деле установив, что судебный пристав-исполнитель не относится ни к одной из перечисленных категорий, и закон не содержит прямого указания на полномочие судебных приставов-исполнителей запрашивать у операторов связи сведения об абонентах — физических лицах. </w:t>
      </w:r>
      <w:r w:rsidRPr="00467B95">
        <w:rPr>
          <w:rFonts w:ascii="Times New Roman" w:hAnsi="Times New Roman"/>
          <w:sz w:val="28"/>
          <w:szCs w:val="28"/>
        </w:rPr>
        <w:t xml:space="preserve"> </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shd w:val="clear" w:color="auto" w:fill="FFFFFF"/>
        </w:rPr>
        <w:t>Закон об исполнительном производстве устанавливает право судебного пристава-исполнителя запрашивать исчерпывающий перечень информации у строго определенных субъектов, в число которых не включены операторы связи. Поэтому судебный пристав-исполнитель не может требовать от операторов связи информацию о пользователях услугами связи (физических лицах) и об оказанных услугах связи.</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 основании вышеприведенных аргументов, считаю, что необходимо внести изменения в ФЗ «Об исполнительном производстве», а именно, нормы, которые бы регулировали порядок вселения лиц, которых сразу же выселили из жилых помещений на тех или иных основаниях. Также расширить круг субъектов, которые могут выселять должников, это будет способствовать большему исполнению исполнительных документов. Наделяя пристава-исполнителя полномочиями по оперативно-розыскной деятельности (только по определенным оперативно-розыскным мероприятиям) увеличится статистика по розыску должников. И, одно из самых главных, важных, по-любому запросу судебного пристава-исполнителя в органы государственной власти, организации, учреждения предоставлять всю информацию о должнике, для поимки его и, соответственно, приведения в действия решения суда по выселению из занимаемой должником жилой площади. </w:t>
      </w:r>
    </w:p>
    <w:p w:rsidR="00186214" w:rsidRPr="00467B95" w:rsidRDefault="00186214"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Об исполнительном производстве: федеральный закон  от 02.10.2007 № 229-ФЗ (ред. от 27.12.2018) [Электронный ресурс] // СПС «КонсультантПлюс». – Режим доступа: http://www.consultant.ru/document/cons_doc_LAW_71450/4ba15e433f3965272c7f64d79312727f7acc3732/.</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Жилищный кодекс Российской Федерации: федеральный закон от </w:t>
      </w:r>
      <w:r w:rsidRPr="00467B95">
        <w:rPr>
          <w:rFonts w:ascii="Times New Roman" w:hAnsi="Times New Roman"/>
          <w:sz w:val="28"/>
          <w:szCs w:val="28"/>
        </w:rPr>
        <w:lastRenderedPageBreak/>
        <w:t>29.12.2004 № 188-ФЗ (ред. от 22.01.2019) [Электронный ресурс] // СПС «КонсультантПлюс». – Режим доступа: http://www.consultant.ru/document/cons_doc_LAW_51057/ec18b2909546cb6bd7368c54569bcba2423762a5/.</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3  </w:t>
      </w:r>
      <w:r w:rsidRPr="00467B95">
        <w:rPr>
          <w:rFonts w:ascii="Times New Roman" w:hAnsi="Times New Roman"/>
          <w:color w:val="000000"/>
          <w:sz w:val="28"/>
          <w:szCs w:val="28"/>
          <w:shd w:val="clear" w:color="auto" w:fill="FFFFFF"/>
        </w:rPr>
        <w:t>О признании утратившими право пользования квартирой, выселении, обязании сняться с регистрационного учета: р</w:t>
      </w:r>
      <w:r w:rsidRPr="00467B95">
        <w:rPr>
          <w:rFonts w:ascii="Times New Roman" w:hAnsi="Times New Roman"/>
          <w:sz w:val="28"/>
          <w:szCs w:val="28"/>
        </w:rPr>
        <w:t xml:space="preserve">ешение Егорлыкского районного суда Ростовской области </w:t>
      </w:r>
      <w:r w:rsidRPr="00467B95">
        <w:rPr>
          <w:rFonts w:ascii="Times New Roman" w:hAnsi="Times New Roman"/>
          <w:bCs/>
          <w:sz w:val="28"/>
          <w:szCs w:val="28"/>
        </w:rPr>
        <w:t>[Электронный ресурс] // Судебные и нормативные акты РФ – Режим доступа:</w:t>
      </w:r>
      <w:r w:rsidRPr="00467B95">
        <w:rPr>
          <w:rFonts w:ascii="Times New Roman" w:hAnsi="Times New Roman"/>
          <w:sz w:val="28"/>
          <w:szCs w:val="28"/>
        </w:rPr>
        <w:t xml:space="preserve"> </w:t>
      </w:r>
      <w:r w:rsidRPr="00467B95">
        <w:rPr>
          <w:rFonts w:ascii="Times New Roman" w:hAnsi="Times New Roman"/>
          <w:bCs/>
          <w:sz w:val="28"/>
          <w:szCs w:val="28"/>
        </w:rPr>
        <w:t>https://www.sudact.ru/regular/doc/N7MXVpH0ZEmm/.</w:t>
      </w:r>
    </w:p>
    <w:p w:rsidR="00264BEE" w:rsidRPr="00467B95" w:rsidRDefault="00264BEE" w:rsidP="005A3DF4">
      <w:pPr>
        <w:widowControl w:val="0"/>
        <w:spacing w:after="0" w:line="240" w:lineRule="auto"/>
        <w:ind w:firstLine="709"/>
        <w:jc w:val="both"/>
        <w:rPr>
          <w:rFonts w:ascii="Times New Roman" w:hAnsi="Times New Roman"/>
          <w:sz w:val="28"/>
          <w:szCs w:val="28"/>
          <w:shd w:val="clear" w:color="auto" w:fill="FFFFFF"/>
        </w:rPr>
      </w:pPr>
      <w:r w:rsidRPr="00467B95">
        <w:rPr>
          <w:rFonts w:ascii="Times New Roman" w:hAnsi="Times New Roman"/>
          <w:sz w:val="28"/>
          <w:szCs w:val="28"/>
        </w:rPr>
        <w:t xml:space="preserve">4 </w:t>
      </w:r>
      <w:r w:rsidRPr="00467B95">
        <w:rPr>
          <w:rFonts w:ascii="Times New Roman" w:hAnsi="Times New Roman"/>
          <w:sz w:val="28"/>
          <w:szCs w:val="28"/>
          <w:shd w:val="clear" w:color="auto" w:fill="FFFFFF"/>
        </w:rPr>
        <w:t>Конституция Российской Федерации (принята всенародным голосованием 12.12.1993) (ред. от 21.07.2014) // [Электронный ресурс] // СПС «КонсультантПлюс». – Режим доступа: http://www.consultant.ru/document/cons_doc_LAW_28399/.</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Глухова М.Н. Некоторые вопросы исполнительного производства по делам, связанных с выселение граждан из жилых помещений / М.Н. Глухова // Современное право. – 2013. – № 10. – С.113-116.</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Майков Ю.И. Проблемы осуществления розыска в рамках исполнительного производства / Ю.И. Майков // Человек в мире и природы. Трибуна молодых сб. материалов Междунар. науч.-практ. конф., 3-5 октября 2018 г., Хабаровск: Изд-во Дальневост. гос. ун-т путей сообщения, 2018.– С.270-275.</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О рассмотрении заявления открытого акционерного общества «Вымпел-Коммуникации» о пересмотре в порядке надзора постановления Шестнадцатого арбитражного апелляционного суда от 14.01.2010 и постановления Федерального арбитражного суда Северо-Кавказского округа от 01.04.2010 по делу №А15-2016/09 Арбитражного суда Республики Дагестан: утв. постановлением Президиума Высшего Арбитражного Суда  РФ от 05.10.2010 г.: [Электронный ресурс] // Федеральные Арбитражные суды Российской Федерации – Режим доступа:</w:t>
      </w:r>
      <w:r w:rsidRPr="00467B95">
        <w:rPr>
          <w:rFonts w:ascii="Times New Roman" w:hAnsi="Times New Roman"/>
          <w:b/>
          <w:sz w:val="28"/>
          <w:szCs w:val="28"/>
        </w:rPr>
        <w:t xml:space="preserve"> </w:t>
      </w:r>
      <w:r w:rsidRPr="00467B95">
        <w:rPr>
          <w:rFonts w:ascii="Times New Roman" w:hAnsi="Times New Roman"/>
          <w:sz w:val="28"/>
          <w:szCs w:val="28"/>
        </w:rPr>
        <w:t>http://www.arbitr.ru/bras.net/f.aspx?id_casedoc=1_1_2cdf0ef0-7cbd-494c-8954-bc46d4537d02</w:t>
      </w:r>
    </w:p>
    <w:p w:rsidR="00264BEE" w:rsidRPr="00467B95" w:rsidRDefault="00264BE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8 О связи: федеральный закон от 07.07.2003 № 126-ФЗ [Электронный ресурс] // СПС «КонсультантПлюс». – Режим доступа: http://www.consultant.ru/document/cons_doc_LAW_43224/dd22c38efbd1ace57b92339bd596973cce74fcf6/.</w:t>
      </w:r>
    </w:p>
    <w:p w:rsidR="00041B86" w:rsidRPr="00467B95" w:rsidRDefault="00041B86" w:rsidP="005A3DF4">
      <w:pPr>
        <w:widowControl w:val="0"/>
        <w:spacing w:after="0" w:line="240" w:lineRule="auto"/>
        <w:ind w:firstLine="709"/>
        <w:rPr>
          <w:rFonts w:ascii="Times New Roman" w:hAnsi="Times New Roman"/>
          <w:sz w:val="28"/>
          <w:szCs w:val="28"/>
        </w:rPr>
      </w:pPr>
    </w:p>
    <w:p w:rsidR="00041B86" w:rsidRPr="00467B95" w:rsidRDefault="00041B86" w:rsidP="005A3DF4">
      <w:pPr>
        <w:widowControl w:val="0"/>
        <w:shd w:val="clear" w:color="auto" w:fill="FFFFFF"/>
        <w:spacing w:after="0" w:line="240" w:lineRule="auto"/>
        <w:ind w:firstLine="709"/>
        <w:contextualSpacing/>
        <w:jc w:val="center"/>
        <w:rPr>
          <w:rFonts w:ascii="Times New Roman" w:hAnsi="Times New Roman"/>
          <w:b/>
          <w:kern w:val="36"/>
          <w:sz w:val="28"/>
          <w:szCs w:val="28"/>
        </w:rPr>
      </w:pPr>
      <w:r w:rsidRPr="00467B95">
        <w:rPr>
          <w:rFonts w:ascii="Times New Roman" w:hAnsi="Times New Roman"/>
          <w:b/>
          <w:kern w:val="36"/>
          <w:sz w:val="28"/>
          <w:szCs w:val="28"/>
        </w:rPr>
        <w:t>Актуальные проблемы обеспечения правового режима компьютерной информации: материальные и процессуальные аспекты</w:t>
      </w:r>
    </w:p>
    <w:p w:rsidR="00041B86" w:rsidRPr="00467B95" w:rsidRDefault="00041B86" w:rsidP="005A3DF4">
      <w:pPr>
        <w:widowControl w:val="0"/>
        <w:shd w:val="clear" w:color="auto" w:fill="FFFFFF"/>
        <w:spacing w:after="0" w:line="240" w:lineRule="auto"/>
        <w:ind w:firstLine="709"/>
        <w:contextualSpacing/>
        <w:jc w:val="center"/>
        <w:rPr>
          <w:rFonts w:ascii="Times New Roman" w:hAnsi="Times New Roman"/>
          <w:kern w:val="36"/>
          <w:sz w:val="28"/>
          <w:szCs w:val="28"/>
        </w:rPr>
      </w:pPr>
    </w:p>
    <w:p w:rsidR="00041B86" w:rsidRPr="00467B95" w:rsidRDefault="00041B86" w:rsidP="005A3DF4">
      <w:pPr>
        <w:widowControl w:val="0"/>
        <w:shd w:val="clear" w:color="auto" w:fill="FFFFFF"/>
        <w:spacing w:after="0" w:line="240" w:lineRule="auto"/>
        <w:ind w:firstLine="709"/>
        <w:contextualSpacing/>
        <w:jc w:val="center"/>
        <w:rPr>
          <w:rFonts w:ascii="Times New Roman" w:hAnsi="Times New Roman"/>
          <w:kern w:val="36"/>
          <w:sz w:val="28"/>
          <w:szCs w:val="28"/>
        </w:rPr>
      </w:pPr>
      <w:r w:rsidRPr="00467B95">
        <w:rPr>
          <w:rFonts w:ascii="Times New Roman" w:hAnsi="Times New Roman"/>
          <w:kern w:val="36"/>
          <w:sz w:val="28"/>
          <w:szCs w:val="28"/>
        </w:rPr>
        <w:t>Корнеев Родион Дмитриевич</w:t>
      </w:r>
    </w:p>
    <w:p w:rsidR="00041B86" w:rsidRPr="00467B95" w:rsidRDefault="00041B86" w:rsidP="005A3DF4">
      <w:pPr>
        <w:widowControl w:val="0"/>
        <w:shd w:val="clear" w:color="auto" w:fill="FFFFFF"/>
        <w:spacing w:after="0" w:line="240" w:lineRule="auto"/>
        <w:ind w:firstLine="709"/>
        <w:contextualSpacing/>
        <w:jc w:val="center"/>
        <w:rPr>
          <w:rFonts w:ascii="Times New Roman" w:hAnsi="Times New Roman"/>
          <w:kern w:val="36"/>
          <w:sz w:val="28"/>
          <w:szCs w:val="28"/>
        </w:rPr>
      </w:pPr>
      <w:r w:rsidRPr="00467B95">
        <w:rPr>
          <w:rFonts w:ascii="Times New Roman" w:hAnsi="Times New Roman"/>
          <w:kern w:val="36"/>
          <w:sz w:val="28"/>
          <w:szCs w:val="28"/>
        </w:rPr>
        <w:t>Группы БЮП-</w:t>
      </w:r>
      <w:r w:rsidRPr="00467B95">
        <w:rPr>
          <w:rFonts w:ascii="Times New Roman" w:hAnsi="Times New Roman"/>
          <w:sz w:val="28"/>
          <w:szCs w:val="28"/>
        </w:rPr>
        <w:t>15-02</w:t>
      </w:r>
      <w:r w:rsidRPr="00467B95">
        <w:rPr>
          <w:rFonts w:ascii="Times New Roman" w:hAnsi="Times New Roman"/>
          <w:kern w:val="36"/>
          <w:sz w:val="28"/>
          <w:szCs w:val="28"/>
        </w:rPr>
        <w:t>, 4 курса, Института права</w:t>
      </w:r>
    </w:p>
    <w:p w:rsidR="00041B86" w:rsidRPr="00467B95" w:rsidRDefault="00041B86" w:rsidP="005A3DF4">
      <w:pPr>
        <w:widowControl w:val="0"/>
        <w:shd w:val="clear" w:color="auto" w:fill="FFFFFF"/>
        <w:spacing w:after="0" w:line="240" w:lineRule="auto"/>
        <w:ind w:firstLine="709"/>
        <w:contextualSpacing/>
        <w:jc w:val="center"/>
        <w:rPr>
          <w:rFonts w:ascii="Times New Roman" w:hAnsi="Times New Roman"/>
          <w:i/>
          <w:kern w:val="36"/>
          <w:sz w:val="28"/>
          <w:szCs w:val="28"/>
        </w:rPr>
      </w:pPr>
      <w:r w:rsidRPr="00467B95">
        <w:rPr>
          <w:rFonts w:ascii="Times New Roman" w:hAnsi="Times New Roman"/>
          <w:i/>
          <w:kern w:val="36"/>
          <w:sz w:val="28"/>
          <w:szCs w:val="28"/>
        </w:rPr>
        <w:t>Владивостокский государственный университет экономики и сервиса</w:t>
      </w:r>
    </w:p>
    <w:p w:rsidR="00041B86" w:rsidRPr="00467B95" w:rsidRDefault="00041B86" w:rsidP="005A3DF4">
      <w:pPr>
        <w:widowControl w:val="0"/>
        <w:shd w:val="clear" w:color="auto" w:fill="FFFFFF"/>
        <w:spacing w:after="0" w:line="240" w:lineRule="auto"/>
        <w:ind w:firstLine="709"/>
        <w:contextualSpacing/>
        <w:jc w:val="center"/>
        <w:rPr>
          <w:rFonts w:ascii="Times New Roman" w:hAnsi="Times New Roman"/>
          <w:i/>
          <w:kern w:val="36"/>
          <w:sz w:val="28"/>
          <w:szCs w:val="28"/>
        </w:rPr>
      </w:pPr>
      <w:r w:rsidRPr="00467B95">
        <w:rPr>
          <w:rFonts w:ascii="Times New Roman" w:hAnsi="Times New Roman"/>
          <w:i/>
          <w:kern w:val="36"/>
          <w:sz w:val="28"/>
          <w:szCs w:val="28"/>
        </w:rPr>
        <w:t>Россия. Владивосток</w:t>
      </w:r>
    </w:p>
    <w:p w:rsidR="00041B86" w:rsidRPr="00467B95" w:rsidRDefault="00041B86" w:rsidP="005A3DF4">
      <w:pPr>
        <w:widowControl w:val="0"/>
        <w:shd w:val="clear" w:color="auto" w:fill="FFFFFF"/>
        <w:tabs>
          <w:tab w:val="left" w:pos="1134"/>
        </w:tabs>
        <w:spacing w:after="0" w:line="240" w:lineRule="auto"/>
        <w:ind w:firstLine="709"/>
        <w:contextualSpacing/>
        <w:jc w:val="both"/>
        <w:rPr>
          <w:rFonts w:ascii="Times New Roman" w:hAnsi="Times New Roman"/>
          <w:i/>
          <w:sz w:val="28"/>
          <w:szCs w:val="28"/>
        </w:rPr>
      </w:pPr>
    </w:p>
    <w:p w:rsidR="00041B86" w:rsidRPr="00467B95" w:rsidRDefault="00041B86" w:rsidP="005A3DF4">
      <w:pPr>
        <w:widowControl w:val="0"/>
        <w:shd w:val="clear" w:color="auto" w:fill="FFFFFF"/>
        <w:tabs>
          <w:tab w:val="left" w:pos="1134"/>
        </w:tabs>
        <w:spacing w:after="0" w:line="240" w:lineRule="auto"/>
        <w:ind w:firstLine="709"/>
        <w:contextualSpacing/>
        <w:jc w:val="both"/>
        <w:rPr>
          <w:rFonts w:ascii="Times New Roman" w:hAnsi="Times New Roman"/>
          <w:i/>
          <w:kern w:val="36"/>
          <w:sz w:val="28"/>
          <w:szCs w:val="28"/>
        </w:rPr>
      </w:pPr>
      <w:r w:rsidRPr="00467B95">
        <w:rPr>
          <w:rFonts w:ascii="Times New Roman" w:hAnsi="Times New Roman"/>
          <w:i/>
          <w:kern w:val="36"/>
          <w:sz w:val="28"/>
          <w:szCs w:val="28"/>
        </w:rPr>
        <w:lastRenderedPageBreak/>
        <w:t>Статья посвящена актуальным проблемам обеспечения правового                            режима компьютерной информации: материальным и процессуальным                               аспектам, выявлению особенностей правовых аспектов и проблем охраны                           компьютерной информации, особенностей доказывания по делам о неправомерном доступе к компьютерной информации и вариантов их разрешения, а также  применение данных решений в практической сфере.</w:t>
      </w:r>
    </w:p>
    <w:p w:rsidR="00041B86" w:rsidRPr="00467B95" w:rsidRDefault="00041B86" w:rsidP="005A3DF4">
      <w:pPr>
        <w:widowControl w:val="0"/>
        <w:shd w:val="clear" w:color="auto" w:fill="FFFFFF"/>
        <w:tabs>
          <w:tab w:val="left" w:pos="1134"/>
        </w:tabs>
        <w:spacing w:after="0" w:line="240" w:lineRule="auto"/>
        <w:ind w:firstLine="709"/>
        <w:contextualSpacing/>
        <w:jc w:val="both"/>
        <w:rPr>
          <w:rFonts w:ascii="Times New Roman" w:hAnsi="Times New Roman"/>
          <w:i/>
          <w:sz w:val="28"/>
          <w:szCs w:val="28"/>
        </w:rPr>
      </w:pPr>
      <w:r w:rsidRPr="00467B95">
        <w:rPr>
          <w:rFonts w:ascii="Times New Roman" w:hAnsi="Times New Roman"/>
          <w:i/>
          <w:sz w:val="28"/>
          <w:szCs w:val="28"/>
        </w:rPr>
        <w:t>В современном мире физические и юридические лица, государственные                предприятия и учреждения все чаще полагаются и используют                                      компьютерные технологии, а именно телефон, компьютеры,                                         электронные вычислительные машины, которые хранят огромное  количество информации, которая касается и частной жизни, персональный данных, коммерческой тайны и государственной тайны.</w:t>
      </w:r>
    </w:p>
    <w:p w:rsidR="001A4A3F" w:rsidRDefault="001A4A3F" w:rsidP="005A3DF4">
      <w:pPr>
        <w:widowControl w:val="0"/>
        <w:shd w:val="clear" w:color="auto" w:fill="FFFFFF"/>
        <w:tabs>
          <w:tab w:val="left" w:pos="1134"/>
        </w:tabs>
        <w:spacing w:after="0" w:line="240" w:lineRule="auto"/>
        <w:ind w:firstLine="709"/>
        <w:jc w:val="both"/>
        <w:textAlignment w:val="baseline"/>
        <w:rPr>
          <w:rFonts w:ascii="Times New Roman" w:hAnsi="Times New Roman"/>
          <w:i/>
          <w:spacing w:val="4"/>
          <w:sz w:val="28"/>
          <w:szCs w:val="28"/>
        </w:rPr>
      </w:pP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i/>
          <w:spacing w:val="4"/>
          <w:sz w:val="28"/>
          <w:szCs w:val="28"/>
        </w:rPr>
      </w:pPr>
      <w:r w:rsidRPr="00467B95">
        <w:rPr>
          <w:rFonts w:ascii="Times New Roman" w:hAnsi="Times New Roman"/>
          <w:i/>
          <w:spacing w:val="4"/>
          <w:sz w:val="28"/>
          <w:szCs w:val="28"/>
        </w:rPr>
        <w:t>Ключевые слова и словосочетания: обеспечение правового режима и охраны компьютерной информации, неправомерный доступ к компьютерной информации, уголовный процесс, расследование преступлений.</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 xml:space="preserve">В современном мире физические и юридические лица, государственные предприятия и учреждения все чаще полагаются и используют компьютерные технологии, а именно телефон, компьютеры, электронные вычислительные машины (далее по тексту - ЭВМ), которые хранят огромное количество информации, которая касается и частной жизни, персональный данных, коммерческой тайны и государственной тайны. </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Согласно, статистики «использования информационных и коммуникационных технологий в организациях» представленной Федеральной службой государственной статистики в журнале «Россия в цифрах» 2018г.</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В 2005г. Организации использовали персональные компьютеры - 91,1%, серверы - 9,3%, глобальные информационные сети - 54,3%</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В 2010г. Организации использовали персональные компьютеры - 93,8% серверы, - 18,2% глобальные информационные сети - 83,4%</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В 2013г. Организации использовали персональные компьютеры - 94,0%, серверы - 19,7% глобальные информационные сети - 88,7%</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В 2014г. Организации использовали персональные компьютеры - 93,8% серверы, - 26,6% глобальные информационные сети - 89,8%</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В 2015г. Организации использовали персональные компьютеры - 92,3% серверы, -   47,7% глобальные информационные сети - 89,0%</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В 2016г. Организации использовали персональные компьютеры - 92,4% серверы, - 50,8% глобальные информационные сети - 89,6% [1].</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 xml:space="preserve">С 2005г по 2016г. количество используемых персональных компьютеров увеличилось на 1,3% - количество используемых серверов увеличились на 41,5% - количество используемых глобальных </w:t>
      </w:r>
      <w:r w:rsidRPr="00467B95">
        <w:rPr>
          <w:rFonts w:ascii="Times New Roman" w:hAnsi="Times New Roman"/>
          <w:spacing w:val="4"/>
          <w:sz w:val="28"/>
          <w:szCs w:val="28"/>
        </w:rPr>
        <w:lastRenderedPageBreak/>
        <w:t>информационных сетей увеличилось на 45,3%</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Таким образом количество используемой компьютерной информации выросло в 2 раза за 11 лет. Так же нужно отметить, что удаленные серверы и глобальные информационные сети, тоже обладают большим количеством компьютерной информации.</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Сейчас разработано и внедрено в (ЭВМ) большое количество специальных средств по защите компьютерной информации, но они не помогают защитите последней.</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Законодатель с развитием общественных отношений, связанных с ростом использования компьютерной информации, издает нормативно правовые акты:</w:t>
      </w:r>
    </w:p>
    <w:p w:rsidR="00041B86" w:rsidRPr="001A4A3F" w:rsidRDefault="00041B86" w:rsidP="007F4EC1">
      <w:pPr>
        <w:pStyle w:val="a7"/>
        <w:widowControl w:val="0"/>
        <w:numPr>
          <w:ilvl w:val="0"/>
          <w:numId w:val="22"/>
        </w:numPr>
        <w:shd w:val="clear" w:color="auto" w:fill="FFFFFF"/>
        <w:tabs>
          <w:tab w:val="left" w:pos="851"/>
          <w:tab w:val="left" w:pos="1134"/>
        </w:tabs>
        <w:spacing w:after="0" w:line="240" w:lineRule="auto"/>
        <w:ind w:left="0" w:firstLine="709"/>
        <w:contextualSpacing w:val="0"/>
        <w:jc w:val="both"/>
        <w:rPr>
          <w:rFonts w:ascii="Times New Roman" w:hAnsi="Times New Roman"/>
          <w:spacing w:val="4"/>
          <w:sz w:val="28"/>
          <w:szCs w:val="28"/>
        </w:rPr>
      </w:pPr>
      <w:r w:rsidRPr="001A4A3F">
        <w:rPr>
          <w:rFonts w:ascii="Times New Roman" w:hAnsi="Times New Roman"/>
          <w:spacing w:val="4"/>
          <w:sz w:val="28"/>
          <w:szCs w:val="28"/>
        </w:rPr>
        <w:t>Закон РФ «О правовой охране программ для ЭВМ и баз данных» от 23.09.92 №3526-1</w:t>
      </w:r>
    </w:p>
    <w:p w:rsidR="00041B86" w:rsidRPr="00467B95" w:rsidRDefault="00041B86" w:rsidP="007F4EC1">
      <w:pPr>
        <w:widowControl w:val="0"/>
        <w:numPr>
          <w:ilvl w:val="0"/>
          <w:numId w:val="22"/>
        </w:numPr>
        <w:shd w:val="clear" w:color="auto" w:fill="FFFFFF"/>
        <w:tabs>
          <w:tab w:val="left" w:pos="851"/>
          <w:tab w:val="left" w:pos="1134"/>
        </w:tabs>
        <w:spacing w:after="0" w:line="240" w:lineRule="auto"/>
        <w:ind w:left="0"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Закон РФ «Об авторском праве и смежных правах» от 09.07.93 № 5351-1</w:t>
      </w:r>
    </w:p>
    <w:p w:rsidR="00041B86" w:rsidRPr="00467B95" w:rsidRDefault="00041B86" w:rsidP="007F4EC1">
      <w:pPr>
        <w:widowControl w:val="0"/>
        <w:numPr>
          <w:ilvl w:val="0"/>
          <w:numId w:val="22"/>
        </w:numPr>
        <w:shd w:val="clear" w:color="auto" w:fill="FFFFFF"/>
        <w:tabs>
          <w:tab w:val="left" w:pos="851"/>
          <w:tab w:val="left" w:pos="1134"/>
        </w:tabs>
        <w:spacing w:after="0" w:line="240" w:lineRule="auto"/>
        <w:ind w:left="0"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Закон РФ «О государственной тайне» от 21.07.93 № 5485-1</w:t>
      </w:r>
    </w:p>
    <w:p w:rsidR="00041B86" w:rsidRPr="00467B95" w:rsidRDefault="00041B86" w:rsidP="007F4EC1">
      <w:pPr>
        <w:widowControl w:val="0"/>
        <w:numPr>
          <w:ilvl w:val="0"/>
          <w:numId w:val="22"/>
        </w:numPr>
        <w:shd w:val="clear" w:color="auto" w:fill="FFFFFF"/>
        <w:tabs>
          <w:tab w:val="left" w:pos="851"/>
          <w:tab w:val="left" w:pos="1134"/>
        </w:tabs>
        <w:spacing w:after="0" w:line="240" w:lineRule="auto"/>
        <w:ind w:left="0"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Закон РФ «Об обязательном экземпляре документов» от 23.11.94 № 77-ФЗ</w:t>
      </w:r>
    </w:p>
    <w:p w:rsidR="00041B86" w:rsidRPr="00467B95" w:rsidRDefault="00041B86" w:rsidP="007F4EC1">
      <w:pPr>
        <w:widowControl w:val="0"/>
        <w:numPr>
          <w:ilvl w:val="0"/>
          <w:numId w:val="22"/>
        </w:numPr>
        <w:shd w:val="clear" w:color="auto" w:fill="FFFFFF"/>
        <w:tabs>
          <w:tab w:val="left" w:pos="851"/>
          <w:tab w:val="left" w:pos="1134"/>
        </w:tabs>
        <w:spacing w:after="0" w:line="240" w:lineRule="auto"/>
        <w:ind w:left="0"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Гражданский кодекс Российской Федерации (часть первая) от 21.10.94 г. № 51-ФЗ</w:t>
      </w:r>
    </w:p>
    <w:p w:rsidR="00041B86" w:rsidRPr="00467B95" w:rsidRDefault="00041B86" w:rsidP="007F4EC1">
      <w:pPr>
        <w:widowControl w:val="0"/>
        <w:numPr>
          <w:ilvl w:val="0"/>
          <w:numId w:val="22"/>
        </w:numPr>
        <w:shd w:val="clear" w:color="auto" w:fill="FFFFFF"/>
        <w:tabs>
          <w:tab w:val="left" w:pos="851"/>
          <w:tab w:val="left" w:pos="1134"/>
        </w:tabs>
        <w:spacing w:after="0" w:line="240" w:lineRule="auto"/>
        <w:ind w:left="0"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Закон РФ «О связи» от 21.07.93 № 5485-1</w:t>
      </w:r>
    </w:p>
    <w:p w:rsidR="00041B86" w:rsidRPr="00467B95" w:rsidRDefault="00041B86" w:rsidP="007F4EC1">
      <w:pPr>
        <w:widowControl w:val="0"/>
        <w:numPr>
          <w:ilvl w:val="0"/>
          <w:numId w:val="22"/>
        </w:numPr>
        <w:shd w:val="clear" w:color="auto" w:fill="FFFFFF"/>
        <w:tabs>
          <w:tab w:val="left" w:pos="851"/>
          <w:tab w:val="left" w:pos="1134"/>
        </w:tabs>
        <w:spacing w:after="0" w:line="240" w:lineRule="auto"/>
        <w:ind w:left="0"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Федеральный закон от 05.06.96 № 85-ФЗ.</w:t>
      </w:r>
    </w:p>
    <w:p w:rsidR="00041B86" w:rsidRPr="00467B95" w:rsidRDefault="00041B86" w:rsidP="005A3DF4">
      <w:pPr>
        <w:widowControl w:val="0"/>
        <w:shd w:val="clear" w:color="auto" w:fill="FFFFFF"/>
        <w:tabs>
          <w:tab w:val="left" w:pos="1134"/>
        </w:tabs>
        <w:spacing w:after="0" w:line="240" w:lineRule="auto"/>
        <w:ind w:firstLine="709"/>
        <w:jc w:val="both"/>
        <w:textAlignment w:val="baseline"/>
        <w:rPr>
          <w:rFonts w:ascii="Times New Roman" w:hAnsi="Times New Roman"/>
          <w:spacing w:val="4"/>
          <w:sz w:val="28"/>
          <w:szCs w:val="28"/>
        </w:rPr>
      </w:pPr>
      <w:r w:rsidRPr="00467B95">
        <w:rPr>
          <w:rFonts w:ascii="Times New Roman" w:hAnsi="Times New Roman"/>
          <w:spacing w:val="4"/>
          <w:sz w:val="28"/>
          <w:szCs w:val="28"/>
        </w:rPr>
        <w:t>Понимая, что компьютерная информация, требует правовой защиты способной не допускать неправомерный доступ к ней. Законодателем с 1 января 1997 года были приняты в Уголовный кодекс РФ новые статьи 272-274, которые регулирую преступления в сфере компьютерной информации [2].</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rPr>
        <w:t>Выявлении особенностей правовых аспектов и проблем охраны компьютерной информации, особенностей доказывания по делам о неправомерном доступе к компьютерной информации и вариантов их разрешения, а также применение данных решений в практической сфере, позволит улучшить механизмы правовой защиты компьютерной информации</w:t>
      </w:r>
      <w:r w:rsidRPr="00467B95">
        <w:rPr>
          <w:rFonts w:ascii="Times New Roman" w:hAnsi="Times New Roman"/>
          <w:spacing w:val="4"/>
          <w:sz w:val="28"/>
          <w:szCs w:val="28"/>
          <w:shd w:val="clear" w:color="auto" w:fill="FFFFFF"/>
        </w:rPr>
        <w:t xml:space="preserve">. </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shd w:val="clear" w:color="auto" w:fill="FFFFFF"/>
        </w:rPr>
        <w:t>Разработка и совершенствование эффективных средств, доказывания и защиты компьютерной информации, обеспечили бы нормальное функционирование механизма защиты компьютерной информации, представляет собой задачу на будущее.</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Компьютерная информация является объектом правовой защиты. Правовая защита является одним из видов защитных мер по охране, защите компьютерной информации.</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Механизм правового регулирования общественных отношений – это правовое воздействие на данные отношения, которые осуществляются с помощью средств права.</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Под специальной правовой защитой компьютерной информации </w:t>
      </w:r>
      <w:r w:rsidRPr="00467B95">
        <w:rPr>
          <w:rFonts w:ascii="Times New Roman" w:hAnsi="Times New Roman"/>
          <w:spacing w:val="4"/>
          <w:sz w:val="28"/>
          <w:szCs w:val="28"/>
        </w:rPr>
        <w:lastRenderedPageBreak/>
        <w:t>понимается защита компьютерной информации рядом правовых норм, направленных на предотвращение или</w:t>
      </w:r>
      <w:r w:rsidRPr="00467B95">
        <w:rPr>
          <w:rFonts w:ascii="Times New Roman" w:hAnsi="Times New Roman"/>
          <w:spacing w:val="4"/>
          <w:sz w:val="28"/>
          <w:szCs w:val="28"/>
        </w:rPr>
        <w:tab/>
        <w:t>сведение к минимуму возможности правонарушений в сфере функционирования компьютерной системы.</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Необходимо обратить внимание, что в законодательстве используется два      понятия — это защита и охрана компьютерной информации. Далее следует обратить внимание на научную составляющую этих терминов.</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По мнению З.В. Макаровой, «…понятие «защита» является более широким, чем «охрана». Защита прав предполагает недопущение и предупреждение их нарушения, а в случае нарушения прав – их восстановление и возмещение причиненного вреда…» [3].</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Э.П. Гаврилов полагает, что «…охрана есть установление общего правового режима, а защита – те меры, которые предпринимаются в случаях, когда гражданские права нарушены или оспорены…» [4]. </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Охрана компьютерной информации — это вся совокупность мер, которая обеспечивает безопасность последней. В понятиях защита и охрана, присутствуют пробелы правовых норм.</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Весьма важно отметить, что Федеральный закон «Об информации, информационных технологиях и о защите информации» налагает на обладателя информации и оператора информационной системы ряд обязанностей. Согласно, статьи 16 Федерального закона «Об информации, информационных технологиях и о защите информации» обладатель информации и оператор информационной системы обязаны обеспечить: </w:t>
      </w:r>
    </w:p>
    <w:p w:rsidR="00041B86" w:rsidRPr="00467B95" w:rsidRDefault="00041B86" w:rsidP="007F4EC1">
      <w:pPr>
        <w:widowControl w:val="0"/>
        <w:numPr>
          <w:ilvl w:val="0"/>
          <w:numId w:val="24"/>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«предотвращение несанкционированного доступа к информации и (или) передачи ее лицам, не имеющим права на доступ к информации;</w:t>
      </w:r>
    </w:p>
    <w:p w:rsidR="00041B86" w:rsidRPr="00467B95" w:rsidRDefault="00041B86" w:rsidP="007F4EC1">
      <w:pPr>
        <w:widowControl w:val="0"/>
        <w:numPr>
          <w:ilvl w:val="0"/>
          <w:numId w:val="24"/>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своевременное обнаружение фактов несанкционированного доступа к информации;</w:t>
      </w:r>
    </w:p>
    <w:p w:rsidR="00041B86" w:rsidRPr="00467B95" w:rsidRDefault="00041B86" w:rsidP="007F4EC1">
      <w:pPr>
        <w:widowControl w:val="0"/>
        <w:numPr>
          <w:ilvl w:val="0"/>
          <w:numId w:val="24"/>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предупреждение возможности неблагоприятных последствий нарушения порядка доступа к информации;</w:t>
      </w:r>
    </w:p>
    <w:p w:rsidR="00041B86" w:rsidRPr="00467B95" w:rsidRDefault="00041B86" w:rsidP="007F4EC1">
      <w:pPr>
        <w:widowControl w:val="0"/>
        <w:numPr>
          <w:ilvl w:val="0"/>
          <w:numId w:val="24"/>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недопущение воздействия на технические средства обработки информации, в результате которого нарушается их функционирование;</w:t>
      </w:r>
    </w:p>
    <w:p w:rsidR="00041B86" w:rsidRPr="00467B95" w:rsidRDefault="00041B86" w:rsidP="007F4EC1">
      <w:pPr>
        <w:widowControl w:val="0"/>
        <w:numPr>
          <w:ilvl w:val="0"/>
          <w:numId w:val="24"/>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возможность незамедлительного восстановления информации, модифицированной или уничтоженной вследствие несанкционированного доступа к ней;</w:t>
      </w:r>
    </w:p>
    <w:p w:rsidR="00041B86" w:rsidRPr="00467B95" w:rsidRDefault="00041B86" w:rsidP="007F4EC1">
      <w:pPr>
        <w:widowControl w:val="0"/>
        <w:numPr>
          <w:ilvl w:val="0"/>
          <w:numId w:val="24"/>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постоянный контроль за обеспечением уровня защищенности информации» [5].</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xml:space="preserve">Есть несколько рассматриваемых аспектов правовой защиты компьютерной информации. </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Защита информации осуществляется всем комплексом правовых норм, регулирующих функционирование системы и создающих определенный правовой режим для лиц, которые работают с ней, а также устанавливающих юридическую ответственность.</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В узком смысле под специальной правовой защитой компьютерной информации понимается защита компьютерной информации рядом правовых норм, направленных на предотвращение или</w:t>
      </w:r>
      <w:r w:rsidRPr="00467B95">
        <w:rPr>
          <w:rFonts w:ascii="Times New Roman" w:hAnsi="Times New Roman"/>
          <w:spacing w:val="4"/>
          <w:sz w:val="28"/>
          <w:szCs w:val="28"/>
          <w:shd w:val="clear" w:color="auto" w:fill="FFFFFF"/>
        </w:rPr>
        <w:tab/>
        <w:t xml:space="preserve">сведение к </w:t>
      </w:r>
      <w:r w:rsidRPr="00467B95">
        <w:rPr>
          <w:rFonts w:ascii="Times New Roman" w:hAnsi="Times New Roman"/>
          <w:spacing w:val="4"/>
          <w:sz w:val="28"/>
          <w:szCs w:val="28"/>
          <w:shd w:val="clear" w:color="auto" w:fill="FFFFFF"/>
        </w:rPr>
        <w:lastRenderedPageBreak/>
        <w:t>минимуму возможности правонарушений в сфере функционирования компьютерной системы.</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Необходимо отметить, что не вся информация является охраняемой:</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«К общедоступной информации относятся общеизвестные сведения и иная информация, доступ к которой не ограничен» [5].</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Таким образом, компьютерная информация которая находится в открытом доступе не защищена и не охраняется законодательством РФ. </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Говоря об  открытом доступе к информации необходимо сказать, что коммерческая тайна не является общедоступной информацией так как, согласно ФЗ «О коммерческой тайне» статье 3 « коммерческая тайна это – режим конфиденциальности информации, позволяющий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[6].</w:t>
      </w:r>
    </w:p>
    <w:p w:rsidR="00041B86" w:rsidRPr="00467B95" w:rsidRDefault="00041B86" w:rsidP="005A3DF4">
      <w:pPr>
        <w:widowControl w:val="0"/>
        <w:tabs>
          <w:tab w:val="left" w:pos="1134"/>
        </w:tabs>
        <w:spacing w:after="0" w:line="240" w:lineRule="auto"/>
        <w:ind w:firstLine="709"/>
        <w:jc w:val="both"/>
        <w:outlineLvl w:val="1"/>
        <w:rPr>
          <w:rFonts w:ascii="Times New Roman" w:hAnsi="Times New Roman"/>
          <w:bCs/>
          <w:spacing w:val="4"/>
          <w:sz w:val="28"/>
          <w:szCs w:val="28"/>
        </w:rPr>
      </w:pPr>
      <w:r w:rsidRPr="00467B95">
        <w:rPr>
          <w:rFonts w:ascii="Times New Roman" w:hAnsi="Times New Roman"/>
          <w:bCs/>
          <w:spacing w:val="4"/>
          <w:sz w:val="28"/>
          <w:szCs w:val="28"/>
        </w:rPr>
        <w:t>Распространение информации неизбежно приводит к возникновению угрозы нарушения авторских и смежных прав. В связи с этим для их пресечения нормы закона предполагают принятие комплексных судебных и административных мер.</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Таким мерами являются:</w:t>
      </w:r>
    </w:p>
    <w:p w:rsidR="00041B86" w:rsidRPr="00467B95" w:rsidRDefault="00041B86" w:rsidP="007F4EC1">
      <w:pPr>
        <w:widowControl w:val="0"/>
        <w:numPr>
          <w:ilvl w:val="0"/>
          <w:numId w:val="26"/>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оперативное вынесение судебных решений и использование досудебных обеспечительных мер для предотвращения дальнейших незаконных действий (ст. 1252 ГК РФ);</w:t>
      </w:r>
    </w:p>
    <w:p w:rsidR="00041B86" w:rsidRPr="00467B95" w:rsidRDefault="00041B86" w:rsidP="007F4EC1">
      <w:pPr>
        <w:widowControl w:val="0"/>
        <w:numPr>
          <w:ilvl w:val="0"/>
          <w:numId w:val="26"/>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блокирование информационных ресурсов и удаление пиратского контента (ст. 15.2 ФЗ № 149);</w:t>
      </w:r>
    </w:p>
    <w:p w:rsidR="00041B86" w:rsidRPr="00467B95" w:rsidRDefault="00041B86" w:rsidP="007F4EC1">
      <w:pPr>
        <w:widowControl w:val="0"/>
        <w:numPr>
          <w:ilvl w:val="0"/>
          <w:numId w:val="26"/>
        </w:numPr>
        <w:tabs>
          <w:tab w:val="left" w:pos="1134"/>
        </w:tabs>
        <w:spacing w:after="0" w:line="240" w:lineRule="auto"/>
        <w:ind w:left="0" w:firstLine="709"/>
        <w:contextualSpacing/>
        <w:jc w:val="both"/>
        <w:rPr>
          <w:rFonts w:ascii="Times New Roman" w:hAnsi="Times New Roman"/>
          <w:spacing w:val="4"/>
          <w:sz w:val="28"/>
          <w:szCs w:val="28"/>
        </w:rPr>
      </w:pPr>
      <w:r w:rsidRPr="00467B95">
        <w:rPr>
          <w:rFonts w:ascii="Times New Roman" w:hAnsi="Times New Roman"/>
          <w:spacing w:val="4"/>
          <w:sz w:val="28"/>
          <w:szCs w:val="28"/>
        </w:rPr>
        <w:t>ведение реестров информационных ресурсов, деятельность которых запрещена либо находится под пристальным вниманием Роскомнадзора.</w:t>
      </w:r>
    </w:p>
    <w:p w:rsidR="00041B86" w:rsidRPr="001A4A3F"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shd w:val="clear" w:color="auto" w:fill="FFFFFF"/>
        </w:rPr>
        <w:t>Исходя из выше сказанного, необходимо сделать следующие выводы, компьютерная информация – это любые сведения, электронные сигналы, которые хранятся на электронном носителе (компьютере) и могут быть прочитаны с помощью ЭВМ. Компьютерная информация отличается от других видов информации тем что, информация является не материальной, информация хранится и передается на материальных носителях, компьютерная информация доступна лицу, если последняя содержится на материальном носителе. Важно отметить</w:t>
      </w:r>
      <w:r w:rsidRPr="00467B95">
        <w:rPr>
          <w:rFonts w:ascii="Times New Roman" w:hAnsi="Times New Roman"/>
          <w:spacing w:val="4"/>
          <w:sz w:val="28"/>
          <w:szCs w:val="28"/>
        </w:rPr>
        <w:t xml:space="preserve">, что охрана компьютерной информации осуществляется должным образом, то есть практически вся </w:t>
      </w:r>
      <w:r w:rsidRPr="001A4A3F">
        <w:rPr>
          <w:rFonts w:ascii="Times New Roman" w:hAnsi="Times New Roman"/>
          <w:spacing w:val="4"/>
          <w:sz w:val="28"/>
          <w:szCs w:val="28"/>
        </w:rPr>
        <w:t>компьютерная информация находится под охраной, за исключением информации общедоступной, она не охраняется законодательством РФ.</w:t>
      </w:r>
    </w:p>
    <w:p w:rsidR="00041B86" w:rsidRPr="001A4A3F" w:rsidRDefault="00041B86" w:rsidP="005A3DF4">
      <w:pPr>
        <w:widowControl w:val="0"/>
        <w:shd w:val="clear" w:color="auto" w:fill="FFFFFF"/>
        <w:tabs>
          <w:tab w:val="left" w:pos="1134"/>
        </w:tabs>
        <w:spacing w:after="0" w:line="240" w:lineRule="auto"/>
        <w:ind w:firstLine="709"/>
        <w:jc w:val="both"/>
        <w:rPr>
          <w:rFonts w:ascii="Times New Roman" w:hAnsi="Times New Roman"/>
          <w:spacing w:val="4"/>
          <w:sz w:val="28"/>
          <w:szCs w:val="28"/>
        </w:rPr>
      </w:pPr>
      <w:r w:rsidRPr="001A4A3F">
        <w:rPr>
          <w:rFonts w:ascii="Times New Roman" w:hAnsi="Times New Roman"/>
          <w:spacing w:val="4"/>
          <w:sz w:val="28"/>
          <w:szCs w:val="28"/>
        </w:rPr>
        <w:t>Юридический аспект понятия.</w:t>
      </w:r>
    </w:p>
    <w:p w:rsidR="00041B86" w:rsidRPr="001A4A3F" w:rsidRDefault="00041B86" w:rsidP="005A3DF4">
      <w:pPr>
        <w:pStyle w:val="1"/>
        <w:keepNext w:val="0"/>
        <w:keepLines w:val="0"/>
        <w:widowControl w:val="0"/>
        <w:shd w:val="clear" w:color="auto" w:fill="FFFFFF"/>
        <w:tabs>
          <w:tab w:val="left" w:pos="1134"/>
        </w:tabs>
        <w:spacing w:before="0" w:line="240" w:lineRule="auto"/>
        <w:ind w:firstLine="709"/>
        <w:jc w:val="both"/>
        <w:rPr>
          <w:rFonts w:ascii="Times New Roman" w:hAnsi="Times New Roman" w:cs="Times New Roman"/>
          <w:b w:val="0"/>
          <w:color w:val="auto"/>
          <w:spacing w:val="4"/>
        </w:rPr>
      </w:pPr>
      <w:r w:rsidRPr="001A4A3F">
        <w:rPr>
          <w:rFonts w:ascii="Times New Roman" w:hAnsi="Times New Roman" w:cs="Times New Roman"/>
          <w:b w:val="0"/>
          <w:color w:val="auto"/>
          <w:spacing w:val="4"/>
        </w:rPr>
        <w:t>Уголовный кодекс РФ трактует статью 272 в следующей редакции:</w:t>
      </w:r>
    </w:p>
    <w:p w:rsidR="00041B86" w:rsidRPr="00467B95" w:rsidRDefault="00041B86" w:rsidP="005A3DF4">
      <w:pPr>
        <w:widowControl w:val="0"/>
        <w:shd w:val="clear" w:color="auto" w:fill="FFFFFF"/>
        <w:tabs>
          <w:tab w:val="left" w:pos="1134"/>
        </w:tabs>
        <w:spacing w:after="0" w:line="240" w:lineRule="auto"/>
        <w:ind w:firstLine="709"/>
        <w:jc w:val="both"/>
        <w:rPr>
          <w:rFonts w:ascii="Times New Roman" w:hAnsi="Times New Roman"/>
          <w:spacing w:val="4"/>
          <w:sz w:val="28"/>
          <w:szCs w:val="28"/>
        </w:rPr>
      </w:pPr>
      <w:bookmarkStart w:id="24" w:name="dst970"/>
      <w:bookmarkEnd w:id="24"/>
      <w:r w:rsidRPr="001A4A3F">
        <w:rPr>
          <w:rFonts w:ascii="Times New Roman" w:hAnsi="Times New Roman"/>
          <w:spacing w:val="4"/>
          <w:sz w:val="28"/>
          <w:szCs w:val="28"/>
        </w:rPr>
        <w:t>«</w:t>
      </w:r>
      <w:hyperlink r:id="rId149" w:anchor="dst100022" w:history="1">
        <w:r w:rsidRPr="001A4A3F">
          <w:rPr>
            <w:rStyle w:val="a8"/>
            <w:rFonts w:ascii="Times New Roman" w:hAnsi="Times New Roman"/>
            <w:color w:val="auto"/>
            <w:spacing w:val="4"/>
            <w:sz w:val="28"/>
            <w:szCs w:val="28"/>
            <w:u w:val="none"/>
          </w:rPr>
          <w:t>Неправомерный доступ</w:t>
        </w:r>
      </w:hyperlink>
      <w:r w:rsidRPr="001A4A3F">
        <w:rPr>
          <w:rStyle w:val="blk"/>
          <w:rFonts w:ascii="Times New Roman" w:hAnsi="Times New Roman"/>
          <w:spacing w:val="4"/>
          <w:sz w:val="28"/>
          <w:szCs w:val="28"/>
        </w:rPr>
        <w:t> к охраняемой законом компьютерной информации, если это деяние повлекло </w:t>
      </w:r>
      <w:hyperlink r:id="rId150" w:anchor="dst100025" w:history="1">
        <w:r w:rsidRPr="001A4A3F">
          <w:rPr>
            <w:rStyle w:val="a8"/>
            <w:rFonts w:ascii="Times New Roman" w:hAnsi="Times New Roman"/>
            <w:color w:val="auto"/>
            <w:spacing w:val="4"/>
            <w:sz w:val="28"/>
            <w:szCs w:val="28"/>
            <w:u w:val="none"/>
          </w:rPr>
          <w:t>уничтожение</w:t>
        </w:r>
      </w:hyperlink>
      <w:r w:rsidRPr="001A4A3F">
        <w:rPr>
          <w:rStyle w:val="blk"/>
          <w:rFonts w:ascii="Times New Roman" w:hAnsi="Times New Roman"/>
          <w:spacing w:val="4"/>
          <w:sz w:val="28"/>
          <w:szCs w:val="28"/>
        </w:rPr>
        <w:t>, </w:t>
      </w:r>
      <w:hyperlink r:id="rId151" w:anchor="dst100026" w:history="1">
        <w:r w:rsidRPr="001A4A3F">
          <w:rPr>
            <w:rStyle w:val="a8"/>
            <w:rFonts w:ascii="Times New Roman" w:hAnsi="Times New Roman"/>
            <w:color w:val="auto"/>
            <w:spacing w:val="4"/>
            <w:sz w:val="28"/>
            <w:szCs w:val="28"/>
            <w:u w:val="none"/>
          </w:rPr>
          <w:t>блокирование</w:t>
        </w:r>
      </w:hyperlink>
      <w:r w:rsidRPr="001A4A3F">
        <w:rPr>
          <w:rStyle w:val="blk"/>
          <w:rFonts w:ascii="Times New Roman" w:hAnsi="Times New Roman"/>
          <w:spacing w:val="4"/>
          <w:sz w:val="28"/>
          <w:szCs w:val="28"/>
        </w:rPr>
        <w:t>, </w:t>
      </w:r>
      <w:hyperlink r:id="rId152" w:anchor="dst100027" w:history="1">
        <w:r w:rsidRPr="001A4A3F">
          <w:rPr>
            <w:rStyle w:val="a8"/>
            <w:rFonts w:ascii="Times New Roman" w:hAnsi="Times New Roman"/>
            <w:color w:val="auto"/>
            <w:spacing w:val="4"/>
            <w:sz w:val="28"/>
            <w:szCs w:val="28"/>
            <w:u w:val="none"/>
          </w:rPr>
          <w:t>модификацию</w:t>
        </w:r>
      </w:hyperlink>
      <w:r w:rsidRPr="001A4A3F">
        <w:rPr>
          <w:rStyle w:val="blk"/>
          <w:rFonts w:ascii="Times New Roman" w:hAnsi="Times New Roman"/>
          <w:spacing w:val="4"/>
          <w:sz w:val="28"/>
          <w:szCs w:val="28"/>
        </w:rPr>
        <w:t xml:space="preserve"> либо  </w:t>
      </w:r>
      <w:hyperlink r:id="rId153" w:anchor="dst100028" w:history="1">
        <w:r w:rsidRPr="001A4A3F">
          <w:rPr>
            <w:rStyle w:val="a8"/>
            <w:rFonts w:ascii="Times New Roman" w:hAnsi="Times New Roman"/>
            <w:color w:val="auto"/>
            <w:spacing w:val="4"/>
            <w:sz w:val="28"/>
            <w:szCs w:val="28"/>
            <w:u w:val="none"/>
          </w:rPr>
          <w:t>копирование</w:t>
        </w:r>
      </w:hyperlink>
      <w:r w:rsidRPr="001A4A3F">
        <w:rPr>
          <w:rStyle w:val="blk"/>
          <w:rFonts w:ascii="Times New Roman" w:hAnsi="Times New Roman"/>
          <w:spacing w:val="4"/>
          <w:sz w:val="28"/>
          <w:szCs w:val="28"/>
        </w:rPr>
        <w:t xml:space="preserve">  компьютерной информации, - </w:t>
      </w:r>
      <w:bookmarkStart w:id="25" w:name="dst971"/>
      <w:bookmarkEnd w:id="25"/>
      <w:r w:rsidRPr="001A4A3F">
        <w:rPr>
          <w:rStyle w:val="blk"/>
          <w:rFonts w:ascii="Times New Roman" w:hAnsi="Times New Roman"/>
          <w:spacing w:val="4"/>
          <w:sz w:val="28"/>
          <w:szCs w:val="28"/>
        </w:rPr>
        <w:t xml:space="preserve">наказывается штрафом в размере до двухсот </w:t>
      </w:r>
      <w:r w:rsidRPr="001A4A3F">
        <w:rPr>
          <w:rStyle w:val="blk"/>
          <w:rFonts w:ascii="Times New Roman" w:hAnsi="Times New Roman"/>
          <w:spacing w:val="4"/>
          <w:sz w:val="28"/>
          <w:szCs w:val="28"/>
        </w:rPr>
        <w:lastRenderedPageBreak/>
        <w:t>тысяч рублей или в размере заработной платы или иного дохода осужденного за период до восемнадцати месяцев, либо исправительными работами на срок до одного</w:t>
      </w:r>
      <w:r w:rsidRPr="00467B95">
        <w:rPr>
          <w:rStyle w:val="blk"/>
          <w:rFonts w:ascii="Times New Roman" w:hAnsi="Times New Roman"/>
          <w:spacing w:val="4"/>
          <w:sz w:val="28"/>
          <w:szCs w:val="28"/>
        </w:rPr>
        <w:t xml:space="preserve"> года, либо ограничением свободы на срок до двух лет, либо принудительными работами на срок до двух лет, либо лишением свободы на тот же срок» [7].</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Далее рассмотрим главные и актуальные проблемы следственных действий при расследовании преступлений по 272 и 273 УК РФ:</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1 Обыск, проблема проведения данного следственного действия заключается в том, что зачастую следователь не может правильно и грамотно определить какая информация, хранящаяся на компьютере, является программой, предназначенной для взлома информационных сетей. Дело в том, что для того, чтобы определить какая из программ предназначена для взлома нужно обладать знаниями в области </w:t>
      </w:r>
      <w:r w:rsidRPr="00467B95">
        <w:rPr>
          <w:rFonts w:ascii="Times New Roman" w:hAnsi="Times New Roman"/>
          <w:spacing w:val="4"/>
          <w:sz w:val="28"/>
          <w:szCs w:val="28"/>
          <w:lang w:val="en-US"/>
        </w:rPr>
        <w:t>IT</w:t>
      </w:r>
      <w:r w:rsidRPr="00467B95">
        <w:rPr>
          <w:rFonts w:ascii="Times New Roman" w:hAnsi="Times New Roman"/>
          <w:spacing w:val="4"/>
          <w:sz w:val="28"/>
          <w:szCs w:val="28"/>
        </w:rPr>
        <w:t>-технологий.</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Существуют определенные следы в файловой системе компьютера:</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копии файлов, принадлежащие другим лицам;</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файлы, где содержится cookie-файлы, или история посещений браузере;</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файлы с программами;</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программное обеспечение, которое предназначено для неправомерного доступа.</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На информационных носителях могут содержаться такие данные, как:</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программы, предназначенные для проведение электронных платежей по сети Интернет;</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письменные и электронные сообщения (переписка);</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порнографические изображения;</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вредоносные программы.</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Изменение конфигурации компьютерного оборудования:</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Исходя из вышеперечисленной информации, следователь не сможет правильно и грамотно определить какая из информации, является программой, предназначенной для взлома ЭВМ, а какая является системной утилитой (программой, не предназначенной для взлома).  </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При проведении такого следственного действия как обыск необходимо:</w:t>
      </w:r>
    </w:p>
    <w:p w:rsidR="00041B86" w:rsidRPr="00467B95" w:rsidRDefault="00041B86" w:rsidP="007F4EC1">
      <w:pPr>
        <w:widowControl w:val="0"/>
        <w:numPr>
          <w:ilvl w:val="0"/>
          <w:numId w:val="25"/>
        </w:numPr>
        <w:tabs>
          <w:tab w:val="left" w:pos="1134"/>
        </w:tabs>
        <w:autoSpaceDE w:val="0"/>
        <w:autoSpaceDN w:val="0"/>
        <w:adjustRightInd w:val="0"/>
        <w:spacing w:after="0" w:line="240" w:lineRule="auto"/>
        <w:ind w:left="0" w:firstLine="709"/>
        <w:jc w:val="both"/>
        <w:rPr>
          <w:rFonts w:ascii="Times New Roman" w:hAnsi="Times New Roman"/>
          <w:spacing w:val="4"/>
          <w:sz w:val="28"/>
          <w:szCs w:val="28"/>
        </w:rPr>
      </w:pPr>
      <w:r w:rsidRPr="00467B95">
        <w:rPr>
          <w:rFonts w:ascii="Times New Roman" w:hAnsi="Times New Roman"/>
          <w:spacing w:val="4"/>
          <w:sz w:val="28"/>
          <w:szCs w:val="28"/>
        </w:rPr>
        <w:tab/>
        <w:t>обратить внимание на расположение, состояние техники;</w:t>
      </w:r>
    </w:p>
    <w:p w:rsidR="00041B86" w:rsidRPr="00467B95" w:rsidRDefault="00041B86" w:rsidP="007F4EC1">
      <w:pPr>
        <w:widowControl w:val="0"/>
        <w:numPr>
          <w:ilvl w:val="0"/>
          <w:numId w:val="25"/>
        </w:numPr>
        <w:tabs>
          <w:tab w:val="left" w:pos="1134"/>
        </w:tabs>
        <w:autoSpaceDE w:val="0"/>
        <w:autoSpaceDN w:val="0"/>
        <w:adjustRightInd w:val="0"/>
        <w:spacing w:after="0" w:line="240" w:lineRule="auto"/>
        <w:ind w:left="0" w:firstLine="709"/>
        <w:jc w:val="both"/>
        <w:rPr>
          <w:rFonts w:ascii="Times New Roman" w:hAnsi="Times New Roman"/>
          <w:spacing w:val="4"/>
          <w:sz w:val="28"/>
          <w:szCs w:val="28"/>
        </w:rPr>
      </w:pPr>
      <w:r w:rsidRPr="00467B95">
        <w:rPr>
          <w:rFonts w:ascii="Times New Roman" w:hAnsi="Times New Roman"/>
          <w:spacing w:val="4"/>
          <w:sz w:val="28"/>
          <w:szCs w:val="28"/>
        </w:rPr>
        <w:tab/>
        <w:t>произвести поиск запоминающих устройств;</w:t>
      </w:r>
    </w:p>
    <w:p w:rsidR="00041B86" w:rsidRPr="00467B95" w:rsidRDefault="00041B86" w:rsidP="007F4EC1">
      <w:pPr>
        <w:widowControl w:val="0"/>
        <w:numPr>
          <w:ilvl w:val="0"/>
          <w:numId w:val="25"/>
        </w:numPr>
        <w:tabs>
          <w:tab w:val="left" w:pos="1134"/>
        </w:tabs>
        <w:autoSpaceDE w:val="0"/>
        <w:autoSpaceDN w:val="0"/>
        <w:adjustRightInd w:val="0"/>
        <w:spacing w:after="0" w:line="240" w:lineRule="auto"/>
        <w:ind w:left="0" w:firstLine="709"/>
        <w:jc w:val="both"/>
        <w:rPr>
          <w:rFonts w:ascii="Times New Roman" w:hAnsi="Times New Roman"/>
          <w:spacing w:val="4"/>
          <w:sz w:val="28"/>
          <w:szCs w:val="28"/>
        </w:rPr>
      </w:pPr>
      <w:r w:rsidRPr="00467B95">
        <w:rPr>
          <w:rFonts w:ascii="Times New Roman" w:hAnsi="Times New Roman"/>
          <w:spacing w:val="4"/>
          <w:sz w:val="28"/>
          <w:szCs w:val="28"/>
        </w:rPr>
        <w:tab/>
        <w:t>проверить имеются ли на данном устройстве средства защиты компьютерной информации, вирусные программы;</w:t>
      </w:r>
    </w:p>
    <w:p w:rsidR="00041B86" w:rsidRPr="00467B95" w:rsidRDefault="00041B86" w:rsidP="007F4EC1">
      <w:pPr>
        <w:widowControl w:val="0"/>
        <w:numPr>
          <w:ilvl w:val="0"/>
          <w:numId w:val="25"/>
        </w:numPr>
        <w:tabs>
          <w:tab w:val="left" w:pos="1134"/>
        </w:tabs>
        <w:autoSpaceDE w:val="0"/>
        <w:autoSpaceDN w:val="0"/>
        <w:adjustRightInd w:val="0"/>
        <w:spacing w:after="0" w:line="240" w:lineRule="auto"/>
        <w:ind w:left="0" w:firstLine="709"/>
        <w:jc w:val="both"/>
        <w:rPr>
          <w:rFonts w:ascii="Times New Roman" w:hAnsi="Times New Roman"/>
          <w:spacing w:val="4"/>
          <w:sz w:val="28"/>
          <w:szCs w:val="28"/>
        </w:rPr>
      </w:pPr>
      <w:r w:rsidRPr="00467B95">
        <w:rPr>
          <w:rFonts w:ascii="Times New Roman" w:hAnsi="Times New Roman"/>
          <w:spacing w:val="4"/>
          <w:sz w:val="28"/>
          <w:szCs w:val="28"/>
        </w:rPr>
        <w:tab/>
        <w:t>при необходимости отключить специальные средства защиты информации;</w:t>
      </w:r>
    </w:p>
    <w:p w:rsidR="00041B86" w:rsidRPr="00467B95" w:rsidRDefault="00041B86" w:rsidP="007F4EC1">
      <w:pPr>
        <w:widowControl w:val="0"/>
        <w:numPr>
          <w:ilvl w:val="0"/>
          <w:numId w:val="25"/>
        </w:numPr>
        <w:tabs>
          <w:tab w:val="left" w:pos="1134"/>
        </w:tabs>
        <w:autoSpaceDE w:val="0"/>
        <w:autoSpaceDN w:val="0"/>
        <w:adjustRightInd w:val="0"/>
        <w:spacing w:after="0" w:line="240" w:lineRule="auto"/>
        <w:ind w:left="0" w:firstLine="709"/>
        <w:jc w:val="both"/>
        <w:rPr>
          <w:rFonts w:ascii="Times New Roman" w:hAnsi="Times New Roman"/>
          <w:spacing w:val="4"/>
          <w:sz w:val="28"/>
          <w:szCs w:val="28"/>
        </w:rPr>
      </w:pPr>
      <w:r w:rsidRPr="00467B95">
        <w:rPr>
          <w:rFonts w:ascii="Times New Roman" w:hAnsi="Times New Roman"/>
          <w:spacing w:val="4"/>
          <w:sz w:val="28"/>
          <w:szCs w:val="28"/>
        </w:rPr>
        <w:tab/>
        <w:t>определить наличие программ, которые могли бы уничтожить информацию;</w:t>
      </w:r>
    </w:p>
    <w:p w:rsidR="00041B86" w:rsidRPr="00467B95" w:rsidRDefault="00041B86" w:rsidP="007F4EC1">
      <w:pPr>
        <w:widowControl w:val="0"/>
        <w:numPr>
          <w:ilvl w:val="0"/>
          <w:numId w:val="25"/>
        </w:numPr>
        <w:tabs>
          <w:tab w:val="left" w:pos="1134"/>
        </w:tabs>
        <w:autoSpaceDE w:val="0"/>
        <w:autoSpaceDN w:val="0"/>
        <w:adjustRightInd w:val="0"/>
        <w:spacing w:after="0" w:line="240" w:lineRule="auto"/>
        <w:ind w:left="0" w:firstLine="709"/>
        <w:jc w:val="both"/>
        <w:rPr>
          <w:rFonts w:ascii="Times New Roman" w:hAnsi="Times New Roman"/>
          <w:spacing w:val="4"/>
          <w:sz w:val="28"/>
          <w:szCs w:val="28"/>
        </w:rPr>
      </w:pPr>
      <w:r w:rsidRPr="00467B95">
        <w:rPr>
          <w:rFonts w:ascii="Times New Roman" w:hAnsi="Times New Roman"/>
          <w:spacing w:val="4"/>
          <w:sz w:val="28"/>
          <w:szCs w:val="28"/>
        </w:rPr>
        <w:tab/>
        <w:t>провести поиск информации, имеющей значения для расследуемого преступления, в осматриваемом компьютере.</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lastRenderedPageBreak/>
        <w:t>2 Проблема неграмотности следователь очень актуальна так как именно они определяют какую информацию нужно изъять с носителя. Зачастую при проведении обыска следователь изымает практически всю технику, которая находится у субъекта в отношении которого проводиться обыск. Об этом свидетельствует судебная практика, а именно статистика.</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Шевко Наиля Рашидовна, кандидат экономических наук, начальник кафедры экономики, финансового права и информационных технологий в деятельности ОВД Казанского юридического института МВД России в своей научной статье «Особенности раскрытия и расследования киберпреступлений: проблемы и пути решения» представляет следующую статистику: «По результаты опроса следователей показали, что у 95% респондентов имеется только юридическое образование, другая дополнительная подготовка ими получена не была, что не может не влиять на качество расследования. Только 5% из числа опрошенных имели еще и образование по специальности "Информатика и вычислительная техника". Из числа опрошенных 63% оценивают свой уровень владения персональным компьютером как уровень "среднего пользователя", 37% считают, что они обладают знаниями "продвинутого пользователя". При этом 79% опрошенных следователей назвали источником знаний компьютерных технологий самообразование, 21% - курсы повышения квалификации сотрудников правоохранительных органов, 5% - коммерческие курсы или специальное образование» [8].</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b/>
          <w:spacing w:val="4"/>
          <w:sz w:val="28"/>
          <w:szCs w:val="28"/>
        </w:rPr>
      </w:pPr>
      <w:r w:rsidRPr="00467B95">
        <w:rPr>
          <w:rFonts w:ascii="Times New Roman" w:hAnsi="Times New Roman"/>
          <w:spacing w:val="4"/>
          <w:sz w:val="28"/>
          <w:szCs w:val="28"/>
        </w:rPr>
        <w:t>3 Какой из предметов компьютерных технологий является средством совершения преступления. При проведении такого следственного действия как обыска и выемки, не всегда точно можно определить какая ЭВМ, является средством совершения преступления. Например, при обыске в квартире подозреваемого обнаружены такие ЭВМ как – Персональный компьютер, ноутбук, планшет. Какой из ЭВМ является средством совершения преступления.</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Согласно судебной практике, при такой ситуации следователь изымает все ЭВМ. Так, например, по делу 1-878/2017 от 15 декабря 2017 г.</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«Протоколом выемки был изъят мобильный телефон марки «Флай» с сим-картами;</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Протоколом осмотра предметов был осмотрен указанный выше мобильный телефон;</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Протоколом обыска был изъят, компьютер (ноутбук) марки «НР»;</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Протоколом осмотра предметов</w:t>
      </w:r>
    </w:p>
    <w:p w:rsidR="00041B86" w:rsidRPr="00467B95" w:rsidRDefault="00041B86" w:rsidP="005A3DF4">
      <w:pPr>
        <w:widowControl w:val="0"/>
        <w:tabs>
          <w:tab w:val="left" w:pos="1134"/>
        </w:tabs>
        <w:autoSpaceDE w:val="0"/>
        <w:autoSpaceDN w:val="0"/>
        <w:adjustRightInd w:val="0"/>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Протоколом выемки был изъят компакт-диск с входящей и исходящей информацией, а также иным содержимым учетной записи (страницы)» [9].</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4 Длительное предварительное расследование</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Согласно, исследований Шевко Н.Р., в 53% случаев с момента совершения преступления до поступления информации о совершенном преступлении проходит более 10 дней. Несвоевременность выявления </w:t>
      </w:r>
      <w:r w:rsidRPr="00467B95">
        <w:rPr>
          <w:rFonts w:ascii="Times New Roman" w:hAnsi="Times New Roman"/>
          <w:spacing w:val="4"/>
          <w:sz w:val="28"/>
          <w:szCs w:val="28"/>
        </w:rPr>
        <w:lastRenderedPageBreak/>
        <w:t>преступлений отметили 75% опрошенных следователей.</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Запоздалое начало предварительного расследования может привести к безвозвратной утрате важных доказательств, увеличению сроков предварительного расследования и другим негативным последствиям. Как правило, несвоевременное выявление киберпреступлений влечет за собой опасность уничтожения следов совершенного преступления.</w:t>
      </w:r>
    </w:p>
    <w:p w:rsidR="00041B86" w:rsidRPr="00467B95" w:rsidRDefault="00041B86" w:rsidP="005A3DF4">
      <w:pPr>
        <w:widowControl w:val="0"/>
        <w:tabs>
          <w:tab w:val="left" w:pos="284"/>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Исходя из вышеизложенного расследование преступлений о неправомерном доступе к компьютерной информации остается сложной задачей для следователей и органов дознания. Это обусловлено такими проблемами как:</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Следователь не всегда может правильно и грамотно определить какая информация, находящейся на компьютере, является программой, предназначенной для взлома информационных сетей;</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Не всегда точно можно определить какая ЭВМ, является средством совершения преступления;</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rPr>
      </w:pPr>
      <w:r w:rsidRPr="00467B95">
        <w:rPr>
          <w:rFonts w:ascii="Times New Roman" w:hAnsi="Times New Roman"/>
          <w:spacing w:val="4"/>
          <w:sz w:val="28"/>
          <w:szCs w:val="28"/>
        </w:rPr>
        <w:t xml:space="preserve">При проведении осмотра места происшествия, нужно правильно определить какой из предметов компьютерных технологий является средством совершения преступления. При проведении такого следственного действия как обыск и выемка, не всегда точно можно определить какая ЭВМ, является средством совершения преступления. </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rPr>
        <w:t>- Отсутствие места преступления;</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Не выявление места преступления ведет к не установлению обстоятельств, составляющих объективную сторону данного преступления, что заведомо лишает суд возможности проверить обоснованность и доказанность данного состава преступления. Обязательному доказыванию подлежит событие преступления, т.е. время, место, способ и другие обстоятельства совершения преступления. От точного установления времени совершения преступления зависит не только возможность объективного восстановления обстоятельств совершения преступления, но и предоставление защите возможности опровержения обвинения.</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Потерпевшие оказывают пассивное или активное сопротивление следствию, стремясь скрыть имевшие место обстоятельства преступления.</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В частности, делам о неправомерном доступе к компьютерной информации сами потерпевшие оказывают пассивное или активное сопротивление следствию, стремясь скрыть имевшие место обстоятельства преступления, пытаясь таким образом защитить репутацию своей организации, либо репутацию лиц, не сумевшей сохранить конфиденциальную компьютерную информацию, опасаясь наказания за свою халатность.</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При расследовании преступлений в сфере компьютерной информации существует возможность, быстрого скрытия следов преступления, что негативно сказывается на последующем доказывании.</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Данные проблемы и особенности приводят к низкой раскрываемости, как следствие роста числа преступлений.</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lastRenderedPageBreak/>
        <w:t>Для повышения раскрываемости, рассматриваемой в настоящей работе, категории преступлений необходимо:</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повысить техническую грамотность следователей расследующих данную категорию преступлений, провезти дополнительные курсы по повышению, провезти переподготовку;</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провести обучение, разработать методические рекомендации;</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создать единый не только в МВД центр по расследованию преступлений в сфере компьютерных технологий, позволяющий использовать передовые практики выявления и расследования преступлений в сфере неправомерного доступа;</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более часто привлекать специалистов в области компьютерных технологий;</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использовать зарубежный опыт, а именно конвенцию о преступности в сфере компьютерной информации (ETS N 185), в которой более детально прописаны составы преступлений и правонарушений, а так же даны понятия программам предназначенных для взлома, и ещё не маловажным является то что, данной конвенции рассмотрен вопрос о постоянном мониторинге преступлений в сфере компьютерной информации, то есть любое посягательство на компьютерную информацию по средствам глобальных информационных сетей отслеживается и предупреждается онлайн;</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организовать создание единой компьютерной сети по онлайн мониторингу глобальных информационных сетей;</w:t>
      </w:r>
    </w:p>
    <w:p w:rsidR="00041B86" w:rsidRPr="00467B95" w:rsidRDefault="00041B86" w:rsidP="005A3DF4">
      <w:pPr>
        <w:widowControl w:val="0"/>
        <w:tabs>
          <w:tab w:val="left" w:pos="1134"/>
        </w:tabs>
        <w:spacing w:after="0" w:line="240" w:lineRule="auto"/>
        <w:ind w:firstLine="709"/>
        <w:jc w:val="both"/>
        <w:rPr>
          <w:rFonts w:ascii="Times New Roman" w:hAnsi="Times New Roman"/>
          <w:spacing w:val="4"/>
          <w:sz w:val="28"/>
          <w:szCs w:val="28"/>
          <w:shd w:val="clear" w:color="auto" w:fill="FFFFFF"/>
        </w:rPr>
      </w:pPr>
      <w:r w:rsidRPr="00467B95">
        <w:rPr>
          <w:rFonts w:ascii="Times New Roman" w:hAnsi="Times New Roman"/>
          <w:spacing w:val="4"/>
          <w:sz w:val="28"/>
          <w:szCs w:val="28"/>
          <w:shd w:val="clear" w:color="auto" w:fill="FFFFFF"/>
        </w:rPr>
        <w:t>- разработать реестр по использованными и используемыми вредоносными программами, чтобы следователь мог свериться с данными и определить является ли программа вредоносной. Данный реестр будет представлять собой собрание всех категорий и видов вредоносных программ, существующих на данный момент времени и описание их возможностей, а также описание их компьютерно-криминалистических следов.</w:t>
      </w:r>
    </w:p>
    <w:p w:rsidR="001A4A3F" w:rsidRPr="001A4A3F" w:rsidRDefault="001A4A3F" w:rsidP="005A3DF4">
      <w:pPr>
        <w:pStyle w:val="a7"/>
        <w:widowControl w:val="0"/>
        <w:spacing w:after="0" w:line="240" w:lineRule="auto"/>
        <w:ind w:left="107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Pr="001A4A3F">
        <w:rPr>
          <w:rFonts w:ascii="Times New Roman" w:eastAsia="Times New Roman" w:hAnsi="Times New Roman"/>
          <w:sz w:val="28"/>
          <w:szCs w:val="28"/>
          <w:lang w:eastAsia="ru-RU"/>
        </w:rPr>
        <w:t>Список использованных источников</w:t>
      </w:r>
    </w:p>
    <w:p w:rsidR="00041B86" w:rsidRPr="00467B95" w:rsidRDefault="00041B86" w:rsidP="007F4EC1">
      <w:pPr>
        <w:widowControl w:val="0"/>
        <w:numPr>
          <w:ilvl w:val="0"/>
          <w:numId w:val="23"/>
        </w:numPr>
        <w:tabs>
          <w:tab w:val="left" w:pos="-142"/>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467B95">
        <w:rPr>
          <w:rFonts w:ascii="Times New Roman" w:hAnsi="Times New Roman"/>
          <w:sz w:val="28"/>
          <w:szCs w:val="28"/>
        </w:rPr>
        <w:t>Федеральная Служба Государственной Статистики  «Россия в цифрах» А.Е. Суринов - Председатель редакционной коллегии Э.Ф. Баранов, Н.С. Бугакова, М.И. Гельвановский, Л.М. Гохберг, С.Н.Егоренко, В.В. Елизаров, В.Б. Житков, Ю.Н. Иванов, A.Л. Кевеш, А.Е. Косарев, К.Э. Лайкам, И.Д. Масакова, В.Н. Нестеров, Г.К. Оксенойт, О.П. Рыбак, Б.Т. Рябушкин, А.А. Татаринов, А.В. Хорошилов 2016г.</w:t>
      </w:r>
    </w:p>
    <w:p w:rsidR="00041B86" w:rsidRPr="00467B95" w:rsidRDefault="00041B86" w:rsidP="007F4EC1">
      <w:pPr>
        <w:widowControl w:val="0"/>
        <w:numPr>
          <w:ilvl w:val="0"/>
          <w:numId w:val="23"/>
        </w:numPr>
        <w:tabs>
          <w:tab w:val="left" w:pos="-142"/>
          <w:tab w:val="left" w:pos="1134"/>
        </w:tabs>
        <w:autoSpaceDE w:val="0"/>
        <w:autoSpaceDN w:val="0"/>
        <w:adjustRightInd w:val="0"/>
        <w:spacing w:after="0" w:line="240" w:lineRule="auto"/>
        <w:ind w:left="0" w:firstLine="709"/>
        <w:contextualSpacing/>
        <w:jc w:val="both"/>
        <w:rPr>
          <w:rFonts w:ascii="Times New Roman" w:hAnsi="Times New Roman"/>
          <w:sz w:val="28"/>
          <w:szCs w:val="28"/>
        </w:rPr>
      </w:pPr>
      <w:r w:rsidRPr="00467B95">
        <w:rPr>
          <w:rFonts w:ascii="Times New Roman" w:hAnsi="Times New Roman"/>
          <w:sz w:val="28"/>
          <w:szCs w:val="28"/>
        </w:rPr>
        <w:t xml:space="preserve">Уголовный кодекс Российской Федерации. Часть особенная: федеральный закон от 30.11.1994 № 51-ФЗ (ред. от 31.01.2016) [Электронный ресурс] // СПС «Гарант». – Режим доступа: </w:t>
      </w:r>
      <w:hyperlink r:id="rId154" w:anchor="/document/10164072/paragraph/44878456:1" w:history="1">
        <w:r w:rsidRPr="00467B95">
          <w:rPr>
            <w:rFonts w:ascii="Times New Roman" w:hAnsi="Times New Roman"/>
            <w:sz w:val="28"/>
            <w:szCs w:val="28"/>
          </w:rPr>
          <w:t>http://ivo.garant.ru/#/document/10164072/paragraph/44878456:1</w:t>
        </w:r>
      </w:hyperlink>
    </w:p>
    <w:p w:rsidR="00041B86" w:rsidRPr="00467B95"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Макарова З.В. Защита в российском уголовном процессе: понятие, виды, предмет и пределы / З.В. Макарова // Правоведение. — 2000. — № 3. — С. 215-227.</w:t>
      </w:r>
    </w:p>
    <w:p w:rsidR="00041B86" w:rsidRPr="00467B95"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467B95">
        <w:rPr>
          <w:rFonts w:ascii="Times New Roman" w:hAnsi="Times New Roman"/>
          <w:sz w:val="28"/>
          <w:szCs w:val="28"/>
        </w:rPr>
        <w:lastRenderedPageBreak/>
        <w:t xml:space="preserve">Гаврилов Э.П. Комментарий Закона об авторском праве и смежном правах: учебное пособие / Э.П. Гаврилов. – М.: Правовая культура, 1996. – 489 с.   </w:t>
      </w:r>
    </w:p>
    <w:p w:rsidR="00041B86" w:rsidRPr="00467B95"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Об информации, информационных технологиях и о защите информации: федеральный закон от 27.07.2006 № 149-ФЗ (ред.  от 19.07.2018) [Электронный ресурс] // СПС «Гарант». – Режим доступа: </w:t>
      </w:r>
      <w:hyperlink r:id="rId155" w:anchor="/document/12148555/paragraph/3471:4" w:history="1">
        <w:r w:rsidRPr="00467B95">
          <w:rPr>
            <w:rFonts w:ascii="Times New Roman" w:hAnsi="Times New Roman"/>
            <w:sz w:val="28"/>
            <w:szCs w:val="28"/>
          </w:rPr>
          <w:t>http://ivo.garant.ru/#/document/12148555/paragraph/3471:4</w:t>
        </w:r>
      </w:hyperlink>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1A4A3F">
        <w:rPr>
          <w:rFonts w:ascii="Times New Roman" w:hAnsi="Times New Roman"/>
          <w:sz w:val="28"/>
          <w:szCs w:val="28"/>
        </w:rPr>
        <w:t xml:space="preserve">О коммерческой тайне: федеральный закон от 29.07.2004 № 98-ФЗ (ред. от </w:t>
      </w:r>
      <w:r w:rsidRPr="001A4A3F">
        <w:rPr>
          <w:rFonts w:ascii="Times New Roman" w:hAnsi="Times New Roman"/>
          <w:sz w:val="28"/>
          <w:szCs w:val="28"/>
          <w:shd w:val="clear" w:color="auto" w:fill="FFFFFF"/>
        </w:rPr>
        <w:t>18.04.2018</w:t>
      </w:r>
      <w:r w:rsidRPr="001A4A3F">
        <w:rPr>
          <w:rFonts w:ascii="Times New Roman" w:hAnsi="Times New Roman"/>
          <w:sz w:val="28"/>
          <w:szCs w:val="28"/>
        </w:rPr>
        <w:t xml:space="preserve">) [Электронный ресурс] // СПС «Гарант». – Режим доступа: </w:t>
      </w:r>
      <w:hyperlink r:id="rId156" w:history="1">
        <w:r w:rsidRPr="001A4A3F">
          <w:rPr>
            <w:rStyle w:val="a8"/>
            <w:rFonts w:ascii="Times New Roman" w:hAnsi="Times New Roman"/>
            <w:color w:val="auto"/>
            <w:sz w:val="28"/>
            <w:szCs w:val="28"/>
            <w:u w:val="none"/>
          </w:rPr>
          <w:t>http://ivo.garant.ru/</w:t>
        </w:r>
      </w:hyperlink>
      <w:r w:rsidRPr="001A4A3F">
        <w:rPr>
          <w:rFonts w:ascii="Times New Roman" w:hAnsi="Times New Roman"/>
          <w:sz w:val="28"/>
          <w:szCs w:val="28"/>
        </w:rPr>
        <w:t xml:space="preserve"> #/document/12136454/paragraph/12089:4.</w:t>
      </w:r>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1A4A3F">
        <w:rPr>
          <w:rFonts w:ascii="Times New Roman" w:hAnsi="Times New Roman"/>
          <w:sz w:val="28"/>
          <w:szCs w:val="28"/>
        </w:rPr>
        <w:t>Уголовный кодекс Российской Федерации: федеральный закон от 30.11.1994 № 51-ФЗ (ред. от 27.12.2018) [Электронный ресурс] // СПС «Гарант». – Режим доступа: http://ivo.garant.ru.</w:t>
      </w:r>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1A4A3F">
        <w:rPr>
          <w:rFonts w:ascii="Times New Roman" w:hAnsi="Times New Roman"/>
          <w:sz w:val="28"/>
          <w:szCs w:val="28"/>
        </w:rPr>
        <w:t>Шевко Е. А. Особенности раскрытия и расследования киберпреступлений: проблемы и пути решения / Е.А. Шевко // Ученые записки Казанского юридического института МВД России том 1. – 2016. –  С. 13-16.</w:t>
      </w:r>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lang w:val="en-US"/>
        </w:rPr>
      </w:pPr>
      <w:r w:rsidRPr="001A4A3F">
        <w:rPr>
          <w:rFonts w:ascii="Times New Roman" w:hAnsi="Times New Roman"/>
          <w:sz w:val="28"/>
          <w:szCs w:val="28"/>
        </w:rPr>
        <w:t>Приговор</w:t>
      </w:r>
      <w:r w:rsidRPr="001A4A3F">
        <w:rPr>
          <w:rFonts w:ascii="Times New Roman" w:hAnsi="Times New Roman"/>
          <w:sz w:val="28"/>
          <w:szCs w:val="28"/>
          <w:lang w:val="en-US"/>
        </w:rPr>
        <w:t xml:space="preserve"> № 1-878/1/2017 </w:t>
      </w:r>
      <w:r w:rsidRPr="001A4A3F">
        <w:rPr>
          <w:rFonts w:ascii="Times New Roman" w:hAnsi="Times New Roman"/>
          <w:sz w:val="28"/>
          <w:szCs w:val="28"/>
        </w:rPr>
        <w:t>от</w:t>
      </w:r>
      <w:r w:rsidRPr="001A4A3F">
        <w:rPr>
          <w:rFonts w:ascii="Times New Roman" w:hAnsi="Times New Roman"/>
          <w:sz w:val="28"/>
          <w:szCs w:val="28"/>
          <w:lang w:val="en-US"/>
        </w:rPr>
        <w:t xml:space="preserve"> 15 </w:t>
      </w:r>
      <w:r w:rsidRPr="001A4A3F">
        <w:rPr>
          <w:rFonts w:ascii="Times New Roman" w:hAnsi="Times New Roman"/>
          <w:sz w:val="28"/>
          <w:szCs w:val="28"/>
        </w:rPr>
        <w:t>декабря</w:t>
      </w:r>
      <w:r w:rsidRPr="001A4A3F">
        <w:rPr>
          <w:rFonts w:ascii="Times New Roman" w:hAnsi="Times New Roman"/>
          <w:sz w:val="28"/>
          <w:szCs w:val="28"/>
          <w:lang w:val="en-US"/>
        </w:rPr>
        <w:t xml:space="preserve"> 2017 </w:t>
      </w:r>
      <w:r w:rsidRPr="001A4A3F">
        <w:rPr>
          <w:rFonts w:ascii="Times New Roman" w:hAnsi="Times New Roman"/>
          <w:sz w:val="28"/>
          <w:szCs w:val="28"/>
        </w:rPr>
        <w:t>г</w:t>
      </w:r>
      <w:r w:rsidRPr="001A4A3F">
        <w:rPr>
          <w:rFonts w:ascii="Times New Roman" w:hAnsi="Times New Roman"/>
          <w:sz w:val="28"/>
          <w:szCs w:val="28"/>
          <w:lang w:val="en-US"/>
        </w:rPr>
        <w:t xml:space="preserve">. </w:t>
      </w:r>
      <w:r w:rsidRPr="001A4A3F">
        <w:rPr>
          <w:rFonts w:ascii="Times New Roman" w:hAnsi="Times New Roman"/>
          <w:sz w:val="28"/>
          <w:szCs w:val="28"/>
        </w:rPr>
        <w:t>по</w:t>
      </w:r>
      <w:r w:rsidRPr="001A4A3F">
        <w:rPr>
          <w:rFonts w:ascii="Times New Roman" w:hAnsi="Times New Roman"/>
          <w:sz w:val="28"/>
          <w:szCs w:val="28"/>
          <w:lang w:val="en-US"/>
        </w:rPr>
        <w:t xml:space="preserve"> </w:t>
      </w:r>
      <w:r w:rsidRPr="001A4A3F">
        <w:rPr>
          <w:rFonts w:ascii="Times New Roman" w:hAnsi="Times New Roman"/>
          <w:sz w:val="28"/>
          <w:szCs w:val="28"/>
        </w:rPr>
        <w:t>делу</w:t>
      </w:r>
      <w:r w:rsidRPr="001A4A3F">
        <w:rPr>
          <w:rFonts w:ascii="Times New Roman" w:hAnsi="Times New Roman"/>
          <w:sz w:val="28"/>
          <w:szCs w:val="28"/>
          <w:lang w:val="en-US"/>
        </w:rPr>
        <w:t xml:space="preserve"> № 1-878/1/2017 [</w:t>
      </w:r>
      <w:r w:rsidRPr="001A4A3F">
        <w:rPr>
          <w:rFonts w:ascii="Times New Roman" w:hAnsi="Times New Roman"/>
          <w:sz w:val="28"/>
          <w:szCs w:val="28"/>
        </w:rPr>
        <w:t>Электронный</w:t>
      </w:r>
      <w:r w:rsidRPr="001A4A3F">
        <w:rPr>
          <w:rFonts w:ascii="Times New Roman" w:hAnsi="Times New Roman"/>
          <w:sz w:val="28"/>
          <w:szCs w:val="28"/>
          <w:lang w:val="en-US"/>
        </w:rPr>
        <w:t xml:space="preserve"> </w:t>
      </w:r>
      <w:r w:rsidRPr="001A4A3F">
        <w:rPr>
          <w:rFonts w:ascii="Times New Roman" w:hAnsi="Times New Roman"/>
          <w:sz w:val="28"/>
          <w:szCs w:val="28"/>
        </w:rPr>
        <w:t>ресурс</w:t>
      </w:r>
      <w:r w:rsidRPr="001A4A3F">
        <w:rPr>
          <w:rFonts w:ascii="Times New Roman" w:hAnsi="Times New Roman"/>
          <w:sz w:val="28"/>
          <w:szCs w:val="28"/>
          <w:lang w:val="en-US"/>
        </w:rPr>
        <w:t xml:space="preserve">] // </w:t>
      </w:r>
      <w:r w:rsidRPr="001A4A3F">
        <w:rPr>
          <w:rFonts w:ascii="Times New Roman" w:hAnsi="Times New Roman"/>
          <w:sz w:val="28"/>
          <w:szCs w:val="28"/>
        </w:rPr>
        <w:t>Судакт</w:t>
      </w:r>
      <w:r w:rsidRPr="001A4A3F">
        <w:rPr>
          <w:rFonts w:ascii="Times New Roman" w:hAnsi="Times New Roman"/>
          <w:sz w:val="28"/>
          <w:szCs w:val="28"/>
          <w:lang w:val="en-US"/>
        </w:rPr>
        <w:t xml:space="preserve"> – </w:t>
      </w:r>
      <w:r w:rsidRPr="001A4A3F">
        <w:rPr>
          <w:rFonts w:ascii="Times New Roman" w:hAnsi="Times New Roman"/>
          <w:sz w:val="28"/>
          <w:szCs w:val="28"/>
        </w:rPr>
        <w:t>Режим</w:t>
      </w:r>
      <w:r w:rsidRPr="001A4A3F">
        <w:rPr>
          <w:rFonts w:ascii="Times New Roman" w:hAnsi="Times New Roman"/>
          <w:sz w:val="28"/>
          <w:szCs w:val="28"/>
          <w:lang w:val="en-US"/>
        </w:rPr>
        <w:t xml:space="preserve"> </w:t>
      </w:r>
      <w:r w:rsidRPr="001A4A3F">
        <w:rPr>
          <w:rFonts w:ascii="Times New Roman" w:hAnsi="Times New Roman"/>
          <w:sz w:val="28"/>
          <w:szCs w:val="28"/>
        </w:rPr>
        <w:t>доступа</w:t>
      </w:r>
      <w:r w:rsidRPr="001A4A3F">
        <w:rPr>
          <w:rFonts w:ascii="Times New Roman" w:hAnsi="Times New Roman"/>
          <w:sz w:val="28"/>
          <w:szCs w:val="28"/>
          <w:lang w:val="en-US"/>
        </w:rPr>
        <w:t xml:space="preserve">: </w:t>
      </w:r>
      <w:hyperlink r:id="rId157" w:history="1">
        <w:r w:rsidRPr="001A4A3F">
          <w:rPr>
            <w:rStyle w:val="a8"/>
            <w:rFonts w:ascii="Times New Roman" w:hAnsi="Times New Roman"/>
            <w:color w:val="auto"/>
            <w:sz w:val="28"/>
            <w:szCs w:val="28"/>
            <w:u w:val="none"/>
            <w:lang w:val="en-US"/>
          </w:rPr>
          <w:t>http://sudact.ru/regular/doc/ 1KmWTdMX4qHo/?regular-txt=&amp;regular-case_doc=1-878%2F1%2F2017&amp;regular-lawc hunk info =&amp;regular-doc_type=&amp; regular-date_from=01.06.2017&amp;regular-date_to=01.06.2018&amp;regular-work flow_stage=&amp;regular-area=&amp;regular-court=&amp;regular-judge=&amp;_=1549 502373593</w:t>
        </w:r>
      </w:hyperlink>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1A4A3F">
        <w:rPr>
          <w:rFonts w:ascii="Times New Roman" w:hAnsi="Times New Roman"/>
          <w:sz w:val="28"/>
          <w:szCs w:val="28"/>
        </w:rPr>
        <w:t>Квакина А.В. Понятие и значение допроса в уголовно-процессуальном праве РФ / А. В. Квакина [Электронный ресурс] // Молодой ученый. — 2017. — №27. — С. 49-51. – Режим доступа: https://moluch.ru/archive/161/45042/</w:t>
      </w:r>
    </w:p>
    <w:p w:rsidR="00041B86" w:rsidRPr="00467B95"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Минаева С.В.  Компьютерные преступления: сущность, особенности и возможности предотвращения / С.В. Минаев // Научные ведомости БелГУ. Философия. Социология. Право. - 2017. - №24(273). - С. 192-197</w:t>
      </w:r>
    </w:p>
    <w:p w:rsidR="00041B86" w:rsidRPr="00467B95"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467B95">
        <w:rPr>
          <w:rFonts w:ascii="Times New Roman" w:hAnsi="Times New Roman"/>
          <w:sz w:val="28"/>
          <w:szCs w:val="28"/>
        </w:rPr>
        <w:t>Тарханов В.А. Гражданское право / В.А. Тарханов. – М.: Чув. кн, 1997. – 426 с.</w:t>
      </w:r>
    </w:p>
    <w:p w:rsidR="00041B86" w:rsidRPr="00467B95"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Глебченко О.А. Охранительная функция права в системе функций права / О.А Глебченко // Сибирский юридический вестник. – 2008. – № 4. – C. 8-12.</w:t>
      </w:r>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Шурухнов Н. Г.  Криминалистика в схемах и таблицах / Н.Г. Шурухнов -  М.: Эксмо-пресс, </w:t>
      </w:r>
      <w:r w:rsidRPr="001A4A3F">
        <w:rPr>
          <w:rFonts w:ascii="Times New Roman" w:hAnsi="Times New Roman"/>
          <w:sz w:val="28"/>
          <w:szCs w:val="28"/>
        </w:rPr>
        <w:t>2016. – 464 с.</w:t>
      </w:r>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1A4A3F">
        <w:rPr>
          <w:rFonts w:ascii="Times New Roman" w:hAnsi="Times New Roman"/>
          <w:sz w:val="28"/>
          <w:szCs w:val="28"/>
        </w:rPr>
        <w:t xml:space="preserve">Попова К.И. О предмете преступления предусмотренного ст. 272 УК РФ / К.И.  Попова // КриминолистЪ. – 2008. – № 1. –  С. 5-10. – Режим доступа: </w:t>
      </w:r>
      <w:hyperlink r:id="rId158" w:history="1">
        <w:r w:rsidRPr="001A4A3F">
          <w:rPr>
            <w:rStyle w:val="a8"/>
            <w:rFonts w:ascii="Times New Roman" w:hAnsi="Times New Roman"/>
            <w:color w:val="auto"/>
            <w:sz w:val="28"/>
            <w:szCs w:val="28"/>
            <w:u w:val="none"/>
          </w:rPr>
          <w:t>http://www.procuror</w:t>
        </w:r>
      </w:hyperlink>
      <w:r w:rsidRPr="001A4A3F">
        <w:rPr>
          <w:rFonts w:ascii="Times New Roman" w:hAnsi="Times New Roman"/>
          <w:sz w:val="28"/>
          <w:szCs w:val="28"/>
        </w:rPr>
        <w:t>. spb.ru/doc/k1.pdf</w:t>
      </w:r>
    </w:p>
    <w:p w:rsidR="00041B86" w:rsidRPr="001A4A3F" w:rsidRDefault="00041B86" w:rsidP="007F4EC1">
      <w:pPr>
        <w:widowControl w:val="0"/>
        <w:numPr>
          <w:ilvl w:val="0"/>
          <w:numId w:val="23"/>
        </w:numPr>
        <w:tabs>
          <w:tab w:val="left" w:pos="1134"/>
        </w:tabs>
        <w:spacing w:after="0" w:line="240" w:lineRule="auto"/>
        <w:ind w:left="0" w:firstLine="709"/>
        <w:jc w:val="both"/>
        <w:rPr>
          <w:rFonts w:ascii="Times New Roman" w:hAnsi="Times New Roman"/>
          <w:sz w:val="28"/>
          <w:szCs w:val="28"/>
        </w:rPr>
      </w:pPr>
      <w:r w:rsidRPr="001A4A3F">
        <w:rPr>
          <w:rFonts w:ascii="Times New Roman" w:hAnsi="Times New Roman"/>
          <w:sz w:val="28"/>
          <w:szCs w:val="28"/>
        </w:rPr>
        <w:t xml:space="preserve">Солнцев М.Н.  Криминологическая характеристика преступлений в сфере компьютерной информации / М.Н. Солнцев [Электронный ресурс] // Вестник государственного и муниципального управления. – 2012. –  № 1. – С. 99-102. – Режим доступа: </w:t>
      </w:r>
      <w:hyperlink r:id="rId159" w:history="1">
        <w:r w:rsidRPr="001A4A3F">
          <w:rPr>
            <w:rStyle w:val="a8"/>
            <w:rFonts w:ascii="Times New Roman" w:hAnsi="Times New Roman"/>
            <w:color w:val="auto"/>
            <w:sz w:val="28"/>
            <w:szCs w:val="28"/>
            <w:u w:val="none"/>
          </w:rPr>
          <w:t>https://cyberleninka.ru/article/n/kriminologicheskaya-</w:t>
        </w:r>
        <w:r w:rsidRPr="001A4A3F">
          <w:rPr>
            <w:rStyle w:val="a8"/>
            <w:rFonts w:ascii="Times New Roman" w:hAnsi="Times New Roman"/>
            <w:color w:val="auto"/>
            <w:sz w:val="28"/>
            <w:szCs w:val="28"/>
            <w:u w:val="none"/>
          </w:rPr>
          <w:lastRenderedPageBreak/>
          <w:t>harakteristika-prestupleniy-v-sfere-kompyuternoy-informatsii</w:t>
        </w:r>
      </w:hyperlink>
    </w:p>
    <w:p w:rsidR="00E00FDF" w:rsidRPr="00467B95" w:rsidRDefault="00041B86" w:rsidP="005A3DF4">
      <w:pPr>
        <w:widowControl w:val="0"/>
        <w:spacing w:after="0" w:line="240" w:lineRule="auto"/>
        <w:ind w:firstLine="709"/>
        <w:rPr>
          <w:rFonts w:ascii="Times New Roman" w:hAnsi="Times New Roman"/>
          <w:sz w:val="28"/>
          <w:szCs w:val="28"/>
        </w:rPr>
      </w:pPr>
      <w:r w:rsidRPr="001A4A3F">
        <w:rPr>
          <w:rFonts w:ascii="Times New Roman" w:hAnsi="Times New Roman"/>
          <w:sz w:val="28"/>
          <w:szCs w:val="28"/>
        </w:rPr>
        <w:t>Герасимова О.С. Особенности преступлений в сфере компьютерной информации / О.С Герасимова [Электронный ресурс] // Вестник ТГУ. – 2007. - выпуск 12 (56). – С. 327-330. – Режим доступа:</w:t>
      </w:r>
      <w:r w:rsidRPr="00467B95">
        <w:rPr>
          <w:rFonts w:ascii="Times New Roman" w:hAnsi="Times New Roman"/>
          <w:sz w:val="28"/>
          <w:szCs w:val="28"/>
        </w:rPr>
        <w:t xml:space="preserve"> https://cyberleninka.ru/article/n/osobennosti-prestupleniy-v-sfere-kompyuternoy-informatsii</w:t>
      </w:r>
      <w:r w:rsidRPr="00467B95">
        <w:rPr>
          <w:rFonts w:ascii="Times New Roman" w:hAnsi="Times New Roman"/>
          <w:sz w:val="28"/>
          <w:szCs w:val="28"/>
        </w:rPr>
        <w:endnoteReference w:id="1"/>
      </w:r>
      <w:r w:rsidR="00E00FDF" w:rsidRPr="00E00FDF">
        <w:rPr>
          <w:rFonts w:ascii="Times New Roman" w:hAnsi="Times New Roman"/>
          <w:sz w:val="28"/>
          <w:szCs w:val="28"/>
        </w:rPr>
        <w:t xml:space="preserve"> </w:t>
      </w:r>
    </w:p>
    <w:p w:rsidR="00E00FDF" w:rsidRDefault="00E00FDF" w:rsidP="005A3DF4">
      <w:pPr>
        <w:widowControl w:val="0"/>
        <w:spacing w:after="0" w:line="240" w:lineRule="auto"/>
        <w:ind w:firstLine="709"/>
        <w:jc w:val="center"/>
        <w:rPr>
          <w:rFonts w:ascii="Times New Roman" w:hAnsi="Times New Roman"/>
          <w:b/>
          <w:sz w:val="28"/>
          <w:szCs w:val="28"/>
        </w:rPr>
      </w:pPr>
    </w:p>
    <w:p w:rsidR="00E00FDF" w:rsidRPr="00467B95" w:rsidRDefault="00E00FDF" w:rsidP="005A3DF4">
      <w:pPr>
        <w:widowControl w:val="0"/>
        <w:shd w:val="clear" w:color="auto" w:fill="FFFFFF"/>
        <w:spacing w:after="0" w:line="240" w:lineRule="auto"/>
        <w:ind w:firstLine="709"/>
        <w:contextualSpacing/>
        <w:jc w:val="center"/>
        <w:rPr>
          <w:rFonts w:ascii="Times New Roman" w:hAnsi="Times New Roman"/>
          <w:b/>
          <w:color w:val="000000"/>
          <w:sz w:val="28"/>
          <w:szCs w:val="28"/>
          <w:shd w:val="clear" w:color="auto" w:fill="FFFFFF"/>
        </w:rPr>
      </w:pPr>
      <w:r w:rsidRPr="00467B95">
        <w:rPr>
          <w:rFonts w:ascii="Times New Roman" w:hAnsi="Times New Roman"/>
          <w:b/>
          <w:color w:val="000000"/>
          <w:sz w:val="28"/>
          <w:szCs w:val="28"/>
          <w:shd w:val="clear" w:color="auto" w:fill="FFFFFF"/>
        </w:rPr>
        <w:t>Расторжение служебного контракта на государственной службе</w:t>
      </w:r>
    </w:p>
    <w:p w:rsidR="00E00FDF" w:rsidRPr="00467B95" w:rsidRDefault="00E00FDF" w:rsidP="005A3DF4">
      <w:pPr>
        <w:widowControl w:val="0"/>
        <w:shd w:val="clear" w:color="auto" w:fill="FFFFFF"/>
        <w:spacing w:after="0" w:line="240" w:lineRule="auto"/>
        <w:ind w:firstLine="709"/>
        <w:contextualSpacing/>
        <w:jc w:val="center"/>
        <w:rPr>
          <w:rFonts w:ascii="Times New Roman" w:hAnsi="Times New Roman"/>
          <w:kern w:val="36"/>
          <w:sz w:val="28"/>
          <w:szCs w:val="28"/>
          <w:lang w:eastAsia="ru-RU"/>
        </w:rPr>
      </w:pPr>
    </w:p>
    <w:p w:rsidR="00E00FDF" w:rsidRPr="00467B95" w:rsidRDefault="00E00FDF" w:rsidP="005A3DF4">
      <w:pPr>
        <w:widowControl w:val="0"/>
        <w:shd w:val="clear" w:color="auto" w:fill="FFFFFF"/>
        <w:spacing w:after="0" w:line="240" w:lineRule="auto"/>
        <w:ind w:firstLine="709"/>
        <w:contextualSpacing/>
        <w:jc w:val="center"/>
        <w:rPr>
          <w:rFonts w:ascii="Times New Roman" w:hAnsi="Times New Roman"/>
          <w:kern w:val="36"/>
          <w:sz w:val="28"/>
          <w:szCs w:val="28"/>
          <w:lang w:eastAsia="ru-RU"/>
        </w:rPr>
      </w:pPr>
      <w:r w:rsidRPr="00467B95">
        <w:rPr>
          <w:rFonts w:ascii="Times New Roman" w:hAnsi="Times New Roman"/>
          <w:kern w:val="36"/>
          <w:sz w:val="28"/>
          <w:szCs w:val="28"/>
          <w:lang w:eastAsia="ru-RU"/>
        </w:rPr>
        <w:t>А.В. Капитулина</w:t>
      </w:r>
    </w:p>
    <w:p w:rsidR="00E00FDF" w:rsidRPr="00467B95" w:rsidRDefault="00E00FDF" w:rsidP="005A3DF4">
      <w:pPr>
        <w:widowControl w:val="0"/>
        <w:shd w:val="clear" w:color="auto" w:fill="FFFFFF"/>
        <w:spacing w:after="0" w:line="240" w:lineRule="auto"/>
        <w:ind w:firstLine="709"/>
        <w:contextualSpacing/>
        <w:jc w:val="center"/>
        <w:rPr>
          <w:rFonts w:ascii="Times New Roman" w:hAnsi="Times New Roman"/>
          <w:kern w:val="36"/>
          <w:sz w:val="28"/>
          <w:szCs w:val="28"/>
          <w:lang w:eastAsia="ru-RU"/>
        </w:rPr>
      </w:pPr>
      <w:r w:rsidRPr="00467B95">
        <w:rPr>
          <w:rFonts w:ascii="Times New Roman" w:hAnsi="Times New Roman"/>
          <w:kern w:val="36"/>
          <w:sz w:val="28"/>
          <w:szCs w:val="28"/>
          <w:lang w:eastAsia="ru-RU"/>
        </w:rPr>
        <w:t>Студент Владивостокского государственного университета экономики и сервиса 4 курса гр. БЮП 15-02</w:t>
      </w:r>
    </w:p>
    <w:p w:rsidR="00E00FDF" w:rsidRPr="00467B95" w:rsidRDefault="00E00FDF" w:rsidP="005A3DF4">
      <w:pPr>
        <w:widowControl w:val="0"/>
        <w:shd w:val="clear" w:color="auto" w:fill="FFFFFF"/>
        <w:spacing w:after="0" w:line="240" w:lineRule="auto"/>
        <w:ind w:firstLine="709"/>
        <w:contextualSpacing/>
        <w:jc w:val="center"/>
        <w:rPr>
          <w:rFonts w:ascii="Times New Roman" w:hAnsi="Times New Roman"/>
          <w:i/>
          <w:kern w:val="36"/>
          <w:sz w:val="28"/>
          <w:szCs w:val="28"/>
          <w:lang w:eastAsia="ru-RU"/>
        </w:rPr>
      </w:pPr>
      <w:r w:rsidRPr="00467B95">
        <w:rPr>
          <w:rFonts w:ascii="Times New Roman" w:hAnsi="Times New Roman"/>
          <w:i/>
          <w:kern w:val="36"/>
          <w:sz w:val="28"/>
          <w:szCs w:val="28"/>
          <w:lang w:eastAsia="ru-RU"/>
        </w:rPr>
        <w:t>Владивостокский государственный университет экономики и сервиса</w:t>
      </w:r>
    </w:p>
    <w:p w:rsidR="00E00FDF" w:rsidRPr="00467B95" w:rsidRDefault="00E00FDF" w:rsidP="005A3DF4">
      <w:pPr>
        <w:widowControl w:val="0"/>
        <w:shd w:val="clear" w:color="auto" w:fill="FFFFFF"/>
        <w:spacing w:after="0" w:line="240" w:lineRule="auto"/>
        <w:ind w:firstLine="709"/>
        <w:contextualSpacing/>
        <w:jc w:val="center"/>
        <w:rPr>
          <w:rFonts w:ascii="Times New Roman" w:hAnsi="Times New Roman"/>
          <w:i/>
          <w:kern w:val="36"/>
          <w:sz w:val="28"/>
          <w:szCs w:val="28"/>
          <w:lang w:eastAsia="ru-RU"/>
        </w:rPr>
      </w:pPr>
      <w:r w:rsidRPr="00467B95">
        <w:rPr>
          <w:rFonts w:ascii="Times New Roman" w:hAnsi="Times New Roman"/>
          <w:i/>
          <w:kern w:val="36"/>
          <w:sz w:val="28"/>
          <w:szCs w:val="28"/>
          <w:lang w:eastAsia="ru-RU"/>
        </w:rPr>
        <w:t>Россия. Владивосток</w:t>
      </w:r>
    </w:p>
    <w:p w:rsidR="00E00FDF" w:rsidRPr="00467B95" w:rsidRDefault="00E00FDF" w:rsidP="005A3DF4">
      <w:pPr>
        <w:widowControl w:val="0"/>
        <w:shd w:val="clear" w:color="auto" w:fill="FFFFFF"/>
        <w:spacing w:after="0" w:line="240" w:lineRule="auto"/>
        <w:ind w:firstLine="709"/>
        <w:contextualSpacing/>
        <w:jc w:val="both"/>
        <w:rPr>
          <w:rFonts w:ascii="Times New Roman" w:hAnsi="Times New Roman"/>
          <w:i/>
          <w:kern w:val="36"/>
          <w:sz w:val="28"/>
          <w:szCs w:val="28"/>
          <w:lang w:eastAsia="ru-RU"/>
        </w:rPr>
      </w:pPr>
    </w:p>
    <w:p w:rsidR="00E00FDF" w:rsidRPr="00467B95" w:rsidRDefault="00E00FDF" w:rsidP="005A3DF4">
      <w:pPr>
        <w:widowControl w:val="0"/>
        <w:shd w:val="clear" w:color="auto" w:fill="FFFFFF"/>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Данная статья раскрывает проблему правового регулирования служебного контракта на государственной службе. Рассматриваются такие вопросы, как само понятие служебного контракта, стороны в служебном контракте, процесс заключения и расторжения служебного контракта на государственной службе. В статье  рассматривается проблема заключения и расторжения служебного контракта, а так же ряд отличий служебного контракта от трудового договора. </w:t>
      </w:r>
    </w:p>
    <w:p w:rsidR="00E00FDF" w:rsidRPr="00467B95" w:rsidRDefault="00E00FDF" w:rsidP="005A3DF4">
      <w:pPr>
        <w:widowControl w:val="0"/>
        <w:shd w:val="clear" w:color="auto" w:fill="FFFFFF"/>
        <w:spacing w:after="0" w:line="240" w:lineRule="auto"/>
        <w:ind w:firstLine="709"/>
        <w:contextualSpacing/>
        <w:jc w:val="both"/>
        <w:rPr>
          <w:rFonts w:ascii="Times New Roman" w:hAnsi="Times New Roman"/>
          <w:sz w:val="28"/>
          <w:szCs w:val="28"/>
        </w:rPr>
      </w:pPr>
    </w:p>
    <w:p w:rsidR="00E00FDF" w:rsidRPr="00467B95" w:rsidRDefault="00E00FDF" w:rsidP="005A3DF4">
      <w:pPr>
        <w:widowControl w:val="0"/>
        <w:shd w:val="clear" w:color="auto" w:fill="FFFFFF"/>
        <w:spacing w:after="0" w:line="240" w:lineRule="auto"/>
        <w:ind w:firstLine="709"/>
        <w:contextualSpacing/>
        <w:jc w:val="both"/>
        <w:rPr>
          <w:rFonts w:ascii="Times New Roman" w:hAnsi="Times New Roman"/>
          <w:i/>
          <w:kern w:val="36"/>
          <w:sz w:val="28"/>
          <w:szCs w:val="28"/>
          <w:lang w:eastAsia="ru-RU"/>
        </w:rPr>
      </w:pPr>
      <w:r w:rsidRPr="00AA1DBC">
        <w:rPr>
          <w:rFonts w:ascii="Times New Roman" w:hAnsi="Times New Roman"/>
          <w:i/>
          <w:kern w:val="36"/>
          <w:sz w:val="28"/>
          <w:szCs w:val="28"/>
          <w:lang w:eastAsia="ru-RU"/>
        </w:rPr>
        <w:t>Ключевые слова и словосочетания: служебный</w:t>
      </w:r>
      <w:r w:rsidRPr="00467B95">
        <w:rPr>
          <w:rFonts w:ascii="Times New Roman" w:hAnsi="Times New Roman"/>
          <w:i/>
          <w:kern w:val="36"/>
          <w:sz w:val="28"/>
          <w:szCs w:val="28"/>
          <w:lang w:eastAsia="ru-RU"/>
        </w:rPr>
        <w:t xml:space="preserve"> контракт, правовое регулирование трудовой договор, государственная служба.</w:t>
      </w:r>
    </w:p>
    <w:p w:rsidR="00E00FDF" w:rsidRPr="00467B95" w:rsidRDefault="00E00FDF" w:rsidP="005A3DF4">
      <w:pPr>
        <w:widowControl w:val="0"/>
        <w:shd w:val="clear" w:color="auto" w:fill="FFFFFF"/>
        <w:spacing w:after="0" w:line="240" w:lineRule="auto"/>
        <w:ind w:firstLine="709"/>
        <w:contextualSpacing/>
        <w:jc w:val="both"/>
        <w:rPr>
          <w:rFonts w:ascii="Times New Roman" w:hAnsi="Times New Roman"/>
          <w:i/>
          <w:kern w:val="36"/>
          <w:sz w:val="28"/>
          <w:szCs w:val="28"/>
          <w:lang w:eastAsia="ru-RU"/>
        </w:rPr>
      </w:pPr>
    </w:p>
    <w:p w:rsidR="00E00FDF" w:rsidRPr="00467B95" w:rsidRDefault="00E00FDF" w:rsidP="005A3DF4">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b/>
          <w:color w:val="212121"/>
          <w:sz w:val="28"/>
          <w:szCs w:val="28"/>
          <w:lang w:val="en-US" w:eastAsia="ru-RU"/>
        </w:rPr>
      </w:pPr>
      <w:r w:rsidRPr="00467B95">
        <w:rPr>
          <w:rFonts w:ascii="Times New Roman" w:hAnsi="Times New Roman"/>
          <w:b/>
          <w:color w:val="212121"/>
          <w:sz w:val="28"/>
          <w:szCs w:val="28"/>
          <w:shd w:val="clear" w:color="auto" w:fill="FFFFFF"/>
          <w:lang w:val="en-US"/>
        </w:rPr>
        <w:t>International agreements on the avoidance of double taxation: theory and practice</w:t>
      </w:r>
    </w:p>
    <w:p w:rsidR="00E00FDF" w:rsidRPr="00467B95" w:rsidRDefault="00E00FDF" w:rsidP="005A3DF4">
      <w:pPr>
        <w:widowControl w:val="0"/>
        <w:shd w:val="clear" w:color="auto" w:fill="FFFFFF"/>
        <w:spacing w:after="0" w:line="240" w:lineRule="auto"/>
        <w:ind w:firstLine="709"/>
        <w:contextualSpacing/>
        <w:rPr>
          <w:rFonts w:ascii="Times New Roman" w:hAnsi="Times New Roman"/>
          <w:b/>
          <w:kern w:val="36"/>
          <w:sz w:val="28"/>
          <w:szCs w:val="28"/>
          <w:lang w:val="en-US" w:eastAsia="ru-RU"/>
        </w:rPr>
      </w:pPr>
    </w:p>
    <w:p w:rsidR="00E00FDF" w:rsidRPr="00467B95" w:rsidRDefault="00E00FDF" w:rsidP="005A3DF4">
      <w:pPr>
        <w:widowControl w:val="0"/>
        <w:shd w:val="clear" w:color="auto" w:fill="FFFFFF"/>
        <w:spacing w:after="0" w:line="240" w:lineRule="auto"/>
        <w:ind w:firstLine="709"/>
        <w:contextualSpacing/>
        <w:jc w:val="center"/>
        <w:rPr>
          <w:rFonts w:ascii="Times New Roman" w:hAnsi="Times New Roman"/>
          <w:kern w:val="36"/>
          <w:sz w:val="28"/>
          <w:szCs w:val="28"/>
          <w:lang w:val="en-US" w:eastAsia="ru-RU"/>
        </w:rPr>
      </w:pPr>
      <w:r w:rsidRPr="00467B95">
        <w:rPr>
          <w:rFonts w:ascii="Times New Roman" w:hAnsi="Times New Roman"/>
          <w:kern w:val="36"/>
          <w:sz w:val="28"/>
          <w:szCs w:val="28"/>
          <w:lang w:val="en-US" w:eastAsia="ru-RU"/>
        </w:rPr>
        <w:t>A. V. Kapitulina</w:t>
      </w:r>
    </w:p>
    <w:p w:rsidR="00E00FDF" w:rsidRPr="00467B95" w:rsidRDefault="00E00FDF" w:rsidP="005A3DF4">
      <w:pPr>
        <w:pStyle w:val="HTML"/>
        <w:widowControl w:val="0"/>
        <w:shd w:val="clear" w:color="auto" w:fill="FFFFFF"/>
        <w:ind w:firstLine="709"/>
        <w:jc w:val="center"/>
        <w:rPr>
          <w:rFonts w:ascii="Times New Roman" w:hAnsi="Times New Roman" w:cs="Times New Roman"/>
          <w:color w:val="212121"/>
          <w:sz w:val="28"/>
          <w:szCs w:val="28"/>
          <w:lang w:val="en-US"/>
        </w:rPr>
      </w:pPr>
      <w:r w:rsidRPr="00467B95">
        <w:rPr>
          <w:rFonts w:ascii="Times New Roman" w:hAnsi="Times New Roman" w:cs="Times New Roman"/>
          <w:kern w:val="36"/>
          <w:sz w:val="28"/>
          <w:szCs w:val="28"/>
          <w:lang w:val="en-US"/>
        </w:rPr>
        <w:t xml:space="preserve">Student Vladivostok State University of Economics and Service 4 </w:t>
      </w:r>
      <w:r w:rsidRPr="00467B95">
        <w:rPr>
          <w:rFonts w:ascii="Times New Roman" w:hAnsi="Times New Roman" w:cs="Times New Roman"/>
          <w:color w:val="212121"/>
          <w:sz w:val="28"/>
          <w:szCs w:val="28"/>
          <w:lang w:val="en-US"/>
        </w:rPr>
        <w:t>course</w:t>
      </w:r>
    </w:p>
    <w:p w:rsidR="00E00FDF" w:rsidRPr="00467B95" w:rsidRDefault="00E00FDF" w:rsidP="005A3DF4">
      <w:pPr>
        <w:widowControl w:val="0"/>
        <w:shd w:val="clear" w:color="auto" w:fill="FFFFFF"/>
        <w:spacing w:after="0" w:line="240" w:lineRule="auto"/>
        <w:ind w:firstLine="709"/>
        <w:contextualSpacing/>
        <w:jc w:val="both"/>
        <w:rPr>
          <w:rFonts w:ascii="Times New Roman" w:hAnsi="Times New Roman"/>
          <w:b/>
          <w:i/>
          <w:kern w:val="36"/>
          <w:sz w:val="28"/>
          <w:szCs w:val="28"/>
          <w:lang w:val="en-US" w:eastAsia="ru-RU"/>
        </w:rPr>
      </w:pPr>
    </w:p>
    <w:p w:rsidR="00E00FDF" w:rsidRPr="00467B95" w:rsidRDefault="00E00FDF" w:rsidP="005A3DF4">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212121"/>
          <w:sz w:val="28"/>
          <w:szCs w:val="28"/>
          <w:lang w:val="en-US" w:eastAsia="ru-RU"/>
        </w:rPr>
      </w:pPr>
      <w:r w:rsidRPr="00467B95">
        <w:rPr>
          <w:rFonts w:ascii="Times New Roman" w:hAnsi="Times New Roman"/>
          <w:color w:val="212121"/>
          <w:sz w:val="28"/>
          <w:szCs w:val="28"/>
          <w:lang w:val="en-US" w:eastAsia="ru-RU"/>
        </w:rPr>
        <w:t>This article reveals the problem of legal regulation of a public service employment contract. Issues such as the very concept of a service contract, parties to a service contract, the process of entering into and terminating a service contract in the public service are considered. The article deals with the problem of the conclusion and termination of the service contract, as well as a number of differences between the service contract and the employment contract.</w:t>
      </w:r>
    </w:p>
    <w:p w:rsidR="00E00FDF" w:rsidRPr="00467B95" w:rsidRDefault="00E00FDF" w:rsidP="005A3DF4">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i/>
          <w:color w:val="212121"/>
          <w:sz w:val="28"/>
          <w:szCs w:val="28"/>
          <w:lang w:val="en-US" w:eastAsia="ru-RU"/>
        </w:rPr>
      </w:pPr>
    </w:p>
    <w:p w:rsidR="00E00FDF" w:rsidRPr="00467B95" w:rsidRDefault="00E00FDF" w:rsidP="005A3DF4">
      <w:pPr>
        <w:pStyle w:val="HTML"/>
        <w:widowControl w:val="0"/>
        <w:shd w:val="clear" w:color="auto" w:fill="FFFFFF"/>
        <w:ind w:firstLine="709"/>
        <w:jc w:val="both"/>
        <w:rPr>
          <w:rFonts w:ascii="Times New Roman" w:hAnsi="Times New Roman" w:cs="Times New Roman"/>
          <w:i/>
          <w:color w:val="212121"/>
          <w:sz w:val="28"/>
          <w:szCs w:val="28"/>
          <w:lang w:val="en-US"/>
        </w:rPr>
      </w:pPr>
      <w:r w:rsidRPr="00AA1DBC">
        <w:rPr>
          <w:rFonts w:ascii="Times New Roman" w:hAnsi="Times New Roman" w:cs="Times New Roman"/>
          <w:i/>
          <w:color w:val="212121"/>
          <w:sz w:val="28"/>
          <w:szCs w:val="28"/>
          <w:lang w:val="en-US"/>
        </w:rPr>
        <w:t xml:space="preserve">Key words and phrases: </w:t>
      </w:r>
      <w:r w:rsidRPr="00AA1DBC">
        <w:rPr>
          <w:rFonts w:ascii="Times New Roman" w:hAnsi="Times New Roman" w:cs="Times New Roman"/>
          <w:i/>
          <w:sz w:val="28"/>
          <w:szCs w:val="28"/>
          <w:lang w:val="en-US"/>
        </w:rPr>
        <w:t xml:space="preserve"> </w:t>
      </w:r>
      <w:r w:rsidRPr="00AA1DBC">
        <w:rPr>
          <w:rFonts w:ascii="Times New Roman" w:hAnsi="Times New Roman" w:cs="Times New Roman"/>
          <w:i/>
          <w:color w:val="212121"/>
          <w:sz w:val="28"/>
          <w:szCs w:val="28"/>
          <w:lang w:val="en-US"/>
        </w:rPr>
        <w:t>service</w:t>
      </w:r>
      <w:r w:rsidRPr="00467B95">
        <w:rPr>
          <w:rFonts w:ascii="Times New Roman" w:hAnsi="Times New Roman" w:cs="Times New Roman"/>
          <w:i/>
          <w:color w:val="212121"/>
          <w:sz w:val="28"/>
          <w:szCs w:val="28"/>
          <w:lang w:val="en-US"/>
        </w:rPr>
        <w:t xml:space="preserve"> contract, legal regulation of an employment contract, public service. </w:t>
      </w:r>
    </w:p>
    <w:p w:rsidR="00E00FDF" w:rsidRPr="00467B95" w:rsidRDefault="00E00FDF" w:rsidP="005A3DF4">
      <w:pPr>
        <w:pStyle w:val="a9"/>
        <w:widowControl w:val="0"/>
        <w:shd w:val="clear" w:color="auto" w:fill="FFFFFF"/>
        <w:spacing w:before="0" w:beforeAutospacing="0" w:after="0" w:afterAutospacing="0"/>
        <w:ind w:firstLine="709"/>
        <w:contextualSpacing/>
        <w:jc w:val="both"/>
        <w:rPr>
          <w:bCs/>
          <w:iCs/>
          <w:color w:val="000000"/>
          <w:sz w:val="28"/>
          <w:szCs w:val="28"/>
          <w:lang w:val="en-US"/>
        </w:rPr>
      </w:pPr>
    </w:p>
    <w:p w:rsidR="00E00FDF" w:rsidRPr="00467B95" w:rsidRDefault="00E00FDF" w:rsidP="005A3DF4">
      <w:pPr>
        <w:pStyle w:val="11"/>
        <w:widowControl w:val="0"/>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467B95">
        <w:rPr>
          <w:rFonts w:ascii="Times New Roman" w:eastAsia="Times New Roman" w:hAnsi="Times New Roman"/>
          <w:sz w:val="28"/>
          <w:szCs w:val="28"/>
          <w:lang w:eastAsia="en-US"/>
        </w:rPr>
        <w:t xml:space="preserve">Одно из ключевых направлений государственного строительства, проводится для роста эффективности деятельности государственного </w:t>
      </w:r>
      <w:r w:rsidRPr="00467B95">
        <w:rPr>
          <w:rFonts w:ascii="Times New Roman" w:eastAsia="Times New Roman" w:hAnsi="Times New Roman"/>
          <w:sz w:val="28"/>
          <w:szCs w:val="28"/>
          <w:lang w:eastAsia="en-US"/>
        </w:rPr>
        <w:lastRenderedPageBreak/>
        <w:t>аппарата в целях развития гражданского общества, а также укрепления государства. Реформа административной системы привела к существенным изменениям в структуре органов государственной власти любого уровня,  а также изменила формы и способы государственного управления. Государственная служба в качестве  профессиональной деятельности по обеспечению реализации государственных функций делается ключевым элементом механизма государственного управления, из-за чего поиск её оптимальной модели, которая обеспечивает баланс частных, а также публичных интересов, и  на сегодняшний день не теряет своей актуальности. Усовершенствование законодательства, которое регламентирует служебные отношения государственных служащих,  прямо связано с выполнением задачи кардинального роста эффективности непосредственно государственной службы. Законодательство о государственной службе устремлено на создание стимулов к добросовестному и инициативному исполнению служебных обязанностей, введению нужных ограничений и запретов, определению адекватного затраченным усилиям возмездия за труд. Данные факторы, в свою очередь, прямо влияют на результаты профессиональной деятельности государственных служащих и, следственно, на осуществление соответственным государственным органом положенных на него функций. Местное регулирование в служебной сфере ограничено установлением некоторых условий оплаты труда, подтверждением правил служебного распорядка. Применяемые в правовом регулировании труда методы защиты трудовых прав  на государственной гражданской службе запрещены. Определённой спецификой владеют и основания прекращения служебного контракта.</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Впервые слово «контракт» закрепляется в 12 статье ФЗ № 58. Согласно норме, на государственную службу по контракту могут поступить граждане, владеющие официальным государственным языком РФ, достигшие возраста, определённого законодательством для конкретного вида государственной деятельности. </w:t>
      </w:r>
    </w:p>
    <w:p w:rsidR="00E00FDF" w:rsidRPr="00467B95" w:rsidRDefault="00E00FDF" w:rsidP="005A3DF4">
      <w:pPr>
        <w:pStyle w:val="11"/>
        <w:widowControl w:val="0"/>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467B95">
        <w:rPr>
          <w:rFonts w:ascii="Times New Roman" w:eastAsia="Times New Roman" w:hAnsi="Times New Roman"/>
          <w:sz w:val="28"/>
          <w:szCs w:val="28"/>
          <w:lang w:eastAsia="en-US"/>
        </w:rPr>
        <w:t xml:space="preserve">Определение раскрывается в 23 статье Федерального Закона № 79. Согласно норме, служебный контракт – это соглашение, заключаемое представителем нанимателя и гражданином, желающим поступить на службу в государственную структуру. Там говорится о прохождении службы и занимании соответствующей должности. В этом определении содержится указание на участников правоотношений. Ими являются кандидат на должность и представитель нанимателя. В соответствии с положениями  части 2 статьи 1  Федерального закона "О государственной гражданской службе Российской Федерации" № 79-ФЗ, в качестве представителя нанимателя выступает начальник государственного органа, гражданин, замещающий государственную должность, или представитель руководителя либо лица, осуществляющего функции нанимателя от имени РФ или субъекта РФ. Стоит отметить, что положения, закрепленные 23 статьей указанного нормативного акта, не совсем соответствуют содержанию ч. 2 ст. 1. Из </w:t>
      </w:r>
      <w:r w:rsidRPr="00467B95">
        <w:rPr>
          <w:rFonts w:ascii="Times New Roman" w:eastAsia="Times New Roman" w:hAnsi="Times New Roman"/>
          <w:sz w:val="28"/>
          <w:szCs w:val="28"/>
          <w:lang w:eastAsia="en-US"/>
        </w:rPr>
        <w:lastRenderedPageBreak/>
        <w:t xml:space="preserve">вышесказанного следует, что в заключении служебного контракта участвует доверитель нанимателя не от себя лично, а от имени представляемого им лица. Другими словами, обязанности и права по соглашению возникают у соответствующего государственного органа, с которым гражданин вступает в правоотношения. Учитывая содержание 182 статьи Гражданского Кодекса, в качестве работодателя государственного служащего выступает РФ или ее регион. С этим в определённой степени согласуется 3 пункт 10 статьи ФЗ № 58. Согласно ему, в качестве нанимателя федерального госслужащего выступает соответствующий субъект РФ. </w:t>
      </w:r>
    </w:p>
    <w:p w:rsidR="00E00FDF" w:rsidRPr="00467B95" w:rsidRDefault="00E00FDF" w:rsidP="005A3DF4">
      <w:pPr>
        <w:pStyle w:val="11"/>
        <w:widowControl w:val="0"/>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467B95">
        <w:rPr>
          <w:rFonts w:ascii="Times New Roman" w:eastAsia="Times New Roman" w:hAnsi="Times New Roman"/>
          <w:sz w:val="28"/>
          <w:szCs w:val="28"/>
          <w:lang w:eastAsia="en-US"/>
        </w:rPr>
        <w:t>В начале XXI века Россия в целом и ее отдельные регионы находились в состоянии системного кризиса. Одной из основных причин такой ситуации является кризис власти, как на федеральном, так и на региональном уровнях. Ситуация усугублялась отсутствием развития правовых рамок государственной службы. Поэтому в 2002-2003 гг. Началась реформа гражданской службы, которая привела к ее трансформации. В рамках реформы важным событием стало принятие в 2004 году Федерального закона «О государственной гражданской службе Российской Федерации» (Федеральный закон № 79) [1]. Благодаря его принятию появилась новая форма отношений с общественными службами - контракт с государственным служащим. Однако одной из наиболее противоречивых проблем остается проблема прекращения служебных контрактов.</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Следует отметить, что почти все основания для расторжения контракта аналогичны положениям главы 13 Трудового кодекса Российской Федерации [2]. По словам Л. А. Чикановой: этот закон «более половины ... состоит из норм, переписанных из Трудового кодекса Российской Федерации. Положения Кодекса, регулирующие содержание служебного контракта его действие и процедуру заключения, правила для установления допуска к службе, переход на другую должность и изменение существенных условий договора, снятие с должности, основания для расторжения договора, время работы и время отдыха практически буквально переписаны, рассмотрение служебных споров и т. д.»[3, стр. 21]. В результате возникают трудности в связи с применением ряда норм. Например, в статье 38 Федерального закона № 79 законодатель четко указывает, что если принято решение о прекращении трудового договора с государственным служащим, представитель работодателя должен письменно сообщить об этом избранному профсоюзному органу этого государственного органа не позднее, чем за два месяца до того, как соответствующая должность будет уменьшена на государственной службе. Кроме того, неясно, какие правовые последствия должны следовать процессу информирования, какой нормативный правовой акт должен регулировать этот вопрос, что тогда должен делать профсоюзный орган, получив такую информацию. Представитель нанимателя обязан учитывать мнение профсоюза о прекращении договора с государственным служащим, как это происходит в соответствии со ст. 373 ТК, в котором предусмотрена не только процедура учета четко сформулированного мнения, </w:t>
      </w:r>
      <w:r w:rsidRPr="00467B95">
        <w:rPr>
          <w:rFonts w:ascii="Times New Roman" w:hAnsi="Times New Roman"/>
          <w:sz w:val="28"/>
          <w:szCs w:val="28"/>
        </w:rPr>
        <w:lastRenderedPageBreak/>
        <w:t>но и обязанность его соблюдения руководителем[3]. Таким образом, на примере вышеуказанной нормы трудно понять, следует ли применять неспецифические положения главы 6 Федерального закона № 79 самостоятельно (буквально) или с учетом соответствующих положений ТК РФ.</w:t>
      </w:r>
    </w:p>
    <w:p w:rsidR="00E00FDF" w:rsidRPr="00467B95" w:rsidRDefault="00E00FDF" w:rsidP="005A3DF4">
      <w:pPr>
        <w:pStyle w:val="11"/>
        <w:widowControl w:val="0"/>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467B95">
        <w:rPr>
          <w:rFonts w:ascii="Times New Roman" w:eastAsia="Times New Roman" w:hAnsi="Times New Roman"/>
          <w:sz w:val="28"/>
          <w:szCs w:val="28"/>
          <w:lang w:eastAsia="en-US"/>
        </w:rPr>
        <w:t xml:space="preserve">Такие противоречия на практике приводят к проблеме, связанной с основанием увольнения. При прекращении трудовых отношений с государственным служащим, а также с другими сотрудниками, необходимо сформулировать причину в строгом соответствии с законом со ссылкой на соответствующую статью, часть или пункт в книге и порядок увольнения. Если подойти к вопросу ограничения возраста на государственной гражданской службе, то законодательство не допускает пребывания на государственной службе лиц в возрасте 65 лет. По достижении 60 лет либо максимального возраста нахождения на должности, при истечении срока служебного контракта по решению представителя нанимателя и с согласия гражданина с ним на определённый период заключается трудовой договор на замещение должности, не относящейся к государственной службе. </w:t>
      </w:r>
    </w:p>
    <w:p w:rsidR="00E00FDF" w:rsidRPr="00467B95" w:rsidRDefault="00E00FDF" w:rsidP="005A3DF4">
      <w:pPr>
        <w:pStyle w:val="11"/>
        <w:widowControl w:val="0"/>
        <w:tabs>
          <w:tab w:val="left" w:pos="5970"/>
        </w:tabs>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467B95">
        <w:rPr>
          <w:rFonts w:ascii="Times New Roman" w:eastAsia="Times New Roman" w:hAnsi="Times New Roman"/>
          <w:sz w:val="28"/>
          <w:szCs w:val="28"/>
          <w:lang w:eastAsia="en-US"/>
        </w:rPr>
        <w:t>Крупный немецкий социолог Макс Вебер (1864-1920 г.), исследовавший бюрократию как социальное явление, отмечал, анализируя статус должностного лица, что поступление на службу в бюрократическую организацию, рассматривается как принятие на себя особых определенных обязательств, преданного служения в обмен на стабильное существование[4] Закономерно поэтому, что в ряде правовых демократических государств континентальной Европы, обладающих рациональной бюрократией, например в Германии, не только де-юре, но и де-факто существует стабильность гражданской службы, которая обеспечивается существованием пожизненного назначения государственных служащих[5]. Такая форма назначения в целом присуща странам, где государственная служба является карьерной, т.е. когда лицо, поступая на государственную службу, принимает, таким образом решение связать с ней свою жизнь, а государств берет на себя обязательство при определенных условиях гарантировать государственному служащему продвижение по службе. В этом случае, пожизненное назначение на должность выступает одной из главных гарантий стабильности служебной карьеры, а значит и стабильности самой государственной службы. Конечно, институт пожизненного назначения практикуется в странах имеющих глубокие исторические традиции карьерной государственной службы, очень тщательную и неспешную, достаточно длительную по времени процедуру отбора кадров на государственную службу, которая позволяет за счет долгой и многоступенчатой системы отбора принимать на государственную службу не тех, кто может хорошо работать, а тех, кто не может работать плохо. [6].</w:t>
      </w:r>
    </w:p>
    <w:p w:rsidR="00AA1DBC" w:rsidRDefault="00E00FDF" w:rsidP="005A3DF4">
      <w:pPr>
        <w:pStyle w:val="11"/>
        <w:widowControl w:val="0"/>
        <w:autoSpaceDE w:val="0"/>
        <w:autoSpaceDN w:val="0"/>
        <w:adjustRightInd w:val="0"/>
        <w:spacing w:after="0" w:line="240" w:lineRule="auto"/>
        <w:ind w:left="0" w:firstLine="709"/>
        <w:jc w:val="both"/>
        <w:rPr>
          <w:rFonts w:ascii="Times New Roman" w:eastAsia="Times New Roman" w:hAnsi="Times New Roman"/>
          <w:sz w:val="28"/>
          <w:szCs w:val="28"/>
          <w:lang w:eastAsia="en-US"/>
        </w:rPr>
      </w:pPr>
      <w:r w:rsidRPr="00467B95">
        <w:rPr>
          <w:rFonts w:ascii="Times New Roman" w:eastAsia="Times New Roman" w:hAnsi="Times New Roman"/>
          <w:sz w:val="28"/>
          <w:szCs w:val="28"/>
          <w:lang w:eastAsia="en-US"/>
        </w:rPr>
        <w:t xml:space="preserve">Таким образом, совершенствование института государственной службы, в том числе порядка оформления трудовых отношений государственных служащих, необходимо с тем, чтобы служащие могли действовать максимально эффективно и экономично. В документах высшего </w:t>
      </w:r>
      <w:r w:rsidRPr="00467B95">
        <w:rPr>
          <w:rFonts w:ascii="Times New Roman" w:eastAsia="Times New Roman" w:hAnsi="Times New Roman"/>
          <w:sz w:val="28"/>
          <w:szCs w:val="28"/>
          <w:lang w:eastAsia="en-US"/>
        </w:rPr>
        <w:lastRenderedPageBreak/>
        <w:t>политического руководства страны государственная служба подвергается резкой критике за ее неэффективность, бюрократизм, коррупционность, закрытость, неспособность вести диалог с гражданским обществом, содействовать развитию институтов инновационной экономики и демократии. Государственная гражданская служба обязана быть, четко организованной, социально ориентирующейся, тесно связывать общество и государство, а  центральную позицию в системе государственной гражданской службы занимать сам  служащий.</w:t>
      </w:r>
      <w:r w:rsidRPr="00467B95">
        <w:rPr>
          <w:rFonts w:ascii="Times New Roman" w:hAnsi="Times New Roman"/>
          <w:sz w:val="28"/>
          <w:szCs w:val="28"/>
        </w:rPr>
        <w:t xml:space="preserve"> С</w:t>
      </w:r>
      <w:r w:rsidRPr="00467B95">
        <w:rPr>
          <w:rFonts w:ascii="Times New Roman" w:eastAsia="Times New Roman" w:hAnsi="Times New Roman"/>
          <w:sz w:val="28"/>
          <w:szCs w:val="28"/>
          <w:lang w:eastAsia="en-US"/>
        </w:rPr>
        <w:t>лужебный контракт в настоящее время является понятием, которое довольно органично вписывается в систему государственно-служебных отношений и имеет свои специфические особенности и отличия от трудового договора.</w:t>
      </w:r>
    </w:p>
    <w:p w:rsidR="00E00FDF" w:rsidRPr="00467B95" w:rsidRDefault="00E00FDF" w:rsidP="005A3DF4">
      <w:pPr>
        <w:pStyle w:val="11"/>
        <w:widowControl w:val="0"/>
        <w:autoSpaceDE w:val="0"/>
        <w:autoSpaceDN w:val="0"/>
        <w:adjustRightInd w:val="0"/>
        <w:spacing w:after="0" w:line="240" w:lineRule="auto"/>
        <w:ind w:left="0" w:firstLine="709"/>
        <w:jc w:val="center"/>
        <w:rPr>
          <w:rFonts w:ascii="Times New Roman" w:hAnsi="Times New Roman"/>
          <w:sz w:val="28"/>
          <w:szCs w:val="28"/>
        </w:rPr>
      </w:pPr>
      <w:r w:rsidRPr="00467B95">
        <w:rPr>
          <w:rFonts w:ascii="Times New Roman" w:hAnsi="Times New Roman"/>
          <w:sz w:val="28"/>
          <w:szCs w:val="28"/>
        </w:rPr>
        <w:t>Список использованных источников</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Федеральный закон от 27.07.2004 № 79-ФЗ «О государственной гражданской службе в Российской Федерации» (последняя редакция) [Электронный ресурс] // СПС «КонсультантПлюс». – Режим доступа: http://www.consultant.ru/document/cons_doc_LAW_48601/</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Трудовой кодекс Российской Федерации: федеральный закон от 30.12.2001 № 197-ФЗ (ред. от.11.10.2018)  [Электронный ресурс] // СПС «КонсультантПлюс». – Режим доступа: http://www.consultant.ru/document/cons_doc_LAW_34683/</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Чиканова Л.А. Правовое регулирование служебных отношений на государственной гражданской службе: вопросы теории и практики / Чиканова Л.А. // Журнал российского права. 2005. № 4.</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Макс Вебер Бюрократия// Классики теории государственного управления: американская школа // Издательство Московского университета. 2003. С. 58-59</w:t>
      </w:r>
    </w:p>
    <w:p w:rsidR="00E00FDF" w:rsidRPr="005B145E"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5 </w:t>
      </w:r>
      <w:r w:rsidRPr="005B145E">
        <w:rPr>
          <w:rFonts w:ascii="Times New Roman" w:hAnsi="Times New Roman"/>
          <w:sz w:val="28"/>
          <w:szCs w:val="28"/>
        </w:rPr>
        <w:t xml:space="preserve">Государственная служба в зарубежных странах. Сборник обзоров законодательства. М., 1996. С. 132. [Электронный ресурс] // Режим доступа: </w:t>
      </w:r>
      <w:hyperlink r:id="rId160" w:history="1">
        <w:r w:rsidRPr="005B145E">
          <w:rPr>
            <w:rStyle w:val="a8"/>
            <w:rFonts w:ascii="Times New Roman" w:hAnsi="Times New Roman"/>
            <w:color w:val="auto"/>
            <w:sz w:val="28"/>
            <w:szCs w:val="28"/>
            <w:u w:val="none"/>
          </w:rPr>
          <w:t>https://docplayer.ru/27686591-Gosudarstvennaya-sluzhba-v-zarubezhnyh-stranah.html</w:t>
        </w:r>
      </w:hyperlink>
    </w:p>
    <w:p w:rsidR="00E00FDF" w:rsidRPr="00467B95" w:rsidRDefault="00E00FDF" w:rsidP="005A3DF4">
      <w:pPr>
        <w:widowControl w:val="0"/>
        <w:spacing w:after="0" w:line="240" w:lineRule="auto"/>
        <w:ind w:firstLine="709"/>
        <w:jc w:val="both"/>
        <w:rPr>
          <w:rFonts w:ascii="Times New Roman" w:hAnsi="Times New Roman"/>
          <w:sz w:val="28"/>
          <w:szCs w:val="28"/>
        </w:rPr>
      </w:pPr>
      <w:r w:rsidRPr="005B145E">
        <w:rPr>
          <w:rFonts w:ascii="Times New Roman" w:hAnsi="Times New Roman"/>
          <w:sz w:val="28"/>
          <w:szCs w:val="28"/>
        </w:rPr>
        <w:t>6 Гришковец А.А. Правовое регулирование государственной гражданской службы в Российской</w:t>
      </w:r>
      <w:r w:rsidRPr="00467B95">
        <w:rPr>
          <w:rFonts w:ascii="Times New Roman" w:hAnsi="Times New Roman"/>
          <w:sz w:val="28"/>
          <w:szCs w:val="28"/>
        </w:rPr>
        <w:t xml:space="preserve"> Федерации. /А.А. Гришковец - М., - 2013. - С.65</w:t>
      </w:r>
    </w:p>
    <w:p w:rsidR="00E00FDF" w:rsidRPr="00467B95" w:rsidRDefault="00E00FDF" w:rsidP="005A3DF4">
      <w:pPr>
        <w:widowControl w:val="0"/>
        <w:spacing w:after="0" w:line="240" w:lineRule="auto"/>
        <w:ind w:firstLine="709"/>
        <w:jc w:val="both"/>
        <w:rPr>
          <w:rFonts w:ascii="Times New Roman" w:hAnsi="Times New Roman"/>
          <w:sz w:val="28"/>
          <w:szCs w:val="28"/>
        </w:rPr>
      </w:pPr>
    </w:p>
    <w:p w:rsidR="00E00FDF" w:rsidRPr="00467B95" w:rsidRDefault="00E00FDF"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Обжалование решений миграционного органа</w:t>
      </w:r>
    </w:p>
    <w:p w:rsidR="00E00FDF" w:rsidRPr="00467B95" w:rsidRDefault="00E00FDF" w:rsidP="005A3DF4">
      <w:pPr>
        <w:widowControl w:val="0"/>
        <w:spacing w:after="0" w:line="240" w:lineRule="auto"/>
        <w:ind w:firstLine="709"/>
        <w:jc w:val="center"/>
        <w:rPr>
          <w:rFonts w:ascii="Times New Roman" w:hAnsi="Times New Roman"/>
          <w:sz w:val="28"/>
          <w:szCs w:val="28"/>
        </w:rPr>
      </w:pPr>
    </w:p>
    <w:p w:rsidR="00E00FDF" w:rsidRPr="00467B95" w:rsidRDefault="00E00FDF"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Карапетян Геворг</w:t>
      </w:r>
    </w:p>
    <w:p w:rsidR="00E00FDF" w:rsidRPr="00467B95" w:rsidRDefault="00E00FDF"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 4 курса, кафедра гражданско-правовых дисциплин</w:t>
      </w:r>
    </w:p>
    <w:p w:rsidR="00E00FDF" w:rsidRPr="00467B95" w:rsidRDefault="00E00FDF"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E00FDF" w:rsidRPr="00467B95" w:rsidRDefault="00E00FDF"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E00FDF" w:rsidRPr="00467B95" w:rsidRDefault="00E00FDF"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gevogr</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xml:space="preserve"> ; </w:t>
      </w:r>
    </w:p>
    <w:p w:rsidR="00E00FDF" w:rsidRPr="00467B95" w:rsidRDefault="00E00FDF"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690014</w:t>
      </w:r>
    </w:p>
    <w:p w:rsidR="00E00FDF" w:rsidRPr="00467B95" w:rsidRDefault="00E00FDF" w:rsidP="005A3DF4">
      <w:pPr>
        <w:widowControl w:val="0"/>
        <w:spacing w:after="0" w:line="240" w:lineRule="auto"/>
        <w:ind w:firstLine="709"/>
        <w:jc w:val="center"/>
        <w:rPr>
          <w:rFonts w:ascii="Times New Roman" w:hAnsi="Times New Roman"/>
          <w:sz w:val="28"/>
          <w:szCs w:val="28"/>
        </w:rPr>
      </w:pP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Немало вопросов также связано с миграционным учетом иностранных </w:t>
      </w:r>
      <w:r w:rsidRPr="00467B95">
        <w:rPr>
          <w:rFonts w:ascii="Times New Roman" w:hAnsi="Times New Roman"/>
          <w:sz w:val="28"/>
          <w:szCs w:val="28"/>
        </w:rPr>
        <w:lastRenderedPageBreak/>
        <w:t>граждан, в том числе отдельных их категорий осуществляющих трудовую деятельность в России, а также последствий нарушений такого рода для самих иностранцев и для российских работодателей. Отдельные трудности в плане регулирования трудовой миграции иностранцев составляет практика привлечения граждан к ответственности за нарушения в сфере миграционного учета, так как она существенно разниться, что вряд ли способствует эффективному обжалованию решений соответствующих надзорных органов. Также возникают вопросы, связанные с тем, что следует подразумевать под местом пребывания иностранного гражданина. Все выше обозначенное показывает важность изучения особенностей обжалования миграционных органов.</w:t>
      </w:r>
    </w:p>
    <w:p w:rsidR="00E00FDF" w:rsidRPr="00467B95" w:rsidRDefault="00E00FDF" w:rsidP="005A3DF4">
      <w:pPr>
        <w:widowControl w:val="0"/>
        <w:spacing w:after="0" w:line="240" w:lineRule="auto"/>
        <w:ind w:firstLine="709"/>
        <w:jc w:val="both"/>
        <w:rPr>
          <w:rFonts w:ascii="Times New Roman" w:hAnsi="Times New Roman"/>
          <w:i/>
          <w:sz w:val="28"/>
          <w:szCs w:val="28"/>
        </w:rPr>
      </w:pPr>
    </w:p>
    <w:p w:rsidR="00E00FDF" w:rsidRPr="00467B95" w:rsidRDefault="00E00FDF" w:rsidP="005A3DF4">
      <w:pPr>
        <w:widowControl w:val="0"/>
        <w:spacing w:after="0" w:line="240" w:lineRule="auto"/>
        <w:ind w:firstLine="709"/>
        <w:jc w:val="both"/>
        <w:rPr>
          <w:rFonts w:ascii="Times New Roman" w:hAnsi="Times New Roman"/>
          <w:i/>
          <w:sz w:val="28"/>
          <w:szCs w:val="28"/>
        </w:rPr>
      </w:pPr>
      <w:r w:rsidRPr="005B145E">
        <w:rPr>
          <w:rFonts w:ascii="Times New Roman" w:hAnsi="Times New Roman"/>
          <w:i/>
          <w:sz w:val="28"/>
          <w:szCs w:val="28"/>
        </w:rPr>
        <w:t>Ключевые слова и словосочетания:</w:t>
      </w:r>
      <w:r w:rsidRPr="00467B95">
        <w:rPr>
          <w:rFonts w:ascii="Times New Roman" w:hAnsi="Times New Roman"/>
          <w:b/>
          <w:i/>
          <w:sz w:val="28"/>
          <w:szCs w:val="28"/>
        </w:rPr>
        <w:t xml:space="preserve"> </w:t>
      </w:r>
      <w:r w:rsidRPr="00467B95">
        <w:rPr>
          <w:rFonts w:ascii="Times New Roman" w:hAnsi="Times New Roman"/>
          <w:i/>
          <w:sz w:val="28"/>
          <w:szCs w:val="28"/>
        </w:rPr>
        <w:t xml:space="preserve">миграция, жалоба, суд, выдворение, штраф .  </w:t>
      </w:r>
    </w:p>
    <w:p w:rsidR="00E00FDF" w:rsidRPr="00467B95" w:rsidRDefault="00E00FDF" w:rsidP="005A3DF4">
      <w:pPr>
        <w:widowControl w:val="0"/>
        <w:spacing w:after="0" w:line="240" w:lineRule="auto"/>
        <w:ind w:firstLine="709"/>
        <w:jc w:val="center"/>
        <w:rPr>
          <w:rFonts w:ascii="Times New Roman" w:hAnsi="Times New Roman"/>
          <w:b/>
          <w:i/>
          <w:color w:val="222222"/>
          <w:sz w:val="28"/>
          <w:szCs w:val="28"/>
        </w:rPr>
      </w:pPr>
    </w:p>
    <w:p w:rsidR="00E00FDF" w:rsidRPr="00467B95" w:rsidRDefault="00E00FDF" w:rsidP="005A3DF4">
      <w:pPr>
        <w:widowControl w:val="0"/>
        <w:spacing w:after="0" w:line="240" w:lineRule="auto"/>
        <w:ind w:firstLine="709"/>
        <w:jc w:val="center"/>
        <w:rPr>
          <w:rFonts w:ascii="Times New Roman" w:hAnsi="Times New Roman"/>
          <w:b/>
          <w:color w:val="222222"/>
          <w:sz w:val="28"/>
          <w:szCs w:val="28"/>
          <w:lang w:val="en-US"/>
        </w:rPr>
      </w:pPr>
      <w:r w:rsidRPr="00467B95">
        <w:rPr>
          <w:rFonts w:ascii="Times New Roman" w:hAnsi="Times New Roman"/>
          <w:b/>
          <w:color w:val="222222"/>
          <w:sz w:val="28"/>
          <w:szCs w:val="28"/>
          <w:lang w:val="en-US"/>
        </w:rPr>
        <w:t>Appeal against decisions of the migration authority</w:t>
      </w:r>
    </w:p>
    <w:p w:rsidR="00E00FDF" w:rsidRPr="00467B95" w:rsidRDefault="00E00FDF" w:rsidP="005A3DF4">
      <w:pPr>
        <w:widowControl w:val="0"/>
        <w:spacing w:after="0" w:line="240" w:lineRule="auto"/>
        <w:ind w:firstLine="709"/>
        <w:jc w:val="center"/>
        <w:rPr>
          <w:rFonts w:ascii="Times New Roman" w:hAnsi="Times New Roman"/>
          <w:i/>
          <w:color w:val="222222"/>
          <w:sz w:val="28"/>
          <w:szCs w:val="28"/>
          <w:lang w:val="en-US"/>
        </w:rPr>
      </w:pPr>
    </w:p>
    <w:p w:rsidR="00E00FDF" w:rsidRPr="00467B95" w:rsidRDefault="00E00FDF" w:rsidP="005A3DF4">
      <w:pPr>
        <w:widowControl w:val="0"/>
        <w:spacing w:after="0" w:line="240" w:lineRule="auto"/>
        <w:ind w:firstLine="709"/>
        <w:jc w:val="both"/>
        <w:rPr>
          <w:rFonts w:ascii="Times New Roman" w:hAnsi="Times New Roman"/>
          <w:i/>
          <w:color w:val="222222"/>
          <w:sz w:val="28"/>
          <w:szCs w:val="28"/>
          <w:lang w:val="en-US"/>
        </w:rPr>
      </w:pPr>
      <w:r w:rsidRPr="00467B95">
        <w:rPr>
          <w:rFonts w:ascii="Times New Roman" w:hAnsi="Times New Roman"/>
          <w:i/>
          <w:color w:val="222222"/>
          <w:sz w:val="28"/>
          <w:szCs w:val="28"/>
          <w:lang w:val="en-US"/>
        </w:rPr>
        <w:t>Quite a few questions are also connected with the migration account of foreign citizens, including their individual categories engaged in labor activities in Russia, as well as the consequences of such violations for foreigners themselves and for Russian employers. Separate difficulties in terms of regulating labor migration of foreigners are the practice of bringing Belarusian citizens to account for violations in the field of migration registration, since it differs substantially, which hardly contributes to effective appeal against decisions of the relevant supervisory authorities. There are also issues related to what is meant by the place of residence of a foreign citizen. All the above indicates the importance of studying the features of the appeal of migration authorities.</w:t>
      </w:r>
    </w:p>
    <w:p w:rsidR="005B145E" w:rsidRPr="00CE3E72" w:rsidRDefault="005B145E" w:rsidP="005A3DF4">
      <w:pPr>
        <w:widowControl w:val="0"/>
        <w:spacing w:after="0" w:line="240" w:lineRule="auto"/>
        <w:ind w:firstLine="709"/>
        <w:jc w:val="both"/>
        <w:rPr>
          <w:rFonts w:ascii="Times New Roman" w:hAnsi="Times New Roman"/>
          <w:b/>
          <w:i/>
          <w:color w:val="222222"/>
          <w:sz w:val="28"/>
          <w:szCs w:val="28"/>
          <w:lang w:val="en-US"/>
        </w:rPr>
      </w:pPr>
    </w:p>
    <w:p w:rsidR="00E00FDF" w:rsidRPr="00467B95" w:rsidRDefault="00E00FDF" w:rsidP="005A3DF4">
      <w:pPr>
        <w:widowControl w:val="0"/>
        <w:spacing w:after="0" w:line="240" w:lineRule="auto"/>
        <w:ind w:firstLine="709"/>
        <w:jc w:val="both"/>
        <w:rPr>
          <w:rFonts w:ascii="Times New Roman" w:hAnsi="Times New Roman"/>
          <w:sz w:val="28"/>
          <w:szCs w:val="28"/>
          <w:lang w:val="en-US"/>
        </w:rPr>
      </w:pPr>
      <w:r w:rsidRPr="005B145E">
        <w:rPr>
          <w:rFonts w:ascii="Times New Roman" w:hAnsi="Times New Roman"/>
          <w:i/>
          <w:color w:val="222222"/>
          <w:sz w:val="28"/>
          <w:szCs w:val="28"/>
          <w:lang w:val="en-US"/>
        </w:rPr>
        <w:t>Key words and phrases:</w:t>
      </w:r>
      <w:r w:rsidRPr="00467B95">
        <w:rPr>
          <w:rFonts w:ascii="Times New Roman" w:hAnsi="Times New Roman"/>
          <w:b/>
          <w:i/>
          <w:color w:val="222222"/>
          <w:sz w:val="28"/>
          <w:szCs w:val="28"/>
          <w:lang w:val="en-US"/>
        </w:rPr>
        <w:t xml:space="preserve"> </w:t>
      </w:r>
      <w:r w:rsidRPr="00467B95">
        <w:rPr>
          <w:rFonts w:ascii="Times New Roman" w:hAnsi="Times New Roman"/>
          <w:i/>
          <w:color w:val="222222"/>
          <w:sz w:val="28"/>
          <w:szCs w:val="28"/>
          <w:lang w:val="en-US"/>
        </w:rPr>
        <w:t>migration, complaint, court, expulsion, fine.</w:t>
      </w:r>
    </w:p>
    <w:p w:rsidR="00E00FDF" w:rsidRPr="00467B95" w:rsidRDefault="00E00FDF" w:rsidP="005A3DF4">
      <w:pPr>
        <w:widowControl w:val="0"/>
        <w:spacing w:after="0" w:line="240" w:lineRule="auto"/>
        <w:ind w:firstLine="709"/>
        <w:jc w:val="both"/>
        <w:rPr>
          <w:rFonts w:ascii="Times New Roman" w:hAnsi="Times New Roman"/>
          <w:sz w:val="28"/>
          <w:szCs w:val="28"/>
          <w:lang w:val="en-US"/>
        </w:rPr>
      </w:pP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Как отмечается в литературе «эффективность государственного регулирования в сфере внешней трудовой миграции, защита прав и интересов трудящихся-мигрантов, стабильность социально-экономического развития России во многом зависит от того, какие правовые способы воздействия будут применены к лицам, совершившим административные правонарушения. Одним из них является административное наказание, назначаемое виновному физическому или юридическому </w:t>
      </w:r>
      <w:r w:rsidRPr="005B145E">
        <w:rPr>
          <w:rFonts w:ascii="Times New Roman" w:hAnsi="Times New Roman"/>
          <w:sz w:val="28"/>
          <w:szCs w:val="28"/>
        </w:rPr>
        <w:t>лицу» [1].</w:t>
      </w:r>
      <w:r w:rsidRPr="00467B95">
        <w:rPr>
          <w:rFonts w:ascii="Times New Roman" w:hAnsi="Times New Roman"/>
          <w:sz w:val="28"/>
          <w:szCs w:val="28"/>
        </w:rPr>
        <w:t xml:space="preserve"> Акты компетентных в сфере трудовой миграции государственных органов могут выражаться в наложении на лицо административного наказания за совершенное правонарушение. Может также применяться мера, например, содержащая в себе запреты, связанные с недопуском иностранного гражданина на территорию России. При этом такая мера, в свою очередь, административным наказанием не является. Итак, далее сосредоточимся на рассмотрении судебной практики связанной с привлечением к </w:t>
      </w:r>
      <w:r w:rsidRPr="00467B95">
        <w:rPr>
          <w:rFonts w:ascii="Times New Roman" w:hAnsi="Times New Roman"/>
          <w:sz w:val="28"/>
          <w:szCs w:val="28"/>
        </w:rPr>
        <w:lastRenderedPageBreak/>
        <w:t xml:space="preserve">административной ответственности иностранных граждан уже прибывающих на территории Российской Федерации. </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Исходя из анализа судебной практики содержащейся в информационно-справочной системе «КонсультантПлюс» можно констатировать, что на территории Приморского края одним из наиболее сложных и неоднозначных видов решений уполномоченных органов являются решения, связанные с аннулированием разрешения на временное проживание на территории Российской Федерации. Данная проблема заслуживает внимания, так как судебная практика по соответствующим спорам значительно разнится. Также имеются разночтения в судебной практике между тем, что суды принимают во внимание при принятии решения об отмене акта компетентного органа власти.</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Апелляционном определении Приморского краевого суда от 29.06.2017 по делу № 33а-6454/2017 в частности указано, что, так как иностранный гражданин более 25 лет состоит в зарегистрированном браке с гражданкой России, а также в связи с тем, что у него в собственности есть квартира, где он зарегистрирован и проживает вместе с супругой и двумя детьми, которые являются гражданами РФ, то такая мера как аннулирование разрешения на временное проживание не должна применяться. Следовательно, суд учел наличие у иностранца семьи, устойчивость социальных и родственных связей, которые сложились и связаны с неразрывным нахождением семьи иностранного гражданина на территории Российской Федерации, суд посчитал аннулирование разрешения на временное проживание необоснованны. При этом справедливо отмечается, что «привлечение к административной ответственности супруга за предоставление жилья своему супругу - иностранному гражданину, допустившему нарушение установленного порядка проживания в России, представляет собой несправедливое, неоправданное и чрезмерное правоограничение, которое не отвечает конституционным принципам необходимости и соразмерности ограничения прав и свобод человека и гражданина» [2]. Согласимся с таким утверждением, в виду того, что ограничение права не соответствует тяжести правонарушения.</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судами все же принимается во внимание факт наличия у иностранного гражданина устойчивых социальных связей с Россией, однако в то же время, если по мнению суда нарушение миграционного законодательства иностранным гражданином допускается на регулярной основе, то наличие указанных социальных связей во внимание не берется. Следовательно, на лицо ситуация неопределенности, когда практически одни и те же обстоятельства один и тот же суд может оценивать как в пользу государственного органа, так и наоборот. </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Примечательно, что зачастую к аннулированию разрешения на временное проживание приводит то, что органы, осуществляющие миграционный контроль неверно толкуют положения закона, касающиеся обязывания иностранного гражданина иметь жилое помещение на том или </w:t>
      </w:r>
      <w:r w:rsidRPr="00467B95">
        <w:rPr>
          <w:rFonts w:ascii="Times New Roman" w:hAnsi="Times New Roman"/>
          <w:sz w:val="28"/>
          <w:szCs w:val="28"/>
        </w:rPr>
        <w:lastRenderedPageBreak/>
        <w:t>ином праве. Так Апелляционное определение Приморского краевого суда от 08.06.2017 по делу № 33А-5670/2017 [3] было принято в пользу иностранного гражданина в связи с тем, что миграционный орган неверно истолковал положения договора коммерческого найма жилья. В частности, УФМС России по Приморскому краю посчитало, что так как договор между собственником жилого помещения и организацией предоставившей для проживание жилое помещение иностранному гражданину, вызывает сомнения, поскольку заключен только с одним собственником помещения, в то время как оно находится в совместной собственности нескольких лиц. Такого рода довод УФМС был расценен судом как неверный, и, тем самым, было установлено, что иностранный гражданин не нарушал порядка нахождения на территории Российской Федерации. В Решении Приморского краевого суда от 14.05.2018 по делу № 7-12 [4] суд также пришел к выводу, что отдел по вопросам миграции ОМВД России по городу Находке не в полной мере проверил сведения на счет проживания гражданина Украины по адресу, который он сообщил уполномоченному органу. В частности, суд указал, что уполномоченный орган не провел опрос собственника жилого помещения по поводу того, проживает ли там иностранный гражданин, ну были также опрошены и другие лица, показания которых могли бы свидетельствовать или отрицать факт проживания иностранного гражданина по указанному им адресу.</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Указанное выше показывает, что решения органов, ответственных за контроль за миграцией зачастую строятся на неполных данных или неверном толковании законодательства. Выявленная проблема поднимает актуальность повышения квалификации соответствующих сотрудников. Очевидно, что повышение их деловых качеств будет способствовать снижению количества ошибок, и, как следствие, снизит нагрузку на суды, что можно назвать весьма положительным результатом. </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Что касается вопросов связанных с отказом во въезде в Российскую Федерацию, что исходя из анализа судебной практики также часто случается в практике Приморского краевого суда, то здесь суды также принимают фактор семьи во внимание и руководствуются им при принятии решения.</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 в Апелляционном определении от 06.07.2017 по делу № 33а-6736/2017 Приморский краевой суд [5] решил, что решение Управления ФМС России по Приморскому краю согласно которому иностранному гражданину – имеющему супругу гражданку РФ и проживающему более 5 лет на территории России гражданину Республики Азербайджан было запрещено въезжать в Россию, представляет собой вмешательство в сферу личной и семейной жизни. Суд указал, что меры, которые применило УФМС могут быть применены лишь в том случае, если иностранец представляет угрозу национальной и общественной безопасности. В рассматриваемом случае суд посчитал, что административные правонарушения, которые совершал иностранный гражданин, угрозу безопасности стране не представляют, и принятый запрет не соответствует степени общественной опасности </w:t>
      </w:r>
      <w:r w:rsidRPr="00467B95">
        <w:rPr>
          <w:rFonts w:ascii="Times New Roman" w:hAnsi="Times New Roman"/>
          <w:sz w:val="28"/>
          <w:szCs w:val="28"/>
        </w:rPr>
        <w:lastRenderedPageBreak/>
        <w:t xml:space="preserve">совершенного правонарушения. </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Итак, в указанном деле суд оценил в пользу иностранного гражданина те факты, что у него в России есть семья, что он длительное время проживает в России и что совершенные им правонарушения в сфере миграционного законодательства не представляют собой настолько опасные деяния, чтобы запрещать ему въезд в Россию. К похожим выводам приходят отечественные исследователи, указывающие, что «при подготовке правовой позиции лицу, обвиняемому в совершении административного правонарушения, необходимо ссылаться на следующие обстоятельства: правонарушение не причинило вред общественным отношениям; правонарушение не создало каких-либо тяжких последствий охраняемым общественным отношениям; правонарушение не повлекло за собой существенную угрозу охраняемым общественным отношениям, причинения вреда личности, обществу или государству; примененная мера административного взыскания в виде штрафа не соответствует тяжести совершенного правонарушения и носит скорее карательный, а не превентивный характер» [1]. Исходя из материалов рассмотренной судебной практики, именно такие доводы следует и приводить. Однако, они могут быть истолкованы судом весьма своеобразно, что приводит к тому, что нельзя говорить наверняка о какой-то предопределенности.</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Государственные органы также могут назначить в качестве наказания иностранцу выдворение за пределы России. Как отмечается в литературе, «применение административного наказания в виде выдворения за пределы Российской Федерации иностранных граждан или лиц без гражданства является крайней мерой, применяемой к нарушителям, которая, в свою очередь, требует от судей учитывать все обстоятельства, предшествующие совершению данного правонарушения привлекаемым к ответственности лицом; при этом суды должны осторожно и взвешенно рассматривать дела данной категории и принимать решения, основанные на точном соблюдении норм действующего административного законодательства Российской Федерации» [6]. Согласимся с высказанным мнением, так как принудительное выдворение из государства действительно может сопровождаться различными аспектами, которые миграционный орган должен учитывать, чтобы в дальнейшем его решения не были отменены судом. Очевидно, что лучше сразу назначить адекватное наказание, чем отстаивать в суде, заранее неперспектывный вариант. Примером может послужить Решение Приморского краевого суда от 24.07.2018 по делу № 7-12 [7]. В данном деле миграционный орган не оценил семейное положение иностранца, наличие у него несовершеннолетних детей граждан России, срок его проживания в России. Суд, напротив, придал данным обстоятельствам решающее значение и указал, что административное выдворение Нагиева Н.Б. О. за пределы Российской Федерации в соответствии с </w:t>
      </w:r>
      <w:hyperlink r:id="rId161" w:history="1">
        <w:r w:rsidRPr="00467B95">
          <w:rPr>
            <w:rFonts w:ascii="Times New Roman" w:hAnsi="Times New Roman"/>
            <w:sz w:val="28"/>
            <w:szCs w:val="28"/>
          </w:rPr>
          <w:t>п. 3 ч. 1 ст.</w:t>
        </w:r>
      </w:hyperlink>
      <w:r w:rsidRPr="00467B95">
        <w:rPr>
          <w:rFonts w:ascii="Times New Roman" w:hAnsi="Times New Roman"/>
          <w:sz w:val="28"/>
          <w:szCs w:val="28"/>
        </w:rPr>
        <w:t xml:space="preserve"> ФЗ «О правовом положении иностранных граждан в Российской  Федерации» повлечет невозможность в течение ряда лет получения иностранцем </w:t>
      </w:r>
      <w:r w:rsidRPr="00467B95">
        <w:rPr>
          <w:rFonts w:ascii="Times New Roman" w:hAnsi="Times New Roman"/>
          <w:sz w:val="28"/>
          <w:szCs w:val="28"/>
        </w:rPr>
        <w:lastRenderedPageBreak/>
        <w:t>разрешения на временное проживание в РФ, а, следовательно, такое решение компетентного органа будет препятствовать воссоединению семьи. Кроме того, суд также указал, что иностранный гражданин не совершал действий, направленных против безопасности государства.</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Итак, исходя из изложенного выше, успешным может быть оспаривание решений миграционного органа об аннулировании разрешения на временное проживание или административное проживание из РФ при совокупности следующих факторов: </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Во-первых, иностранный гражданин имеет на территории семью, состоящую из граждан России;</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Во-вторых, иностранный граждан длительное время проживает на территории России и имеет то или иное право на жилое помещение;</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В-третьих, совершенное им административное правонарушение не представляет существенной угрозы для безопасности государства. </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Как видим, при совокупности указанных обстоятельств, суды принимаю сторону иностранного гражданина.</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Отдельно остановимся на анализе практики судов по отмене решений миграционных органов в тех случаях, когда был выявлен трудовой мигрант въехавший в Россию с одной целью, но осуществляющий другую деятельность, чем было заявлено при въезде. Сложностью здесь является то, как понять, что именно выполняет трудовой мигрант. Очевидно, что разнорабочий на стройке не может работать арматурщиком, однако если такой разнорабочий выявлен в момент передачи арматуры квалифицированному рабочему, то возникает ситуация при которой он вполне может быть признан правонарушителем в связи с тем, что его действия по передаче арматуры могут быть расценены как выполнение им иной трудовой функции, чем та, которая была заявлена при приглашении на работу в Россию. Вполне возможны и иные ситуации. Рассмотрим ниже судебную практику по такой категории дел.</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Постановлении Президиума Приморского краевого суда от 13.08.2018 № 44ГА-89/2018 [8] указано, что гражданка Азербайджана въехав на территорию России, трудовую деятельность в течении 11 месяцев не осуществляла, заключила гражданско-правовой договор на оказание услуг лишь за 14 дней до окончания срока действия патента, при этом срок договора составлял именно 14 дней. При этом никаких сведений по поводу той деятельности, которую осуществляет данная иностранная гражданка компетентному органу ни до, ни после заключения договора не направлялись. Оценив в совокупности данные обстоятельства суд пришел к выводу, что сам факт длительного неосуществления трудовой деятельности и наличие договора, который фактически был заключен лишь для вида, а также неуведомление компетентного органа об осуществлении иностранной трудовой деятельности, свидетельствуют о нарушении ею миграционного законодательства – ст.13.3 ФЗ «О положении иностранцев».</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Решении Приморского краевого суда от 25.07.2018 по делу № 7-12 [9] </w:t>
      </w:r>
      <w:r w:rsidRPr="00467B95">
        <w:rPr>
          <w:rFonts w:ascii="Times New Roman" w:hAnsi="Times New Roman"/>
          <w:sz w:val="28"/>
          <w:szCs w:val="28"/>
        </w:rPr>
        <w:lastRenderedPageBreak/>
        <w:t>была рассмотрена весьма интересная ситуация, связанная с оспариванием решения миграционного органа. Известно, что в отношении гражданина КНР было принято решение выдаче ему разрешения на работу, однако, сам гражданин приступил к работе до того как само разрешение ему было выдано. По мнению миграционного органа приятия решения о выдаче разрешения представляет собой лишь промежуточную процедуру, и не дает права иностранному гражданину заниматься трудовой деятельностью. Такую же позицию занял и Приморский краевой суд. Примечательно, что районный суд посчитал действия миграционного органа по привлечению гражданина КНР к ответственности в данной ситуации незаконными. Между тем, представляется правильным согласиться с позицией Приморского краевого суда, так как фактически процедура не была завершена согласно тому, как это указано в административном регламенте, а именно – разрешение на работу еще не было выдано указанному иностранному гражданину. Из изложенного следует, что даже если в отношении иностранного гражданина принято положительное решение миграционного органа о возможности осуществлять трудовую деятельность в России, осуществлять ее он не имеет права вплоть до момента выдачи ему соответствующего документа подтверждающего такого рода право. Конечно, в таком правонарушении вряд ли можно найти высокую степень общественной опасности, однако сам факт преждевременного начала работы, трудовым мигрантом, который на это точно получит разрешение, но еще данный юридический факт не случился, влечет за собой наказание. Видится, что наказание за такого рода должно быть минимально возможным.</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Еще одним видом решений миграционных органов, которые оспариваются достаточно часто, являются решения о привлечении к административной ответственности работодателей, которые привлекают мигрантов для осуществления трудовой функции, но не уведомляют должным образом об этом уполномоченные органы. Как отмечается в литературе, «о привлечении иностранного гражданина к трудовой деятельности не может свидетельствовать только факт заключения с ним трудового договора, об этом будет свидетельствовать тот факт, например, что иностранный работник начал непосредственно выполнять свою трудовую функцию, приступил к выполнению определенного объема работ и т.п.» [10]. Данный факт следует иметь в виду, что, естественно позволит более эффективно отстаивать права. Итак, обратимся к практике российских судов.</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Рассмотрим Решение Приморского краевого суда от 19.07.2018 по делу № 7-12 [11]. В данном судебном акте суд пришел к выводу, что у индивидуального предпринимателя, осуществляющего свою деятельность в г. Уссурийск был заключен трудовой договор с гражданином Таджикистана, о чем не был уведомлен ответственный орган по вопросам миграции – соответствующий отдел Управления МВД. Данный факт суд счел достаточным для того, чтобы поддержать позицию компетентного в сфере миграции государственного органа и признать избранное наказание в виде </w:t>
      </w:r>
      <w:r w:rsidRPr="00467B95">
        <w:rPr>
          <w:rFonts w:ascii="Times New Roman" w:hAnsi="Times New Roman"/>
          <w:sz w:val="28"/>
          <w:szCs w:val="28"/>
        </w:rPr>
        <w:lastRenderedPageBreak/>
        <w:t>штрафа справедливым и соразмерным тяжести совершенного правонарушения.</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Очевидно, что в приведенном выше примере работодатель действовал безответственно в виду чего и был привлечен к административной ответственности. Между тем, как уже указывалось, в своих правах трудовые мигранты из Армении, Беларуси, Казахстана и Кыргызстана максимально приближены к российским гражданам, что отдельными работодателями воспринимается как освобождение их от обязанности сообщать в миграционный орган о том, что заключен трудовой с мигрантом. В этой связи, отдельно стоит рассмотреть вопрос осуществления на территории Российской Федерации деятельности гражданами стран Евразийского экономического союза.</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Решение Приморского краевого суда от 02.08.2018 по делу № 7-12 [12] было принято по делу о споре об отмене решения миграционного органа о наложении штрафа на работодателя за отсутствие уведомления о расторжении соглашения об оказании работ с гражданином Армении, что нарушает положения п.8 ст.13 ФЗ «Об иностранцах». Между тем есть и другие решения по подобного рода делам, правда, вынесенные иными судами. Так, в Постановлении Арбитражного суда Северо-Кавказского округа от 24.10.2016 № Ф08-7781/2016 по делу № А53-22119/2015 [13] указано, что в связи с подписанием </w:t>
      </w:r>
      <w:hyperlink r:id="rId162" w:history="1">
        <w:r w:rsidRPr="00467B95">
          <w:rPr>
            <w:rFonts w:ascii="Times New Roman" w:hAnsi="Times New Roman"/>
            <w:sz w:val="28"/>
            <w:szCs w:val="28"/>
          </w:rPr>
          <w:t>Договора</w:t>
        </w:r>
      </w:hyperlink>
      <w:r w:rsidRPr="00467B95">
        <w:rPr>
          <w:rFonts w:ascii="Times New Roman" w:hAnsi="Times New Roman"/>
          <w:sz w:val="28"/>
          <w:szCs w:val="28"/>
        </w:rPr>
        <w:t xml:space="preserve"> о Евразийском экономическом союзе от 29.05.2014, с момента вступления указанного договора в силу, граждане Республики Беларусь вправе работать без оформления дополнительных разрешительных документов. Однако, по мнению суда, это не означает, что к таким гражданам не применимы нормы ФЗ «Об иностранных гражданах» в плане обязанности работодателя уведомлять о заключении трудового договора уполномоченный в сфере трудовой миграции орган. При этом уведомление должно осуществляться не только при заключении, но и при расторжении трудового договора. Как видим, указанный суд пришел к выводам аналогичным тем, что и Приморский краевой суд. Он также исходил из того, что каких-либо исключений не закреплено для такого рода граждан. Между тем, если обратиться к Постановлению Верховного Суда РФ от 14.02.2018 № 83-АД18-1 [14] то можно увидеть, что он пришел к противоположному выводу, указав, что положения закона не применяются к гражданам Республик Беларусь, так как международным договором соответствующие граждане приравнены к гражданам РФ в их трудовых правах.</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практика оспаривания решений миграционного органа, касающихся привлечения к ответственности работодателей за нарушения при трудоустройстве граждан Армении, Беларуси, Казахстана, Кыргызстана является различной. Одни суды признают, как указывалось выше, неуведомление миграционного органа о заключении (расторжении) трудового договора (договора об оказании услуг) нарушением, в то время как другие суды – нет. Видится, что нужно проработать данный вопрос более детально. </w:t>
      </w:r>
      <w:r w:rsidRPr="00467B95">
        <w:rPr>
          <w:rFonts w:ascii="Times New Roman" w:hAnsi="Times New Roman"/>
          <w:sz w:val="28"/>
          <w:szCs w:val="28"/>
        </w:rPr>
        <w:lastRenderedPageBreak/>
        <w:t xml:space="preserve">Для чего необходимо Верховному Суду РФ принять соответствующие разъяснения, например, в виде постановления пленума. Очевидно, что такой шаг снимет многие спорные вопросы о том, какие нормы следует применять к гражданам Евразийского экономического союза. Если же этого не предпринять, то избежать спорных решений миграционных органов, равно как и разночтения в судебной практике вряд ли удастся. </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Еще одним основанием привлечения к ответственности за нарушение миграционного законодательства иностранных граждан является несовпадение заявленной ими цели въезда с той, которую они фактически преследуют. Такие акты миграционных органов зачастую оспариваются в судах, но следует сказать, что, как правило, безуспешно. Так, решением Приморского краевого суда от 21.06.2018 по делу № 7-21-631/2018 [15] была поддержана позиция уполномоченного органа о наличии в действиях гражданина КНР состава административного правонарушения. Известно, что он въехал на территорию России по приглашению коммерческой организации, в целях осуществления предпринимательской деятельности, однако, на самом деле, такую деятельность он не осуществлял, а въехал в Россию с гостевой целью, навестить своих родственников, проживающих на территории Пограничного района Приморского края. Несмотря на тот факт, что в данном деле общественная опасность совершенного китайским гражданином деяния вряд ли высока, суд все же отказался отменять акт о привлечении его к ответственности. Согласимся с позицией суда. Ведь, несмотря на формальный подход к названному правонарушению, сам факт его совершения безотносительно с последствиями, которые оно может породить, уже говорит об умышленном нарушении иностранцем российского права.</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Одним из наиболее популярных видом решений миграционных органов, которые пытаются оспорить иностранные граждане, как правило безуспешно, является привлечение таких граждан к ответственности за превышение срока пребывания на территории России. Так, в Решении Приморского краевого суда от 04.10.2018 по делу №7-12-549/18 [16] указано, что была выявлена гражданка КНР, которая проживала на территории России 141 день, вместо 90 дней, предусмотренных, выданной ей визой. Понятно, что в таких случаях оспаривать решение миграционного органа возможно лишь в случае нарушений процессуальных аспектов его принятия.</w:t>
      </w:r>
    </w:p>
    <w:p w:rsidR="00E00FDF"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из анализа судебной практики можно прийти к ряду выводов по поводу оспаривания решений миграционных органов. Во-первых, в качестве правонарушителей миграционными органами на территории Приморского края привлекаются к ответственности как правило, граждане государств, входивших ранее в СССР и граждане КНР. Во-вторых, оспаривание решения миграционного органа об административном выдворении за пределы РФ будет более успешным если суметь доказать, что посредством выдворения разрушаются социальные связи гражданина, которые в течении длительного периода времени складывались на территории </w:t>
      </w:r>
      <w:r w:rsidRPr="00467B95">
        <w:rPr>
          <w:rFonts w:ascii="Times New Roman" w:hAnsi="Times New Roman"/>
          <w:sz w:val="28"/>
          <w:szCs w:val="28"/>
        </w:rPr>
        <w:lastRenderedPageBreak/>
        <w:t>России, создаются условия при которых он будет разлучен с постоянно проживающей на территории России его семьей, и не сможет пользоваться своим имуществом, совершенное правонарушение не влечет угрозу безопасности государству. Те же аргументы следует использовать тогда, когда речь идет о запрете на въезд в РФ. В-третьих, выявлена проблема оспаривания решений миграционных органов по привлечению граждан Армении, Беларуси, Казахстана, Кыргызстана. Разные суды разными способами толкуют обязанности, возлагаемые на работодателей привлекающих трудовые ресурсы из этих стран.</w:t>
      </w:r>
    </w:p>
    <w:p w:rsidR="005B145E" w:rsidRPr="00467B95" w:rsidRDefault="005B145E"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Мариновская В. Правовые последствия нарушения сроков и порядка подачи в УФМС уведомления о заключении и расторжении трудового договора с иностранным гражданином / В. Мариновская // Трудовое право. – 2015. – № 11. – С. 61 - 65.</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Бажанов А.В. Административная ответственность за предоставление жилья супругу - иностранному гражданину / А.В. Бажанов // Миграционное право. – 2017. – № 2. – С. 3 - 6.</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Апелляционное определение Приморского краевого суда от 08.06.2017 по делу № 33А-5670/2017 [Электронный ресурс] // СПС «КонсультантПлюс». – Режим доступа: http://www.consultant.ru/cons/cgi/online.cgi?req=doc&amp;ts=131252054304834536164343741&amp;cacheid=7E455F2F15FBCB2366ADCD0BAA67ACDE&amp;mode=splus&amp;base=SODV&amp;n=99518&amp;rnd=0AA671680BEC5B35550F431F038EE227#2l98fiyk55g</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Решение Приморского краевого суда от 14.05.2018 по делу № 7-12 [Электронный ресурс] // СПС «КонсультантПлюс». – Режим доступа: http://www.consultant.ru/cons/cgi/online.cgi?req=doc&amp;ts=7761749703760827949944241&amp;cacheid=C3C5ABE89EF6AC4A60B164BEFD4E4B94&amp;mode=splus&amp;base=SODV&amp;n=123581&amp;rnd=0AA671680BEC5B35550F431F038EE227#7x68aibledw</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Апелляционное определение Приморского краевого суда от 06.07.2017 по делу № 33а-6736/2017 [Электронный ресурс] // СПС «КонсультантПлюс». – Режим доступа: http://www.consultant.ru/cons/cgi/online.cgi?req=doc&amp;ts=7761749703760827949944241&amp;cacheid=BACA4910DEC1F3F37153FAB822318AD9&amp;mode=splus&amp;base=SODV&amp;n=101805&amp;rnd=0AA671680BEC5B35550F431F038EE227#20sv2pav22x</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Брунер Р.А. Некоторые вопросы административного выдворения за пределы Российской Федерации иностранного гражданина или лица без гражданства / Р.А. Брунер // Современное право. – 2018. – № 4. – С. 34 - 37.</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Решение Приморского краевого суда от 24.07.2018 по делу № 7-12 [Электронный ресурс] // СПС «КонсультантПлюс». – Режим доступа: http://www.consultant.ru/cons/cgi/online.cgi?req=doc&amp;ts=681889964013347845703068284&amp;cacheid=8DB55ECB35DBF14E49CAD9101065667D&amp;mode=splus&amp;ba</w:t>
      </w:r>
      <w:r w:rsidRPr="00467B95">
        <w:rPr>
          <w:rFonts w:ascii="Times New Roman" w:hAnsi="Times New Roman"/>
          <w:sz w:val="28"/>
          <w:szCs w:val="28"/>
        </w:rPr>
        <w:lastRenderedPageBreak/>
        <w:t>se=SODV&amp;n=123651&amp;rnd=0AA671680BEC5B35550F431F038EE227#2gjmrihbsfv</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8 Постановление Президиума Приморского краевого суда от 13.08.2018 № 44ГА-89/2018 [Электронный ресурс] // СПС «КонсультантПлюс». – Режим доступа: http://www.consultant.ru/cons/cgi/online.cgi?req=doc&amp;ts=992858149021044577898629058&amp;cacheid=97D9B36E19735AE0318679E984CBEC91&amp;mode=splus&amp;base=SODV&amp;n=117832&amp;rnd=0AA671680BEC5B35550F431F038EE227#1mj8hdtn68a</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9 Решение Приморского краевого суда от 25.07.2018 по делу № 7-12 [Электронный ресурс] // СПС «КонсультантПлюс». – Режим доступа: http://www.consultant.ru/cons/cgi/online.cgi?req=doc&amp;ts=1887387850004303381184422683&amp;cacheid=3DD73A91A87FCEE6E3F09D84B5D3547F&amp;mode=splus&amp;base=SODV&amp;n=123602&amp;rnd=0AA671680BEC5B35550F431F038EE227#a9xclizzfkc</w:t>
      </w:r>
    </w:p>
    <w:p w:rsidR="00E00FDF" w:rsidRPr="00467B95" w:rsidRDefault="00E00FDF" w:rsidP="005A3DF4">
      <w:pPr>
        <w:widowControl w:val="0"/>
        <w:autoSpaceDE w:val="0"/>
        <w:autoSpaceDN w:val="0"/>
        <w:adjustRightInd w:val="0"/>
        <w:spacing w:after="0" w:line="240" w:lineRule="auto"/>
        <w:ind w:firstLine="709"/>
        <w:jc w:val="both"/>
        <w:rPr>
          <w:rFonts w:ascii="Times New Roman" w:hAnsi="Times New Roman"/>
          <w:sz w:val="28"/>
          <w:szCs w:val="28"/>
        </w:rPr>
      </w:pPr>
      <w:r w:rsidRPr="00467B95">
        <w:rPr>
          <w:rFonts w:ascii="Times New Roman" w:hAnsi="Times New Roman"/>
          <w:sz w:val="28"/>
          <w:szCs w:val="28"/>
        </w:rPr>
        <w:t>10 Сизов И.Ю. Административная ответственность юридических лиц за нарушение миграционного законодательства / И.Ю. Сизов // Административное и муниципальное право. – 2015. – № 5. – С. 455 - 459.</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11 Решение Приморского краевого суда от 19.07.2018 по делу № 7-12 [Электронный ресурс] // СПС «КонсультантПлюс». – Режим доступа: http://www.consultant.ru/cons/cgi/online.cgi?req=doc&amp;ts=1887387850004303381184422683&amp;cacheid=876C3842C1E0CE0DF393C0B986A1E385&amp;mode=splus&amp;base=SODV&amp;n=124450&amp;rnd=0AA671680BEC5B35550F431F038EE227#1fl5zpm5a2c</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12 Решение Приморского краевого суда от 02.08.2018 по делу № 7-12 [Электронный ресурс] // СПС «КонсультантПлюс». – Режим доступа: http://www.consultant.ru/cons/cgi/online.cgi?req=doc&amp;ts=5787760907827615209026513&amp;cacheid=9AEF1427507B08DEC977E36D5DD2F06C&amp;mode=splus&amp;base=SODV&amp;n=123630&amp;rnd=0AA671680BEC5B35550F431F038EE227#2iq77c45ilc</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13 Постановление Арбитражного суда Северо-Кавказского округа от 24.10.2016 № Ф08-7781/2016 по делу № А53-22119/2015 [Электронный ресурс] // СПС «КонсультантПлюс». – Режим доступа: http://www.consultant.ru/cons/cgi/online.cgi?req=doc&amp;ts=143369569703205705511336676&amp;cacheid=6CC9EB0056D9388271AB601D4B64049E&amp;mode=splus&amp;base=ASK&amp;n=121748&amp;rnd=0AA671680BEC5B35550F431F038EE227#1lyjvwohlxl</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14 Постановление Верховного Суда РФ от 14.02.2018 № 83-АД18-1 [Электронный ресурс] // СПС «КонсультантПлюс». – Режим доступа: http://www.consultant.ru/cons/cgi/online.cgi?req=doc&amp;ts=27638934109835898715661267&amp;cacheid=03A1C8CE557E4C6413FD5BB499CD039A&amp;mode=splus&amp;base=ARB002&amp;n=531506&amp;rnd=0AA671680BEC5B35550F431F038EE227#5n8s37xcin4</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15 Решение Приморского краевого суда от 21.06.2018 по делу № 7-21-631/2018 [Электронный ресурс] // СПС «КонсультантПлюс». – Режим доступа: </w:t>
      </w:r>
      <w:r w:rsidRPr="00467B95">
        <w:rPr>
          <w:rFonts w:ascii="Times New Roman" w:hAnsi="Times New Roman"/>
          <w:sz w:val="28"/>
          <w:szCs w:val="28"/>
        </w:rPr>
        <w:lastRenderedPageBreak/>
        <w:t>http://www.consultant.ru/cons/cgi/online.cgi?req=doc&amp;ts=192813597909629219556211317&amp;cacheid=E2325DAE8E1FF845A586898CFED28E63&amp;mode=splus&amp;base=SODV&amp;n=124152&amp;rnd=0AA671680BEC5B35550F431F038EE227#1zupgzudks6</w:t>
      </w:r>
    </w:p>
    <w:p w:rsidR="00E00FDF" w:rsidRPr="00467B95" w:rsidRDefault="00E00FDF"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16 Решение Приморского краевого суда от 04.10.2018 по делу №7-12-549/18 [Электронный ресурс] // СПС «КонсультантПлюс». – Режим доступа: http://www.consultant.ru/cons/cgi/online.cgi?req=doc&amp;ts=555371622037351573315294484&amp;cacheid=31CC8B4CE753A6001F5B6AE520E5D512&amp;mode=splus&amp;base=SODV&amp;n=123723&amp;rnd=0AA671680BEC5B35550F431F038EE227#aq2dkf7ece8</w:t>
      </w:r>
    </w:p>
    <w:p w:rsidR="005B145E" w:rsidRDefault="005B145E" w:rsidP="005A3DF4">
      <w:pPr>
        <w:widowControl w:val="0"/>
        <w:spacing w:after="0" w:line="240" w:lineRule="auto"/>
        <w:ind w:firstLine="709"/>
        <w:jc w:val="center"/>
        <w:rPr>
          <w:rFonts w:ascii="Times New Roman" w:hAnsi="Times New Roman"/>
          <w:b/>
          <w:sz w:val="28"/>
          <w:szCs w:val="28"/>
        </w:rPr>
      </w:pP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b/>
          <w:sz w:val="28"/>
          <w:szCs w:val="28"/>
        </w:rPr>
        <w:t>Процедура помещения несовершеннолетних в учебно-воспитательные учреждения закрытого типа как альтернатива уголовному наказанию</w:t>
      </w:r>
    </w:p>
    <w:p w:rsidR="00D02D4C" w:rsidRDefault="00D02D4C" w:rsidP="005A3DF4">
      <w:pPr>
        <w:widowControl w:val="0"/>
        <w:spacing w:after="0" w:line="240" w:lineRule="auto"/>
        <w:ind w:firstLine="709"/>
        <w:jc w:val="center"/>
        <w:rPr>
          <w:rFonts w:ascii="Times New Roman" w:hAnsi="Times New Roman"/>
          <w:sz w:val="28"/>
          <w:szCs w:val="28"/>
        </w:rPr>
      </w:pP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Лапшина Юлия Владимировна</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i/>
          <w:sz w:val="28"/>
          <w:szCs w:val="28"/>
        </w:rPr>
        <w:t>Россия, Владивосток</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 xml:space="preserve">: </w:t>
      </w:r>
      <w:r w:rsidRPr="00467B95">
        <w:rPr>
          <w:rFonts w:ascii="Times New Roman" w:hAnsi="Times New Roman"/>
          <w:sz w:val="28"/>
          <w:szCs w:val="28"/>
          <w:lang w:val="en-US"/>
        </w:rPr>
        <w:t>lapshina</w:t>
      </w:r>
      <w:r w:rsidRPr="00467B95">
        <w:rPr>
          <w:rFonts w:ascii="Times New Roman" w:hAnsi="Times New Roman"/>
          <w:sz w:val="28"/>
          <w:szCs w:val="28"/>
        </w:rPr>
        <w:t>.</w:t>
      </w:r>
      <w:r w:rsidRPr="00467B95">
        <w:rPr>
          <w:rFonts w:ascii="Times New Roman" w:hAnsi="Times New Roman"/>
          <w:sz w:val="28"/>
          <w:szCs w:val="28"/>
          <w:lang w:val="en-US"/>
        </w:rPr>
        <w:t>yv</w:t>
      </w:r>
      <w:r w:rsidRPr="00467B95">
        <w:rPr>
          <w:rFonts w:ascii="Times New Roman" w:hAnsi="Times New Roman"/>
          <w:sz w:val="28"/>
          <w:szCs w:val="28"/>
        </w:rPr>
        <w:t>@</w:t>
      </w:r>
      <w:r w:rsidRPr="00467B95">
        <w:rPr>
          <w:rFonts w:ascii="Times New Roman" w:hAnsi="Times New Roman"/>
          <w:sz w:val="28"/>
          <w:szCs w:val="28"/>
          <w:lang w:val="en-US"/>
        </w:rPr>
        <w:t>mail</w:t>
      </w:r>
      <w:r w:rsidRPr="00467B95">
        <w:rPr>
          <w:rFonts w:ascii="Times New Roman" w:hAnsi="Times New Roman"/>
          <w:sz w:val="28"/>
          <w:szCs w:val="28"/>
        </w:rPr>
        <w:t>.</w:t>
      </w:r>
      <w:r w:rsidRPr="00467B95">
        <w:rPr>
          <w:rFonts w:ascii="Times New Roman" w:hAnsi="Times New Roman"/>
          <w:sz w:val="28"/>
          <w:szCs w:val="28"/>
          <w:lang w:val="en-US"/>
        </w:rPr>
        <w:t>ru</w:t>
      </w:r>
      <w:r w:rsidRPr="00467B95">
        <w:rPr>
          <w:rFonts w:ascii="Times New Roman" w:hAnsi="Times New Roman"/>
          <w:sz w:val="28"/>
          <w:szCs w:val="28"/>
        </w:rPr>
        <w:t>; тел.: 89502823863</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041B86" w:rsidRPr="00467B95" w:rsidRDefault="00041B86" w:rsidP="005A3DF4">
      <w:pPr>
        <w:widowControl w:val="0"/>
        <w:spacing w:after="0" w:line="240" w:lineRule="auto"/>
        <w:ind w:firstLine="709"/>
        <w:jc w:val="center"/>
        <w:rPr>
          <w:rFonts w:ascii="Times New Roman" w:hAnsi="Times New Roman"/>
          <w:sz w:val="28"/>
          <w:szCs w:val="28"/>
        </w:rPr>
      </w:pP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i/>
          <w:sz w:val="28"/>
          <w:szCs w:val="28"/>
        </w:rPr>
        <w:t xml:space="preserve">В статье исследуется правовая природа освобождения несовершеннолетнего от наказания с помещением в специальное учебно-воспитательное учреждение закрытого типа, а также на основе анализа судебной практики исследуются практические проблемы, возникающие при назначении судом данной меры воздействия. </w:t>
      </w:r>
    </w:p>
    <w:p w:rsidR="005B145E" w:rsidRDefault="005B145E" w:rsidP="005A3DF4">
      <w:pPr>
        <w:widowControl w:val="0"/>
        <w:spacing w:after="0" w:line="240" w:lineRule="auto"/>
        <w:ind w:firstLine="709"/>
        <w:jc w:val="both"/>
        <w:rPr>
          <w:rFonts w:ascii="Times New Roman" w:hAnsi="Times New Roman"/>
          <w:b/>
          <w:i/>
          <w:sz w:val="28"/>
          <w:szCs w:val="28"/>
        </w:rPr>
      </w:pPr>
    </w:p>
    <w:p w:rsidR="00041B86" w:rsidRPr="00467B95" w:rsidRDefault="00041B86" w:rsidP="005A3DF4">
      <w:pPr>
        <w:widowControl w:val="0"/>
        <w:spacing w:after="0" w:line="240" w:lineRule="auto"/>
        <w:ind w:firstLine="709"/>
        <w:jc w:val="both"/>
        <w:rPr>
          <w:rFonts w:ascii="Times New Roman" w:hAnsi="Times New Roman"/>
          <w:sz w:val="28"/>
          <w:szCs w:val="28"/>
        </w:rPr>
      </w:pPr>
      <w:r w:rsidRPr="005B145E">
        <w:rPr>
          <w:rFonts w:ascii="Times New Roman" w:hAnsi="Times New Roman"/>
          <w:i/>
          <w:sz w:val="28"/>
          <w:szCs w:val="28"/>
        </w:rPr>
        <w:t>Ключевые слова:</w:t>
      </w:r>
      <w:r w:rsidRPr="00467B95">
        <w:rPr>
          <w:rFonts w:ascii="Times New Roman" w:hAnsi="Times New Roman"/>
          <w:sz w:val="28"/>
          <w:szCs w:val="28"/>
        </w:rPr>
        <w:t xml:space="preserve"> </w:t>
      </w:r>
      <w:r w:rsidRPr="00467B95">
        <w:rPr>
          <w:rFonts w:ascii="Times New Roman" w:hAnsi="Times New Roman"/>
          <w:i/>
          <w:sz w:val="28"/>
          <w:szCs w:val="28"/>
        </w:rPr>
        <w:t>несовершеннолетние, уголовная ответственность, принудительные меры воспитательного воздействия, освобождение от наказания.</w:t>
      </w:r>
    </w:p>
    <w:p w:rsidR="005B145E" w:rsidRDefault="005B145E" w:rsidP="005A3DF4">
      <w:pPr>
        <w:widowControl w:val="0"/>
        <w:spacing w:after="0" w:line="240" w:lineRule="auto"/>
        <w:ind w:firstLine="709"/>
        <w:jc w:val="center"/>
        <w:rPr>
          <w:rFonts w:ascii="Times New Roman" w:hAnsi="Times New Roman"/>
          <w:b/>
          <w:sz w:val="28"/>
          <w:szCs w:val="28"/>
        </w:rPr>
      </w:pPr>
    </w:p>
    <w:p w:rsidR="00041B86" w:rsidRPr="00467B95" w:rsidRDefault="00041B86"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b/>
          <w:sz w:val="28"/>
          <w:szCs w:val="28"/>
          <w:lang w:val="en-US"/>
        </w:rPr>
        <w:t xml:space="preserve">The procedure for placing minors in closed educational institutions as an alternative to criminal punishment </w:t>
      </w:r>
    </w:p>
    <w:p w:rsidR="005B145E" w:rsidRPr="00CE3E72" w:rsidRDefault="005B145E" w:rsidP="005A3DF4">
      <w:pPr>
        <w:widowControl w:val="0"/>
        <w:spacing w:after="0" w:line="240" w:lineRule="auto"/>
        <w:ind w:firstLine="709"/>
        <w:jc w:val="both"/>
        <w:rPr>
          <w:rFonts w:ascii="Times New Roman" w:hAnsi="Times New Roman"/>
          <w:i/>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sz w:val="28"/>
          <w:szCs w:val="28"/>
          <w:lang w:val="en-US"/>
        </w:rPr>
      </w:pPr>
      <w:r w:rsidRPr="00467B95">
        <w:rPr>
          <w:rFonts w:ascii="Times New Roman" w:hAnsi="Times New Roman"/>
          <w:i/>
          <w:sz w:val="28"/>
          <w:szCs w:val="28"/>
          <w:lang w:val="en-US"/>
        </w:rPr>
        <w:t>The article examines the legal nature of the exemption of a minor from punishment with placement in a special educational institution of a closed type, and on the basis of an analysis of judicial practice explores the practical difficulties encountered in the appointment of this measure.</w:t>
      </w:r>
    </w:p>
    <w:p w:rsidR="005B145E" w:rsidRPr="00CE3E72" w:rsidRDefault="005B145E" w:rsidP="005A3DF4">
      <w:pPr>
        <w:widowControl w:val="0"/>
        <w:spacing w:after="0" w:line="240" w:lineRule="auto"/>
        <w:ind w:firstLine="709"/>
        <w:jc w:val="both"/>
        <w:rPr>
          <w:rFonts w:ascii="Times New Roman" w:hAnsi="Times New Roman"/>
          <w:b/>
          <w:i/>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sz w:val="28"/>
          <w:szCs w:val="28"/>
          <w:lang w:val="en-US"/>
        </w:rPr>
      </w:pPr>
      <w:r w:rsidRPr="005B145E">
        <w:rPr>
          <w:rFonts w:ascii="Times New Roman" w:hAnsi="Times New Roman"/>
          <w:i/>
          <w:sz w:val="28"/>
          <w:szCs w:val="28"/>
          <w:lang w:val="en-US"/>
        </w:rPr>
        <w:t>Keywords:</w:t>
      </w:r>
      <w:r w:rsidRPr="00467B95">
        <w:rPr>
          <w:rFonts w:ascii="Times New Roman" w:hAnsi="Times New Roman"/>
          <w:i/>
          <w:sz w:val="28"/>
          <w:szCs w:val="28"/>
          <w:lang w:val="en-US"/>
        </w:rPr>
        <w:t xml:space="preserve"> minors, criminal liability, compulsory educational measures, exemption from punishment.</w:t>
      </w:r>
    </w:p>
    <w:p w:rsidR="005B145E" w:rsidRPr="00CE3E72" w:rsidRDefault="005B145E" w:rsidP="005A3DF4">
      <w:pPr>
        <w:widowControl w:val="0"/>
        <w:spacing w:after="0" w:line="240" w:lineRule="auto"/>
        <w:ind w:firstLine="709"/>
        <w:jc w:val="both"/>
        <w:rPr>
          <w:rFonts w:ascii="Times New Roman" w:hAnsi="Times New Roman"/>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Начиная с 19 века сохраняется интерес к поиску более эффективных </w:t>
      </w:r>
      <w:r w:rsidRPr="00467B95">
        <w:rPr>
          <w:rFonts w:ascii="Times New Roman" w:hAnsi="Times New Roman"/>
          <w:sz w:val="28"/>
          <w:szCs w:val="28"/>
        </w:rPr>
        <w:lastRenderedPageBreak/>
        <w:t>альтернатив уголовному наказанию. На первый план выходит восстановительное правосудие – новый подход к разрешению конфликтов, направленный на достижение справедливости и сбалансирование потребностей общества. Как справедливо отмечают Н.С. Пахолкин и И.В. Смолькова: «…подобное внимание обусловлено рядом причин: социальных и экономических. К социальным относится проблема реабилитации после отбывания уголовного наказания и предупреждение новых преступлений, а экономические предпосылки связываются с ограниченностью материальных ресурсов необходимых для содержания заключенных» [1, с. 132].</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Следовательно, возникает вопрос об оправданности применения к личности осуждённого суровых лишений, действительно ли это приводит к восстановлению прав потерпевшего или же при стечении определённой совокупности обстоятельств возможен иной подход, действующий в защиту пострадавшего, но при этом по возможности смягчающий негативные последствия для несовершеннолетнего преступника?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ab/>
        <w:t>Нельзя не согласиться с М.В. Ожигановой в части того, что отказ от применения уголовно-правовых мер и (или) их минимизация в рамках восстановительного правосудия направлены на реализацию как интересов ребёнка, так и общества в целом. Ею отмечено: «Особенно опасны последствия стигматизации для юного нарушителя, когда еще не завершены процессы взросления, личностной и социальной идентификации, когда идет интенсивный поиск своей социальной роли и образцов для подражания» [2, с. 38].</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Мы придерживаемся вышеизложенного мнения, а также считаем, что именно помещение несовершеннолетних в специальные учебно-воспитательные учреждения закрытого типа, позволяет уменьшить негативные последствия для психосоциального развития ребенка. Её применение отвечает современным тенденциям гуманизации отрасли уголовного права в рассматриваемой области. Однако по прошествии 15 лет использование названного вида исправления остается не очень популярным и по частоте применения уступает условному осуждению.</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первое полугодие 2018 года количество несовершеннолетних, освобожденных от наказания с помещением в учебно-воспитательные учреждения закрытого типа, составило лишь 138 лица, а с применением иных мер воспитательного воздействия – 330. В то время как условное осуждение к лишению свободы было применено к 3681, штраф к 978, обязательные работы к 2163, исправительные к 136 [3].</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Порядок помещения несовершеннолетних в специализированные учебно-воспитательные учреждения закрытого типа помимо Уголовного кодекса Российской Федерации регламентируется ст. 432 Уголовно-процессуального кодекса [4] и ст. 15 ФЗ «О профилактике безнадзорности» [5].</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ч. 4 ст. 15 ФЗ «О профилактике безнадзорности», в специальные учебно-воспитательные учреждения закрытого типа могут быть </w:t>
      </w:r>
      <w:r w:rsidRPr="00467B95">
        <w:rPr>
          <w:rFonts w:ascii="Times New Roman" w:hAnsi="Times New Roman"/>
          <w:sz w:val="28"/>
          <w:szCs w:val="28"/>
        </w:rPr>
        <w:lastRenderedPageBreak/>
        <w:t>помещены несовершеннолетние, нуждающиеся в особых условиях воспитания, обучения и требующие специального педагогического подхода в случаях, если они: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w:t>
      </w:r>
      <w:r w:rsidRPr="00467B95">
        <w:rPr>
          <w:rFonts w:ascii="Times New Roman" w:hAnsi="Times New Roman"/>
          <w:sz w:val="28"/>
          <w:szCs w:val="28"/>
        </w:rPr>
        <w:tab/>
        <w:t>не подлежат уголовной ответственности в связи с тем, что к моменту совершения общественно опасного деяния не достигли возраста, с которого наступает уголовная ответственность;</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б)</w:t>
      </w:r>
      <w:r w:rsidRPr="00467B95">
        <w:rPr>
          <w:rFonts w:ascii="Times New Roman" w:hAnsi="Times New Roman"/>
          <w:sz w:val="28"/>
          <w:szCs w:val="28"/>
        </w:rPr>
        <w:tab/>
        <w:t>достигли возраста, предусмотренного ч.1 или 2 ст. 20 УК РФ, и не подлежат уголовной ответственности в связи с тем, что вследствие отставания в психическом развитии, не связанного с психическим расстройством, во время совершения общественно опасного деяния не могли в полной мере осознавать фактический характер и общественную опасность своих действий (бездействия) либо руководить ими;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w:t>
      </w:r>
      <w:r w:rsidRPr="00467B95">
        <w:rPr>
          <w:rFonts w:ascii="Times New Roman" w:hAnsi="Times New Roman"/>
          <w:sz w:val="28"/>
          <w:szCs w:val="28"/>
        </w:rPr>
        <w:tab/>
        <w:t>осуждены за совершение преступления средней тяжести или тяжкого преступления и освобождены судом от наказания в порядке, предусмотренном ч. 2 ст. 92 УК РФ [6].</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нас имеет значение последнее из перечисленных положений. Так, одним из оснований является совершение лицом преступления – виновного общественно-опасного деяния, запрещённого УК РФ под угрозой наказания. Пунктом 35 Постановления Пленума Верховного Суда РФ педалируется, что совершенное преступление должно относиться к категории средней тяжести или тяжкой, то есть за его совершение может быть назначено наказание в виде лишения свободы в пределах от 3 до 10 лет. При этом судам надлежит учитывать условия жизни и воспитания, уровень психического развития, иные особенности личности, влияние на подростка старших по возрасту лиц, а также несовершеннолетний возраст в качестве смягчающего обстоятельства [7].</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вынесении приговора суд сначала  назначает наказание в виде лишения свободы на определенный срок, а затем на основании норм ст. 90, 92 УК РФ освобождает несовершеннолетнего от наказания с помещением в учебно-воспитательное учреждение закрытого типа, при этом нет необходимости конкретизировать учреждение, в которое помещается несовершеннолетний, достаточно указания только срока нахождения, поскольку решение данного вопроса относится к компетенции органа управления образованием субъекта Российской Федерации. В описательно-мотивировочной части приговора должны содержаться выводы суда о достаточности и обоснованности избрания данной меры с целью исправления осужденного.</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Ознакомившись с научными исследованиями российских авторов, с судебной практикой, мы не нашли согласованности представлений об основаниях и условиях использования воздействия в форме помещения в учреждение закрытого типа. Принимая во внимание требования законодательства, суду при принятии решения о помещении несовершеннолетнего в учебно-воспитательное учреждение закрытого типа нужно также помнить о соблюдении ряда условий:</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1)</w:t>
      </w:r>
      <w:r w:rsidRPr="00467B95">
        <w:rPr>
          <w:rFonts w:ascii="Times New Roman" w:hAnsi="Times New Roman"/>
          <w:sz w:val="28"/>
          <w:szCs w:val="28"/>
        </w:rPr>
        <w:tab/>
        <w:t>недостижение лицом возраста 18 лет;</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w:t>
      </w:r>
      <w:r w:rsidRPr="00467B95">
        <w:rPr>
          <w:rFonts w:ascii="Times New Roman" w:hAnsi="Times New Roman"/>
          <w:sz w:val="28"/>
          <w:szCs w:val="28"/>
        </w:rPr>
        <w:tab/>
        <w:t xml:space="preserve">срок пребывание в воспитательном учреждении не должен превышать 3 лет;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w:t>
      </w:r>
      <w:r w:rsidRPr="00467B95">
        <w:rPr>
          <w:rFonts w:ascii="Times New Roman" w:hAnsi="Times New Roman"/>
          <w:sz w:val="28"/>
          <w:szCs w:val="28"/>
        </w:rPr>
        <w:tab/>
        <w:t>медицинским освидетельствованием не выявлено специфических заболеваний, препятствующих помещению в учреждение закрытого типа;</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w:t>
      </w:r>
      <w:r w:rsidRPr="00467B95">
        <w:rPr>
          <w:rFonts w:ascii="Times New Roman" w:hAnsi="Times New Roman"/>
          <w:sz w:val="28"/>
          <w:szCs w:val="28"/>
        </w:rPr>
        <w:tab/>
        <w:t>осужденный нуждается в особых условиях воспитания, обучения и требует специального педагогического подхода.</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Понятие «специальный педагогический подход» не имеет легального определения. Неясно изначально, что следует под ним понимать и тем более чем руководствоваться при принятии решения о нуждаемости несовершеннолетнего в данном воздействии.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литературе педагогический подход раскрывается через содержание и специфику способов, применяемых к осужденному. К ним относятся убеждение и переубеждение, внушение, поощрение, различные упражнения и т.д. Данные меры являются педагогическими, т.е. более гибкими, что открывает больше возможностей для индивидуализации, учёта возрастных и иных особенностей подростка. Принцип гибкости и вариативности применения этих мер предполагает учёт меняющейся педагогической ситуации. Кроме того, в зависимости от поведения подростка, результатов его исправления целесообразным может стать изменение объёма того или иного ограничения, направленного на предоставление большей свободы действий или ужесточение подходов к контролю за ним, т.е. применение позитивного или отрицательного стимулирования [8, с. 197].</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Говоря о возможности применения данной меры, актуален вопрос о механизме определения судом нуждаемости лица в педагогическом подходе и прогнозирование положительного результата такого воспитательного воздействия. При назначении наказания несовершеннолетнему учитываются условия его жизни и воспитания, уровень психического развития, иные особенности личности, а также влияние на него старших по возрасту лиц. Доля судебного усмотрения при разрешении данного вопроса весьма велика, что может приводить к противоречивой судебной практике.   Нередко происходит совпадение социальных портретов лиц, подвергнутых условному осуждению и освобожденных от наказания с помещением в учебно-воспитательные учреждения закрытого типа. При этом отмечается, что суд отдает предпочтение помещению в специальное учреждение при наличии отрицательного воздействия со стороны окружения, при склонности лица к бродяжничеству, при проживании в неблагополучной семье. Подобная позиция, на наш взгляд, вполне логична, поскольку особенность меры, заключающаяся в изъятии из привычной среды, из криминогенного окружения, в данных ситуациях положительно скажется на личности несовершеннолетнего.</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большинстве апелляционных жалоб содержится несогласие с приговором по причине его несправедливости в ввиду чрезмерной суровости. Превалирующее большинство подобных обращений прежде всего </w:t>
      </w:r>
      <w:r w:rsidRPr="00467B95">
        <w:rPr>
          <w:rFonts w:ascii="Times New Roman" w:hAnsi="Times New Roman"/>
          <w:sz w:val="28"/>
          <w:szCs w:val="28"/>
        </w:rPr>
        <w:lastRenderedPageBreak/>
        <w:t xml:space="preserve">свидетельствуют о размытости, неясности одного из оснований для помещения несовершеннолетнего в учебно-воспитательное учреждение. Так, соблюдение условия, связанного с категорией совершенного преступления, при освобождения несовершеннолетнего от наказания с применением к нему принудительных мер воспитательного воздействия вопросов не вызывает, в то время как с требованием о признании того, что исправление несовершеннолетнего может быть достигнуто путем применения к нему указанных мер, возникают трудности.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 примеру, Железнодорожным районным судом города Хабаровска в 2016 году был вынесен обвинительный приговор по факту совершения преступления, предусмотренного п. «в» ч. 2 ст. 158 УК РФ (кража с причинением значительного ущерба гражданину), и назначено наказание в виде 1 года лишения свободы без ограничения свободы. На основании ст. 73 УК РФ наказание было условным с испытательным сроком 1 год. Лицо ранее не судимо, обучалось в колледже, без каких-либо психических отклонений. Подросток полностью признал свою вину и раскаялся в содеянном, активно способствовал раскрытию и расследованию преступления. Учитывая обстоятельства совершения преступления, степень его общественной опасности, личность виновного, суд посчитал, что исправление осужденного возможно без изоляции от общества и наказание ему необходимо назначить в виде условного лишения свободы. Оснований для освобождения от наказания, по мнению судьи не нашлось [9].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сравнения обратимся к приговору Советско-Гаванского городского суда Хабаровского края от 29.09.2017. Школьник за кражу с причинением значительного ущерба был приговорен к 1 году лишения свободы. На основании ч. 2 ст. 92 УК РФ суд принял решение об освобождении от наказания и помещении в специальное учебно-воспитательное учреждение закрытого типа на три года. Осужденный характеризовался отрицательно: состоял на учете в комиссии по делам несовершеннолетних, неоднократно привлекался за совершение противоправных деяний, воспитывался в неблагоприятных условия, склонен к бродяжничеству, по заключению психолога нуждается в специальном педагогическом подходе [10].</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Как видно из приведенных выше примеров, при рассмотрении возможности об освобождении от наказания суд учитывает показания педагогов, представителей внутренних дел, заключение психолога, финансовую ситуацию в семье несовершеннолетнего, учет в комиссии по делам несовершеннолетних, наличие судимостей – и другие факторы, позволяющие создать представление о личности несовершеннолетнего. При этом конечное решение о нуждаемости в помещении в специализированное учреждение будет зависеть всецело от судебного усмотрения.</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Исходя, из личных качеств подростка, суд выявляет степень подверженности постороннему воздействию. Не случайно в большинстве случаев несовершеннолетние идут на преступление в сговоре. Как было отмечено ранее, именно это обстоятельство должно быть «краеугольным </w:t>
      </w:r>
      <w:r w:rsidRPr="00467B95">
        <w:rPr>
          <w:rFonts w:ascii="Times New Roman" w:hAnsi="Times New Roman"/>
          <w:sz w:val="28"/>
          <w:szCs w:val="28"/>
        </w:rPr>
        <w:lastRenderedPageBreak/>
        <w:t>камнем» в принятии решения об освобождении от наказания с помещением в учебно-воспитательное учреждение закрытого типа, поскольку задача применяемой меры состоит в своевременном изъятии из неблагополучной среды. Однако, судебная практика не всегда учитывает данное обстоятельство.</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Например, в поселке Эвенск Магаданской области районным судом вынесен был приговор о лишении свободы на срок 2 года и 3 месяца, впоследствии с назначением условного осуждения с испытательным сроком 1 год 6 месяцев: шестнадцатилетний подросток в сговоре с совершеннолетним совершил угон снегохода, что является тяжким преступлением, так как предусмотрена возможная санкция в качестве лишения свободы на срок до семи лет. Несовершеннолетний состоит на учёте в комиссии по делам несовершеннолетних, поддерживает отношения с ведущими антиобщественный образ жизни и ранее судимыми лицами, на профилактические меры не реагирует, пропускает школьные занятия, ранее не судим, дважды привлекался к административной ответственности за распитие алкогольных напитков в общественных местах. Из карты социально-психологического сопровождения следует, что подросток способен к исправлению, но необходима работа с психологом и с педагогом. Медицинским заключением психических расстройств не выявлено. Суд оценив в совокупности все обстоятельства дела посчитал, что не подлежит применению помещение в учебно-воспитательное учреждение закрытого типа [11].</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условное осуждение, исходя из анализа судебной практики, воспринимается менее суровым наказанием и назначается значительно чаще других мер. Подобного мнения придерживаются не только суды, но и сами осужденные. В апелляционных жалобах нередко представители просят отменить приговор ввиду чрезмерной суровости и просят назначить наказание, не связанное с лишением свободы.</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Важно помнить о том, что назначение наказания влечёт определённое юридическое последствие – судимость. Согласно ст. 86 УК РФ лицо, осужденное за совершение преступления, считается судимым со дня вступления обвинительного приговора суда в законную силу до момента погашения или снятия судимости. Лицо, освобожденное от наказания, считается несудимым [6].  Следовательно, помещение лица в специальное учебно-воспитательное учреждение закрытого типа, в отличие от условного осуждения, не влечёт судимости, так как является безусловным основанием для освобождения от уголовного наказания.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Принимая во внимание, что несовершеннолетний лишается возможности получать образование, развиваться в благоприятных условиях, в случае их отсутствии в естественной обстановке (как при помещении в учебное учреждение закрытого типа), сложившаяся тенденция не может считаться правильной. Существующий подход возможен в случае, если в законодательстве будут одинаковые юридические последствия при </w:t>
      </w:r>
      <w:r w:rsidRPr="00467B95">
        <w:rPr>
          <w:rFonts w:ascii="Times New Roman" w:hAnsi="Times New Roman"/>
          <w:sz w:val="28"/>
          <w:szCs w:val="28"/>
        </w:rPr>
        <w:lastRenderedPageBreak/>
        <w:t>назначении условного осуждения и освобождении от наказания с помещением в учебно-воспитательное учреждение закрытого типа, а именно отсутствие судимости. Тогда в зависимости от степени отклоняющегося поведения, его индивидуальных особенностей психологического, физического характера будет назначаться мера с менее или более жесткими ограничениями (условное осуждение или помещение в воспитательное учреждение).</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настоящее время диспозиции ст. 73 и 92 УК РФ позволяют суду по собственному усмотрению применять ту или иную меру. При этом есть риск вынесения несправедливых приговоров, влекущих наказание несоразмерное степени общественной опасности преступления и личности осужденного. На наш взгляд, для преодоления существующего парадокса необходимо внести ряд изменений, конкретизировавших бы основания и условия помещения несовершеннолетних в специализированные учебно-воспитательные учреждения закрытого типа, и устранивших бы конкуренцию с применением условного осуждения.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связи с чем, видится возможным внести некоторые коррективы в действующее законодательство. По-нашему мнению, необходимо при принятии решения о нуждаемости лица в специальном педагогическом подходе учитывать существование отрицательного воздействия со стороны окружения на осужденного, склонность лица к бродяжничеству, проживание в неблагополучной семье. </w:t>
      </w:r>
    </w:p>
    <w:p w:rsidR="00041B86"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Существующая альтернатива уголовному наказанию в форме помещения в учреждение закрытого типа имеет огромное практическое значение. Достигая компромисса между неотвратимостью уголовной ответственности за совершение средней тяжести, тяжких преступлений и освобождением от наказания несовершеннолетних, в нужный момент возможно предотвратить криминализацию личности без тяжких правовых последствий в виде социальной дезадаптации, появлении судимости и т.п., которые по общему правилу были бы неизбежны. </w:t>
      </w:r>
    </w:p>
    <w:p w:rsidR="005B145E" w:rsidRPr="00467B95" w:rsidRDefault="005B145E"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041B86" w:rsidRPr="005B145E" w:rsidRDefault="00041B86" w:rsidP="007F4EC1">
      <w:pPr>
        <w:pStyle w:val="a7"/>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5B145E">
        <w:rPr>
          <w:rFonts w:ascii="Times New Roman" w:hAnsi="Times New Roman"/>
          <w:sz w:val="28"/>
          <w:szCs w:val="28"/>
        </w:rPr>
        <w:t>Пахолкин Н.С. Понятие восстановительного правосудия в уголовном судопроизводстве / Н. С. Пахолкин, И. В. Смолькова // Известия Иркутской государственной экономической академии. – 2012. – № 3(83). –  С. 131-135</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Ожиганова М.В. Восстановительное правосудие как альтернативная форма уголовного судопроизводства по делам несовершеннолетних /М.В. Ожиганова // Уголовная юстиция. – 2013. –  № 2(2). – C. 38-40</w:t>
      </w:r>
    </w:p>
    <w:p w:rsidR="00041B86" w:rsidRPr="005B145E"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 xml:space="preserve">Данные судебной статистики: официальный сайт Судебного департамента при Верховном </w:t>
      </w:r>
      <w:r w:rsidRPr="005B145E">
        <w:rPr>
          <w:rFonts w:ascii="Times New Roman" w:hAnsi="Times New Roman"/>
          <w:sz w:val="28"/>
          <w:szCs w:val="28"/>
        </w:rPr>
        <w:t>Суде Российской Федерации [Электронный ресурс] // «Судебный департамент» – Режим доступа: http://www.cdep.ru/index.php?id=79%20</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5B145E">
        <w:rPr>
          <w:rFonts w:ascii="Times New Roman" w:hAnsi="Times New Roman"/>
          <w:sz w:val="28"/>
          <w:szCs w:val="28"/>
        </w:rPr>
        <w:t>Уголовно-процессуальный кодекс</w:t>
      </w:r>
      <w:r w:rsidRPr="00467B95">
        <w:rPr>
          <w:rFonts w:ascii="Times New Roman" w:hAnsi="Times New Roman"/>
          <w:sz w:val="28"/>
          <w:szCs w:val="28"/>
        </w:rPr>
        <w:t xml:space="preserve"> Российской Федерации: </w:t>
      </w:r>
      <w:r w:rsidRPr="00467B95">
        <w:rPr>
          <w:rFonts w:ascii="Times New Roman" w:hAnsi="Times New Roman"/>
          <w:sz w:val="28"/>
          <w:szCs w:val="28"/>
        </w:rPr>
        <w:lastRenderedPageBreak/>
        <w:t>федеральный закон от 18.12.2001 N 174-ФЗ (ред. от 11.10.2018) [Электронный ресурс] // СПС «КонсультантПлюс».– Режим доступа: http://www.consultant.ru/document/cons_doc_LAW_34481/</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Об основах системы профилактики безнадзорности и правонарушений несовершеннолетних: федеральный закон от 24.06.1999 N 120-ФЗ (ред. от 27.06.2018) [Электронный ресурс] // СПС «КонсультантПлюс». – Режим доступа: http://www.consultant.ru/document/cons_doc_LAW_23509/</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Уголовный кодекс Российской Федерации: федеральный закон от 13.06.1996 N 63-ФЗ (ред. от 03.10.2018) [Электронный ресурс] // СПС «КонсультантПлюс». – Режим доступа: http://www.consultant.ru/document/cons_doc_LAW_10699/</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О судебной практике применения законодательства, регламентирующего особенности уголовной ответственности и наказания несовершеннолетних: Постановление Пленума Верховного Суда Российской Федерации от 1 февраля 2011 г. N 1 [Электронный ресурс] // Режим доступа: https://rg.ru/2011/02/11/nesovershennoletnie-dok.html</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Казакова Т.А. Понятие и специфика принудительных мер воспитательного воздействия / Т.А. Казакова // Вестник Санкт-Петербургского университета МВД России. – 2015. – №4 (68). – С. 195-199</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По апелляционной жалобе защитника на приговор Железнодорожного районного суда г. Хабаровска: апелляционное постановление № 22-945/2018 Хабаровского краевого суда [Электронный ресурс] // СудАкт. – Режим доступа: https://is.gd/XrXFvZ</w:t>
      </w:r>
    </w:p>
    <w:p w:rsidR="00041B86" w:rsidRPr="00467B95" w:rsidRDefault="00041B86" w:rsidP="007F4EC1">
      <w:pPr>
        <w:widowControl w:val="0"/>
        <w:numPr>
          <w:ilvl w:val="0"/>
          <w:numId w:val="28"/>
        </w:numPr>
        <w:autoSpaceDE w:val="0"/>
        <w:autoSpaceDN w:val="0"/>
        <w:adjustRightInd w:val="0"/>
        <w:spacing w:after="0" w:line="240" w:lineRule="auto"/>
        <w:ind w:left="0" w:firstLine="709"/>
        <w:jc w:val="both"/>
        <w:rPr>
          <w:rFonts w:ascii="Times New Roman" w:hAnsi="Times New Roman"/>
          <w:sz w:val="28"/>
          <w:szCs w:val="28"/>
        </w:rPr>
      </w:pPr>
      <w:r w:rsidRPr="00467B95">
        <w:rPr>
          <w:rFonts w:ascii="Times New Roman" w:hAnsi="Times New Roman"/>
          <w:sz w:val="28"/>
          <w:szCs w:val="28"/>
        </w:rPr>
        <w:t>О назначении наказания несовершеннолетним: приговор № 1-177/2017 Советско-Гаванского городского суда Хабаровского края [Электронный ресурс] // СудАкт. – Режим доступа: https://is.gd/HsX4Io</w:t>
      </w:r>
    </w:p>
    <w:p w:rsidR="00041B86" w:rsidRPr="00467B95" w:rsidRDefault="00041B86" w:rsidP="007F4EC1">
      <w:pPr>
        <w:pStyle w:val="a7"/>
        <w:widowControl w:val="0"/>
        <w:numPr>
          <w:ilvl w:val="0"/>
          <w:numId w:val="28"/>
        </w:numPr>
        <w:autoSpaceDE w:val="0"/>
        <w:autoSpaceDN w:val="0"/>
        <w:adjustRightInd w:val="0"/>
        <w:spacing w:after="0" w:line="240" w:lineRule="auto"/>
        <w:ind w:left="0" w:firstLine="709"/>
        <w:rPr>
          <w:rFonts w:ascii="Times New Roman" w:hAnsi="Times New Roman" w:cs="Times New Roman"/>
          <w:sz w:val="28"/>
          <w:szCs w:val="28"/>
        </w:rPr>
      </w:pPr>
      <w:r w:rsidRPr="00467B95">
        <w:rPr>
          <w:rFonts w:ascii="Times New Roman" w:hAnsi="Times New Roman" w:cs="Times New Roman"/>
          <w:sz w:val="28"/>
          <w:szCs w:val="28"/>
        </w:rPr>
        <w:t>О назначении наказания несовершеннолетним: приговор № 1-34/2015 Северо-Эвенский районный суд Магаданской области [Электронный ресурс] // СудАкт. – Режим доступа: https://is.gd/1xA7Py</w:t>
      </w:r>
    </w:p>
    <w:p w:rsidR="00041B86" w:rsidRPr="00467B95" w:rsidRDefault="00041B86" w:rsidP="005A3DF4">
      <w:pPr>
        <w:widowControl w:val="0"/>
        <w:spacing w:after="0" w:line="240" w:lineRule="auto"/>
        <w:ind w:firstLine="709"/>
        <w:rPr>
          <w:rFonts w:ascii="Times New Roman" w:hAnsi="Times New Roman"/>
          <w:sz w:val="28"/>
          <w:szCs w:val="28"/>
        </w:rPr>
      </w:pPr>
    </w:p>
    <w:p w:rsidR="00041B86" w:rsidRPr="00467B95" w:rsidRDefault="00041B86"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Соотношение основных принципов международного права: права наций на самоопределение и территориальной целостности государства</w:t>
      </w:r>
    </w:p>
    <w:p w:rsidR="00041B86" w:rsidRPr="00467B95" w:rsidRDefault="00041B86" w:rsidP="005A3DF4">
      <w:pPr>
        <w:widowControl w:val="0"/>
        <w:spacing w:after="0" w:line="240" w:lineRule="auto"/>
        <w:ind w:firstLine="709"/>
        <w:jc w:val="center"/>
        <w:rPr>
          <w:rFonts w:ascii="Times New Roman" w:hAnsi="Times New Roman"/>
          <w:b/>
          <w:sz w:val="28"/>
          <w:szCs w:val="28"/>
        </w:rPr>
      </w:pP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Ле Максим,</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041B86" w:rsidRPr="00467B95" w:rsidRDefault="00041B86"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041B86" w:rsidRPr="00467B95" w:rsidRDefault="00041B86"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Владивосток</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en-US"/>
        </w:rPr>
        <w:t>E</w:t>
      </w:r>
      <w:r w:rsidRPr="00467B95">
        <w:rPr>
          <w:rFonts w:ascii="Times New Roman" w:hAnsi="Times New Roman"/>
          <w:sz w:val="28"/>
          <w:szCs w:val="28"/>
        </w:rPr>
        <w:t>-</w:t>
      </w:r>
      <w:r w:rsidRPr="00BE23A6">
        <w:rPr>
          <w:rFonts w:ascii="Times New Roman" w:hAnsi="Times New Roman"/>
          <w:sz w:val="28"/>
          <w:szCs w:val="28"/>
          <w:lang w:val="en-US"/>
        </w:rPr>
        <w:t>mail</w:t>
      </w:r>
      <w:r w:rsidRPr="00BE23A6">
        <w:rPr>
          <w:rFonts w:ascii="Times New Roman" w:hAnsi="Times New Roman"/>
          <w:sz w:val="28"/>
          <w:szCs w:val="28"/>
        </w:rPr>
        <w:t xml:space="preserve">: </w:t>
      </w:r>
      <w:hyperlink r:id="rId163" w:history="1">
        <w:r w:rsidRPr="00BE23A6">
          <w:rPr>
            <w:rStyle w:val="a8"/>
            <w:rFonts w:ascii="Times New Roman" w:hAnsi="Times New Roman"/>
            <w:color w:val="auto"/>
            <w:sz w:val="28"/>
            <w:szCs w:val="28"/>
            <w:u w:val="none"/>
            <w:lang w:val="en-US"/>
          </w:rPr>
          <w:t>maskim</w:t>
        </w:r>
        <w:r w:rsidRPr="00BE23A6">
          <w:rPr>
            <w:rStyle w:val="a8"/>
            <w:rFonts w:ascii="Times New Roman" w:hAnsi="Times New Roman"/>
            <w:color w:val="auto"/>
            <w:sz w:val="28"/>
            <w:szCs w:val="28"/>
            <w:u w:val="none"/>
          </w:rPr>
          <w:t>.</w:t>
        </w:r>
        <w:r w:rsidRPr="00BE23A6">
          <w:rPr>
            <w:rStyle w:val="a8"/>
            <w:rFonts w:ascii="Times New Roman" w:hAnsi="Times New Roman"/>
            <w:color w:val="auto"/>
            <w:sz w:val="28"/>
            <w:szCs w:val="28"/>
            <w:u w:val="none"/>
            <w:lang w:val="en-US"/>
          </w:rPr>
          <w:t>le</w:t>
        </w:r>
        <w:r w:rsidRPr="00BE23A6">
          <w:rPr>
            <w:rStyle w:val="a8"/>
            <w:rFonts w:ascii="Times New Roman" w:hAnsi="Times New Roman"/>
            <w:color w:val="auto"/>
            <w:sz w:val="28"/>
            <w:szCs w:val="28"/>
            <w:u w:val="none"/>
          </w:rPr>
          <w:t>@</w:t>
        </w:r>
        <w:r w:rsidRPr="00BE23A6">
          <w:rPr>
            <w:rStyle w:val="a8"/>
            <w:rFonts w:ascii="Times New Roman" w:hAnsi="Times New Roman"/>
            <w:color w:val="auto"/>
            <w:sz w:val="28"/>
            <w:szCs w:val="28"/>
            <w:u w:val="none"/>
            <w:lang w:val="en-US"/>
          </w:rPr>
          <w:t>bk</w:t>
        </w:r>
        <w:r w:rsidRPr="00BE23A6">
          <w:rPr>
            <w:rStyle w:val="a8"/>
            <w:rFonts w:ascii="Times New Roman" w:hAnsi="Times New Roman"/>
            <w:color w:val="auto"/>
            <w:sz w:val="28"/>
            <w:szCs w:val="28"/>
            <w:u w:val="none"/>
          </w:rPr>
          <w:t>.</w:t>
        </w:r>
        <w:r w:rsidRPr="00BE23A6">
          <w:rPr>
            <w:rStyle w:val="a8"/>
            <w:rFonts w:ascii="Times New Roman" w:hAnsi="Times New Roman"/>
            <w:color w:val="auto"/>
            <w:sz w:val="28"/>
            <w:szCs w:val="28"/>
            <w:u w:val="none"/>
            <w:lang w:val="en-US"/>
          </w:rPr>
          <w:t>ru</w:t>
        </w:r>
      </w:hyperlink>
      <w:r w:rsidRPr="00BE23A6">
        <w:rPr>
          <w:rFonts w:ascii="Times New Roman" w:hAnsi="Times New Roman"/>
          <w:sz w:val="28"/>
          <w:szCs w:val="28"/>
        </w:rPr>
        <w:t>; тел.: +79147255772</w:t>
      </w:r>
    </w:p>
    <w:p w:rsidR="00041B86" w:rsidRPr="00467B95" w:rsidRDefault="00041B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Гоголя, 41, г. Владивосток, Приморский край, Россия, 690014</w:t>
      </w:r>
    </w:p>
    <w:p w:rsidR="00041B86" w:rsidRPr="00467B95" w:rsidRDefault="00041B86" w:rsidP="005A3DF4">
      <w:pPr>
        <w:widowControl w:val="0"/>
        <w:spacing w:after="0" w:line="240" w:lineRule="auto"/>
        <w:ind w:firstLine="709"/>
        <w:jc w:val="center"/>
        <w:rPr>
          <w:rFonts w:ascii="Times New Roman" w:hAnsi="Times New Roman"/>
          <w:sz w:val="28"/>
          <w:szCs w:val="28"/>
        </w:rPr>
      </w:pPr>
    </w:p>
    <w:p w:rsidR="00041B86" w:rsidRPr="00467B95" w:rsidRDefault="00041B86" w:rsidP="005A3DF4">
      <w:pPr>
        <w:pStyle w:val="Default"/>
        <w:widowControl w:val="0"/>
        <w:ind w:firstLine="709"/>
        <w:jc w:val="both"/>
        <w:rPr>
          <w:i/>
          <w:iCs/>
          <w:sz w:val="28"/>
          <w:szCs w:val="28"/>
        </w:rPr>
      </w:pPr>
      <w:r w:rsidRPr="00467B95">
        <w:rPr>
          <w:i/>
          <w:iCs/>
          <w:sz w:val="28"/>
          <w:szCs w:val="28"/>
        </w:rPr>
        <w:t xml:space="preserve">По сей день остается актуальной проблема реализации принципа наций на самоопределение. Данная проблема связана с коллизией принципов территориальной целостности и права наций на самоопределение, в связи с </w:t>
      </w:r>
      <w:r w:rsidRPr="00467B95">
        <w:rPr>
          <w:i/>
          <w:iCs/>
          <w:sz w:val="28"/>
          <w:szCs w:val="28"/>
        </w:rPr>
        <w:lastRenderedPageBreak/>
        <w:t xml:space="preserve">чем настоящее время существуют частично признанные государства. </w:t>
      </w:r>
    </w:p>
    <w:p w:rsidR="00041B86" w:rsidRPr="00467B95" w:rsidRDefault="00041B86" w:rsidP="005A3DF4">
      <w:pPr>
        <w:pStyle w:val="Default"/>
        <w:widowControl w:val="0"/>
        <w:ind w:firstLine="709"/>
        <w:jc w:val="both"/>
        <w:rPr>
          <w:sz w:val="28"/>
          <w:szCs w:val="28"/>
        </w:rPr>
      </w:pPr>
    </w:p>
    <w:p w:rsidR="00041B86" w:rsidRPr="00467B95" w:rsidRDefault="00041B86" w:rsidP="005A3DF4">
      <w:pPr>
        <w:pStyle w:val="Default"/>
        <w:widowControl w:val="0"/>
        <w:ind w:firstLine="709"/>
        <w:jc w:val="both"/>
        <w:rPr>
          <w:i/>
          <w:iCs/>
          <w:sz w:val="28"/>
          <w:szCs w:val="28"/>
        </w:rPr>
      </w:pPr>
      <w:r w:rsidRPr="005B145E">
        <w:rPr>
          <w:bCs/>
          <w:i/>
          <w:iCs/>
          <w:sz w:val="28"/>
          <w:szCs w:val="28"/>
        </w:rPr>
        <w:t>Ключевые слова и словосочетания</w:t>
      </w:r>
      <w:r w:rsidRPr="005B145E">
        <w:rPr>
          <w:i/>
          <w:iCs/>
          <w:sz w:val="28"/>
          <w:szCs w:val="28"/>
        </w:rPr>
        <w:t>:</w:t>
      </w:r>
      <w:r w:rsidRPr="00467B95">
        <w:rPr>
          <w:i/>
          <w:iCs/>
          <w:sz w:val="28"/>
          <w:szCs w:val="28"/>
        </w:rPr>
        <w:t xml:space="preserve"> принцип территориальной целостности, принцип права наций на самоопределение, принципы международного права, территория, народ.</w:t>
      </w:r>
    </w:p>
    <w:p w:rsidR="00041B86" w:rsidRPr="00467B95" w:rsidRDefault="00041B86" w:rsidP="005A3DF4">
      <w:pPr>
        <w:pStyle w:val="Default"/>
        <w:widowControl w:val="0"/>
        <w:ind w:firstLine="709"/>
        <w:jc w:val="both"/>
        <w:rPr>
          <w:i/>
          <w:iCs/>
          <w:sz w:val="28"/>
          <w:szCs w:val="28"/>
        </w:rPr>
      </w:pPr>
    </w:p>
    <w:p w:rsidR="00041B86" w:rsidRPr="00467B95" w:rsidRDefault="00041B86" w:rsidP="005A3DF4">
      <w:pPr>
        <w:pStyle w:val="Default"/>
        <w:widowControl w:val="0"/>
        <w:ind w:firstLine="709"/>
        <w:jc w:val="center"/>
        <w:rPr>
          <w:i/>
          <w:sz w:val="28"/>
          <w:szCs w:val="28"/>
          <w:lang w:val="en-US"/>
        </w:rPr>
      </w:pPr>
      <w:r w:rsidRPr="00467B95">
        <w:rPr>
          <w:b/>
          <w:i/>
          <w:sz w:val="28"/>
          <w:szCs w:val="28"/>
          <w:lang w:val="en-US"/>
        </w:rPr>
        <w:t>Ratio of the basic principles of international law: rights of the nations for self-determination and territorial integrity of the state</w:t>
      </w:r>
    </w:p>
    <w:p w:rsidR="00041B86" w:rsidRPr="00467B95" w:rsidRDefault="00041B86" w:rsidP="005A3DF4">
      <w:pPr>
        <w:pStyle w:val="Default"/>
        <w:widowControl w:val="0"/>
        <w:ind w:firstLine="709"/>
        <w:jc w:val="both"/>
        <w:rPr>
          <w:i/>
          <w:sz w:val="28"/>
          <w:szCs w:val="28"/>
          <w:lang w:val="en-US"/>
        </w:rPr>
      </w:pPr>
      <w:r w:rsidRPr="00467B95">
        <w:rPr>
          <w:i/>
          <w:sz w:val="28"/>
          <w:szCs w:val="28"/>
          <w:lang w:val="en-US"/>
        </w:rPr>
        <w:t xml:space="preserve">To this day there is relevant a problem of realization of the principle of the nations on self-determination. This problem is connected with a collision of the principles of territorial integrity and the right of the nations for self-determination in this connection the present there are partially recognized states. </w:t>
      </w:r>
    </w:p>
    <w:p w:rsidR="00041B86" w:rsidRPr="00467B95" w:rsidRDefault="00041B86" w:rsidP="005A3DF4">
      <w:pPr>
        <w:pStyle w:val="Default"/>
        <w:widowControl w:val="0"/>
        <w:ind w:firstLine="709"/>
        <w:jc w:val="both"/>
        <w:rPr>
          <w:i/>
          <w:sz w:val="28"/>
          <w:szCs w:val="28"/>
          <w:lang w:val="en-US"/>
        </w:rPr>
      </w:pPr>
    </w:p>
    <w:p w:rsidR="00041B86" w:rsidRPr="00467B95" w:rsidRDefault="00041B86" w:rsidP="005A3DF4">
      <w:pPr>
        <w:pStyle w:val="Default"/>
        <w:widowControl w:val="0"/>
        <w:ind w:firstLine="709"/>
        <w:jc w:val="both"/>
        <w:rPr>
          <w:i/>
          <w:sz w:val="28"/>
          <w:szCs w:val="28"/>
          <w:lang w:val="en-US"/>
        </w:rPr>
      </w:pPr>
      <w:r w:rsidRPr="005B145E">
        <w:rPr>
          <w:i/>
          <w:sz w:val="28"/>
          <w:szCs w:val="28"/>
          <w:lang w:val="en-US"/>
        </w:rPr>
        <w:t>Keywords and phrases:</w:t>
      </w:r>
      <w:r w:rsidRPr="00467B95">
        <w:rPr>
          <w:i/>
          <w:sz w:val="28"/>
          <w:szCs w:val="28"/>
          <w:lang w:val="en-US"/>
        </w:rPr>
        <w:t xml:space="preserve"> principle of territorial integrity, principle of the right of the nations to self-determination, principles of international law, territory, people.</w:t>
      </w:r>
    </w:p>
    <w:p w:rsidR="00041B86" w:rsidRPr="00467B95" w:rsidRDefault="00041B86" w:rsidP="005A3DF4">
      <w:pPr>
        <w:widowControl w:val="0"/>
        <w:spacing w:after="0" w:line="240" w:lineRule="auto"/>
        <w:ind w:firstLine="709"/>
        <w:jc w:val="both"/>
        <w:rPr>
          <w:rFonts w:ascii="Times New Roman" w:hAnsi="Times New Roman"/>
          <w:sz w:val="28"/>
          <w:szCs w:val="28"/>
          <w:lang w:val="en-US"/>
        </w:rPr>
      </w:pP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Закрепление принципа права наций на самоопределение в уставе ООН и его общественное признание позволило многим колониально зависимым народам и государствам сформировать свои собственные государства или приобрести независимость. Однако в настоящее время колониально зависимых государств не осталось, но остались народы, которых хотят реализовать свое право на самоопределение.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Проведенное исследование было посвящено определению условий соблюдения принципа территориальной целостности при реализации права народов на самоопределение.</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достижения поставленной цели были сформулированы следующие задачи: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w:t>
      </w:r>
      <w:r w:rsidRPr="00467B95">
        <w:rPr>
          <w:rFonts w:ascii="Times New Roman" w:hAnsi="Times New Roman"/>
          <w:sz w:val="28"/>
          <w:szCs w:val="28"/>
        </w:rPr>
        <w:tab/>
        <w:t>дать характеристику принципу территориальной целостности;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б)</w:t>
      </w:r>
      <w:r w:rsidRPr="00467B95">
        <w:rPr>
          <w:rFonts w:ascii="Times New Roman" w:hAnsi="Times New Roman"/>
          <w:sz w:val="28"/>
          <w:szCs w:val="28"/>
        </w:rPr>
        <w:tab/>
        <w:t xml:space="preserve">дать характеристику принципу права народов на самоопределение; </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w:t>
      </w:r>
      <w:r w:rsidRPr="00467B95">
        <w:rPr>
          <w:rFonts w:ascii="Times New Roman" w:hAnsi="Times New Roman"/>
          <w:sz w:val="28"/>
          <w:szCs w:val="28"/>
        </w:rPr>
        <w:tab/>
        <w:t>проанализировать содержания международных актов;</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г)</w:t>
      </w:r>
      <w:r w:rsidRPr="00467B95">
        <w:rPr>
          <w:rFonts w:ascii="Times New Roman" w:hAnsi="Times New Roman"/>
          <w:sz w:val="28"/>
          <w:szCs w:val="28"/>
        </w:rPr>
        <w:tab/>
        <w:t>оценить позиции авторов на предмет соотношения принципов.</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Объектом исследования является соотношение принципа права наций на самоопределение и принципа территориальной целостности</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Методологической базой исследования является:</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w:t>
      </w:r>
      <w:r w:rsidRPr="00467B95">
        <w:rPr>
          <w:rFonts w:ascii="Times New Roman" w:hAnsi="Times New Roman"/>
          <w:sz w:val="28"/>
          <w:szCs w:val="28"/>
        </w:rPr>
        <w:tab/>
        <w:t>формально-юридический метод;</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б)</w:t>
      </w:r>
      <w:r w:rsidRPr="00467B95">
        <w:rPr>
          <w:rFonts w:ascii="Times New Roman" w:hAnsi="Times New Roman"/>
          <w:sz w:val="28"/>
          <w:szCs w:val="28"/>
        </w:rPr>
        <w:tab/>
        <w:t>сравнительно-правовой метод;</w:t>
      </w:r>
    </w:p>
    <w:p w:rsidR="00041B86" w:rsidRPr="00467B95" w:rsidRDefault="00041B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w:t>
      </w:r>
      <w:r w:rsidRPr="00467B95">
        <w:rPr>
          <w:rFonts w:ascii="Times New Roman" w:hAnsi="Times New Roman"/>
          <w:sz w:val="28"/>
          <w:szCs w:val="28"/>
        </w:rPr>
        <w:tab/>
        <w:t>метод толкования норм права.</w:t>
      </w:r>
    </w:p>
    <w:p w:rsidR="00041B86" w:rsidRPr="00467B95" w:rsidRDefault="00041B86"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На основании проведенного исследования можно сделать следующие выводы:</w:t>
      </w:r>
    </w:p>
    <w:p w:rsidR="00041B86" w:rsidRPr="00467B95" w:rsidRDefault="00041B86"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а)</w:t>
      </w:r>
      <w:r w:rsidRPr="00467B95">
        <w:rPr>
          <w:rFonts w:ascii="Times New Roman" w:hAnsi="Times New Roman" w:cs="Times New Roman"/>
          <w:sz w:val="28"/>
          <w:szCs w:val="28"/>
        </w:rPr>
        <w:tab/>
        <w:t xml:space="preserve">Принцип территориальной целостности государства начал свое формирование еще в XVI веке. Но попытки закрепить границы и добиться их неприкосновенности были безуспешными. Во многом это было связано с </w:t>
      </w:r>
      <w:r w:rsidRPr="00467B95">
        <w:rPr>
          <w:rFonts w:ascii="Times New Roman" w:hAnsi="Times New Roman" w:cs="Times New Roman"/>
          <w:sz w:val="28"/>
          <w:szCs w:val="28"/>
        </w:rPr>
        <w:lastRenderedPageBreak/>
        <w:t>политикой государств, направленной на приобретение новых территорий путем ведения войн. Принятие Устава ООН и получение общественного признания позволило начать реализовывать принцип территориальной целостности. Благодаря ему в настоящее время сформировались устойчивые границы государств, посягательства на которые не допускаются.</w:t>
      </w:r>
    </w:p>
    <w:p w:rsidR="00041B86" w:rsidRPr="00467B95" w:rsidRDefault="00041B86"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б)</w:t>
      </w:r>
      <w:r w:rsidRPr="00467B95">
        <w:rPr>
          <w:rFonts w:ascii="Times New Roman" w:hAnsi="Times New Roman" w:cs="Times New Roman"/>
          <w:sz w:val="28"/>
          <w:szCs w:val="28"/>
        </w:rPr>
        <w:tab/>
        <w:t xml:space="preserve">Принцип самоопределения народов начал складываться еще в XVIII веке, но всеобщие признание получил только в середине XX века, а реализовываться начала с 60-х годов XX века. Он позволил многим колониально зависимым народам и государствам приобрести независимость. Однако народам, которые не являются колониями, но желают реализовать свое право на самоопределение, данный принцип применить довольно-таки сложно, т.к. нарушается целостность территории материнского государства. К сожалению, в настоящее время данная проблема так не решена. </w:t>
      </w:r>
    </w:p>
    <w:p w:rsidR="00041B86" w:rsidRPr="00467B95" w:rsidRDefault="00041B86"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в)</w:t>
      </w:r>
      <w:r w:rsidRPr="00467B95">
        <w:rPr>
          <w:rFonts w:ascii="Times New Roman" w:hAnsi="Times New Roman" w:cs="Times New Roman"/>
          <w:sz w:val="28"/>
          <w:szCs w:val="28"/>
        </w:rPr>
        <w:tab/>
        <w:t>Анализ Устава ООН, деклараций, принятых ГА ООН, и Заключительного акта СБСЕ показывает нам неоднозначность содержащихся в них положений. Так, при рассмотрении принципа территориальной целостности в международных актах говорится о том, что никакие действия не должны нарушать территориальную целостность государства. С другой стороны, при рассмотрении за народом закрепляется право на самоопределение, которое может выражаться как во «внутреннем» самоопределении, при котором территориальная целостность не нарушается, так и во «внешнем» самоопределении, когда население определенной часть государства хочет выйти из его состава путем образования нового государства или вхождения в состав другого государства. Если материнское государство допускает возможность реализации права определенного народа на самоопределение путем создания собственного государства или вхождения в состав другого государства, то коллизии не возникает. Примером могут служить Южный Судан и Восточный Тимор. Однако если материнское государство против такого выхода, то возникает коллизия, т.к. право народов на самоопределение продолжает действовать, но реализовать данное право практически невозможно, т.к. нарушается территориальная целостность государства. В связи с этим в настоящее время имеются частично признанные государства, которые фактически реализовали данное право, но международным сообществом они не признаются.</w:t>
      </w:r>
    </w:p>
    <w:p w:rsidR="00041B86" w:rsidRPr="00467B95" w:rsidRDefault="00041B86"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г)</w:t>
      </w:r>
      <w:r w:rsidRPr="00467B95">
        <w:rPr>
          <w:rFonts w:ascii="Times New Roman" w:hAnsi="Times New Roman" w:cs="Times New Roman"/>
          <w:sz w:val="28"/>
          <w:szCs w:val="28"/>
        </w:rPr>
        <w:tab/>
        <w:t>Среди многих ученых также нет единого мнения относительно коллизии между принципом территориальной целостности и принципом права народов на самоопределение. Существуют различные позиции по данному вопросу, однако невозможно однозначно утверждать какая из них является верной.</w:t>
      </w:r>
    </w:p>
    <w:p w:rsidR="00041B86" w:rsidRPr="00467B95" w:rsidRDefault="00041B86"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д)</w:t>
      </w:r>
      <w:r w:rsidRPr="00467B95">
        <w:rPr>
          <w:rFonts w:ascii="Times New Roman" w:hAnsi="Times New Roman" w:cs="Times New Roman"/>
          <w:sz w:val="28"/>
          <w:szCs w:val="28"/>
        </w:rPr>
        <w:tab/>
        <w:t>Для разрешения данный проблемы необходимо разработать новый акт, который бы закрепил критерии, в соответствии с которыми можно было бы дать точный ответ на вопрос: «может ли определенный народ в конкретной ситуации реализовать принцип права народов на самоопределение».</w:t>
      </w:r>
    </w:p>
    <w:p w:rsidR="00B75021" w:rsidRPr="00B75021" w:rsidRDefault="00B75021" w:rsidP="005A3DF4">
      <w:pPr>
        <w:widowControl w:val="0"/>
        <w:spacing w:after="0" w:line="240" w:lineRule="auto"/>
        <w:jc w:val="center"/>
        <w:rPr>
          <w:rFonts w:ascii="Times New Roman" w:hAnsi="Times New Roman"/>
          <w:b/>
          <w:sz w:val="28"/>
          <w:szCs w:val="28"/>
        </w:rPr>
      </w:pPr>
      <w:r w:rsidRPr="00B75021">
        <w:rPr>
          <w:rFonts w:ascii="Times New Roman" w:hAnsi="Times New Roman"/>
          <w:b/>
          <w:sz w:val="28"/>
          <w:szCs w:val="28"/>
        </w:rPr>
        <w:lastRenderedPageBreak/>
        <w:t>Участие органов прокуратуры субъектов Российской Федерации в</w:t>
      </w:r>
    </w:p>
    <w:p w:rsidR="00B75021" w:rsidRPr="00B75021" w:rsidRDefault="00B75021" w:rsidP="005A3DF4">
      <w:pPr>
        <w:widowControl w:val="0"/>
        <w:spacing w:after="0" w:line="240" w:lineRule="auto"/>
        <w:jc w:val="center"/>
        <w:rPr>
          <w:rFonts w:ascii="Times New Roman" w:hAnsi="Times New Roman"/>
          <w:b/>
          <w:sz w:val="28"/>
          <w:szCs w:val="28"/>
          <w:lang w:val="en-US"/>
        </w:rPr>
      </w:pPr>
      <w:r w:rsidRPr="00B75021">
        <w:rPr>
          <w:rFonts w:ascii="Times New Roman" w:hAnsi="Times New Roman"/>
          <w:b/>
          <w:sz w:val="28"/>
          <w:szCs w:val="28"/>
        </w:rPr>
        <w:t>антикоррупционной</w:t>
      </w:r>
      <w:r w:rsidRPr="00B75021">
        <w:rPr>
          <w:rFonts w:ascii="Times New Roman" w:hAnsi="Times New Roman"/>
          <w:b/>
          <w:sz w:val="28"/>
          <w:szCs w:val="28"/>
          <w:lang w:val="en-US"/>
        </w:rPr>
        <w:t xml:space="preserve"> </w:t>
      </w:r>
      <w:r w:rsidRPr="00B75021">
        <w:rPr>
          <w:rFonts w:ascii="Times New Roman" w:hAnsi="Times New Roman"/>
          <w:b/>
          <w:sz w:val="28"/>
          <w:szCs w:val="28"/>
        </w:rPr>
        <w:t>экспертизе</w:t>
      </w:r>
      <w:r w:rsidRPr="00B75021">
        <w:rPr>
          <w:rFonts w:ascii="Times New Roman" w:hAnsi="Times New Roman"/>
          <w:b/>
          <w:sz w:val="28"/>
          <w:szCs w:val="28"/>
          <w:lang w:val="en-US"/>
        </w:rPr>
        <w:t xml:space="preserve"> </w:t>
      </w:r>
      <w:r w:rsidRPr="00B75021">
        <w:rPr>
          <w:rFonts w:ascii="Times New Roman" w:hAnsi="Times New Roman"/>
          <w:b/>
          <w:sz w:val="28"/>
          <w:szCs w:val="28"/>
        </w:rPr>
        <w:t>нормативных</w:t>
      </w:r>
      <w:r w:rsidRPr="00B75021">
        <w:rPr>
          <w:rFonts w:ascii="Times New Roman" w:hAnsi="Times New Roman"/>
          <w:b/>
          <w:sz w:val="28"/>
          <w:szCs w:val="28"/>
          <w:lang w:val="en-US"/>
        </w:rPr>
        <w:t xml:space="preserve"> </w:t>
      </w:r>
      <w:r w:rsidRPr="00B75021">
        <w:rPr>
          <w:rFonts w:ascii="Times New Roman" w:hAnsi="Times New Roman"/>
          <w:b/>
          <w:sz w:val="28"/>
          <w:szCs w:val="28"/>
        </w:rPr>
        <w:t>правовых</w:t>
      </w:r>
      <w:r w:rsidRPr="00B75021">
        <w:rPr>
          <w:rFonts w:ascii="Times New Roman" w:hAnsi="Times New Roman"/>
          <w:b/>
          <w:sz w:val="28"/>
          <w:szCs w:val="28"/>
          <w:lang w:val="en-US"/>
        </w:rPr>
        <w:t xml:space="preserve"> </w:t>
      </w:r>
      <w:r w:rsidRPr="00B75021">
        <w:rPr>
          <w:rFonts w:ascii="Times New Roman" w:hAnsi="Times New Roman"/>
          <w:b/>
          <w:sz w:val="28"/>
          <w:szCs w:val="28"/>
        </w:rPr>
        <w:t>актов</w:t>
      </w:r>
    </w:p>
    <w:p w:rsidR="00B75021" w:rsidRPr="00B75021" w:rsidRDefault="00B75021" w:rsidP="005A3DF4">
      <w:pPr>
        <w:widowControl w:val="0"/>
        <w:spacing w:after="0" w:line="240" w:lineRule="auto"/>
        <w:jc w:val="center"/>
        <w:rPr>
          <w:rFonts w:ascii="Times New Roman" w:hAnsi="Times New Roman"/>
          <w:b/>
          <w:sz w:val="28"/>
          <w:szCs w:val="28"/>
          <w:lang w:val="en-US"/>
        </w:rPr>
      </w:pPr>
    </w:p>
    <w:p w:rsidR="00B75021" w:rsidRPr="00B75021" w:rsidRDefault="00B75021" w:rsidP="005A3DF4">
      <w:pPr>
        <w:widowControl w:val="0"/>
        <w:spacing w:after="0" w:line="240" w:lineRule="auto"/>
        <w:jc w:val="center"/>
        <w:rPr>
          <w:rFonts w:ascii="Times New Roman" w:hAnsi="Times New Roman"/>
          <w:b/>
          <w:sz w:val="28"/>
          <w:szCs w:val="28"/>
          <w:lang w:val="en-US" w:eastAsia="ru-RU"/>
        </w:rPr>
      </w:pPr>
      <w:r w:rsidRPr="00250748">
        <w:rPr>
          <w:rFonts w:ascii="Times New Roman" w:hAnsi="Times New Roman"/>
          <w:b/>
          <w:sz w:val="28"/>
          <w:szCs w:val="28"/>
          <w:lang w:val="en-US" w:eastAsia="ru-RU"/>
        </w:rPr>
        <w:t>Participation of the prosecution authorities of the constituent entities</w:t>
      </w:r>
    </w:p>
    <w:p w:rsidR="00B75021" w:rsidRPr="00B75021" w:rsidRDefault="00B75021" w:rsidP="005A3DF4">
      <w:pPr>
        <w:widowControl w:val="0"/>
        <w:spacing w:after="0" w:line="240" w:lineRule="auto"/>
        <w:jc w:val="center"/>
        <w:rPr>
          <w:rFonts w:ascii="Times New Roman" w:hAnsi="Times New Roman"/>
          <w:b/>
          <w:sz w:val="28"/>
          <w:szCs w:val="28"/>
          <w:lang w:val="en-US" w:eastAsia="ru-RU"/>
        </w:rPr>
      </w:pPr>
      <w:r w:rsidRPr="00250748">
        <w:rPr>
          <w:rFonts w:ascii="Times New Roman" w:hAnsi="Times New Roman"/>
          <w:b/>
          <w:sz w:val="28"/>
          <w:szCs w:val="28"/>
          <w:lang w:val="en-US" w:eastAsia="ru-RU"/>
        </w:rPr>
        <w:t>of the Russian Federation in the anti-corruption expertise of regulatory legal acts</w:t>
      </w:r>
    </w:p>
    <w:p w:rsidR="00B75021" w:rsidRPr="00B75021" w:rsidRDefault="00B75021" w:rsidP="005A3DF4">
      <w:pPr>
        <w:widowControl w:val="0"/>
        <w:spacing w:after="0" w:line="240" w:lineRule="auto"/>
        <w:jc w:val="center"/>
        <w:rPr>
          <w:rFonts w:ascii="Times New Roman" w:hAnsi="Times New Roman"/>
          <w:b/>
          <w:sz w:val="28"/>
          <w:szCs w:val="28"/>
          <w:lang w:val="en-US"/>
        </w:rPr>
      </w:pPr>
    </w:p>
    <w:p w:rsidR="00B75021" w:rsidRPr="00B75021" w:rsidRDefault="00B75021" w:rsidP="005A3DF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r w:rsidRPr="00B75021">
        <w:rPr>
          <w:rFonts w:ascii="Times New Roman" w:hAnsi="Times New Roman"/>
          <w:sz w:val="28"/>
          <w:szCs w:val="28"/>
        </w:rPr>
        <w:t>Музыка Елена Леонидовна</w:t>
      </w:r>
    </w:p>
    <w:p w:rsidR="00B75021" w:rsidRPr="00B75021" w:rsidRDefault="00B75021" w:rsidP="005A3DF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r w:rsidRPr="00B75021">
        <w:rPr>
          <w:rFonts w:ascii="Times New Roman" w:hAnsi="Times New Roman"/>
          <w:sz w:val="28"/>
          <w:szCs w:val="28"/>
          <w:lang w:val="en-US"/>
        </w:rPr>
        <w:t>Elena</w:t>
      </w:r>
      <w:r w:rsidRPr="00B75021">
        <w:rPr>
          <w:rFonts w:ascii="Times New Roman" w:hAnsi="Times New Roman"/>
          <w:sz w:val="28"/>
          <w:szCs w:val="28"/>
        </w:rPr>
        <w:t xml:space="preserve"> </w:t>
      </w:r>
      <w:r w:rsidRPr="00B75021">
        <w:rPr>
          <w:rFonts w:ascii="Times New Roman" w:hAnsi="Times New Roman"/>
          <w:sz w:val="28"/>
          <w:szCs w:val="28"/>
          <w:lang w:val="en-US"/>
        </w:rPr>
        <w:t>Muzyka</w:t>
      </w:r>
    </w:p>
    <w:p w:rsidR="00B75021" w:rsidRPr="00B75021" w:rsidRDefault="00B75021" w:rsidP="005A3DF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p>
    <w:p w:rsidR="00B75021" w:rsidRPr="00B75021" w:rsidRDefault="00B75021" w:rsidP="005A3DF4">
      <w:pPr>
        <w:pStyle w:val="Default"/>
        <w:widowControl w:val="0"/>
        <w:jc w:val="center"/>
        <w:rPr>
          <w:iCs/>
          <w:sz w:val="28"/>
          <w:szCs w:val="28"/>
        </w:rPr>
      </w:pPr>
      <w:r w:rsidRPr="00B75021">
        <w:rPr>
          <w:iCs/>
          <w:sz w:val="28"/>
          <w:szCs w:val="28"/>
        </w:rPr>
        <w:t>Владивостокский государственный университет экономики и сервиса</w:t>
      </w:r>
    </w:p>
    <w:p w:rsidR="00B75021" w:rsidRPr="00B75021" w:rsidRDefault="00B75021" w:rsidP="005A3DF4">
      <w:pPr>
        <w:widowControl w:val="0"/>
        <w:spacing w:after="0" w:line="240" w:lineRule="auto"/>
        <w:jc w:val="center"/>
        <w:rPr>
          <w:rFonts w:ascii="Times New Roman" w:hAnsi="Times New Roman"/>
          <w:sz w:val="28"/>
          <w:szCs w:val="28"/>
          <w:lang w:val="en-US"/>
        </w:rPr>
      </w:pPr>
      <w:r w:rsidRPr="00B75021">
        <w:rPr>
          <w:rFonts w:ascii="Times New Roman" w:hAnsi="Times New Roman"/>
          <w:sz w:val="28"/>
          <w:szCs w:val="28"/>
          <w:lang w:val="en-US"/>
        </w:rPr>
        <w:t>Vladivostok State University of Economics and Service</w:t>
      </w:r>
    </w:p>
    <w:p w:rsidR="00B75021" w:rsidRPr="00B75021" w:rsidRDefault="00B75021" w:rsidP="005A3DF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8"/>
          <w:szCs w:val="28"/>
        </w:rPr>
      </w:pPr>
      <w:r w:rsidRPr="00B75021">
        <w:rPr>
          <w:rFonts w:ascii="Times New Roman" w:hAnsi="Times New Roman"/>
          <w:sz w:val="28"/>
          <w:szCs w:val="28"/>
        </w:rPr>
        <w:t>Бакалавр</w:t>
      </w:r>
    </w:p>
    <w:p w:rsidR="00B75021" w:rsidRPr="00B75021" w:rsidRDefault="00B75021" w:rsidP="005A3DF4">
      <w:pPr>
        <w:widowControl w:val="0"/>
        <w:spacing w:after="0" w:line="240" w:lineRule="auto"/>
        <w:jc w:val="center"/>
        <w:rPr>
          <w:rFonts w:ascii="Times New Roman" w:hAnsi="Times New Roman"/>
          <w:sz w:val="28"/>
          <w:szCs w:val="28"/>
          <w:lang w:eastAsia="ru-RU"/>
        </w:rPr>
      </w:pPr>
      <w:r w:rsidRPr="00B75021">
        <w:rPr>
          <w:rFonts w:ascii="Times New Roman" w:hAnsi="Times New Roman"/>
          <w:sz w:val="28"/>
          <w:szCs w:val="28"/>
          <w:lang w:eastAsia="ru-RU"/>
        </w:rPr>
        <w:t>Bachelor</w:t>
      </w:r>
    </w:p>
    <w:p w:rsidR="00B75021" w:rsidRPr="00B75021" w:rsidRDefault="00B75021" w:rsidP="005A3DF4">
      <w:pPr>
        <w:pStyle w:val="Default"/>
        <w:widowControl w:val="0"/>
        <w:jc w:val="center"/>
        <w:rPr>
          <w:iCs/>
          <w:sz w:val="28"/>
          <w:szCs w:val="28"/>
        </w:rPr>
      </w:pPr>
      <w:r w:rsidRPr="00B75021">
        <w:rPr>
          <w:iCs/>
          <w:sz w:val="28"/>
          <w:szCs w:val="28"/>
        </w:rPr>
        <w:t>Россия. Владивосток</w:t>
      </w:r>
    </w:p>
    <w:p w:rsidR="00B75021" w:rsidRPr="00B75021" w:rsidRDefault="00B75021" w:rsidP="005A3DF4">
      <w:pPr>
        <w:pStyle w:val="Default"/>
        <w:widowControl w:val="0"/>
        <w:jc w:val="center"/>
        <w:rPr>
          <w:sz w:val="28"/>
          <w:szCs w:val="28"/>
          <w:lang w:val="en-US"/>
        </w:rPr>
      </w:pPr>
      <w:r w:rsidRPr="00B75021">
        <w:rPr>
          <w:sz w:val="28"/>
          <w:szCs w:val="28"/>
          <w:lang w:val="en-US"/>
        </w:rPr>
        <w:t>Russia</w:t>
      </w:r>
      <w:r w:rsidRPr="00B75021">
        <w:rPr>
          <w:sz w:val="28"/>
          <w:szCs w:val="28"/>
        </w:rPr>
        <w:t xml:space="preserve">. </w:t>
      </w:r>
      <w:r w:rsidRPr="00B75021">
        <w:rPr>
          <w:sz w:val="28"/>
          <w:szCs w:val="28"/>
          <w:lang w:val="en-US"/>
        </w:rPr>
        <w:t>Vladivostok</w:t>
      </w:r>
    </w:p>
    <w:p w:rsidR="00B75021" w:rsidRPr="00B75021" w:rsidRDefault="00B75021" w:rsidP="005A3DF4">
      <w:pPr>
        <w:pStyle w:val="Default"/>
        <w:widowControl w:val="0"/>
        <w:jc w:val="center"/>
        <w:rPr>
          <w:sz w:val="28"/>
          <w:szCs w:val="28"/>
          <w:lang w:val="en-US"/>
        </w:rPr>
      </w:pPr>
      <w:r w:rsidRPr="00B75021">
        <w:rPr>
          <w:sz w:val="28"/>
          <w:szCs w:val="28"/>
          <w:lang w:val="de-DE"/>
        </w:rPr>
        <w:t>E</w:t>
      </w:r>
      <w:r w:rsidRPr="00B75021">
        <w:rPr>
          <w:sz w:val="28"/>
          <w:szCs w:val="28"/>
          <w:lang w:val="en-US"/>
        </w:rPr>
        <w:t>-</w:t>
      </w:r>
      <w:r w:rsidRPr="00B75021">
        <w:rPr>
          <w:sz w:val="28"/>
          <w:szCs w:val="28"/>
          <w:lang w:val="de-DE"/>
        </w:rPr>
        <w:t>mail</w:t>
      </w:r>
      <w:r w:rsidRPr="00B75021">
        <w:rPr>
          <w:sz w:val="28"/>
          <w:szCs w:val="28"/>
          <w:lang w:val="en-US"/>
        </w:rPr>
        <w:t xml:space="preserve">: </w:t>
      </w:r>
      <w:r w:rsidRPr="00B75021">
        <w:rPr>
          <w:rStyle w:val="b-contact-informer-targetjs-contact-informer"/>
          <w:sz w:val="28"/>
          <w:szCs w:val="28"/>
          <w:lang w:val="de-DE"/>
        </w:rPr>
        <w:t>muzana</w:t>
      </w:r>
      <w:r w:rsidRPr="00B75021">
        <w:rPr>
          <w:rStyle w:val="b-contact-informer-targetjs-contact-informer"/>
          <w:sz w:val="28"/>
          <w:szCs w:val="28"/>
          <w:lang w:val="en-US"/>
        </w:rPr>
        <w:t>@</w:t>
      </w:r>
      <w:r w:rsidRPr="00B75021">
        <w:rPr>
          <w:rStyle w:val="b-contact-informer-targetjs-contact-informer"/>
          <w:sz w:val="28"/>
          <w:szCs w:val="28"/>
          <w:lang w:val="de-DE"/>
        </w:rPr>
        <w:t>mail</w:t>
      </w:r>
      <w:r w:rsidRPr="00B75021">
        <w:rPr>
          <w:rStyle w:val="b-contact-informer-targetjs-contact-informer"/>
          <w:sz w:val="28"/>
          <w:szCs w:val="28"/>
          <w:lang w:val="en-US"/>
        </w:rPr>
        <w:t>.</w:t>
      </w:r>
      <w:r w:rsidRPr="00B75021">
        <w:rPr>
          <w:rStyle w:val="b-contact-informer-targetjs-contact-informer"/>
          <w:sz w:val="28"/>
          <w:szCs w:val="28"/>
          <w:lang w:val="de-DE"/>
        </w:rPr>
        <w:t>ru</w:t>
      </w:r>
    </w:p>
    <w:p w:rsidR="00B75021" w:rsidRPr="00250748" w:rsidRDefault="00B75021" w:rsidP="005A3DF4">
      <w:pPr>
        <w:pStyle w:val="Default"/>
        <w:widowControl w:val="0"/>
        <w:ind w:firstLine="720"/>
        <w:jc w:val="both"/>
        <w:rPr>
          <w:iCs/>
          <w:sz w:val="28"/>
          <w:szCs w:val="28"/>
          <w:lang w:val="en-US"/>
        </w:rPr>
      </w:pPr>
    </w:p>
    <w:p w:rsidR="00B75021" w:rsidRPr="00B75021" w:rsidRDefault="00B75021" w:rsidP="005A3DF4">
      <w:pPr>
        <w:pStyle w:val="Default"/>
        <w:widowControl w:val="0"/>
        <w:ind w:firstLine="720"/>
        <w:jc w:val="both"/>
        <w:rPr>
          <w:i/>
          <w:sz w:val="28"/>
          <w:szCs w:val="28"/>
        </w:rPr>
      </w:pPr>
      <w:r w:rsidRPr="00B75021">
        <w:rPr>
          <w:i/>
          <w:iCs/>
          <w:sz w:val="28"/>
          <w:szCs w:val="28"/>
        </w:rPr>
        <w:t xml:space="preserve">Для современной России актуальной остается проблема такого негативного явления как коррупция. </w:t>
      </w:r>
      <w:r w:rsidRPr="00B75021">
        <w:rPr>
          <w:i/>
          <w:sz w:val="28"/>
          <w:szCs w:val="28"/>
        </w:rPr>
        <w:t>Одной из причин совершения коррупционных правонарушений является наличие коррупциогенных факторов в действующем региональном законодательстве. Важную роль в устранении противодействии коррупции, препятствующей нормальному развитию общества, принадлежит органам прокуратуры. Предметом настоящего исследования являются федеральные и ведомственные нормативные акты, регламентирующие вопросы участия органов прокуратуры в антикоррупционной экспертизе нормативных правовых актов и их проектов, а также деятельность органов прокуратуры Российской Федерации и Приморского края в этой сфере. В статье описываются отдельные недостатки современного состояния правового регулирования деятельности органов прокуратуры на данном направлении и предлагаются пути совершенствования действующего законодательства.</w:t>
      </w:r>
    </w:p>
    <w:p w:rsidR="00B75021" w:rsidRPr="00B75021" w:rsidRDefault="00B75021" w:rsidP="005A3DF4">
      <w:pPr>
        <w:pStyle w:val="Default"/>
        <w:widowControl w:val="0"/>
        <w:jc w:val="both"/>
        <w:rPr>
          <w:i/>
          <w:sz w:val="28"/>
          <w:szCs w:val="28"/>
        </w:rPr>
      </w:pPr>
    </w:p>
    <w:p w:rsidR="00B75021" w:rsidRPr="00B75021" w:rsidRDefault="00B75021" w:rsidP="005A3DF4">
      <w:pPr>
        <w:widowControl w:val="0"/>
        <w:spacing w:after="0" w:line="240" w:lineRule="auto"/>
        <w:ind w:firstLine="708"/>
        <w:contextualSpacing/>
        <w:jc w:val="both"/>
        <w:rPr>
          <w:rFonts w:ascii="Times New Roman" w:hAnsi="Times New Roman"/>
          <w:i/>
          <w:sz w:val="28"/>
          <w:szCs w:val="28"/>
        </w:rPr>
      </w:pPr>
      <w:r w:rsidRPr="00B75021">
        <w:rPr>
          <w:rFonts w:ascii="Times New Roman" w:hAnsi="Times New Roman"/>
          <w:bCs/>
          <w:i/>
          <w:sz w:val="28"/>
          <w:szCs w:val="28"/>
        </w:rPr>
        <w:t>Ключевые слова и словосочетания</w:t>
      </w:r>
      <w:r w:rsidRPr="00B75021">
        <w:rPr>
          <w:rFonts w:ascii="Times New Roman" w:hAnsi="Times New Roman"/>
          <w:i/>
          <w:sz w:val="28"/>
          <w:szCs w:val="28"/>
        </w:rPr>
        <w:t xml:space="preserve">: коррупция, прокуратура, законодательство, нормативные правовые акты, органы государственной власти, экспертиза, компетенция, противодействие. </w:t>
      </w:r>
    </w:p>
    <w:p w:rsidR="00B75021" w:rsidRPr="00B75021" w:rsidRDefault="00B75021" w:rsidP="005A3DF4">
      <w:pPr>
        <w:pStyle w:val="Default"/>
        <w:widowControl w:val="0"/>
        <w:jc w:val="both"/>
        <w:rPr>
          <w:color w:val="auto"/>
          <w:sz w:val="28"/>
          <w:szCs w:val="28"/>
        </w:rPr>
      </w:pPr>
    </w:p>
    <w:p w:rsidR="00B75021" w:rsidRPr="00B75021" w:rsidRDefault="00B75021" w:rsidP="005A3DF4">
      <w:pPr>
        <w:widowControl w:val="0"/>
        <w:spacing w:after="0" w:line="240" w:lineRule="auto"/>
        <w:ind w:firstLine="720"/>
        <w:jc w:val="both"/>
        <w:rPr>
          <w:rFonts w:ascii="Times New Roman" w:hAnsi="Times New Roman"/>
          <w:i/>
          <w:sz w:val="28"/>
          <w:szCs w:val="28"/>
          <w:lang w:val="en-US" w:eastAsia="ru-RU"/>
        </w:rPr>
      </w:pPr>
      <w:r w:rsidRPr="00250748">
        <w:rPr>
          <w:rFonts w:ascii="Times New Roman" w:hAnsi="Times New Roman"/>
          <w:i/>
          <w:sz w:val="28"/>
          <w:szCs w:val="28"/>
          <w:lang w:val="en-US" w:eastAsia="ru-RU"/>
        </w:rPr>
        <w:t>For modern Russia, the problem of such a negative phenomenon as corruption remains relevant. One of the reasons for committing corruption offenses is the presence of corruption-related factors in the current regional legislation. An important role in eliminating the opposition to corruption, which impedes the normal development of society, belongs to the prosecution authorities.</w:t>
      </w:r>
      <w:r w:rsidRPr="00B75021">
        <w:rPr>
          <w:rFonts w:ascii="Times New Roman" w:hAnsi="Times New Roman"/>
          <w:i/>
          <w:sz w:val="28"/>
          <w:szCs w:val="28"/>
          <w:lang w:val="en-US" w:eastAsia="ru-RU"/>
        </w:rPr>
        <w:t xml:space="preserve"> </w:t>
      </w:r>
      <w:r w:rsidRPr="00250748">
        <w:rPr>
          <w:rFonts w:ascii="Times New Roman" w:hAnsi="Times New Roman"/>
          <w:i/>
          <w:sz w:val="28"/>
          <w:szCs w:val="28"/>
          <w:lang w:val="en-US" w:eastAsia="ru-RU"/>
        </w:rPr>
        <w:t xml:space="preserve">The subject of this study is federal and departmental regulations governing the participation of prosecution authorities in anti-corruption expertise of regulatory legal acts and </w:t>
      </w:r>
      <w:r w:rsidRPr="00250748">
        <w:rPr>
          <w:rFonts w:ascii="Times New Roman" w:hAnsi="Times New Roman"/>
          <w:i/>
          <w:sz w:val="28"/>
          <w:szCs w:val="28"/>
          <w:lang w:val="en-US" w:eastAsia="ru-RU"/>
        </w:rPr>
        <w:lastRenderedPageBreak/>
        <w:t>their projects, as well as the activities of the prosecution authorities of the Russian Federation and Primorsky Krai in this area. The article describes some shortcomings of the current state of legal regulation of the participation of prosecution authorities in this area of ​​their activities and suggests ways to improve the current legislation.</w:t>
      </w:r>
    </w:p>
    <w:p w:rsidR="00B75021" w:rsidRPr="00B75021" w:rsidRDefault="00B75021" w:rsidP="005A3DF4">
      <w:pPr>
        <w:widowControl w:val="0"/>
        <w:spacing w:after="0" w:line="240" w:lineRule="auto"/>
        <w:rPr>
          <w:rFonts w:ascii="Times New Roman" w:hAnsi="Times New Roman"/>
          <w:i/>
          <w:sz w:val="28"/>
          <w:szCs w:val="28"/>
          <w:lang w:val="en-US"/>
        </w:rPr>
      </w:pPr>
    </w:p>
    <w:p w:rsidR="00B75021" w:rsidRPr="00B75021" w:rsidRDefault="00B75021" w:rsidP="005A3DF4">
      <w:pPr>
        <w:widowControl w:val="0"/>
        <w:spacing w:after="0" w:line="240" w:lineRule="auto"/>
        <w:ind w:firstLine="708"/>
        <w:rPr>
          <w:rFonts w:ascii="Times New Roman" w:hAnsi="Times New Roman"/>
          <w:i/>
          <w:sz w:val="28"/>
          <w:szCs w:val="28"/>
          <w:lang w:val="en-US" w:eastAsia="ru-RU"/>
        </w:rPr>
      </w:pPr>
      <w:r w:rsidRPr="00B75021">
        <w:rPr>
          <w:rFonts w:ascii="Times New Roman" w:hAnsi="Times New Roman"/>
          <w:i/>
          <w:sz w:val="28"/>
          <w:szCs w:val="28"/>
          <w:lang w:val="en-US"/>
        </w:rPr>
        <w:t xml:space="preserve">Keywords: </w:t>
      </w:r>
      <w:r w:rsidRPr="00250748">
        <w:rPr>
          <w:rFonts w:ascii="Times New Roman" w:hAnsi="Times New Roman"/>
          <w:i/>
          <w:sz w:val="28"/>
          <w:szCs w:val="28"/>
          <w:lang w:val="en-US" w:eastAsia="ru-RU"/>
        </w:rPr>
        <w:t>corruption</w:t>
      </w:r>
      <w:r w:rsidRPr="00B75021">
        <w:rPr>
          <w:rFonts w:ascii="Times New Roman" w:hAnsi="Times New Roman"/>
          <w:i/>
          <w:sz w:val="28"/>
          <w:szCs w:val="28"/>
          <w:lang w:val="en-US" w:eastAsia="ru-RU"/>
        </w:rPr>
        <w:t xml:space="preserve">, </w:t>
      </w:r>
      <w:r w:rsidRPr="00250748">
        <w:rPr>
          <w:rFonts w:ascii="Times New Roman" w:hAnsi="Times New Roman"/>
          <w:i/>
          <w:sz w:val="28"/>
          <w:szCs w:val="28"/>
          <w:lang w:val="en-US" w:eastAsia="ru-RU"/>
        </w:rPr>
        <w:t>prosecutor</w:t>
      </w:r>
      <w:r w:rsidRPr="00B75021">
        <w:rPr>
          <w:rFonts w:ascii="Times New Roman" w:hAnsi="Times New Roman"/>
          <w:i/>
          <w:sz w:val="28"/>
          <w:szCs w:val="28"/>
          <w:lang w:val="en-US" w:eastAsia="ru-RU"/>
        </w:rPr>
        <w:t>'</w:t>
      </w:r>
      <w:r w:rsidRPr="00250748">
        <w:rPr>
          <w:rFonts w:ascii="Times New Roman" w:hAnsi="Times New Roman"/>
          <w:i/>
          <w:sz w:val="28"/>
          <w:szCs w:val="28"/>
          <w:lang w:val="en-US" w:eastAsia="ru-RU"/>
        </w:rPr>
        <w:t>s</w:t>
      </w:r>
      <w:r w:rsidRPr="00B75021">
        <w:rPr>
          <w:rFonts w:ascii="Times New Roman" w:hAnsi="Times New Roman"/>
          <w:i/>
          <w:sz w:val="28"/>
          <w:szCs w:val="28"/>
          <w:lang w:val="en-US" w:eastAsia="ru-RU"/>
        </w:rPr>
        <w:t xml:space="preserve"> </w:t>
      </w:r>
      <w:r w:rsidRPr="00250748">
        <w:rPr>
          <w:rFonts w:ascii="Times New Roman" w:hAnsi="Times New Roman"/>
          <w:i/>
          <w:sz w:val="28"/>
          <w:szCs w:val="28"/>
          <w:lang w:val="en-US" w:eastAsia="ru-RU"/>
        </w:rPr>
        <w:t>office</w:t>
      </w:r>
      <w:r w:rsidRPr="00B75021">
        <w:rPr>
          <w:rFonts w:ascii="Times New Roman" w:hAnsi="Times New Roman"/>
          <w:i/>
          <w:sz w:val="28"/>
          <w:szCs w:val="28"/>
          <w:lang w:val="en-US" w:eastAsia="ru-RU"/>
        </w:rPr>
        <w:t xml:space="preserve">, </w:t>
      </w:r>
      <w:r w:rsidRPr="00250748">
        <w:rPr>
          <w:rFonts w:ascii="Times New Roman" w:hAnsi="Times New Roman"/>
          <w:i/>
          <w:sz w:val="28"/>
          <w:szCs w:val="28"/>
          <w:lang w:val="en-US" w:eastAsia="ru-RU"/>
        </w:rPr>
        <w:t>legislation</w:t>
      </w:r>
      <w:r w:rsidRPr="00B75021">
        <w:rPr>
          <w:rFonts w:ascii="Times New Roman" w:hAnsi="Times New Roman"/>
          <w:i/>
          <w:sz w:val="28"/>
          <w:szCs w:val="28"/>
          <w:lang w:val="en-US" w:eastAsia="ru-RU"/>
        </w:rPr>
        <w:t xml:space="preserve">, </w:t>
      </w:r>
      <w:r w:rsidRPr="00250748">
        <w:rPr>
          <w:rStyle w:val="tlid-translationtranslation"/>
          <w:rFonts w:ascii="Times New Roman" w:hAnsi="Times New Roman"/>
          <w:i/>
          <w:sz w:val="28"/>
          <w:szCs w:val="28"/>
          <w:lang w:val="en-US"/>
        </w:rPr>
        <w:t>normative</w:t>
      </w:r>
      <w:r w:rsidRPr="00B75021">
        <w:rPr>
          <w:rStyle w:val="tlid-translationtranslation"/>
          <w:rFonts w:ascii="Times New Roman" w:hAnsi="Times New Roman"/>
          <w:i/>
          <w:sz w:val="28"/>
          <w:szCs w:val="28"/>
          <w:lang w:val="en-US"/>
        </w:rPr>
        <w:t xml:space="preserve"> </w:t>
      </w:r>
      <w:r w:rsidRPr="00250748">
        <w:rPr>
          <w:rStyle w:val="tlid-translationtranslation"/>
          <w:rFonts w:ascii="Times New Roman" w:hAnsi="Times New Roman"/>
          <w:i/>
          <w:sz w:val="28"/>
          <w:szCs w:val="28"/>
          <w:lang w:val="en-US"/>
        </w:rPr>
        <w:t>legal</w:t>
      </w:r>
      <w:r w:rsidRPr="00B75021">
        <w:rPr>
          <w:rStyle w:val="tlid-translationtranslation"/>
          <w:rFonts w:ascii="Times New Roman" w:hAnsi="Times New Roman"/>
          <w:i/>
          <w:sz w:val="28"/>
          <w:szCs w:val="28"/>
          <w:lang w:val="en-US"/>
        </w:rPr>
        <w:t xml:space="preserve"> </w:t>
      </w:r>
      <w:r w:rsidRPr="00250748">
        <w:rPr>
          <w:rStyle w:val="tlid-translationtranslation"/>
          <w:rFonts w:ascii="Times New Roman" w:hAnsi="Times New Roman"/>
          <w:i/>
          <w:sz w:val="28"/>
          <w:szCs w:val="28"/>
          <w:lang w:val="en-US"/>
        </w:rPr>
        <w:t>acts</w:t>
      </w:r>
      <w:r w:rsidRPr="00B75021">
        <w:rPr>
          <w:rStyle w:val="tlid-translationtranslation"/>
          <w:rFonts w:ascii="Times New Roman" w:hAnsi="Times New Roman"/>
          <w:i/>
          <w:sz w:val="28"/>
          <w:szCs w:val="28"/>
          <w:lang w:val="en-US"/>
        </w:rPr>
        <w:t xml:space="preserve">, </w:t>
      </w:r>
      <w:r w:rsidRPr="00B75021">
        <w:rPr>
          <w:rStyle w:val="refresult"/>
          <w:rFonts w:ascii="Times New Roman" w:hAnsi="Times New Roman"/>
          <w:i/>
          <w:sz w:val="28"/>
          <w:szCs w:val="28"/>
          <w:lang w:val="en-US"/>
        </w:rPr>
        <w:t xml:space="preserve">public authorities, </w:t>
      </w:r>
      <w:r w:rsidRPr="00B75021">
        <w:rPr>
          <w:rFonts w:ascii="Times New Roman" w:hAnsi="Times New Roman"/>
          <w:i/>
          <w:sz w:val="28"/>
          <w:szCs w:val="28"/>
          <w:lang w:val="en-US" w:eastAsia="ru-RU"/>
        </w:rPr>
        <w:t>e</w:t>
      </w:r>
      <w:r w:rsidRPr="00250748">
        <w:rPr>
          <w:rFonts w:ascii="Times New Roman" w:hAnsi="Times New Roman"/>
          <w:i/>
          <w:sz w:val="28"/>
          <w:szCs w:val="28"/>
          <w:lang w:val="en-US" w:eastAsia="ru-RU"/>
        </w:rPr>
        <w:t>xpertise</w:t>
      </w:r>
      <w:r w:rsidRPr="00B75021">
        <w:rPr>
          <w:rFonts w:ascii="Times New Roman" w:hAnsi="Times New Roman"/>
          <w:i/>
          <w:sz w:val="28"/>
          <w:szCs w:val="28"/>
          <w:lang w:val="en-US" w:eastAsia="ru-RU"/>
        </w:rPr>
        <w:t xml:space="preserve">, </w:t>
      </w:r>
      <w:r w:rsidRPr="00250748">
        <w:rPr>
          <w:rFonts w:ascii="Times New Roman" w:hAnsi="Times New Roman"/>
          <w:i/>
          <w:sz w:val="28"/>
          <w:szCs w:val="28"/>
          <w:lang w:val="en-US" w:eastAsia="ru-RU"/>
        </w:rPr>
        <w:t>competence,</w:t>
      </w:r>
      <w:r w:rsidRPr="00250748">
        <w:rPr>
          <w:rFonts w:ascii="Times New Roman" w:hAnsi="Times New Roman"/>
          <w:i/>
          <w:sz w:val="28"/>
          <w:szCs w:val="28"/>
          <w:lang w:val="en-US"/>
        </w:rPr>
        <w:t xml:space="preserve"> </w:t>
      </w:r>
      <w:r w:rsidRPr="00250748">
        <w:rPr>
          <w:rFonts w:ascii="Times New Roman" w:hAnsi="Times New Roman"/>
          <w:i/>
          <w:sz w:val="28"/>
          <w:szCs w:val="28"/>
          <w:lang w:val="en-US" w:eastAsia="ru-RU"/>
        </w:rPr>
        <w:t>opposition</w:t>
      </w:r>
      <w:r w:rsidRPr="00B75021">
        <w:rPr>
          <w:rFonts w:ascii="Times New Roman" w:hAnsi="Times New Roman"/>
          <w:i/>
          <w:sz w:val="28"/>
          <w:szCs w:val="28"/>
          <w:lang w:val="en-US" w:eastAsia="ru-RU"/>
        </w:rPr>
        <w:t>.</w:t>
      </w:r>
    </w:p>
    <w:p w:rsidR="00B75021" w:rsidRPr="00B75021" w:rsidRDefault="00B75021" w:rsidP="005A3DF4">
      <w:pPr>
        <w:pStyle w:val="Default"/>
        <w:widowControl w:val="0"/>
        <w:rPr>
          <w:b/>
          <w:color w:val="auto"/>
          <w:sz w:val="28"/>
          <w:szCs w:val="28"/>
          <w:lang w:val="en-US"/>
        </w:rPr>
      </w:pPr>
    </w:p>
    <w:p w:rsidR="00B75021" w:rsidRPr="00B75021" w:rsidRDefault="00B75021" w:rsidP="005A3DF4">
      <w:pPr>
        <w:pStyle w:val="s3"/>
        <w:widowControl w:val="0"/>
        <w:shd w:val="clear" w:color="auto" w:fill="FFFFFF"/>
        <w:spacing w:before="0" w:beforeAutospacing="0" w:after="0" w:afterAutospacing="0"/>
        <w:ind w:firstLine="720"/>
        <w:jc w:val="both"/>
        <w:rPr>
          <w:bCs/>
          <w:sz w:val="28"/>
          <w:szCs w:val="28"/>
        </w:rPr>
      </w:pPr>
      <w:r w:rsidRPr="00B75021">
        <w:rPr>
          <w:sz w:val="28"/>
          <w:szCs w:val="28"/>
        </w:rPr>
        <w:t xml:space="preserve">В утвержденной </w:t>
      </w:r>
      <w:hyperlink r:id="rId164" w:history="1">
        <w:r w:rsidRPr="00B75021">
          <w:rPr>
            <w:rStyle w:val="a8"/>
            <w:bCs/>
            <w:color w:val="auto"/>
            <w:sz w:val="28"/>
            <w:szCs w:val="28"/>
            <w:u w:val="none"/>
          </w:rPr>
          <w:t>Указом</w:t>
        </w:r>
      </w:hyperlink>
      <w:r w:rsidRPr="00B75021">
        <w:rPr>
          <w:sz w:val="28"/>
          <w:szCs w:val="28"/>
        </w:rPr>
        <w:t xml:space="preserve"> Президента РФ от 13 апреля </w:t>
      </w:r>
      <w:smartTag w:uri="urn:schemas-microsoft-com:office:smarttags" w:element="metricconverter">
        <w:smartTagPr>
          <w:attr w:name="ProductID" w:val="2010 г"/>
        </w:smartTagPr>
        <w:r w:rsidRPr="00B75021">
          <w:rPr>
            <w:sz w:val="28"/>
            <w:szCs w:val="28"/>
          </w:rPr>
          <w:t>2010 г</w:t>
        </w:r>
      </w:smartTag>
      <w:r w:rsidRPr="00B75021">
        <w:rPr>
          <w:sz w:val="28"/>
          <w:szCs w:val="28"/>
        </w:rPr>
        <w:t xml:space="preserve">. N 460 Национальной стратегия противодействия коррупции отмечалось, что, </w:t>
      </w:r>
      <w:r w:rsidRPr="00B75021">
        <w:rPr>
          <w:bCs/>
          <w:sz w:val="28"/>
          <w:szCs w:val="28"/>
        </w:rPr>
        <w:t xml:space="preserve">несмотря на предпринимаемые государством и обществом меры, коррупция по-прежнему серьезно затрудняет нормальное функционирование всех общественных механизмов, препятствует проведению социальных преобразований и модернизации национальной экономики, вызывает в российском обществе серьезную тревогу и недоверие к государственным институтам, создает негативный имидж России на международной арене и правомерно рассматривается как одна из угроз безопасности Российской Федерации.[7] </w:t>
      </w:r>
    </w:p>
    <w:p w:rsidR="00B75021" w:rsidRPr="00B75021" w:rsidRDefault="00B75021" w:rsidP="005A3DF4">
      <w:pPr>
        <w:pStyle w:val="s3"/>
        <w:widowControl w:val="0"/>
        <w:shd w:val="clear" w:color="auto" w:fill="FFFFFF"/>
        <w:spacing w:before="0" w:beforeAutospacing="0" w:after="0" w:afterAutospacing="0"/>
        <w:ind w:firstLine="720"/>
        <w:jc w:val="both"/>
        <w:rPr>
          <w:color w:val="000000"/>
          <w:sz w:val="28"/>
          <w:szCs w:val="28"/>
        </w:rPr>
      </w:pPr>
      <w:r w:rsidRPr="00B75021">
        <w:rPr>
          <w:bCs/>
          <w:sz w:val="28"/>
          <w:szCs w:val="28"/>
        </w:rPr>
        <w:t xml:space="preserve">За истекший период, несмотря на произошедшие изменения, связанные с реализацией регулярно  принимаемых </w:t>
      </w:r>
      <w:r w:rsidRPr="00B75021">
        <w:rPr>
          <w:sz w:val="28"/>
          <w:szCs w:val="28"/>
        </w:rPr>
        <w:t xml:space="preserve">национальных программ противодействия коррупции, острота проблемы не снята. Согласно данным международной организации Transparency International  за 2017 год </w:t>
      </w:r>
      <w:r w:rsidRPr="00B75021">
        <w:rPr>
          <w:color w:val="000000"/>
          <w:sz w:val="28"/>
          <w:szCs w:val="28"/>
        </w:rPr>
        <w:t xml:space="preserve">в Индексе восприятия коррупции </w:t>
      </w:r>
      <w:r w:rsidRPr="00B75021">
        <w:rPr>
          <w:sz w:val="28"/>
          <w:szCs w:val="28"/>
        </w:rPr>
        <w:t xml:space="preserve">(Corruption Perception Index, CPI),  который </w:t>
      </w:r>
      <w:r w:rsidRPr="00B75021">
        <w:rPr>
          <w:color w:val="000000"/>
          <w:sz w:val="28"/>
          <w:szCs w:val="28"/>
        </w:rPr>
        <w:t>составляется на основании опросов экспертов и предпринимателей, проведенных независимыми организациями по всему миру,</w:t>
      </w:r>
      <w:r w:rsidRPr="00B75021">
        <w:rPr>
          <w:sz w:val="28"/>
          <w:szCs w:val="28"/>
        </w:rPr>
        <w:t xml:space="preserve"> Россия</w:t>
      </w:r>
      <w:r w:rsidRPr="00B75021">
        <w:rPr>
          <w:b/>
          <w:sz w:val="28"/>
          <w:szCs w:val="28"/>
        </w:rPr>
        <w:t xml:space="preserve"> </w:t>
      </w:r>
      <w:r w:rsidRPr="00B75021">
        <w:rPr>
          <w:color w:val="000000"/>
          <w:sz w:val="28"/>
          <w:szCs w:val="28"/>
        </w:rPr>
        <w:t xml:space="preserve">набрала 29 баллов из 100 и заняла 135-е место из 180. И это несмотря на то, что в России прошел целый ряд громких коррупционных дел, в том числе суд над бывшим министром экономического развития Алексеем Улюкаевым и рядом бывших губернаторов [8]. </w:t>
      </w:r>
    </w:p>
    <w:p w:rsidR="00B75021" w:rsidRPr="00B75021" w:rsidRDefault="00B75021" w:rsidP="005A3DF4">
      <w:pPr>
        <w:pStyle w:val="s3"/>
        <w:widowControl w:val="0"/>
        <w:shd w:val="clear" w:color="auto" w:fill="FFFFFF"/>
        <w:spacing w:before="0" w:beforeAutospacing="0" w:after="0" w:afterAutospacing="0"/>
        <w:ind w:firstLine="709"/>
        <w:jc w:val="both"/>
        <w:rPr>
          <w:sz w:val="28"/>
          <w:szCs w:val="28"/>
        </w:rPr>
      </w:pPr>
      <w:r w:rsidRPr="00B75021">
        <w:rPr>
          <w:sz w:val="28"/>
          <w:szCs w:val="28"/>
        </w:rPr>
        <w:t>Выступая в марте 2019 года на з</w:t>
      </w:r>
      <w:r w:rsidRPr="00B75021">
        <w:rPr>
          <w:kern w:val="36"/>
          <w:sz w:val="28"/>
          <w:szCs w:val="28"/>
        </w:rPr>
        <w:t xml:space="preserve">аседании коллегии Генпрокуратуры России Президент России В.Путин обратил внимание на необходимость органам прокуратуры совместно с представителями </w:t>
      </w:r>
      <w:r w:rsidRPr="00B75021">
        <w:rPr>
          <w:color w:val="020C22"/>
          <w:sz w:val="28"/>
          <w:szCs w:val="28"/>
        </w:rPr>
        <w:t xml:space="preserve">других ведомств, парламентариями, деловым сообществом, Правительством, принять самое активное участие в разработке и обновлении законодательной и иной нормативной базы, в том числе и ведомственной </w:t>
      </w:r>
      <w:r w:rsidRPr="00B75021">
        <w:rPr>
          <w:bCs/>
          <w:sz w:val="28"/>
          <w:szCs w:val="28"/>
        </w:rPr>
        <w:t>[5]</w:t>
      </w:r>
      <w:r w:rsidRPr="00B75021">
        <w:rPr>
          <w:color w:val="020C22"/>
          <w:sz w:val="28"/>
          <w:szCs w:val="28"/>
        </w:rPr>
        <w:t xml:space="preserve">. В этой связи считаем актуальным выбранную тему, которая связана с исследованием практики проведения органами прокуратуры </w:t>
      </w:r>
      <w:r w:rsidRPr="00B75021">
        <w:rPr>
          <w:sz w:val="28"/>
          <w:szCs w:val="28"/>
        </w:rPr>
        <w:t>антикоррупционной экспертизы нормативных правовых актов на примере Приморского края.</w:t>
      </w:r>
    </w:p>
    <w:p w:rsidR="00B75021" w:rsidRPr="00B75021" w:rsidRDefault="00B75021" w:rsidP="005A3DF4">
      <w:pPr>
        <w:pStyle w:val="a9"/>
        <w:widowControl w:val="0"/>
        <w:spacing w:before="0" w:beforeAutospacing="0" w:after="0" w:afterAutospacing="0"/>
        <w:ind w:firstLine="709"/>
        <w:jc w:val="both"/>
        <w:rPr>
          <w:sz w:val="28"/>
          <w:szCs w:val="28"/>
        </w:rPr>
      </w:pPr>
      <w:r w:rsidRPr="00B75021">
        <w:rPr>
          <w:sz w:val="28"/>
          <w:szCs w:val="28"/>
        </w:rPr>
        <w:t xml:space="preserve">Исследованию отношений по противодействию коррупции в советский и в последующий периоды времени уделялось большое внимание в научной литературе. </w:t>
      </w:r>
    </w:p>
    <w:p w:rsidR="00B75021" w:rsidRPr="00B75021" w:rsidRDefault="00B75021" w:rsidP="005A3DF4">
      <w:pPr>
        <w:pStyle w:val="a9"/>
        <w:widowControl w:val="0"/>
        <w:spacing w:before="0" w:beforeAutospacing="0" w:after="0" w:afterAutospacing="0"/>
        <w:ind w:firstLine="709"/>
        <w:jc w:val="both"/>
        <w:rPr>
          <w:sz w:val="28"/>
          <w:szCs w:val="28"/>
        </w:rPr>
      </w:pPr>
      <w:r w:rsidRPr="00B75021">
        <w:rPr>
          <w:sz w:val="28"/>
          <w:szCs w:val="28"/>
        </w:rPr>
        <w:t xml:space="preserve">Вопросам противодействия коррупции в системе государственной гражданской службы Российской Федерации, в т.ч. </w:t>
      </w:r>
      <w:r w:rsidRPr="00B75021">
        <w:rPr>
          <w:kern w:val="36"/>
          <w:sz w:val="28"/>
          <w:szCs w:val="28"/>
        </w:rPr>
        <w:t xml:space="preserve">организации проведения </w:t>
      </w:r>
      <w:r w:rsidRPr="00B75021">
        <w:rPr>
          <w:kern w:val="36"/>
          <w:sz w:val="28"/>
          <w:szCs w:val="28"/>
        </w:rPr>
        <w:lastRenderedPageBreak/>
        <w:t>антикоррупционной экспертизы нормативных правовых актов</w:t>
      </w:r>
      <w:r w:rsidRPr="00B75021">
        <w:rPr>
          <w:sz w:val="28"/>
          <w:szCs w:val="28"/>
        </w:rPr>
        <w:t>, посвящены работы А.К.Балдина [1], Л.В.Гузенко [4], Б.В.Коробейникова [6], А.Е.Русецкого [9] , К.В.Севрюгина [10] и др.</w:t>
      </w:r>
    </w:p>
    <w:p w:rsidR="00B75021" w:rsidRPr="00B75021" w:rsidRDefault="00B75021" w:rsidP="005A3DF4">
      <w:pPr>
        <w:widowControl w:val="0"/>
        <w:spacing w:after="0" w:line="240" w:lineRule="auto"/>
        <w:ind w:firstLine="709"/>
        <w:jc w:val="both"/>
        <w:rPr>
          <w:rFonts w:ascii="Times New Roman" w:hAnsi="Times New Roman"/>
          <w:sz w:val="28"/>
          <w:szCs w:val="28"/>
        </w:rPr>
      </w:pPr>
      <w:r w:rsidRPr="00B75021">
        <w:rPr>
          <w:rFonts w:ascii="Times New Roman" w:hAnsi="Times New Roman"/>
          <w:sz w:val="28"/>
          <w:szCs w:val="28"/>
        </w:rPr>
        <w:t xml:space="preserve">Вместе с тем, на наш взгляд, есть потребность и необходимость в дальнейших исследованиях, практических рекомендациях, способствующих повышению эффективности противодействия коррупции в Российской Федерации. </w:t>
      </w:r>
    </w:p>
    <w:p w:rsidR="00B75021" w:rsidRPr="00B75021" w:rsidRDefault="00B75021" w:rsidP="005A3DF4">
      <w:pPr>
        <w:widowControl w:val="0"/>
        <w:spacing w:after="0" w:line="240" w:lineRule="auto"/>
        <w:ind w:firstLine="709"/>
        <w:jc w:val="both"/>
        <w:rPr>
          <w:rFonts w:ascii="Times New Roman" w:hAnsi="Times New Roman"/>
          <w:sz w:val="28"/>
          <w:szCs w:val="28"/>
        </w:rPr>
      </w:pPr>
      <w:r w:rsidRPr="00B75021">
        <w:rPr>
          <w:rFonts w:ascii="Times New Roman" w:hAnsi="Times New Roman"/>
          <w:sz w:val="28"/>
          <w:szCs w:val="28"/>
        </w:rPr>
        <w:t>В числе мер по профилактике коррупции статьей 6 Федерального закона «</w:t>
      </w:r>
      <w:r w:rsidRPr="00B75021">
        <w:rPr>
          <w:rFonts w:ascii="Times New Roman" w:hAnsi="Times New Roman"/>
          <w:bCs/>
          <w:kern w:val="36"/>
          <w:sz w:val="28"/>
          <w:szCs w:val="28"/>
        </w:rPr>
        <w:t>О противодействии коррупции» от 25.12.2008 N 273-ФЗ (далее – Федеральный закон №273)</w:t>
      </w:r>
      <w:r w:rsidRPr="00B75021">
        <w:rPr>
          <w:rFonts w:ascii="Times New Roman" w:hAnsi="Times New Roman"/>
          <w:sz w:val="28"/>
          <w:szCs w:val="28"/>
        </w:rPr>
        <w:t xml:space="preserve">  </w:t>
      </w:r>
      <w:r w:rsidRPr="00B75021">
        <w:rPr>
          <w:rFonts w:ascii="Times New Roman" w:hAnsi="Times New Roman"/>
          <w:bCs/>
          <w:kern w:val="36"/>
          <w:sz w:val="28"/>
          <w:szCs w:val="28"/>
        </w:rPr>
        <w:t xml:space="preserve">определена </w:t>
      </w:r>
      <w:bookmarkStart w:id="26" w:name="dst100049"/>
      <w:bookmarkStart w:id="27" w:name="dst100050"/>
      <w:bookmarkEnd w:id="26"/>
      <w:bookmarkEnd w:id="27"/>
      <w:r w:rsidRPr="00B75021">
        <w:rPr>
          <w:rFonts w:ascii="Times New Roman" w:hAnsi="Times New Roman"/>
          <w:sz w:val="28"/>
          <w:szCs w:val="28"/>
        </w:rPr>
        <w:fldChar w:fldCharType="begin"/>
      </w:r>
      <w:r w:rsidRPr="00B75021">
        <w:rPr>
          <w:rFonts w:ascii="Times New Roman" w:hAnsi="Times New Roman"/>
          <w:sz w:val="28"/>
          <w:szCs w:val="28"/>
        </w:rPr>
        <w:instrText xml:space="preserve"> HYPERLINK "http://www.consultant.ru/document/cons_doc_LAW_308817/" \l "dst0" </w:instrText>
      </w:r>
      <w:r w:rsidRPr="00B75021">
        <w:rPr>
          <w:rFonts w:ascii="Times New Roman" w:hAnsi="Times New Roman"/>
          <w:sz w:val="28"/>
          <w:szCs w:val="28"/>
        </w:rPr>
        <w:fldChar w:fldCharType="separate"/>
      </w:r>
      <w:r w:rsidRPr="00B75021">
        <w:rPr>
          <w:rStyle w:val="a8"/>
          <w:rFonts w:ascii="Times New Roman" w:hAnsi="Times New Roman"/>
          <w:color w:val="auto"/>
          <w:sz w:val="28"/>
          <w:szCs w:val="28"/>
          <w:u w:val="none"/>
        </w:rPr>
        <w:t>антикоррупционная экспертиза</w:t>
      </w:r>
      <w:r w:rsidRPr="00B75021">
        <w:rPr>
          <w:rFonts w:ascii="Times New Roman" w:hAnsi="Times New Roman"/>
          <w:sz w:val="28"/>
          <w:szCs w:val="28"/>
        </w:rPr>
        <w:fldChar w:fldCharType="end"/>
      </w:r>
      <w:r w:rsidRPr="00B75021">
        <w:rPr>
          <w:rFonts w:ascii="Times New Roman" w:hAnsi="Times New Roman"/>
          <w:sz w:val="28"/>
          <w:szCs w:val="28"/>
        </w:rPr>
        <w:t xml:space="preserve"> правовых актов и их проектов, которая с внесением в июле </w:t>
      </w:r>
      <w:smartTag w:uri="urn:schemas-microsoft-com:office:smarttags" w:element="metricconverter">
        <w:smartTagPr>
          <w:attr w:name="ProductID" w:val="2009 г"/>
        </w:smartTagPr>
        <w:r w:rsidRPr="00B75021">
          <w:rPr>
            <w:rFonts w:ascii="Times New Roman" w:hAnsi="Times New Roman"/>
            <w:sz w:val="28"/>
            <w:szCs w:val="28"/>
          </w:rPr>
          <w:t>2009 г</w:t>
        </w:r>
      </w:smartTag>
      <w:r w:rsidRPr="00B75021">
        <w:rPr>
          <w:rFonts w:ascii="Times New Roman" w:hAnsi="Times New Roman"/>
          <w:sz w:val="28"/>
          <w:szCs w:val="28"/>
        </w:rPr>
        <w:t xml:space="preserve">. изменений в Федеральный закон «О прокуратуре Российской Федерации» </w:t>
      </w:r>
      <w:r w:rsidRPr="00B75021">
        <w:rPr>
          <w:rFonts w:ascii="Times New Roman" w:hAnsi="Times New Roman"/>
          <w:bCs/>
          <w:kern w:val="36"/>
          <w:sz w:val="28"/>
          <w:szCs w:val="28"/>
        </w:rPr>
        <w:t xml:space="preserve">(далее – Федеральный закон №2202-1)  </w:t>
      </w:r>
      <w:r w:rsidRPr="00B75021">
        <w:rPr>
          <w:rFonts w:ascii="Times New Roman" w:hAnsi="Times New Roman"/>
          <w:sz w:val="28"/>
          <w:szCs w:val="28"/>
        </w:rPr>
        <w:t xml:space="preserve">стала одной из функций органов прокуратуры.   Так, статьей 9.1 указанного нормативного акта предусмотрено, что прокурор в ходе осуществления своих полномочий в установленном Генеральной прокуратурой Российской Федерации </w:t>
      </w:r>
      <w:hyperlink r:id="rId165" w:anchor="dst100003" w:history="1">
        <w:r w:rsidRPr="00B75021">
          <w:rPr>
            <w:rStyle w:val="a8"/>
            <w:rFonts w:ascii="Times New Roman" w:hAnsi="Times New Roman"/>
            <w:color w:val="auto"/>
            <w:sz w:val="28"/>
            <w:szCs w:val="28"/>
            <w:u w:val="none"/>
          </w:rPr>
          <w:t>порядке</w:t>
        </w:r>
      </w:hyperlink>
      <w:r w:rsidRPr="00B75021">
        <w:rPr>
          <w:rFonts w:ascii="Times New Roman" w:hAnsi="Times New Roman"/>
          <w:sz w:val="28"/>
          <w:szCs w:val="28"/>
        </w:rPr>
        <w:t xml:space="preserve"> и согласно </w:t>
      </w:r>
      <w:hyperlink r:id="rId166" w:anchor="dst100027" w:history="1">
        <w:r w:rsidRPr="00B75021">
          <w:rPr>
            <w:rStyle w:val="a8"/>
            <w:rFonts w:ascii="Times New Roman" w:hAnsi="Times New Roman"/>
            <w:color w:val="auto"/>
            <w:sz w:val="28"/>
            <w:szCs w:val="28"/>
            <w:u w:val="none"/>
          </w:rPr>
          <w:t>методике</w:t>
        </w:r>
      </w:hyperlink>
      <w:r w:rsidRPr="00B75021">
        <w:rPr>
          <w:rFonts w:ascii="Times New Roman" w:hAnsi="Times New Roman"/>
          <w:sz w:val="28"/>
          <w:szCs w:val="28"/>
        </w:rPr>
        <w:t xml:space="preserve">, определенной Правительством Российской Федерации, проводит антикоррупционную экспертизу нормативных правовых актов федеральных органов исполнительной власти, органов государственной власти субъектов Российской Федерации, иных государственных органов и организаций, органов местного самоуправления, их должностных лиц.  </w:t>
      </w:r>
    </w:p>
    <w:p w:rsidR="00B75021" w:rsidRPr="00B75021" w:rsidRDefault="00B75021" w:rsidP="005A3DF4">
      <w:pPr>
        <w:pStyle w:val="2"/>
        <w:keepNext w:val="0"/>
        <w:widowControl w:val="0"/>
        <w:spacing w:before="0" w:after="0" w:line="240" w:lineRule="auto"/>
        <w:jc w:val="right"/>
        <w:rPr>
          <w:rFonts w:ascii="Times New Roman" w:hAnsi="Times New Roman" w:cs="Times New Roman"/>
          <w:b w:val="0"/>
          <w:i w:val="0"/>
        </w:rPr>
      </w:pPr>
      <w:r w:rsidRPr="00B75021">
        <w:rPr>
          <w:rFonts w:ascii="Times New Roman" w:hAnsi="Times New Roman" w:cs="Times New Roman"/>
          <w:b w:val="0"/>
          <w:i w:val="0"/>
        </w:rPr>
        <w:t>Таблица 1</w:t>
      </w:r>
    </w:p>
    <w:p w:rsidR="00B75021" w:rsidRPr="00B75021" w:rsidRDefault="00B75021" w:rsidP="005A3DF4">
      <w:pPr>
        <w:pStyle w:val="2"/>
        <w:keepNext w:val="0"/>
        <w:widowControl w:val="0"/>
        <w:spacing w:before="0" w:after="0" w:line="240" w:lineRule="auto"/>
        <w:jc w:val="both"/>
        <w:rPr>
          <w:rFonts w:ascii="Times New Roman" w:hAnsi="Times New Roman" w:cs="Times New Roman"/>
          <w:b w:val="0"/>
          <w:i w:val="0"/>
        </w:rPr>
      </w:pPr>
      <w:r w:rsidRPr="00B75021">
        <w:rPr>
          <w:rFonts w:ascii="Times New Roman" w:hAnsi="Times New Roman" w:cs="Times New Roman"/>
          <w:b w:val="0"/>
          <w:i w:val="0"/>
        </w:rPr>
        <w:t xml:space="preserve">Динамика количества выявленных органами прокуратуры Российской Федерации  </w:t>
      </w:r>
      <w:r w:rsidRPr="00B75021">
        <w:rPr>
          <w:rFonts w:ascii="Times New Roman" w:hAnsi="Times New Roman" w:cs="Times New Roman"/>
          <w:b w:val="0"/>
          <w:i w:val="0"/>
          <w:lang w:eastAsia="ru-RU"/>
        </w:rPr>
        <w:t>нормативных правовых актов (НПА) и проектов НПА, содержащих коррупциогенные факторы</w:t>
      </w:r>
      <w:r w:rsidRPr="00B75021">
        <w:rPr>
          <w:rFonts w:ascii="Times New Roman" w:hAnsi="Times New Roman" w:cs="Times New Roman"/>
          <w:b w:val="0"/>
          <w:i w:val="0"/>
        </w:rPr>
        <w:t xml:space="preserve"> в период с 2012 по 2017 гг.</w:t>
      </w:r>
      <w:r w:rsidRPr="00B75021">
        <w:rPr>
          <w:rStyle w:val="af0"/>
          <w:rFonts w:ascii="Times New Roman" w:eastAsia="Calibri" w:hAnsi="Times New Roman" w:cs="Times New Roman"/>
          <w:b w:val="0"/>
          <w:i w:val="0"/>
        </w:rPr>
        <w:t xml:space="preserve"> </w:t>
      </w:r>
      <w:r w:rsidRPr="00B75021">
        <w:rPr>
          <w:rFonts w:ascii="Times New Roman" w:hAnsi="Times New Roman" w:cs="Times New Roman"/>
          <w:b w:val="0"/>
          <w:i w:val="0"/>
        </w:rPr>
        <w:t>[</w:t>
      </w:r>
      <w:r w:rsidRPr="00B75021">
        <w:rPr>
          <w:rFonts w:ascii="Times New Roman" w:hAnsi="Times New Roman" w:cs="Times New Roman"/>
          <w:b w:val="0"/>
          <w:i w:val="0"/>
          <w:lang w:val="en-US"/>
        </w:rPr>
        <w:t>11</w:t>
      </w:r>
      <w:r w:rsidRPr="00B75021">
        <w:rPr>
          <w:rFonts w:ascii="Times New Roman" w:hAnsi="Times New Roman" w:cs="Times New Roman"/>
          <w:b w:val="0"/>
          <w:i w:val="0"/>
        </w:rPr>
        <w:t xml:space="preserve">.С.16 ] </w:t>
      </w:r>
    </w:p>
    <w:tbl>
      <w:tblPr>
        <w:tblStyle w:val="af9"/>
        <w:tblW w:w="0" w:type="auto"/>
        <w:tblInd w:w="108" w:type="dxa"/>
        <w:tblLook w:val="01E0" w:firstRow="1" w:lastRow="1" w:firstColumn="1" w:lastColumn="1" w:noHBand="0" w:noVBand="0"/>
      </w:tblPr>
      <w:tblGrid>
        <w:gridCol w:w="5400"/>
        <w:gridCol w:w="1272"/>
        <w:gridCol w:w="1260"/>
        <w:gridCol w:w="1248"/>
      </w:tblGrid>
      <w:tr w:rsidR="00B75021" w:rsidRPr="00B75021" w:rsidTr="00066CAE">
        <w:tc>
          <w:tcPr>
            <w:tcW w:w="5400" w:type="dxa"/>
          </w:tcPr>
          <w:p w:rsidR="00B75021" w:rsidRPr="00B75021" w:rsidRDefault="00B75021" w:rsidP="005A3DF4">
            <w:pPr>
              <w:pStyle w:val="2"/>
              <w:keepNext w:val="0"/>
              <w:widowControl w:val="0"/>
              <w:spacing w:before="0" w:after="0" w:line="240" w:lineRule="auto"/>
              <w:jc w:val="both"/>
              <w:outlineLvl w:val="1"/>
              <w:rPr>
                <w:rFonts w:ascii="Times New Roman" w:hAnsi="Times New Roman" w:cs="Times New Roman"/>
                <w:b w:val="0"/>
                <w:i w:val="0"/>
              </w:rPr>
            </w:pPr>
            <w:r w:rsidRPr="00B75021">
              <w:rPr>
                <w:rFonts w:ascii="Times New Roman" w:hAnsi="Times New Roman" w:cs="Times New Roman"/>
                <w:b w:val="0"/>
                <w:i w:val="0"/>
              </w:rPr>
              <w:t>Количество   / годы</w:t>
            </w:r>
          </w:p>
        </w:tc>
        <w:tc>
          <w:tcPr>
            <w:tcW w:w="1272"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2015</w:t>
            </w:r>
          </w:p>
        </w:tc>
        <w:tc>
          <w:tcPr>
            <w:tcW w:w="1260"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2016</w:t>
            </w:r>
          </w:p>
        </w:tc>
        <w:tc>
          <w:tcPr>
            <w:tcW w:w="1248" w:type="dxa"/>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2017</w:t>
            </w:r>
          </w:p>
        </w:tc>
      </w:tr>
      <w:tr w:rsidR="00B75021" w:rsidRPr="00B75021" w:rsidTr="00066CAE">
        <w:tc>
          <w:tcPr>
            <w:tcW w:w="5400" w:type="dxa"/>
          </w:tcPr>
          <w:p w:rsidR="00B75021" w:rsidRPr="00B75021" w:rsidRDefault="00B75021" w:rsidP="005A3DF4">
            <w:pPr>
              <w:pStyle w:val="2"/>
              <w:keepNext w:val="0"/>
              <w:widowControl w:val="0"/>
              <w:spacing w:before="0" w:after="0" w:line="240" w:lineRule="auto"/>
              <w:jc w:val="both"/>
              <w:outlineLvl w:val="1"/>
              <w:rPr>
                <w:rFonts w:ascii="Times New Roman" w:hAnsi="Times New Roman" w:cs="Times New Roman"/>
                <w:b w:val="0"/>
                <w:i w:val="0"/>
              </w:rPr>
            </w:pPr>
            <w:r w:rsidRPr="00B75021">
              <w:rPr>
                <w:rFonts w:ascii="Times New Roman" w:hAnsi="Times New Roman" w:cs="Times New Roman"/>
                <w:b w:val="0"/>
                <w:i w:val="0"/>
              </w:rPr>
              <w:t>Изучено НПА и их проектов на наличие коррупционных факторов</w:t>
            </w:r>
          </w:p>
        </w:tc>
        <w:tc>
          <w:tcPr>
            <w:tcW w:w="1272"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1 679 956</w:t>
            </w:r>
          </w:p>
        </w:tc>
        <w:tc>
          <w:tcPr>
            <w:tcW w:w="1260"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1 830 044</w:t>
            </w:r>
          </w:p>
        </w:tc>
        <w:tc>
          <w:tcPr>
            <w:tcW w:w="1248" w:type="dxa"/>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1843630</w:t>
            </w:r>
          </w:p>
        </w:tc>
      </w:tr>
      <w:tr w:rsidR="00B75021" w:rsidRPr="00B75021" w:rsidTr="00066CAE">
        <w:tc>
          <w:tcPr>
            <w:tcW w:w="5400" w:type="dxa"/>
          </w:tcPr>
          <w:p w:rsidR="00B75021" w:rsidRPr="00B75021" w:rsidRDefault="00B75021" w:rsidP="005A3DF4">
            <w:pPr>
              <w:pStyle w:val="2"/>
              <w:keepNext w:val="0"/>
              <w:widowControl w:val="0"/>
              <w:spacing w:before="0" w:after="0" w:line="240" w:lineRule="auto"/>
              <w:jc w:val="both"/>
              <w:outlineLvl w:val="1"/>
              <w:rPr>
                <w:rFonts w:ascii="Times New Roman" w:hAnsi="Times New Roman" w:cs="Times New Roman"/>
                <w:b w:val="0"/>
                <w:i w:val="0"/>
              </w:rPr>
            </w:pPr>
            <w:r w:rsidRPr="00B75021">
              <w:rPr>
                <w:rFonts w:ascii="Times New Roman" w:hAnsi="Times New Roman" w:cs="Times New Roman"/>
                <w:b w:val="0"/>
                <w:i w:val="0"/>
              </w:rPr>
              <w:t>Выявлено НПА и проектов НПА, содержащих коррупциогенные факторы</w:t>
            </w:r>
          </w:p>
        </w:tc>
        <w:tc>
          <w:tcPr>
            <w:tcW w:w="1272"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69 543</w:t>
            </w:r>
          </w:p>
        </w:tc>
        <w:tc>
          <w:tcPr>
            <w:tcW w:w="1260" w:type="dxa"/>
            <w:shd w:val="clear" w:color="auto" w:fill="auto"/>
          </w:tcPr>
          <w:p w:rsidR="00B75021" w:rsidRPr="00B75021" w:rsidRDefault="00B75021" w:rsidP="005A3DF4">
            <w:pPr>
              <w:pStyle w:val="2"/>
              <w:keepNext w:val="0"/>
              <w:widowControl w:val="0"/>
              <w:tabs>
                <w:tab w:val="center" w:pos="310"/>
              </w:tabs>
              <w:spacing w:before="0" w:after="0" w:line="240" w:lineRule="auto"/>
              <w:outlineLvl w:val="1"/>
              <w:rPr>
                <w:rFonts w:ascii="Times New Roman" w:hAnsi="Times New Roman" w:cs="Times New Roman"/>
                <w:b w:val="0"/>
                <w:i w:val="0"/>
              </w:rPr>
            </w:pPr>
            <w:r w:rsidRPr="00B75021">
              <w:rPr>
                <w:rFonts w:ascii="Times New Roman" w:hAnsi="Times New Roman" w:cs="Times New Roman"/>
              </w:rPr>
              <w:tab/>
            </w:r>
            <w:r w:rsidRPr="00B75021">
              <w:rPr>
                <w:rFonts w:ascii="Times New Roman" w:hAnsi="Times New Roman" w:cs="Times New Roman"/>
                <w:b w:val="0"/>
                <w:i w:val="0"/>
              </w:rPr>
              <w:t>74324</w:t>
            </w:r>
          </w:p>
        </w:tc>
        <w:tc>
          <w:tcPr>
            <w:tcW w:w="1248" w:type="dxa"/>
          </w:tcPr>
          <w:p w:rsidR="00B75021" w:rsidRPr="00B75021" w:rsidRDefault="00B75021" w:rsidP="005A3DF4">
            <w:pPr>
              <w:widowControl w:val="0"/>
              <w:jc w:val="center"/>
              <w:rPr>
                <w:rFonts w:ascii="Times New Roman" w:hAnsi="Times New Roman"/>
                <w:sz w:val="28"/>
                <w:szCs w:val="28"/>
              </w:rPr>
            </w:pPr>
            <w:r w:rsidRPr="00B75021">
              <w:rPr>
                <w:rFonts w:ascii="Times New Roman" w:hAnsi="Times New Roman"/>
                <w:sz w:val="28"/>
                <w:szCs w:val="28"/>
              </w:rPr>
              <w:t>71029</w:t>
            </w:r>
          </w:p>
        </w:tc>
      </w:tr>
      <w:tr w:rsidR="00B75021" w:rsidRPr="00B75021" w:rsidTr="00066CAE">
        <w:tc>
          <w:tcPr>
            <w:tcW w:w="5400" w:type="dxa"/>
          </w:tcPr>
          <w:p w:rsidR="00B75021" w:rsidRPr="00B75021" w:rsidRDefault="00B75021" w:rsidP="005A3DF4">
            <w:pPr>
              <w:pStyle w:val="2"/>
              <w:keepNext w:val="0"/>
              <w:widowControl w:val="0"/>
              <w:spacing w:before="0" w:after="0" w:line="240" w:lineRule="auto"/>
              <w:jc w:val="both"/>
              <w:outlineLvl w:val="1"/>
              <w:rPr>
                <w:rFonts w:ascii="Times New Roman" w:hAnsi="Times New Roman" w:cs="Times New Roman"/>
                <w:b w:val="0"/>
                <w:i w:val="0"/>
              </w:rPr>
            </w:pPr>
            <w:r w:rsidRPr="00B75021">
              <w:rPr>
                <w:rFonts w:ascii="Times New Roman" w:hAnsi="Times New Roman" w:cs="Times New Roman"/>
                <w:b w:val="0"/>
                <w:i w:val="0"/>
              </w:rPr>
              <w:t>Количество НПА и проектов НПА, из которых исключены коррупциогенные факторы в результате вмешательства прокурора</w:t>
            </w:r>
          </w:p>
        </w:tc>
        <w:tc>
          <w:tcPr>
            <w:tcW w:w="1272"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63 077</w:t>
            </w:r>
          </w:p>
        </w:tc>
        <w:tc>
          <w:tcPr>
            <w:tcW w:w="1260"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69026</w:t>
            </w:r>
          </w:p>
        </w:tc>
        <w:tc>
          <w:tcPr>
            <w:tcW w:w="1248" w:type="dxa"/>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65503</w:t>
            </w:r>
          </w:p>
        </w:tc>
      </w:tr>
    </w:tbl>
    <w:p w:rsidR="00B75021" w:rsidRPr="00B75021" w:rsidRDefault="00B75021" w:rsidP="005A3DF4">
      <w:pPr>
        <w:widowControl w:val="0"/>
        <w:spacing w:after="0" w:line="240" w:lineRule="auto"/>
        <w:ind w:firstLine="720"/>
        <w:jc w:val="both"/>
        <w:rPr>
          <w:rFonts w:ascii="Times New Roman" w:hAnsi="Times New Roman"/>
          <w:sz w:val="28"/>
          <w:szCs w:val="28"/>
          <w:lang w:val="en-US"/>
        </w:rPr>
      </w:pPr>
    </w:p>
    <w:p w:rsidR="00B75021" w:rsidRPr="00B75021" w:rsidRDefault="00B75021" w:rsidP="005A3DF4">
      <w:pPr>
        <w:widowControl w:val="0"/>
        <w:spacing w:after="0" w:line="240" w:lineRule="auto"/>
        <w:ind w:firstLine="720"/>
        <w:jc w:val="both"/>
        <w:rPr>
          <w:rFonts w:ascii="Times New Roman" w:hAnsi="Times New Roman"/>
          <w:bCs/>
          <w:color w:val="333333"/>
          <w:kern w:val="36"/>
          <w:sz w:val="28"/>
          <w:szCs w:val="28"/>
        </w:rPr>
      </w:pPr>
      <w:r w:rsidRPr="00B75021">
        <w:rPr>
          <w:rFonts w:ascii="Times New Roman" w:hAnsi="Times New Roman"/>
          <w:sz w:val="28"/>
          <w:szCs w:val="28"/>
        </w:rPr>
        <w:t xml:space="preserve">Следует отметить, что в рамках новых полномочий органами прокуратуры проводится существенная работа на этом направлении деятельности. Данные табл.1 свидетельствуют, что в течение 2015 – 2017 гг. органами прокуратуры Российской Федерации ежегодно изучалось   от 1,7 млн до 1,8 млн </w:t>
      </w:r>
      <w:r w:rsidRPr="00B75021">
        <w:rPr>
          <w:rFonts w:ascii="Times New Roman" w:hAnsi="Times New Roman"/>
          <w:sz w:val="28"/>
          <w:szCs w:val="28"/>
          <w:lang w:eastAsia="ru-RU"/>
        </w:rPr>
        <w:t xml:space="preserve">нормативных правовых актов (НПА) и проектов НПА, из них </w:t>
      </w:r>
      <w:r w:rsidRPr="00B75021">
        <w:rPr>
          <w:rFonts w:ascii="Times New Roman" w:hAnsi="Times New Roman"/>
          <w:sz w:val="28"/>
          <w:szCs w:val="28"/>
        </w:rPr>
        <w:t xml:space="preserve">выявлялось от 63 тыс. до 74 тыс. актов, </w:t>
      </w:r>
      <w:r w:rsidRPr="00B75021">
        <w:rPr>
          <w:rFonts w:ascii="Times New Roman" w:hAnsi="Times New Roman"/>
          <w:sz w:val="28"/>
          <w:szCs w:val="28"/>
          <w:lang w:eastAsia="ru-RU"/>
        </w:rPr>
        <w:t>содержащих коррупциогенные факторы.</w:t>
      </w:r>
      <w:r w:rsidRPr="00B75021">
        <w:rPr>
          <w:rFonts w:ascii="Times New Roman" w:hAnsi="Times New Roman"/>
          <w:sz w:val="28"/>
          <w:szCs w:val="28"/>
        </w:rPr>
        <w:t xml:space="preserve"> </w:t>
      </w:r>
      <w:bookmarkStart w:id="28" w:name="dst100525"/>
      <w:bookmarkStart w:id="29" w:name="dst100526"/>
      <w:bookmarkEnd w:id="28"/>
      <w:bookmarkEnd w:id="29"/>
      <w:r w:rsidRPr="00B75021">
        <w:rPr>
          <w:rFonts w:ascii="Times New Roman" w:hAnsi="Times New Roman"/>
          <w:sz w:val="28"/>
          <w:szCs w:val="28"/>
        </w:rPr>
        <w:t xml:space="preserve">По результатам мер реагирования более чем из 90% ПНА и их проектов коррупционные факторы были исключены. </w:t>
      </w:r>
    </w:p>
    <w:p w:rsidR="00B75021" w:rsidRPr="00B75021" w:rsidRDefault="00B75021" w:rsidP="005A3DF4">
      <w:pPr>
        <w:widowControl w:val="0"/>
        <w:spacing w:after="0" w:line="240" w:lineRule="auto"/>
        <w:ind w:firstLine="720"/>
        <w:jc w:val="both"/>
        <w:rPr>
          <w:rFonts w:ascii="Times New Roman" w:hAnsi="Times New Roman"/>
          <w:sz w:val="28"/>
          <w:szCs w:val="28"/>
          <w:lang w:eastAsia="ru-RU"/>
        </w:rPr>
      </w:pPr>
      <w:r w:rsidRPr="00B75021">
        <w:rPr>
          <w:rFonts w:ascii="Times New Roman" w:hAnsi="Times New Roman"/>
          <w:sz w:val="28"/>
          <w:szCs w:val="28"/>
        </w:rPr>
        <w:t xml:space="preserve">Несколько иная динамика реализации рассматриваемой функции </w:t>
      </w:r>
      <w:r w:rsidRPr="00B75021">
        <w:rPr>
          <w:rFonts w:ascii="Times New Roman" w:hAnsi="Times New Roman"/>
          <w:sz w:val="28"/>
          <w:szCs w:val="28"/>
        </w:rPr>
        <w:lastRenderedPageBreak/>
        <w:t xml:space="preserve">отмечается в Приморском крае. Как свидетельствуют данные табл.2, в этот же период более чем в 1,7 раза произошло снижение количества выявленных органами прокуратуры края нормативных правовых актов и их проектов, </w:t>
      </w:r>
      <w:r w:rsidRPr="00B75021">
        <w:rPr>
          <w:rFonts w:ascii="Times New Roman" w:hAnsi="Times New Roman"/>
          <w:sz w:val="28"/>
          <w:szCs w:val="28"/>
          <w:lang w:eastAsia="ru-RU"/>
        </w:rPr>
        <w:t>содержащих коррупциогенные факторы. В то же время количество приведенных по результатам мер прокурорского реагирования НПА и их проектов в соответствие с требованиями антикоррупционного законодательства также было на высоком уровне - ежегодно от 88% до 96%.</w:t>
      </w:r>
    </w:p>
    <w:p w:rsidR="00B75021" w:rsidRPr="00B75021" w:rsidRDefault="00B75021" w:rsidP="005A3DF4">
      <w:pPr>
        <w:pStyle w:val="2"/>
        <w:keepNext w:val="0"/>
        <w:widowControl w:val="0"/>
        <w:spacing w:before="0" w:after="0" w:line="240" w:lineRule="auto"/>
        <w:jc w:val="right"/>
        <w:rPr>
          <w:rFonts w:ascii="Times New Roman" w:hAnsi="Times New Roman" w:cs="Times New Roman"/>
          <w:b w:val="0"/>
          <w:i w:val="0"/>
        </w:rPr>
      </w:pPr>
      <w:r w:rsidRPr="00B75021">
        <w:rPr>
          <w:rFonts w:ascii="Times New Roman" w:hAnsi="Times New Roman" w:cs="Times New Roman"/>
          <w:b w:val="0"/>
          <w:i w:val="0"/>
        </w:rPr>
        <w:t>Таблица 2</w:t>
      </w:r>
    </w:p>
    <w:p w:rsidR="00B75021" w:rsidRPr="00B75021" w:rsidRDefault="00B75021" w:rsidP="005A3DF4">
      <w:pPr>
        <w:pStyle w:val="2"/>
        <w:keepNext w:val="0"/>
        <w:widowControl w:val="0"/>
        <w:spacing w:before="0" w:after="0" w:line="240" w:lineRule="auto"/>
        <w:jc w:val="both"/>
        <w:rPr>
          <w:rFonts w:ascii="Times New Roman" w:hAnsi="Times New Roman" w:cs="Times New Roman"/>
          <w:b w:val="0"/>
          <w:i w:val="0"/>
        </w:rPr>
      </w:pPr>
      <w:r w:rsidRPr="00B75021">
        <w:rPr>
          <w:rFonts w:ascii="Times New Roman" w:hAnsi="Times New Roman" w:cs="Times New Roman"/>
          <w:b w:val="0"/>
          <w:i w:val="0"/>
        </w:rPr>
        <w:t xml:space="preserve">Динамика количества выявленных органами прокуратуры Приморского края  </w:t>
      </w:r>
      <w:r w:rsidRPr="00B75021">
        <w:rPr>
          <w:rFonts w:ascii="Times New Roman" w:hAnsi="Times New Roman" w:cs="Times New Roman"/>
          <w:b w:val="0"/>
          <w:i w:val="0"/>
          <w:lang w:eastAsia="ru-RU"/>
        </w:rPr>
        <w:t>нормативных правовых актов (НПА) и проектов НПА, содержащих коррупциогенные факторы</w:t>
      </w:r>
      <w:r w:rsidRPr="00B75021">
        <w:rPr>
          <w:rFonts w:ascii="Times New Roman" w:hAnsi="Times New Roman" w:cs="Times New Roman"/>
          <w:b w:val="0"/>
          <w:i w:val="0"/>
        </w:rPr>
        <w:t xml:space="preserve"> в период с 2015 по 2017 гг.</w:t>
      </w:r>
    </w:p>
    <w:tbl>
      <w:tblPr>
        <w:tblStyle w:val="af9"/>
        <w:tblW w:w="9354" w:type="dxa"/>
        <w:tblInd w:w="108" w:type="dxa"/>
        <w:tblLook w:val="01E0" w:firstRow="1" w:lastRow="1" w:firstColumn="1" w:lastColumn="1" w:noHBand="0" w:noVBand="0"/>
      </w:tblPr>
      <w:tblGrid>
        <w:gridCol w:w="6840"/>
        <w:gridCol w:w="838"/>
        <w:gridCol w:w="838"/>
        <w:gridCol w:w="838"/>
      </w:tblGrid>
      <w:tr w:rsidR="00B75021" w:rsidRPr="00B75021" w:rsidTr="00066CAE">
        <w:tc>
          <w:tcPr>
            <w:tcW w:w="6840" w:type="dxa"/>
          </w:tcPr>
          <w:p w:rsidR="00B75021" w:rsidRPr="00B75021" w:rsidRDefault="00B75021" w:rsidP="005A3DF4">
            <w:pPr>
              <w:pStyle w:val="2"/>
              <w:keepNext w:val="0"/>
              <w:widowControl w:val="0"/>
              <w:spacing w:before="0" w:after="0" w:line="240" w:lineRule="auto"/>
              <w:jc w:val="both"/>
              <w:outlineLvl w:val="1"/>
              <w:rPr>
                <w:rFonts w:ascii="Times New Roman" w:hAnsi="Times New Roman" w:cs="Times New Roman"/>
                <w:b w:val="0"/>
                <w:i w:val="0"/>
              </w:rPr>
            </w:pPr>
            <w:r w:rsidRPr="00B75021">
              <w:rPr>
                <w:rFonts w:ascii="Times New Roman" w:hAnsi="Times New Roman" w:cs="Times New Roman"/>
                <w:b w:val="0"/>
                <w:i w:val="0"/>
              </w:rPr>
              <w:t>Количество   / годы</w:t>
            </w:r>
          </w:p>
        </w:tc>
        <w:tc>
          <w:tcPr>
            <w:tcW w:w="838"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2015</w:t>
            </w:r>
          </w:p>
        </w:tc>
        <w:tc>
          <w:tcPr>
            <w:tcW w:w="838"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2016</w:t>
            </w:r>
          </w:p>
        </w:tc>
        <w:tc>
          <w:tcPr>
            <w:tcW w:w="838" w:type="dxa"/>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2017</w:t>
            </w:r>
          </w:p>
        </w:tc>
      </w:tr>
      <w:tr w:rsidR="00B75021" w:rsidRPr="00B75021" w:rsidTr="00066CAE">
        <w:tc>
          <w:tcPr>
            <w:tcW w:w="6840" w:type="dxa"/>
          </w:tcPr>
          <w:p w:rsidR="00B75021" w:rsidRPr="00B75021" w:rsidRDefault="00B75021" w:rsidP="005A3DF4">
            <w:pPr>
              <w:pStyle w:val="2"/>
              <w:keepNext w:val="0"/>
              <w:widowControl w:val="0"/>
              <w:spacing w:before="0" w:after="0" w:line="240" w:lineRule="auto"/>
              <w:jc w:val="both"/>
              <w:outlineLvl w:val="1"/>
              <w:rPr>
                <w:rFonts w:ascii="Times New Roman" w:hAnsi="Times New Roman" w:cs="Times New Roman"/>
                <w:b w:val="0"/>
                <w:i w:val="0"/>
              </w:rPr>
            </w:pPr>
            <w:r w:rsidRPr="00B75021">
              <w:rPr>
                <w:rFonts w:ascii="Times New Roman" w:hAnsi="Times New Roman" w:cs="Times New Roman"/>
                <w:b w:val="0"/>
                <w:i w:val="0"/>
              </w:rPr>
              <w:t>Выявлено НПА и проектов НПА, содержащих коррупциогенные факторы</w:t>
            </w:r>
          </w:p>
        </w:tc>
        <w:tc>
          <w:tcPr>
            <w:tcW w:w="838"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632</w:t>
            </w:r>
          </w:p>
        </w:tc>
        <w:tc>
          <w:tcPr>
            <w:tcW w:w="838"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439</w:t>
            </w:r>
          </w:p>
        </w:tc>
        <w:tc>
          <w:tcPr>
            <w:tcW w:w="838" w:type="dxa"/>
          </w:tcPr>
          <w:p w:rsidR="00B75021" w:rsidRPr="00B75021" w:rsidRDefault="00B75021" w:rsidP="005A3DF4">
            <w:pPr>
              <w:widowControl w:val="0"/>
              <w:rPr>
                <w:rFonts w:ascii="Times New Roman" w:hAnsi="Times New Roman"/>
                <w:sz w:val="28"/>
                <w:szCs w:val="28"/>
              </w:rPr>
            </w:pPr>
            <w:r w:rsidRPr="00B75021">
              <w:rPr>
                <w:rFonts w:ascii="Times New Roman" w:hAnsi="Times New Roman"/>
                <w:sz w:val="28"/>
                <w:szCs w:val="28"/>
              </w:rPr>
              <w:t>359</w:t>
            </w:r>
          </w:p>
        </w:tc>
      </w:tr>
      <w:tr w:rsidR="00B75021" w:rsidRPr="00B75021" w:rsidTr="00066CAE">
        <w:tc>
          <w:tcPr>
            <w:tcW w:w="6840" w:type="dxa"/>
          </w:tcPr>
          <w:p w:rsidR="00B75021" w:rsidRPr="00B75021" w:rsidRDefault="00B75021" w:rsidP="005A3DF4">
            <w:pPr>
              <w:pStyle w:val="2"/>
              <w:keepNext w:val="0"/>
              <w:widowControl w:val="0"/>
              <w:spacing w:before="0" w:after="0" w:line="240" w:lineRule="auto"/>
              <w:jc w:val="both"/>
              <w:outlineLvl w:val="1"/>
              <w:rPr>
                <w:rFonts w:ascii="Times New Roman" w:hAnsi="Times New Roman" w:cs="Times New Roman"/>
                <w:b w:val="0"/>
                <w:i w:val="0"/>
              </w:rPr>
            </w:pPr>
            <w:r w:rsidRPr="00B75021">
              <w:rPr>
                <w:rFonts w:ascii="Times New Roman" w:hAnsi="Times New Roman" w:cs="Times New Roman"/>
                <w:b w:val="0"/>
                <w:i w:val="0"/>
              </w:rPr>
              <w:t>Количество НПА и проектов НПА, из которых исключены коррупциогенные факторы в результате вмешательства прокурора</w:t>
            </w:r>
          </w:p>
        </w:tc>
        <w:tc>
          <w:tcPr>
            <w:tcW w:w="838"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558</w:t>
            </w:r>
          </w:p>
        </w:tc>
        <w:tc>
          <w:tcPr>
            <w:tcW w:w="838" w:type="dxa"/>
            <w:shd w:val="clear" w:color="auto" w:fill="auto"/>
          </w:tcPr>
          <w:p w:rsidR="00B75021" w:rsidRPr="00B75021" w:rsidRDefault="00B75021" w:rsidP="005A3DF4">
            <w:pPr>
              <w:pStyle w:val="2"/>
              <w:keepNext w:val="0"/>
              <w:widowControl w:val="0"/>
              <w:spacing w:before="0" w:after="0" w:line="240" w:lineRule="auto"/>
              <w:jc w:val="center"/>
              <w:outlineLvl w:val="1"/>
              <w:rPr>
                <w:rFonts w:ascii="Times New Roman" w:hAnsi="Times New Roman" w:cs="Times New Roman"/>
                <w:b w:val="0"/>
                <w:i w:val="0"/>
              </w:rPr>
            </w:pPr>
            <w:r w:rsidRPr="00B75021">
              <w:rPr>
                <w:rFonts w:ascii="Times New Roman" w:hAnsi="Times New Roman" w:cs="Times New Roman"/>
                <w:b w:val="0"/>
                <w:i w:val="0"/>
              </w:rPr>
              <w:t>420</w:t>
            </w:r>
          </w:p>
        </w:tc>
        <w:tc>
          <w:tcPr>
            <w:tcW w:w="838" w:type="dxa"/>
          </w:tcPr>
          <w:p w:rsidR="00B75021" w:rsidRPr="00B75021" w:rsidRDefault="00B75021" w:rsidP="005A3DF4">
            <w:pPr>
              <w:widowControl w:val="0"/>
              <w:rPr>
                <w:rFonts w:ascii="Times New Roman" w:hAnsi="Times New Roman"/>
                <w:sz w:val="28"/>
                <w:szCs w:val="28"/>
              </w:rPr>
            </w:pPr>
            <w:r w:rsidRPr="00B75021">
              <w:rPr>
                <w:rFonts w:ascii="Times New Roman" w:hAnsi="Times New Roman"/>
                <w:sz w:val="28"/>
                <w:szCs w:val="28"/>
              </w:rPr>
              <w:t>323</w:t>
            </w:r>
          </w:p>
        </w:tc>
      </w:tr>
    </w:tbl>
    <w:p w:rsidR="00B75021" w:rsidRPr="00B75021" w:rsidRDefault="00B75021" w:rsidP="005A3DF4">
      <w:pPr>
        <w:widowControl w:val="0"/>
        <w:spacing w:after="0" w:line="240" w:lineRule="auto"/>
        <w:jc w:val="both"/>
        <w:rPr>
          <w:rFonts w:ascii="Times New Roman" w:hAnsi="Times New Roman"/>
          <w:sz w:val="28"/>
          <w:szCs w:val="28"/>
        </w:rPr>
      </w:pPr>
      <w:r w:rsidRPr="00B75021">
        <w:rPr>
          <w:rFonts w:ascii="Times New Roman" w:hAnsi="Times New Roman"/>
          <w:sz w:val="28"/>
          <w:szCs w:val="28"/>
        </w:rPr>
        <w:t xml:space="preserve">Источник. Прокуратура Приморского края. Надзор за исполнением законодательства о противодействии коррупции. Данные об основных результатах прокурорской деятельности за январь - декабрь 2015, 2016, 2017 гг. </w:t>
      </w:r>
    </w:p>
    <w:p w:rsidR="00B75021" w:rsidRPr="00B75021" w:rsidRDefault="00B75021" w:rsidP="005A3DF4">
      <w:pPr>
        <w:widowControl w:val="0"/>
        <w:spacing w:after="0" w:line="240" w:lineRule="auto"/>
        <w:ind w:firstLine="720"/>
        <w:jc w:val="both"/>
        <w:rPr>
          <w:rFonts w:ascii="Times New Roman" w:hAnsi="Times New Roman"/>
          <w:sz w:val="28"/>
          <w:szCs w:val="28"/>
        </w:rPr>
      </w:pPr>
      <w:r w:rsidRPr="00B75021">
        <w:rPr>
          <w:rFonts w:ascii="Times New Roman" w:hAnsi="Times New Roman"/>
          <w:sz w:val="28"/>
          <w:szCs w:val="28"/>
        </w:rPr>
        <w:t xml:space="preserve">Как отмечают эксперты из числа работников прокуратуры, снижение фактов выявления НПА и их проектов, </w:t>
      </w:r>
      <w:r w:rsidRPr="00B75021">
        <w:rPr>
          <w:rFonts w:ascii="Times New Roman" w:hAnsi="Times New Roman"/>
          <w:sz w:val="28"/>
          <w:szCs w:val="28"/>
          <w:lang w:eastAsia="ru-RU"/>
        </w:rPr>
        <w:t>содержащих коррупциогенные факторы,</w:t>
      </w:r>
      <w:r w:rsidRPr="00B75021">
        <w:rPr>
          <w:rFonts w:ascii="Times New Roman" w:hAnsi="Times New Roman"/>
          <w:sz w:val="28"/>
          <w:szCs w:val="28"/>
        </w:rPr>
        <w:t xml:space="preserve"> в указанный период было связано с эффективными мерами профилактики, а также увеличением доли рассматриваемых проектов НПА. </w:t>
      </w:r>
    </w:p>
    <w:p w:rsidR="00B75021" w:rsidRPr="00B75021" w:rsidRDefault="00B75021" w:rsidP="005A3DF4">
      <w:pPr>
        <w:widowControl w:val="0"/>
        <w:spacing w:after="0" w:line="240" w:lineRule="auto"/>
        <w:ind w:firstLine="720"/>
        <w:jc w:val="both"/>
        <w:rPr>
          <w:rFonts w:ascii="Times New Roman" w:hAnsi="Times New Roman"/>
          <w:sz w:val="28"/>
          <w:szCs w:val="28"/>
        </w:rPr>
      </w:pPr>
      <w:r w:rsidRPr="00B75021">
        <w:rPr>
          <w:rFonts w:ascii="Times New Roman" w:hAnsi="Times New Roman"/>
          <w:sz w:val="28"/>
          <w:szCs w:val="28"/>
        </w:rPr>
        <w:t xml:space="preserve">Методика проведения органами прокуратуры антикоррупционной экспертизы нормативных правовых актов федеральных органов исполнительной власти, органов государственной власти субъектов Российской Федерации, иных государственных органов и организаций, органов местного самоуправления, их должностных лиц утверждена постановлением Правительства Российской Федерации </w:t>
      </w:r>
      <w:r w:rsidRPr="00B75021">
        <w:rPr>
          <w:rFonts w:ascii="Times New Roman" w:hAnsi="Times New Roman"/>
          <w:bCs/>
          <w:sz w:val="28"/>
          <w:szCs w:val="28"/>
        </w:rPr>
        <w:t>№ 96 от 26.02.2010 г.</w:t>
      </w:r>
      <w:r w:rsidRPr="00B75021">
        <w:rPr>
          <w:rFonts w:ascii="Times New Roman" w:hAnsi="Times New Roman"/>
          <w:sz w:val="28"/>
          <w:szCs w:val="28"/>
        </w:rPr>
        <w:t xml:space="preserve"> В данной </w:t>
      </w:r>
      <w:hyperlink r:id="rId167" w:anchor="dst100027" w:history="1">
        <w:r w:rsidRPr="00B75021">
          <w:rPr>
            <w:rStyle w:val="a8"/>
            <w:rFonts w:ascii="Times New Roman" w:hAnsi="Times New Roman"/>
            <w:color w:val="auto"/>
            <w:sz w:val="28"/>
            <w:szCs w:val="28"/>
            <w:u w:val="none"/>
          </w:rPr>
          <w:t>методике</w:t>
        </w:r>
      </w:hyperlink>
      <w:r w:rsidRPr="00B75021">
        <w:rPr>
          <w:rFonts w:ascii="Times New Roman" w:hAnsi="Times New Roman"/>
          <w:sz w:val="28"/>
          <w:szCs w:val="28"/>
        </w:rPr>
        <w:t xml:space="preserve"> выделяются две группы таких факторов. Во-первых, это факторы, устанавливающие для правоприменителя необоснованно широкие пределы усмотрения или возможность необоснованного применения исключений из общих правил. К ним методика относит:</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а) широту дискреционных полномочий - отсутствие или неопределенность сроков, условий или оснований принятия решения, наличие дублирующих полномочий государственных органов, органов местного самоуправления или организаций (их должностных лиц);</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б) определение компетенции по формуле "вправе" - диспозитивное установление возможности совершения государственными органами, органами местного самоуправления или организациями (их должностными лицами) действий в отношении граждан и организаций;</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 xml:space="preserve">в) выборочное изменение объема прав - возможность необоснованного </w:t>
      </w:r>
      <w:r w:rsidRPr="00B75021">
        <w:rPr>
          <w:sz w:val="28"/>
          <w:szCs w:val="28"/>
        </w:rPr>
        <w:lastRenderedPageBreak/>
        <w:t>установления исключений из общего порядка для граждан и организаций по усмотрению государственных органов, органов местного самоуправления или организаций (их должностных лиц);</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г) чрезмерную свободу подзаконного нормотворчества - наличие бланкетных и отсылочных норм, приводящее к принятию подзаконных актов, вторгающихся в компетенцию государственного органа, органа местного самоуправления или организации, принявшего первоначальный нормативный правовой акт;</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д) принятие нормативного правового акта за пределами компетенции - нарушение компетенции государственных органов, органов местного самоуправления или организаций (их должностных лиц) при принятии нормативных правовых актов;</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е) заполнение законодательных пробелов при помощи подзаконных актов в отсутствие законодательной делегации соответствующих полномочий - установление общеобязательных правил поведения в подзаконном акте в условиях отсутствия закона;</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ж) отсутствие или неполнота административных процедур - отсутствие порядка совершения государственными органами, органами местного самоуправления или организациями (их должностными лицами) определенных действий либо одного из элементов такого порядка;</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з) отказ от конкурсных (аукционных) процедур - закрепление административного порядка предоставления права (блага);</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и) нормативные коллизии - противоречия, в том числе внутренние, между нормами, создающие для государственных органов, органов местного самоуправления или организаций (их должностных лиц) возможность произвольного выбора норм, подлежащих применению в конкретном случае.</w:t>
      </w:r>
    </w:p>
    <w:p w:rsidR="00B75021" w:rsidRPr="00B75021" w:rsidRDefault="00B75021" w:rsidP="005A3DF4">
      <w:pPr>
        <w:pStyle w:val="s1"/>
        <w:widowControl w:val="0"/>
        <w:tabs>
          <w:tab w:val="left" w:pos="720"/>
        </w:tabs>
        <w:spacing w:before="0" w:beforeAutospacing="0" w:after="0" w:afterAutospacing="0"/>
        <w:ind w:firstLine="720"/>
        <w:jc w:val="both"/>
        <w:rPr>
          <w:sz w:val="28"/>
          <w:szCs w:val="28"/>
        </w:rPr>
      </w:pPr>
      <w:r w:rsidRPr="00B75021">
        <w:rPr>
          <w:sz w:val="28"/>
          <w:szCs w:val="28"/>
        </w:rPr>
        <w:t>Во-вторых, это факторы, содержащие неопределенные, трудновыполнимые и (или) обременительные требования к гражданам и организациям. К ним методика относит:</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а) наличие завышенных требований к лицу, предъявляемых для реализации принадлежащего ему права, - установление неопределенных, трудновыполнимых и обременительных требований к гражданам и организациям;</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б) злоупотребление правом заявителя государственными органами, органами местного самоуправления или организациями (их должностными лицами) - отсутствие четкой регламентации прав граждан и организаций;</w:t>
      </w:r>
    </w:p>
    <w:p w:rsidR="00B75021" w:rsidRPr="00B75021" w:rsidRDefault="00B75021" w:rsidP="005A3DF4">
      <w:pPr>
        <w:pStyle w:val="s1"/>
        <w:widowControl w:val="0"/>
        <w:spacing w:before="0" w:beforeAutospacing="0" w:after="0" w:afterAutospacing="0"/>
        <w:ind w:firstLine="720"/>
        <w:rPr>
          <w:sz w:val="28"/>
          <w:szCs w:val="28"/>
        </w:rPr>
      </w:pPr>
      <w:r w:rsidRPr="00B75021">
        <w:rPr>
          <w:sz w:val="28"/>
          <w:szCs w:val="28"/>
        </w:rPr>
        <w:t>в) юридико-лингвистическая неопределенность - употребление неустоявшихся, двусмысленных терминов и категорий оценочного характера.</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В отличие от других субъектов, уполномоченных на осуществление актикоррупционной экспертизы НПА и их проектов, порядок ее осуществления для органов прокуратуры установлен п</w:t>
      </w:r>
      <w:r w:rsidRPr="00B75021">
        <w:rPr>
          <w:bCs/>
          <w:sz w:val="28"/>
          <w:szCs w:val="28"/>
        </w:rPr>
        <w:t xml:space="preserve">риказом Генерального прокурора Российской Федерации от 28.12.2009 N 400. </w:t>
      </w:r>
      <w:r w:rsidRPr="00B75021">
        <w:rPr>
          <w:sz w:val="28"/>
          <w:szCs w:val="28"/>
        </w:rPr>
        <w:t xml:space="preserve"> Данным порядком установлены сроки изучения органами прокуратуры нормативных правовых актов:  </w:t>
      </w:r>
    </w:p>
    <w:p w:rsidR="00B75021" w:rsidRPr="00B75021" w:rsidRDefault="00B75021" w:rsidP="005A3DF4">
      <w:pPr>
        <w:widowControl w:val="0"/>
        <w:spacing w:after="0" w:line="240" w:lineRule="auto"/>
        <w:ind w:firstLine="720"/>
        <w:jc w:val="both"/>
        <w:rPr>
          <w:rFonts w:ascii="Times New Roman" w:hAnsi="Times New Roman"/>
          <w:sz w:val="28"/>
          <w:szCs w:val="28"/>
        </w:rPr>
      </w:pPr>
      <w:r w:rsidRPr="00B75021">
        <w:rPr>
          <w:rFonts w:ascii="Times New Roman" w:hAnsi="Times New Roman"/>
          <w:sz w:val="28"/>
          <w:szCs w:val="28"/>
        </w:rPr>
        <w:lastRenderedPageBreak/>
        <w:t>– два месяца со дня принятия для рассмотрения актов федеральных органов и их должностных лиц;</w:t>
      </w:r>
    </w:p>
    <w:p w:rsidR="00B75021" w:rsidRPr="00B75021" w:rsidRDefault="00B75021" w:rsidP="005A3DF4">
      <w:pPr>
        <w:widowControl w:val="0"/>
        <w:spacing w:after="0" w:line="240" w:lineRule="auto"/>
        <w:ind w:firstLine="720"/>
        <w:jc w:val="both"/>
        <w:rPr>
          <w:rFonts w:ascii="Times New Roman" w:hAnsi="Times New Roman"/>
          <w:sz w:val="28"/>
          <w:szCs w:val="28"/>
        </w:rPr>
      </w:pPr>
      <w:r w:rsidRPr="00B75021">
        <w:rPr>
          <w:rFonts w:ascii="Times New Roman" w:hAnsi="Times New Roman"/>
          <w:sz w:val="28"/>
          <w:szCs w:val="28"/>
        </w:rPr>
        <w:t>- один месяц со дня принятия для актов органов государственной власти субъектов Российской Федерации, территориальных органов федеральных органов, органов местного самоуправления и их должностных лиц.</w:t>
      </w:r>
    </w:p>
    <w:p w:rsidR="00B75021" w:rsidRPr="00B75021" w:rsidRDefault="00B75021" w:rsidP="005A3DF4">
      <w:pPr>
        <w:widowControl w:val="0"/>
        <w:spacing w:after="0" w:line="240" w:lineRule="auto"/>
        <w:ind w:firstLine="720"/>
        <w:jc w:val="both"/>
        <w:rPr>
          <w:rFonts w:ascii="Times New Roman" w:hAnsi="Times New Roman"/>
          <w:sz w:val="28"/>
          <w:szCs w:val="28"/>
        </w:rPr>
      </w:pPr>
      <w:r w:rsidRPr="00B75021">
        <w:rPr>
          <w:rFonts w:ascii="Times New Roman" w:hAnsi="Times New Roman"/>
          <w:sz w:val="28"/>
          <w:szCs w:val="28"/>
        </w:rPr>
        <w:t>Помимо этого указанным порядком определено, что в требовании прокурора об изменении нормативного правового акта надлежит указывать конкретные предложения о способе устранения коррупциогенных факторов: внесение изменений в нормативный правовой акт, отмена нормативного правового акта (или его отдельных норм), разработка и принятие иного нормативного правового акта, устраняющего коррупциогенный фактор. Одновременно в случае отклонения требований прокуроры должны использовать право на обращение в суд в порядке, предусмотренном процессуальным законодательством Российской Федерации.</w:t>
      </w:r>
    </w:p>
    <w:p w:rsidR="00B75021" w:rsidRPr="00B75021" w:rsidRDefault="00B75021" w:rsidP="005A3DF4">
      <w:pPr>
        <w:widowControl w:val="0"/>
        <w:spacing w:after="0" w:line="240" w:lineRule="auto"/>
        <w:ind w:firstLine="720"/>
        <w:jc w:val="both"/>
        <w:rPr>
          <w:rFonts w:ascii="Times New Roman" w:hAnsi="Times New Roman"/>
          <w:kern w:val="36"/>
          <w:sz w:val="28"/>
          <w:szCs w:val="28"/>
        </w:rPr>
      </w:pPr>
      <w:r w:rsidRPr="00B75021">
        <w:rPr>
          <w:rFonts w:ascii="Times New Roman" w:hAnsi="Times New Roman"/>
          <w:sz w:val="28"/>
          <w:szCs w:val="28"/>
        </w:rPr>
        <w:t xml:space="preserve">Вместе с тем, практика реализации рассматриваемых нами  полномочий органов прокуратуры, а также результаты исследований ряда авторов  свидетельствуют о наличии некоторых проблем, в том числе законодательного неурегулирования. Так, на наш взгляд, следует согласиться с О.А.Бородиной, которая  обращает внимание на несовершенство федеральных законов, </w:t>
      </w:r>
      <w:r w:rsidRPr="00EB191B">
        <w:rPr>
          <w:rFonts w:ascii="Times New Roman" w:hAnsi="Times New Roman"/>
          <w:sz w:val="28"/>
          <w:szCs w:val="28"/>
        </w:rPr>
        <w:t xml:space="preserve">порождающее правовую коллизию, требующее унификации законодательства [2]. С одной стороны, в статье 6 Федерального закона № 273-ФЗ в числе мер профилактики коррупции </w:t>
      </w:r>
      <w:bookmarkStart w:id="30" w:name="dst100048"/>
      <w:bookmarkEnd w:id="30"/>
      <w:r w:rsidRPr="00EB191B">
        <w:rPr>
          <w:rFonts w:ascii="Times New Roman" w:hAnsi="Times New Roman"/>
          <w:sz w:val="28"/>
          <w:szCs w:val="28"/>
        </w:rPr>
        <w:t xml:space="preserve">называется </w:t>
      </w:r>
      <w:hyperlink r:id="rId168" w:anchor="dst0" w:history="1">
        <w:r w:rsidRPr="00EB191B">
          <w:rPr>
            <w:rStyle w:val="a8"/>
            <w:rFonts w:ascii="Times New Roman" w:hAnsi="Times New Roman"/>
            <w:color w:val="auto"/>
            <w:sz w:val="28"/>
            <w:szCs w:val="28"/>
            <w:u w:val="none"/>
          </w:rPr>
          <w:t>антикоррупционная экспертиза</w:t>
        </w:r>
      </w:hyperlink>
      <w:r w:rsidRPr="00EB191B">
        <w:rPr>
          <w:rFonts w:ascii="Times New Roman" w:hAnsi="Times New Roman"/>
          <w:sz w:val="28"/>
          <w:szCs w:val="28"/>
        </w:rPr>
        <w:t xml:space="preserve"> правовых актов и их проектов, с другой стороны,  статья 1 Федерального закона от 17 июля </w:t>
      </w:r>
      <w:smartTag w:uri="urn:schemas-microsoft-com:office:smarttags" w:element="metricconverter">
        <w:smartTagPr>
          <w:attr w:name="ProductID" w:val="2009 г"/>
        </w:smartTagPr>
        <w:r w:rsidRPr="00EB191B">
          <w:rPr>
            <w:rFonts w:ascii="Times New Roman" w:hAnsi="Times New Roman"/>
            <w:sz w:val="28"/>
            <w:szCs w:val="28"/>
          </w:rPr>
          <w:t>2009 г</w:t>
        </w:r>
      </w:smartTag>
      <w:r w:rsidRPr="00EB191B">
        <w:rPr>
          <w:rFonts w:ascii="Times New Roman" w:hAnsi="Times New Roman"/>
          <w:sz w:val="28"/>
          <w:szCs w:val="28"/>
        </w:rPr>
        <w:t>. N 172-ФЗ «Об антикоррупционной экспертизе нормативных правовых актов и проектов нормативных правовых актов» (далее - Федерального закона № 172-ФЗ), определяет, что данный закон устанавливает правовые и организационные основы антикоррупционной экспертизы нормативных правовых актов и проектов нормативных правовых актов в целях выявления в них коррупциогенных факторов и их последующего устранения. При этом, как уже было отмечено выше, в ст.9.1. Федерального</w:t>
      </w:r>
      <w:r w:rsidRPr="00B75021">
        <w:rPr>
          <w:rFonts w:ascii="Times New Roman" w:hAnsi="Times New Roman"/>
          <w:sz w:val="28"/>
          <w:szCs w:val="28"/>
        </w:rPr>
        <w:t xml:space="preserve"> закона № 2202-1 предусмотрено п</w:t>
      </w:r>
      <w:r w:rsidRPr="00B75021">
        <w:rPr>
          <w:rStyle w:val="hl"/>
          <w:rFonts w:ascii="Times New Roman" w:hAnsi="Times New Roman"/>
          <w:kern w:val="36"/>
          <w:sz w:val="28"/>
          <w:szCs w:val="28"/>
        </w:rPr>
        <w:t>роведение антикоррупционной экспертизы лишь нормативных правовых актов.</w:t>
      </w:r>
    </w:p>
    <w:p w:rsidR="00B75021" w:rsidRPr="00B75021" w:rsidRDefault="00B75021" w:rsidP="005A3DF4">
      <w:pPr>
        <w:widowControl w:val="0"/>
        <w:spacing w:after="0" w:line="240" w:lineRule="auto"/>
        <w:ind w:firstLine="720"/>
        <w:jc w:val="both"/>
        <w:rPr>
          <w:rFonts w:ascii="Times New Roman" w:hAnsi="Times New Roman"/>
          <w:sz w:val="28"/>
          <w:szCs w:val="28"/>
        </w:rPr>
      </w:pPr>
      <w:r w:rsidRPr="00B75021">
        <w:rPr>
          <w:rFonts w:ascii="Times New Roman" w:hAnsi="Times New Roman"/>
          <w:sz w:val="28"/>
          <w:szCs w:val="28"/>
        </w:rPr>
        <w:t xml:space="preserve">Вместе с тем, представляется недостаточно аргументированным вывод данного исследователя о том, что предметом антикоррупционной экспертизы должны быть только нормативные правовые акты. </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 xml:space="preserve">По оценке экспертов из числа работников органов прокуратуры, требует дополнительной регламентации порядок реализации п. 5 статьи 3 Федерального закона № 172-ФЗ, устанавливающего, что органы, организации, их должностные лица в случае обнаружения в нормативных правовых актах (проектах нормативных правовых актов) коррупциогенных факторов, принятие мер по устранению которых не относится к их компетенции, должны информировать об этом органы прокуратуры. </w:t>
      </w:r>
      <w:r w:rsidRPr="00B75021">
        <w:rPr>
          <w:sz w:val="28"/>
          <w:szCs w:val="28"/>
        </w:rPr>
        <w:lastRenderedPageBreak/>
        <w:t>Отсутствие срока информирования на практике приводит к затягиванию либо к неуведомлению вообще органов прокуратуры о выявленных коррупциогенных факторах.</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Автор разделяет также позицию Э.А.Хохряковой, отмечающей, что проблемой, с которой сталкиваются органы прокуратуры перед началом проведения антикоррупционной экспертизы, является отсутствие законодательного определения нормативного правового акта [12]. Как отмечает М. Джоусе-Иванина, несмотря на значимость и распространенность нормативно-правовых актов, ни российским законодательством, ни юридической наукой не решены окончательно вопросы определения понятия «нормативно-правовой акт», соотношения различных его видов между собой и с другими источниками права, отграничения нормативно-правовых актов от иных, сходных с ними, документов. Между тем эти вопросы являются основополагающими для всей правовой науки, выходят далеко за рамки теории государства и права и имеют не только теоретическое, но и практическое значение [3].</w:t>
      </w:r>
    </w:p>
    <w:p w:rsidR="00B75021" w:rsidRPr="00B75021" w:rsidRDefault="00B75021" w:rsidP="005A3DF4">
      <w:pPr>
        <w:pStyle w:val="s1"/>
        <w:widowControl w:val="0"/>
        <w:spacing w:before="0" w:beforeAutospacing="0" w:after="0" w:afterAutospacing="0"/>
        <w:ind w:firstLine="720"/>
        <w:jc w:val="both"/>
        <w:rPr>
          <w:sz w:val="28"/>
          <w:szCs w:val="28"/>
        </w:rPr>
      </w:pPr>
      <w:r w:rsidRPr="00B75021">
        <w:rPr>
          <w:sz w:val="28"/>
          <w:szCs w:val="28"/>
        </w:rPr>
        <w:t>Таким образом, можно констатировать, что в целом органы прокуратуры располагают нормативной базой для реализации полномочий по профилактике коррупции путем проведения антикоррупционной экспертизы нормативных правовых актов и их проектов и эффективно их реализуют. Вместе с тем, требуется осуществление дополнительных мер, направленных на совершенствование законодательства.</w:t>
      </w:r>
    </w:p>
    <w:p w:rsidR="00B75021" w:rsidRPr="00B75021" w:rsidRDefault="00B75021" w:rsidP="005A3DF4">
      <w:pPr>
        <w:widowControl w:val="0"/>
        <w:spacing w:after="0" w:line="240" w:lineRule="auto"/>
        <w:ind w:firstLine="720"/>
        <w:jc w:val="center"/>
        <w:rPr>
          <w:rFonts w:ascii="Times New Roman" w:hAnsi="Times New Roman"/>
          <w:sz w:val="28"/>
          <w:szCs w:val="28"/>
        </w:rPr>
      </w:pPr>
      <w:r>
        <w:rPr>
          <w:rFonts w:ascii="Times New Roman" w:hAnsi="Times New Roman"/>
          <w:sz w:val="28"/>
          <w:szCs w:val="28"/>
        </w:rPr>
        <w:t>Список использованных источников</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bCs/>
          <w:kern w:val="36"/>
          <w:sz w:val="28"/>
          <w:szCs w:val="28"/>
        </w:rPr>
      </w:pPr>
      <w:r w:rsidRPr="00B75021">
        <w:rPr>
          <w:rFonts w:ascii="Times New Roman" w:hAnsi="Times New Roman"/>
          <w:kern w:val="36"/>
          <w:sz w:val="28"/>
          <w:szCs w:val="28"/>
        </w:rPr>
        <w:t xml:space="preserve">Балдин А.К. Правовые вопросы организации проведения антикоррупционной экспертизы нормативных правовых актов органами Минюста России. Дис. … к.ю.н., – Нижний Новгород, 2014. - 145 с. </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kern w:val="36"/>
          <w:sz w:val="28"/>
          <w:szCs w:val="28"/>
        </w:rPr>
        <w:t>Б</w:t>
      </w:r>
      <w:r w:rsidRPr="00B75021">
        <w:rPr>
          <w:rFonts w:ascii="Times New Roman" w:hAnsi="Times New Roman"/>
          <w:sz w:val="28"/>
          <w:szCs w:val="28"/>
        </w:rPr>
        <w:t xml:space="preserve">ородина О.А. Правовые и организационные проблемы органов прокуратуры по проведению антикоррупционной экспертизы. </w:t>
      </w:r>
      <w:hyperlink r:id="rId169" w:history="1">
        <w:r w:rsidRPr="00B75021">
          <w:rPr>
            <w:rStyle w:val="a8"/>
            <w:rFonts w:ascii="Times New Roman" w:hAnsi="Times New Roman"/>
            <w:color w:val="auto"/>
            <w:sz w:val="28"/>
            <w:szCs w:val="28"/>
            <w:u w:val="none"/>
          </w:rPr>
          <w:t>Известия Алтайского государственного университета</w:t>
        </w:r>
      </w:hyperlink>
      <w:r w:rsidRPr="00B75021">
        <w:rPr>
          <w:rFonts w:ascii="Times New Roman" w:hAnsi="Times New Roman"/>
          <w:sz w:val="28"/>
          <w:szCs w:val="28"/>
        </w:rPr>
        <w:t xml:space="preserve">.2018. [Электронный ресурс] // </w:t>
      </w:r>
      <w:r w:rsidRPr="00B75021">
        <w:rPr>
          <w:rFonts w:ascii="Times New Roman" w:hAnsi="Times New Roman"/>
          <w:spacing w:val="-6"/>
          <w:sz w:val="28"/>
          <w:szCs w:val="28"/>
        </w:rPr>
        <w:t xml:space="preserve"> – Режим доступа: </w:t>
      </w:r>
      <w:hyperlink r:id="rId170" w:history="1">
        <w:r w:rsidRPr="00B75021">
          <w:rPr>
            <w:rStyle w:val="a8"/>
            <w:rFonts w:ascii="Times New Roman" w:hAnsi="Times New Roman"/>
            <w:color w:val="auto"/>
            <w:sz w:val="28"/>
            <w:szCs w:val="28"/>
            <w:u w:val="none"/>
          </w:rPr>
          <w:t>https://cyberleninka.ru/article/n/pravovye-i-organizatsionnye-problemy-organov-prokuratury-po-provedeniyu-antikorruptsionnoy-ekspertizy</w:t>
        </w:r>
      </w:hyperlink>
      <w:r w:rsidRPr="00B75021">
        <w:rPr>
          <w:rFonts w:ascii="Times New Roman" w:hAnsi="Times New Roman"/>
          <w:sz w:val="28"/>
          <w:szCs w:val="28"/>
        </w:rPr>
        <w:t xml:space="preserve"> </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Джоусе-Иванина М.</w:t>
      </w:r>
      <w:r w:rsidRPr="00B75021">
        <w:rPr>
          <w:rFonts w:ascii="Times New Roman" w:hAnsi="Times New Roman"/>
          <w:b/>
          <w:bCs/>
          <w:kern w:val="36"/>
          <w:sz w:val="28"/>
          <w:szCs w:val="28"/>
        </w:rPr>
        <w:t xml:space="preserve"> </w:t>
      </w:r>
      <w:r w:rsidRPr="00B75021">
        <w:rPr>
          <w:rFonts w:ascii="Times New Roman" w:hAnsi="Times New Roman"/>
          <w:bCs/>
          <w:kern w:val="36"/>
          <w:sz w:val="28"/>
          <w:szCs w:val="28"/>
        </w:rPr>
        <w:t>Нормативно-правовой акт в системе источников российского права / дисс. …канд. юрид. наук. – М.,</w:t>
      </w:r>
      <w:r w:rsidRPr="00B75021">
        <w:rPr>
          <w:rFonts w:ascii="Times New Roman" w:hAnsi="Times New Roman"/>
          <w:b/>
          <w:bCs/>
          <w:kern w:val="36"/>
          <w:sz w:val="28"/>
          <w:szCs w:val="28"/>
        </w:rPr>
        <w:t xml:space="preserve"> </w:t>
      </w:r>
      <w:r w:rsidRPr="00B75021">
        <w:rPr>
          <w:rFonts w:ascii="Times New Roman" w:hAnsi="Times New Roman"/>
          <w:sz w:val="28"/>
          <w:szCs w:val="28"/>
        </w:rPr>
        <w:t xml:space="preserve">2010. – 182 с. [Электронный ресурс] // </w:t>
      </w:r>
      <w:r w:rsidRPr="00B75021">
        <w:rPr>
          <w:rFonts w:ascii="Times New Roman" w:hAnsi="Times New Roman"/>
          <w:spacing w:val="-6"/>
          <w:sz w:val="28"/>
          <w:szCs w:val="28"/>
        </w:rPr>
        <w:t xml:space="preserve"> – Режим доступа: </w:t>
      </w:r>
      <w:r w:rsidRPr="00B75021">
        <w:rPr>
          <w:rFonts w:ascii="Times New Roman" w:hAnsi="Times New Roman"/>
          <w:sz w:val="28"/>
          <w:szCs w:val="28"/>
        </w:rPr>
        <w:t xml:space="preserve">https://www.dissercat.com/content/normativno-pravovoi-akt-v-sisteme-istochnikov-rossiiskogo-prava </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Г</w:t>
      </w:r>
      <w:r w:rsidRPr="00B75021">
        <w:rPr>
          <w:rFonts w:ascii="Times New Roman" w:hAnsi="Times New Roman"/>
          <w:iCs/>
          <w:sz w:val="28"/>
          <w:szCs w:val="28"/>
        </w:rPr>
        <w:t xml:space="preserve">узенко, Л. В. </w:t>
      </w:r>
      <w:hyperlink r:id="rId171" w:history="1">
        <w:r w:rsidRPr="00B75021">
          <w:rPr>
            <w:rStyle w:val="a8"/>
            <w:rFonts w:ascii="Times New Roman" w:hAnsi="Times New Roman"/>
            <w:bCs/>
            <w:color w:val="auto"/>
            <w:sz w:val="28"/>
            <w:szCs w:val="28"/>
            <w:u w:val="none"/>
          </w:rPr>
          <w:t xml:space="preserve">Актуальные проблемы прокурорского надзора за исполнением законов, направленных на обеспечение государственной поддержки предпринимательства и пути их решения // </w:t>
        </w:r>
      </w:hyperlink>
      <w:hyperlink r:id="rId172" w:history="1">
        <w:r w:rsidRPr="00B75021">
          <w:rPr>
            <w:rStyle w:val="a8"/>
            <w:rFonts w:ascii="Times New Roman" w:hAnsi="Times New Roman"/>
            <w:color w:val="auto"/>
            <w:sz w:val="28"/>
            <w:szCs w:val="28"/>
            <w:u w:val="none"/>
          </w:rPr>
          <w:t>Современная наука : актуальные проблемы и пути их решения</w:t>
        </w:r>
      </w:hyperlink>
      <w:r w:rsidRPr="00B75021">
        <w:rPr>
          <w:rFonts w:ascii="Times New Roman" w:hAnsi="Times New Roman"/>
          <w:sz w:val="28"/>
          <w:szCs w:val="28"/>
        </w:rPr>
        <w:t xml:space="preserve">. – 2017.– </w:t>
      </w:r>
      <w:hyperlink r:id="rId173" w:history="1">
        <w:r w:rsidRPr="00B75021">
          <w:rPr>
            <w:rStyle w:val="a8"/>
            <w:rFonts w:ascii="Times New Roman" w:hAnsi="Times New Roman"/>
            <w:color w:val="auto"/>
            <w:sz w:val="28"/>
            <w:szCs w:val="28"/>
            <w:u w:val="none"/>
          </w:rPr>
          <w:t>№ 4 (35)</w:t>
        </w:r>
      </w:hyperlink>
      <w:r w:rsidRPr="00B75021">
        <w:rPr>
          <w:rFonts w:ascii="Times New Roman" w:hAnsi="Times New Roman"/>
          <w:sz w:val="28"/>
          <w:szCs w:val="28"/>
        </w:rPr>
        <w:t xml:space="preserve">. </w:t>
      </w:r>
      <w:r w:rsidRPr="00B75021">
        <w:rPr>
          <w:rFonts w:ascii="Times New Roman" w:hAnsi="Times New Roman"/>
          <w:sz w:val="28"/>
          <w:szCs w:val="28"/>
          <w:lang w:val="en-US"/>
        </w:rPr>
        <w:t>–</w:t>
      </w:r>
      <w:r w:rsidRPr="00B75021">
        <w:rPr>
          <w:rFonts w:ascii="Times New Roman" w:hAnsi="Times New Roman"/>
          <w:sz w:val="28"/>
          <w:szCs w:val="28"/>
        </w:rPr>
        <w:t xml:space="preserve"> С. 50</w:t>
      </w:r>
      <w:r w:rsidRPr="00B75021">
        <w:rPr>
          <w:rFonts w:ascii="Times New Roman" w:hAnsi="Times New Roman"/>
          <w:sz w:val="28"/>
          <w:szCs w:val="28"/>
          <w:lang w:val="en-US"/>
        </w:rPr>
        <w:t>-</w:t>
      </w:r>
      <w:r w:rsidRPr="00B75021">
        <w:rPr>
          <w:rFonts w:ascii="Times New Roman" w:hAnsi="Times New Roman"/>
          <w:sz w:val="28"/>
          <w:szCs w:val="28"/>
        </w:rPr>
        <w:t xml:space="preserve">53. </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З</w:t>
      </w:r>
      <w:r w:rsidRPr="00B75021">
        <w:rPr>
          <w:rFonts w:ascii="Times New Roman" w:hAnsi="Times New Roman"/>
          <w:kern w:val="36"/>
          <w:sz w:val="28"/>
          <w:szCs w:val="28"/>
        </w:rPr>
        <w:t xml:space="preserve">аседание коллегии Генпрокуратуры России. </w:t>
      </w:r>
      <w:r w:rsidRPr="00B75021">
        <w:rPr>
          <w:rFonts w:ascii="Times New Roman" w:hAnsi="Times New Roman"/>
          <w:sz w:val="28"/>
          <w:szCs w:val="28"/>
        </w:rPr>
        <w:t>[Электронный ресурс]</w:t>
      </w:r>
      <w:r w:rsidRPr="00B75021">
        <w:rPr>
          <w:rFonts w:ascii="Times New Roman" w:hAnsi="Times New Roman"/>
          <w:b/>
          <w:sz w:val="28"/>
          <w:szCs w:val="28"/>
        </w:rPr>
        <w:t xml:space="preserve"> // </w:t>
      </w:r>
      <w:r w:rsidRPr="00B75021">
        <w:rPr>
          <w:rFonts w:ascii="Times New Roman" w:hAnsi="Times New Roman"/>
          <w:kern w:val="36"/>
          <w:sz w:val="28"/>
          <w:szCs w:val="28"/>
        </w:rPr>
        <w:t>Сайт Президента России/ Новости. 19.03.2019.</w:t>
      </w:r>
      <w:r w:rsidRPr="00B75021">
        <w:rPr>
          <w:rFonts w:ascii="Times New Roman" w:hAnsi="Times New Roman"/>
          <w:sz w:val="28"/>
          <w:szCs w:val="28"/>
        </w:rPr>
        <w:t>– Режим доступа:</w:t>
      </w:r>
      <w:r w:rsidRPr="00B75021">
        <w:rPr>
          <w:rFonts w:ascii="Times New Roman" w:hAnsi="Times New Roman"/>
          <w:b/>
          <w:sz w:val="28"/>
          <w:szCs w:val="28"/>
        </w:rPr>
        <w:t xml:space="preserve"> </w:t>
      </w:r>
      <w:r w:rsidRPr="00B75021">
        <w:rPr>
          <w:rFonts w:ascii="Times New Roman" w:hAnsi="Times New Roman"/>
          <w:sz w:val="28"/>
          <w:szCs w:val="28"/>
        </w:rPr>
        <w:t xml:space="preserve">http://www.kremlin.ru/events/president/news/60100 </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 xml:space="preserve">Коробейников, Б. В. Проблемы противодействия органов </w:t>
      </w:r>
      <w:r w:rsidRPr="00B75021">
        <w:rPr>
          <w:rFonts w:ascii="Times New Roman" w:hAnsi="Times New Roman"/>
          <w:sz w:val="28"/>
          <w:szCs w:val="28"/>
        </w:rPr>
        <w:lastRenderedPageBreak/>
        <w:t>прокуратуры коррупционным правонарушениям / Б. В. Коробейников // Актуальные проблемы прокурорской деятельности : курс лекций / Акад. Генер. прокуратуры Рос. Федерации. – Москва : Акад. ГП РФ, 2016. – Вып. 2. – С. 183-201.</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 xml:space="preserve">О Национальной стратегии противодействия коррупции и Национальном плане противодействия коррупции на 2010 - 2011 годы : указ Президента РФ от 13 апреля </w:t>
      </w:r>
      <w:smartTag w:uri="urn:schemas-microsoft-com:office:smarttags" w:element="metricconverter">
        <w:smartTagPr>
          <w:attr w:name="ProductID" w:val="2010 г"/>
        </w:smartTagPr>
        <w:r w:rsidRPr="00B75021">
          <w:rPr>
            <w:rFonts w:ascii="Times New Roman" w:hAnsi="Times New Roman"/>
            <w:sz w:val="28"/>
            <w:szCs w:val="28"/>
          </w:rPr>
          <w:t>2010 г</w:t>
        </w:r>
      </w:smartTag>
      <w:r w:rsidRPr="00B75021">
        <w:rPr>
          <w:rFonts w:ascii="Times New Roman" w:hAnsi="Times New Roman"/>
          <w:sz w:val="28"/>
          <w:szCs w:val="28"/>
        </w:rPr>
        <w:t xml:space="preserve">. № 460. [Электронный ресурс] // СПС «Гарант» – Режим доступа: https://base.garant.ru/12174916/ </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 xml:space="preserve">Россия в Индексе восприятия коррупции – 2017: посадки не помогли. [Электронный ресурс] // – Режим доступа: https://transparency.org.ru/research/v-rossii/rossiya-v-indekse-vospriyatiya-korruptsii-2017-posadki-ne-pomogli.html </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Русецкий А.Е., Тухватуллин Т.А. Российское антикоррупционное законодательство: становление и пути развития. Журнал «Прокурор», 2018, № 4 [Электронный ресурс] // – Режим доступа:  http://genproc.gov.ru/anticor/doks/document-1540482/?print=1&amp;ELEMENT_ID=1540482</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 xml:space="preserve">Севрюгин К.В. </w:t>
      </w:r>
      <w:r w:rsidRPr="00B75021">
        <w:rPr>
          <w:rFonts w:ascii="Times New Roman" w:hAnsi="Times New Roman"/>
          <w:kern w:val="36"/>
          <w:sz w:val="28"/>
          <w:szCs w:val="28"/>
        </w:rPr>
        <w:t>Противодействие коррупции в системе государственной гражданской службы Российской Федерации: административно-правовое исследование / дисс. …канд. юрид. наук /К.В.Севрюгин. – Тюмень, 2011.- 202 с.</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kern w:val="36"/>
          <w:sz w:val="28"/>
          <w:szCs w:val="28"/>
        </w:rPr>
        <w:t>У</w:t>
      </w:r>
      <w:r w:rsidRPr="00B75021">
        <w:rPr>
          <w:rFonts w:ascii="Times New Roman" w:hAnsi="Times New Roman"/>
          <w:sz w:val="28"/>
          <w:szCs w:val="28"/>
        </w:rPr>
        <w:t xml:space="preserve">частие органов прокуратуры России в противодействии коррупции. Генеральная прокуратура Российской Федерации. - М., 2018. – 43 с. [Электронный ресурс] // </w:t>
      </w:r>
      <w:r w:rsidRPr="00B75021">
        <w:rPr>
          <w:rFonts w:ascii="Times New Roman" w:hAnsi="Times New Roman"/>
          <w:spacing w:val="-6"/>
          <w:sz w:val="28"/>
          <w:szCs w:val="28"/>
        </w:rPr>
        <w:t xml:space="preserve">– Режим доступа: </w:t>
      </w:r>
      <w:r w:rsidRPr="00B75021">
        <w:rPr>
          <w:rFonts w:ascii="Times New Roman" w:hAnsi="Times New Roman"/>
          <w:sz w:val="28"/>
          <w:szCs w:val="28"/>
        </w:rPr>
        <w:t xml:space="preserve"> https://amchs.ru/upload/iblock/203/uchastie-organov-prokuratury-v-protivodeystvii-korruptsii.pdf</w:t>
      </w:r>
    </w:p>
    <w:p w:rsidR="00B75021" w:rsidRPr="00B75021" w:rsidRDefault="00B75021" w:rsidP="007F4EC1">
      <w:pPr>
        <w:widowControl w:val="0"/>
        <w:numPr>
          <w:ilvl w:val="0"/>
          <w:numId w:val="45"/>
        </w:numPr>
        <w:tabs>
          <w:tab w:val="clear" w:pos="720"/>
          <w:tab w:val="left" w:pos="1134"/>
        </w:tabs>
        <w:spacing w:after="0" w:line="240" w:lineRule="auto"/>
        <w:ind w:left="0" w:firstLine="709"/>
        <w:jc w:val="both"/>
        <w:rPr>
          <w:rFonts w:ascii="Times New Roman" w:hAnsi="Times New Roman"/>
          <w:sz w:val="28"/>
          <w:szCs w:val="28"/>
        </w:rPr>
      </w:pPr>
      <w:r w:rsidRPr="00B75021">
        <w:rPr>
          <w:rFonts w:ascii="Times New Roman" w:hAnsi="Times New Roman"/>
          <w:sz w:val="28"/>
          <w:szCs w:val="28"/>
        </w:rPr>
        <w:t xml:space="preserve">Хохрякова Э.А. Проведение антикоррупционной экспертизы нормативно-правовых актов органами прокуратуры: постановка проблемы. </w:t>
      </w:r>
      <w:r w:rsidRPr="00B75021">
        <w:rPr>
          <w:rFonts w:ascii="Times New Roman" w:hAnsi="Times New Roman"/>
          <w:caps/>
          <w:sz w:val="28"/>
          <w:szCs w:val="28"/>
        </w:rPr>
        <w:t xml:space="preserve">Журнал </w:t>
      </w:r>
      <w:hyperlink r:id="rId174" w:history="1">
        <w:r w:rsidRPr="00B75021">
          <w:rPr>
            <w:rStyle w:val="a8"/>
            <w:rFonts w:ascii="Times New Roman" w:hAnsi="Times New Roman"/>
            <w:color w:val="auto"/>
            <w:sz w:val="28"/>
            <w:szCs w:val="28"/>
            <w:u w:val="none"/>
          </w:rPr>
          <w:t>Правопорядок: история, теория, практика</w:t>
        </w:r>
      </w:hyperlink>
      <w:r w:rsidRPr="00B75021">
        <w:rPr>
          <w:rFonts w:ascii="Times New Roman" w:hAnsi="Times New Roman"/>
          <w:sz w:val="28"/>
          <w:szCs w:val="28"/>
        </w:rPr>
        <w:t xml:space="preserve">. 2018. С. 93—96. [Электронный ресурс] // </w:t>
      </w:r>
      <w:r w:rsidRPr="00B75021">
        <w:rPr>
          <w:rFonts w:ascii="Times New Roman" w:hAnsi="Times New Roman"/>
          <w:spacing w:val="-6"/>
          <w:sz w:val="28"/>
          <w:szCs w:val="28"/>
        </w:rPr>
        <w:t xml:space="preserve"> – Режим доступа: </w:t>
      </w:r>
      <w:r w:rsidRPr="00B75021">
        <w:rPr>
          <w:rFonts w:ascii="Times New Roman" w:hAnsi="Times New Roman"/>
          <w:sz w:val="28"/>
          <w:szCs w:val="28"/>
        </w:rPr>
        <w:t>https://cyberleninka.ru/article/n/provedenie-antikorruptsionnoy-ekspertizy-normativno-pravovyh-aktov-organami-prokuratury-postanovka-problemy</w:t>
      </w:r>
    </w:p>
    <w:p w:rsidR="00041B86" w:rsidRPr="00467B95" w:rsidRDefault="00041B86" w:rsidP="005A3DF4">
      <w:pPr>
        <w:widowControl w:val="0"/>
        <w:spacing w:after="0" w:line="240" w:lineRule="auto"/>
        <w:ind w:firstLine="709"/>
        <w:rPr>
          <w:rFonts w:ascii="Times New Roman" w:hAnsi="Times New Roman"/>
          <w:sz w:val="28"/>
          <w:szCs w:val="28"/>
        </w:rPr>
      </w:pP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 xml:space="preserve">Позитивистское и метафизическое направления правопонимания </w:t>
      </w: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Подгорный Вадим Константинович</w:t>
      </w: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БЮП-15-03</w:t>
      </w:r>
      <w:r w:rsidRPr="00467B95">
        <w:rPr>
          <w:rFonts w:ascii="Times New Roman" w:eastAsia="Times New Roman" w:hAnsi="Times New Roman"/>
          <w:kern w:val="36"/>
          <w:sz w:val="28"/>
          <w:szCs w:val="28"/>
          <w:u w:val="single"/>
          <w:lang w:eastAsia="ru-RU"/>
        </w:rPr>
        <w:t xml:space="preserve"> </w:t>
      </w:r>
      <w:r w:rsidRPr="00467B95">
        <w:rPr>
          <w:rFonts w:ascii="Times New Roman" w:eastAsia="Times New Roman" w:hAnsi="Times New Roman"/>
          <w:kern w:val="36"/>
          <w:sz w:val="28"/>
          <w:szCs w:val="28"/>
          <w:lang w:eastAsia="ru-RU"/>
        </w:rPr>
        <w:t>группы, 4 курса Институт права</w:t>
      </w: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4A656A" w:rsidRPr="00577911" w:rsidRDefault="004A656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577911">
        <w:rPr>
          <w:rFonts w:ascii="Times New Roman" w:eastAsia="Times New Roman" w:hAnsi="Times New Roman"/>
          <w:i/>
          <w:kern w:val="36"/>
          <w:sz w:val="28"/>
          <w:szCs w:val="28"/>
          <w:lang w:eastAsia="ru-RU"/>
        </w:rPr>
        <w:t xml:space="preserve">Аннотация: Статья посвящена анализу отдельных концептуальных особенностей метафизического и позитивистского правопонимания, их достоинствам, объективной критике, выявлению недостатков, которые в последующем негативным образом влияют на формирование </w:t>
      </w:r>
      <w:r w:rsidRPr="00577911">
        <w:rPr>
          <w:rFonts w:ascii="Times New Roman" w:eastAsia="Times New Roman" w:hAnsi="Times New Roman"/>
          <w:i/>
          <w:kern w:val="36"/>
          <w:sz w:val="28"/>
          <w:szCs w:val="28"/>
          <w:lang w:eastAsia="ru-RU"/>
        </w:rPr>
        <w:lastRenderedPageBreak/>
        <w:t xml:space="preserve">правоприменительной практики. </w:t>
      </w:r>
    </w:p>
    <w:p w:rsidR="00577911" w:rsidRDefault="00577911"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577911">
        <w:rPr>
          <w:rFonts w:ascii="Times New Roman" w:eastAsia="Times New Roman" w:hAnsi="Times New Roman"/>
          <w:i/>
          <w:kern w:val="36"/>
          <w:sz w:val="28"/>
          <w:szCs w:val="28"/>
          <w:lang w:eastAsia="ru-RU"/>
        </w:rPr>
        <w:t>Ключевые слова и словосочетания:</w:t>
      </w:r>
      <w:r w:rsidRPr="00467B95">
        <w:rPr>
          <w:rFonts w:ascii="Times New Roman" w:eastAsia="Times New Roman" w:hAnsi="Times New Roman"/>
          <w:i/>
          <w:kern w:val="36"/>
          <w:sz w:val="28"/>
          <w:szCs w:val="28"/>
          <w:lang w:eastAsia="ru-RU"/>
        </w:rPr>
        <w:t xml:space="preserve"> право, правопонимание, метафизика, позитивизм, критика, достоинства, недостатки, концепция, подход. </w:t>
      </w:r>
    </w:p>
    <w:p w:rsidR="004A656A" w:rsidRPr="00467B95" w:rsidRDefault="004A656A" w:rsidP="005A3DF4">
      <w:pPr>
        <w:widowControl w:val="0"/>
        <w:shd w:val="clear" w:color="auto" w:fill="FFFFFF"/>
        <w:spacing w:after="0" w:line="240" w:lineRule="auto"/>
        <w:ind w:firstLine="709"/>
        <w:contextualSpacing/>
        <w:rPr>
          <w:rFonts w:ascii="Times New Roman" w:eastAsia="Times New Roman" w:hAnsi="Times New Roman"/>
          <w:b/>
          <w:kern w:val="36"/>
          <w:sz w:val="28"/>
          <w:szCs w:val="28"/>
          <w:lang w:eastAsia="ru-RU"/>
        </w:rPr>
      </w:pP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Positivist and Metaphysical Directions of Law</w:t>
      </w:r>
    </w:p>
    <w:p w:rsidR="004A656A" w:rsidRPr="00467B95" w:rsidRDefault="004A656A" w:rsidP="005A3DF4">
      <w:pPr>
        <w:widowControl w:val="0"/>
        <w:shd w:val="clear" w:color="auto" w:fill="FFFFFF"/>
        <w:spacing w:after="0" w:line="240" w:lineRule="auto"/>
        <w:ind w:firstLine="709"/>
        <w:contextualSpacing/>
        <w:rPr>
          <w:rFonts w:ascii="Times New Roman" w:eastAsia="Times New Roman" w:hAnsi="Times New Roman"/>
          <w:kern w:val="36"/>
          <w:sz w:val="28"/>
          <w:szCs w:val="28"/>
          <w:lang w:val="en-US" w:eastAsia="ru-RU"/>
        </w:rPr>
      </w:pP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Podgorny Vadim Konstantinovich</w:t>
      </w: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Byup-15-03 group, 4 course, Institute of law</w:t>
      </w: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State University of Economics and Service</w:t>
      </w:r>
    </w:p>
    <w:p w:rsidR="004A656A" w:rsidRPr="00467B95" w:rsidRDefault="004A656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4A656A" w:rsidRPr="00467B95" w:rsidRDefault="004A656A" w:rsidP="005A3DF4">
      <w:pPr>
        <w:widowControl w:val="0"/>
        <w:shd w:val="clear" w:color="auto" w:fill="FFFFFF"/>
        <w:spacing w:after="0" w:line="240" w:lineRule="auto"/>
        <w:ind w:firstLine="709"/>
        <w:contextualSpacing/>
        <w:rPr>
          <w:rFonts w:ascii="Times New Roman" w:eastAsia="Times New Roman" w:hAnsi="Times New Roman"/>
          <w:b/>
          <w:kern w:val="36"/>
          <w:sz w:val="28"/>
          <w:szCs w:val="28"/>
          <w:lang w:val="en-US" w:eastAsia="ru-RU"/>
        </w:rPr>
      </w:pPr>
    </w:p>
    <w:p w:rsidR="004A656A" w:rsidRPr="00577911" w:rsidRDefault="004A656A"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577911">
        <w:rPr>
          <w:rFonts w:ascii="Times New Roman" w:hAnsi="Times New Roman"/>
          <w:i/>
          <w:iCs/>
          <w:kern w:val="36"/>
          <w:sz w:val="28"/>
          <w:szCs w:val="28"/>
          <w:lang w:val="en-US" w:eastAsia="ru-RU"/>
        </w:rPr>
        <w:t>Annotation: The article is devoted to the analysis of certain conceptual features of metaphysical and positivist legal thinking, their merits, objective criticism, and the identification of flaws that later negatively affect the development of law enforcement practice.</w:t>
      </w:r>
    </w:p>
    <w:p w:rsidR="00577911" w:rsidRPr="00CE3E72" w:rsidRDefault="00577911"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4A656A" w:rsidRPr="00467B95" w:rsidRDefault="004A656A" w:rsidP="005A3DF4">
      <w:pPr>
        <w:widowControl w:val="0"/>
        <w:shd w:val="clear" w:color="auto" w:fill="FFFFFF"/>
        <w:spacing w:after="0" w:line="240" w:lineRule="auto"/>
        <w:ind w:firstLine="709"/>
        <w:contextualSpacing/>
        <w:jc w:val="both"/>
        <w:rPr>
          <w:rFonts w:ascii="Times New Roman" w:hAnsi="Times New Roman"/>
          <w:i/>
          <w:sz w:val="28"/>
          <w:szCs w:val="28"/>
          <w:lang w:val="en-US"/>
        </w:rPr>
      </w:pPr>
      <w:r w:rsidRPr="00577911">
        <w:rPr>
          <w:rFonts w:ascii="Times New Roman" w:eastAsia="Times New Roman" w:hAnsi="Times New Roman"/>
          <w:i/>
          <w:kern w:val="36"/>
          <w:sz w:val="28"/>
          <w:szCs w:val="28"/>
          <w:lang w:val="en-US" w:eastAsia="ru-RU"/>
        </w:rPr>
        <w:t>Keywords and phrases</w:t>
      </w:r>
      <w:r w:rsidRPr="00467B95">
        <w:rPr>
          <w:rFonts w:ascii="Times New Roman" w:eastAsia="Times New Roman" w:hAnsi="Times New Roman"/>
          <w:i/>
          <w:kern w:val="36"/>
          <w:sz w:val="28"/>
          <w:szCs w:val="28"/>
          <w:lang w:val="en-US" w:eastAsia="ru-RU"/>
        </w:rPr>
        <w:t>:</w:t>
      </w:r>
      <w:r w:rsidRPr="00467B95">
        <w:rPr>
          <w:rFonts w:ascii="Times New Roman" w:hAnsi="Times New Roman"/>
          <w:sz w:val="28"/>
          <w:szCs w:val="28"/>
          <w:lang w:val="en-US"/>
        </w:rPr>
        <w:t xml:space="preserve"> </w:t>
      </w:r>
      <w:r w:rsidRPr="00467B95">
        <w:rPr>
          <w:rFonts w:ascii="Times New Roman" w:hAnsi="Times New Roman"/>
          <w:i/>
          <w:sz w:val="28"/>
          <w:szCs w:val="28"/>
          <w:lang w:val="en-US"/>
        </w:rPr>
        <w:t>aw, legal thinking, metaphysics, positivism, criticism, advantages, disadvantages, concept, approach.</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настоящее время достаточно спорным и дискуссионным в отечественной правовой доктрине остается вопрос о понимании сущности права как наиболее эффективного регулятора общественных отношений, складывающихся в различных сферах жизнедеятельности социума: так, существует множество концепций правопонимания, зачастую кардинально противопоставляющихся друг другу в своих положениях, подчас чрезмерно сложных для сознательного восприятия отдельным индивидуумом.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Однако, в сформированной практике нередки случаи, когда правоприменитель, руководствуясь собственным правопониманием, принимает и выносит решения, совершенно несправедливые, алогичные (например, о наказаниях, несоразмерных преступному деянию), что порождает за собой искажение сущности права как регулятора общественных отношений, делая его неким «опасным оружием» в «руках» правоприменителя, обладающего «абсурдным» его пониманием.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Указанное влечет за собой необходимость и обуславливает актуальность научного осмысления концептуальных основ правопонимания, их принципиальных отличий, с целью выработки единообразного подхода к пониманию сущности права: это позволит, на наш взгляд, качественно повлиять на процесс идеологического объединения российской юридической общественности (в частности, обывателей, ученых-правоведов, юристов, практикующих в различных сферах права, студентов, обучающихся по юридическим специальностям), и, как следствие, будет способствовать недопущению принятия алогичных, несправедливых решений в рамках </w:t>
      </w:r>
      <w:r w:rsidRPr="00467B95">
        <w:rPr>
          <w:rFonts w:ascii="Times New Roman" w:eastAsia="Times New Roman" w:hAnsi="Times New Roman"/>
          <w:kern w:val="36"/>
          <w:sz w:val="28"/>
          <w:szCs w:val="28"/>
          <w:lang w:eastAsia="ru-RU"/>
        </w:rPr>
        <w:lastRenderedPageBreak/>
        <w:t>правоприменительной практике.</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Традиционно в рамках позитивистского направления понимания сущности права, как уже было отмечено, выделяют легисткий, социологический, психологический типы правопонимания, каждый из которых имеет свои специфические особенности, которые требуют более детального изучения и рассмотрения.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Исходя из анализа исторических данных, первым типом понимания сущности права в рамках рассматриваемого направления явился легисткий тип правопонимания, именуемый также в отечественной правовой доктрине как юридический позитивизм, соответственно, он же является и наиболее разработанным в своих положениях.</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Его основоположниками можно считать древнекитайских легистов, проживающих в четвертом веке до нашей эры, которые отмечали, что наиболее эффективным средством регулирования отношений, складывающихся между членами социума, является административно-управленческое насилие, выступающее прообразом современного права.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дальнейшем, развитие легисткого типа правопонимания связывается с именами наиболее известных исторических деятелей, к числу которых можно отнести следующих: английского философа и политического мыслителя Т. Гоббс (1588-1679), рассматривающего право в качестве приказа государственного суверена, адресованного народу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39]; английского юриста Д. Остина (1750-1859), который указывал, что право есть ничто иное как способ выражения власти одного человека над другим, имеющий форму приказа, повеления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39];  австрийского неопозитивиста Г. Кельзена (1881- 1973), определяющего право как систему норм, определяющую правопорядок на территории того или иного государства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43]; российского юриста Г. Ф. Шершеневич (1863-1919), который рассматривал право как предписанное государством правило поведение, обеспечиваемое силой властного принуждения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52], а также ряд других западных и российских теоретиков и практиков.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На сегодняшний день позиции классического юридического позитивизма в некотором смысле «подкосились»: так, постепенно отходя от отождествления права и закона, некоторые правоведы в рассматриваемое понятие включают также и акты применения права, что несколько расширяет легисткое понимание сущности права, но, в целом, не противоречит ему.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Полагаем возможным выделить следующие специфические черты, свойственные указанному подходу понимания сущности права:</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полное и категоричное отрицание специфических сущностных характеристик, свойственных праву как некоторому социальному явлению, которое обладает собственной самостоятельной общественной ценностью;</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фактическое отождествление права с предписаниями государственной публичной власти, законом;</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отсутствие необходимых критериев отграничения права от государственно-властного произвола;</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lastRenderedPageBreak/>
        <w:t>- признание государственно-принудительного характера права, как одного из его главных сущностных признаков;</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 толкования права как инструмента, сосредоточенного в руках государства, применение которого производно и зависимо от его умысла.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На наш взгляд, рассматриваемый подход чрезмерно сужает понимание сущности права, сводя его исключительно к закону, воле государства, и подчеркивает его произвольность, не учитывая его сущностное предназначение, в связи, с чем не представляется возможным с ним согласиться в полной мере.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Не согласны с ним и помощники прокурора, прокурор Советской районной прокуратуры г. Владивостока, указывавшие в беседе с нами, что отождествление права с законом, исключает такую функцию права как обеспечение социальной справедливости, поскольку далеко не все принимаемые в России законы носят справедливый характер: в частности, по их мнению, совершенно несправедливо было увеличение пенсионного возраста в отношении как мужчин, так и женщин.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Другим типом правопонимания в рамках данного направления выступает социологический, который, отметим, недопустимо смешивать с социологией права: основоположниками данного подхода являются представители немецкой исторической школы права, в частности, Г. Гуго (1764–1844), Ф. К. Савиньи (1779–1861), Г. Ф. Пухта (1798–1846)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61].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Они полагали, что право не может быть создано государством, поскольку обусловлено так называемым народным духом, происходит из него и укрепляется при его поддержке. Несмотря на то, что сторонники данного подхода выступали яростными критиками легисткого типа правопонимания, оба они лежат в рамках одного направления – позитивистского, что обусловлено сознательным ограничением сферы эмпирического анализа.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дальнейшем, развитие социологического типа правопонимания, связывается с именами наиболее известных исторических деятелей, к числу которых можно отнести следующих: Е. Эрлих (1862-1922), считавшего, что так называемое «живое» право представляет собой совокупность фактически действующих в практике социума законодательно установленных норм, доказавших свою регулятивность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63], а также придерживающимися аналогичной точки зрения – Р. Паунда и О. Холмса [1, с. 64].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российском государстве наиболее видным представителем социологического типа правопонимания выступил С. А. Муромцев (1850-1910), являвшийся первым председателем Государственной думы: он выступал категорически против сведения понимания права исключительно к формальной совокупности норм, поскольку тогда, по его мнению, терялась взаимосвязь права с обществом. Автор указывал, что если право не защищает общественные отношения, а просто представляет волю государства, то это не право, а произвол [2,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290-291].</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Весомый вклад в последующее развитие рассматриваемого подхода был внесен также и за счет работ, написанных М. М. Ковалевским (1851-</w:t>
      </w:r>
      <w:r w:rsidRPr="00467B95">
        <w:rPr>
          <w:rFonts w:ascii="Times New Roman" w:eastAsia="Times New Roman" w:hAnsi="Times New Roman"/>
          <w:kern w:val="36"/>
          <w:sz w:val="28"/>
          <w:szCs w:val="28"/>
          <w:lang w:eastAsia="ru-RU"/>
        </w:rPr>
        <w:lastRenderedPageBreak/>
        <w:t xml:space="preserve">1916), который неоднократно отмечал, что право представляет собой результат достигнутого компромисса между обществом и государством, с целью удовлетворения интересов и потребностей каждого из них [3,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88].</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На современном этапе, отметим, наличие весьма повышенного интереса к пониманию сущности права в рамках социологического типа со стороны, как представителей отечественной правовой доктрины, так и со стороны представителей российской правоприменительной практики, что обусловлено несоответствием легисткого типа правопонимания положению, предусмотренному ч. 4 ст. 15 Конституции РФ, согласно которой составной частью российской правовой системы являются международные договоры, принципы и нормы международного права [4].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Становится очевидно, что международное право не сводится исключительно к нормам международных договоров, а, следовательно, национальное право не может сводиться к нормам законодательства, в результате чего возникает потребность выхода за рамки легисткого типа правопонимания, для чего могут быть использованы познавательные возможности социологического типа правопонимания.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Это поддерживается и большинством помощников прокурора Советской районной прокуратуры г. Владивостока, указавшим, что одно из свойство право это социальная обусловленность и реальная применимость для целей регулирования общественных отношений, в виду чего мы также находим данный подход весьма привлекательным, хоть и считаем, что он должен рассматриваться во взаимосвязи с легистким типом правопонимания, а не самостоятельно.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Последним типом правопонимания, входящим в позивитское направление, выступает психологический, в рамках которого право трактуется как особое психологическое явление: указанный тип стал формироваться с конца девятнадцатого века, на что существенное влияние оказало развитие психологии, клинической психологии и психиатрии в рассматриваемый период времени.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Его основоположником является французский юрист Г. Тард (1843-1904), который в своих трудах указывал, что право является ничем иным как способом подражания человека общественному поведению. В свою очередь, в России представителем данного типа правопонимания, наиболее полно и детально его разработавшим в своих трудах, выступает Л. И. Петражицкий (1867-1931): он рассматривал право в качестве «особого психического (эмоционально-интеллектуального) переживания императивно-атрибутивного (обязывающе-представительного) характера»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78].</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Подкрепляя данную гипотезу примером из правоприменительной практики, укажем, что авторами подразумевалось следующее: отношение собственности, определяется не столько нормами законодательства, регулирующего данный правовой институт, а психическими эмоциями лица, являющегося обладателем вещи к ней, которые, утрированно могут быть выражены фразой: «Это мое. Это нельзя никому использовать, забирать без </w:t>
      </w:r>
      <w:r w:rsidRPr="00467B95">
        <w:rPr>
          <w:rFonts w:ascii="Times New Roman" w:eastAsia="Times New Roman" w:hAnsi="Times New Roman"/>
          <w:kern w:val="36"/>
          <w:sz w:val="28"/>
          <w:szCs w:val="28"/>
          <w:lang w:eastAsia="ru-RU"/>
        </w:rPr>
        <w:lastRenderedPageBreak/>
        <w:t xml:space="preserve">моего согласия».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С целью отграничения права от нравственности, сторонниками данного подхода отмечалось, что нравственность представляет собой совокупность внутренних моральных норм, убеждений, взглядов, которые основываются только на личном чувстве долга отдельно взятого индивидуума, и не подкреплены притязаниями со стороны государства и третьих лиц, а право представляет собой совокупность внутренних установок и эмоций человека, которые, напротив, подкреплены воздействием на его моральную составляющую со стороны государства.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Некоторой схожестью с психологическим типом правопонимания обладает и интуитивистская концепция права, в рамках которой право познается с помощью человеческой интуиции, и трактуется как чувство долга и совести, обуславливающего его поведение, являющееся значимым для общества и государства. Однако, при этом право здесь имеет естественные истоки в то время, как в рамках психологического типа правопонимания начало берется исключительно из человеческой неизведанной психики.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На наш взгляд, равно как и по мнению большинства опрошенных помощников прокурора прокуратуры Советской районной прокуратуры г. Владивостока, психологический тип правопонимания чрезмерно ограничен сущностью человеческой психики, и оторван от объективной реальной действительности, как следствие, не может быть применен для определения сущности права как социального явления, в первую очередь.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Традиционно в рамках метафизического направления понимания сущности права, как уже было отмечено, выделяют естественно-правовой и либертарно-юридический типы правопонимания, каждый из которых имеет свои специфические особенности, которые требуют более детального изучения и рассмотрения.</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 Так, определяя дефиницию «естественное право», известный отечественный правовед В. С. Нерсесянц указывал в своих научных трудах, что под ним следует понимать «извне переданное и присущее право человеку, являющееся единственным и первостепенным источником правового смысла и абсолютным критерием правового характера всех человеческих установлений, включая позитивное право и государство» [1,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82]. Указанное предопределяет дуализм, присущий естественно-правовому типу правопонимания: так, естественное право человека существует наравне с позитивным правом, однако, последнее не способно его изменить, упразднить, в виду главенствующей роли именно естественного права.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Представляется целесообразным рассмотреть подвиды естественно-правовой концепции, в зависимости от способа появления естественного права человека, в частности, следующие:</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А) Космологическое направление естественно-правового типа правопонимания.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Сторонники данного направления связывают возникновение естественного права человека с проявлением общих космических начал и </w:t>
      </w:r>
      <w:r w:rsidRPr="00467B95">
        <w:rPr>
          <w:rFonts w:ascii="Times New Roman" w:eastAsia="Times New Roman" w:hAnsi="Times New Roman"/>
          <w:kern w:val="36"/>
          <w:sz w:val="28"/>
          <w:szCs w:val="28"/>
          <w:lang w:eastAsia="ru-RU"/>
        </w:rPr>
        <w:lastRenderedPageBreak/>
        <w:t xml:space="preserve">законов мироздания: так, по мере построения мира определялись справедливые и разумные правила его функционирования, которые и предопределили появление естественного права человека.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Б) Христианско-теологическое направление естественно-правового типа правопонимания.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рамках его право рассматривалось в качестве проявления воли Бога на земле, о чем свидетельствуют и такие идеи права как справедливость, всеобщее равенство, которые весьма коррелируются с христианскими идеями милосердия, сострадания, отраженными как в положениях Ветхого Завета, так и в положениях Нового завета [5].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Гуманистическое направление естественно-правового типа правопонимания.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Сторонники данного направления связывают происхождение естественного права с разумной, то есть как с рациональной, так и с чувственной природой самого человека, определяя его как определенную систему сформированных в социуме представлений о необходимом, справедливом, должном, которые принимает и поддерживает государство в принимаемых им решениях.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Большинство практикующих юристов на современном этапе утверждают, что на сегодняшний день нет необходимости обращения к естественно-правовому типу правопонимания, поскольку она чрезмерно базируется на философских началах, которые не следует отражать при построении государственной нормативной правовой базы с целью регулирования складывающихся в обществе отношений.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Однако, с этим не согласны, как мы, так и сам отечественный законодатель, российский народ, определивший в ст. 2 Основного российского закона провозгласила высшей ценностью государства права и свободы человека, являющиеся по своей природе неотчуждаемыми и принадлежащими каждому с момента его рождения, что базируется исключительно на позиции естественного правопонимания [4].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Кроме того, на наш взгляд, равно и как по мнению большинства помощников прокуроров Советской районной прокуратуры г. Владивостока, нормы действующего международного права, национального законодательства не в состоянии охватить все многообразие человеческих взаимоотношений, постоянно меняющихся с учетом изменения объективной реальности. Именно в силу того, что позитивация естественного права никогда не будет завершенной, невозможно насовсем отказаться от данного типа правопонимания.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свою очередь, либертарно-юридический тип правопонимания как один из входящих в метафизическое направления был разработан В. С. Нерсесянцем в середине семидесятых годов прошлого столетия.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Название, полученное данным типом правопонимания, переопределяет ее суть: право рассматривается в качестве единственно возможной формой выражения человеческой свободы в отношениях, складывающихся в социуме, </w:t>
      </w:r>
      <w:r w:rsidRPr="00467B95">
        <w:rPr>
          <w:rFonts w:ascii="Times New Roman" w:eastAsia="Times New Roman" w:hAnsi="Times New Roman"/>
          <w:kern w:val="36"/>
          <w:sz w:val="28"/>
          <w:szCs w:val="28"/>
          <w:lang w:eastAsia="ru-RU"/>
        </w:rPr>
        <w:lastRenderedPageBreak/>
        <w:t xml:space="preserve">образующего население того или иного государства (отсюда приставка «либертарно»), которая связывается исключительно с правом и реализация которой возможна только путем правоприменения (отсюда продолжение «юридический»).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Сам В. С. Нерсесянц определял основные положения разработанной им концепции в следующем:</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А) Кардинально противоположными понятиями дефиниции «свобода» являются «насилие», «произвол», «своеволие»;</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 В условиях развития и функционирования современного общества свобода возможна только в виде права, которое имеет законную силу, в виду ее легитимизации со стороны государства;</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 Норма закона является мерой свободы;</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Г) Ценность права заключается в обозначении им сферу, границы и структуру предоставляемой свободы, выступая в качестве ее формы, меры, нормы, получившая государственно-властную защиту.</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Иными словами, содержание данного типа правопонимания сводится к следующему: право – это равная мера свободы и справедливости, существование которого невозможно без предопределения формального равенства, под которым следует понимать «равенство людей в свободе, заключающееся в том, что фактически разные (неравные) люди в правовом общении выступают как равные и независимые друг от друга, как свободные индивиды — субъекты права, а их действия измеряются и оцениваются по одинаковому масштабу» [6,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xml:space="preserve">. 363].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Мы полагаем возможным рассмотрение указанного типа правопонимания во взаимосвязи с привлекательным для нас социологическим типом правопонимания: право определяется нами как мера свободы и мера справедливости, базирующаяся на принципе формального равенства, поддерживаемая со стороны государственной власти и легализованная ей, обусловленная потребностями социума (в рамках данного подхода сочетаются легисткий, социологический, либертарно-юридический типы правопонимания).</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Завершая изложение настоящего исследования, полагаем необходимым отразить следующие основные выводы:</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Сторонники легисткого типа правопонимания определяют право как совокупность общеобязательных норм, принятых со стороны государства, с целью регулирования поведения человека, исполнение которых поддерживается силой властного принуждения, фактически отождествляя его с законодательством, не учитывая сущностных признаков права (социальная обусловленность, реальная применимость, справедливость).</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 Указанное в полной мере учитывается в рамках социологического типа правопонимания, сторонники которого считают, что право – это фактическое применение нормативной правовой базы, обусловленное потребностями социума, с целью регулирования складывающихся общественных отношений (некий компромисс, достигнутый между обществом и государством). На </w:t>
      </w:r>
      <w:r w:rsidRPr="00467B95">
        <w:rPr>
          <w:rFonts w:ascii="Times New Roman" w:eastAsia="Times New Roman" w:hAnsi="Times New Roman"/>
          <w:kern w:val="36"/>
          <w:sz w:val="28"/>
          <w:szCs w:val="28"/>
          <w:lang w:eastAsia="ru-RU"/>
        </w:rPr>
        <w:lastRenderedPageBreak/>
        <w:t xml:space="preserve">основании данного типа правопонимания, базируется психологический, согласно которому право представляет собой психические эмоции человека по отношению к своему поведению, подкрепленных воздействием на его моральную составляющую со стороны государства.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Критикуя легисткий тип правопонимания как чрезмерно сужающий сущность права, а также психический тип правопонимания как наиболее оторванный от объективной действительности и реальности, мы поддерживаем социологический тип правопонимания, указывая, что недопустимо сводить понимание право к закону, совокупности норм, психической эмоции, и не учитывать при этом такие его признаки как социальная обусловленность, реальная применимость. Право, по нашему мнению, призвано являться мерой свободы и мерой справедливости, удовлетворяющей, в первую очередь, потребности социума, и происходящее исходя из тенденции развития общества: сначала появляются новые общественные отношения, обусловленные развитием научно-технического прогресса, и только затем нормы права, призванные их урегулировать.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рамках естественно-правового типа правопонимания, право воспринимается его сторонниками как дарованное свыше (в зависимости от направления: космосом, Богом, человеческой природой) естественное и неотъемлемое право человека, главенствующее над позитивным правом. </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Нам представляется неверным сформированная в практике позиция, согласно которой допустимо вовсе отказаться от естественно-правовой концепции, поскольку указанное противоречит точки зрения российского законодателя: так, статья 2 Конституции РФ провозгласила высшей ценностью государства права и свободы человека, являющиеся по своей природе неотчуждаемыми и принадлежащими каждому с момента его рождения, что базируется исключительно на позиции естественного правопонимания. Кроме того, это недопустимо и в силу того, что нормы действующего международного права, национального законодательства не в состоянии охватить все многообразие человеческих взаимоотношений, постоянно меняющихся с учетом изменения объективной реальности, как следствие, естественное право никогда не утратит своей юридической значимости.</w:t>
      </w:r>
    </w:p>
    <w:p w:rsidR="004A656A" w:rsidRPr="00467B95" w:rsidRDefault="004A656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 Мы полагаем возможным рассмотрение либертарно-юридического типа правопонимания во взаимосвязи с привлекательным для нас социологическим типом правопонимания: право определяется нами как мера свободы и мера справедливости, базирующаяся на принципе формального равенства (положения либертарно-юридического типа правопонимания), поддерживаемая со стороны государственной власти и легализованная ей (положения легисткого типа правопонимания), обусловленная потребностями социума (положения социологического типа правопонимания).</w:t>
      </w:r>
    </w:p>
    <w:p w:rsidR="00577911" w:rsidRPr="00467B95" w:rsidRDefault="00577911"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4A656A" w:rsidRPr="00467B95" w:rsidRDefault="004A656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 Лапаева В. В. Типы правопонимания: правовая теория и практика. Монография. / В. В. Лапаева. – М.: Российская академия правосудия, 2012. – </w:t>
      </w:r>
      <w:r w:rsidRPr="00467B95">
        <w:rPr>
          <w:rFonts w:ascii="Times New Roman" w:hAnsi="Times New Roman"/>
          <w:sz w:val="28"/>
          <w:szCs w:val="28"/>
        </w:rPr>
        <w:lastRenderedPageBreak/>
        <w:t>579 с.</w:t>
      </w:r>
    </w:p>
    <w:p w:rsidR="004A656A" w:rsidRPr="00467B95" w:rsidRDefault="004A656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Жуков В. Н. Русская философия права. От рационализма к мистицизму. / В. Н. Жуков. – М.: Проспект, 2018. – 352 с.</w:t>
      </w:r>
    </w:p>
    <w:p w:rsidR="004A656A" w:rsidRPr="00467B95" w:rsidRDefault="004A656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Ковалевский М. М. Сочинения в двух томах. Том первый.  / М. М. Ковалевский.   – СПб.: Алетейя, 1997. – 288 с.</w:t>
      </w:r>
    </w:p>
    <w:p w:rsidR="004A656A" w:rsidRPr="00467B95" w:rsidRDefault="004A656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[Электронный ресурс] // СПС «КонсультантПлюс». – Режим доступа: http://www.consultant.ru/document/cons_doc_LAW_28399/</w:t>
      </w:r>
    </w:p>
    <w:p w:rsidR="004A656A" w:rsidRPr="00467B95" w:rsidRDefault="004A656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Лопухин А. П. Толковая Библия. Ветхий Завет и Новый Завет: с иллюстрациями Гюстава Доре. / А. П. Лопухин. – М.: Эксмо, 2018. – 599 с.</w:t>
      </w:r>
    </w:p>
    <w:p w:rsidR="004A656A" w:rsidRPr="00467B95" w:rsidRDefault="004A656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6 Власова О. И. Либертарно-юридическая концепция В. С. Нерсесянца в контексте нашего времени. / О. И. Власова. // Социально-экономические явления и процессы. – 2011. - № 3-4 (№ 025-026). – С. 362-368. </w:t>
      </w:r>
    </w:p>
    <w:p w:rsidR="001F2239" w:rsidRPr="00467B95" w:rsidRDefault="001F2239" w:rsidP="005A3DF4">
      <w:pPr>
        <w:widowControl w:val="0"/>
        <w:spacing w:after="0" w:line="240" w:lineRule="auto"/>
        <w:ind w:firstLine="709"/>
        <w:rPr>
          <w:rFonts w:ascii="Times New Roman" w:hAnsi="Times New Roman"/>
          <w:sz w:val="28"/>
          <w:szCs w:val="28"/>
        </w:rPr>
      </w:pPr>
    </w:p>
    <w:p w:rsidR="001F2239" w:rsidRPr="00467B95" w:rsidRDefault="001F2239" w:rsidP="005A3DF4">
      <w:pPr>
        <w:widowControl w:val="0"/>
        <w:spacing w:after="0" w:line="240" w:lineRule="auto"/>
        <w:ind w:firstLine="709"/>
        <w:jc w:val="center"/>
        <w:rPr>
          <w:rFonts w:ascii="Times New Roman" w:hAnsi="Times New Roman"/>
          <w:b/>
          <w:color w:val="000000" w:themeColor="text1"/>
          <w:sz w:val="28"/>
          <w:szCs w:val="28"/>
        </w:rPr>
      </w:pPr>
      <w:r w:rsidRPr="00467B95">
        <w:rPr>
          <w:rFonts w:ascii="Times New Roman" w:hAnsi="Times New Roman"/>
          <w:b/>
          <w:color w:val="000000" w:themeColor="text1"/>
          <w:sz w:val="28"/>
          <w:szCs w:val="28"/>
        </w:rPr>
        <w:t>ПРОБЛЕМЫ ПРИМЕНЕНИЯ ЗАКОНОДАТЕЛЬСТВА О МИТИНГАХ ШЕСТВИЯХ И ПИКЕТИРОВАНИЯХ</w:t>
      </w:r>
    </w:p>
    <w:p w:rsidR="00577911" w:rsidRDefault="00577911" w:rsidP="005A3DF4">
      <w:pPr>
        <w:widowControl w:val="0"/>
        <w:shd w:val="clear" w:color="auto" w:fill="FFFFFF"/>
        <w:spacing w:after="0" w:line="240" w:lineRule="auto"/>
        <w:ind w:firstLine="709"/>
        <w:contextualSpacing/>
        <w:jc w:val="center"/>
        <w:rPr>
          <w:rFonts w:ascii="Times New Roman" w:eastAsia="Times New Roman" w:hAnsi="Times New Roman"/>
          <w:color w:val="000000" w:themeColor="text1"/>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themeColor="text1"/>
          <w:kern w:val="36"/>
          <w:sz w:val="28"/>
          <w:szCs w:val="28"/>
          <w:lang w:eastAsia="ru-RU"/>
        </w:rPr>
      </w:pPr>
      <w:r w:rsidRPr="00467B95">
        <w:rPr>
          <w:rFonts w:ascii="Times New Roman" w:eastAsia="Times New Roman" w:hAnsi="Times New Roman"/>
          <w:color w:val="000000" w:themeColor="text1"/>
          <w:kern w:val="36"/>
          <w:sz w:val="28"/>
          <w:szCs w:val="28"/>
          <w:lang w:eastAsia="ru-RU"/>
        </w:rPr>
        <w:t>Ревуцкий Игорь Олегович</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themeColor="text1"/>
          <w:kern w:val="36"/>
          <w:sz w:val="28"/>
          <w:szCs w:val="28"/>
          <w:lang w:eastAsia="ru-RU"/>
        </w:rPr>
      </w:pPr>
      <w:r w:rsidRPr="00467B95">
        <w:rPr>
          <w:rFonts w:ascii="Times New Roman" w:eastAsia="Times New Roman" w:hAnsi="Times New Roman"/>
          <w:color w:val="000000" w:themeColor="text1"/>
          <w:kern w:val="36"/>
          <w:sz w:val="28"/>
          <w:szCs w:val="28"/>
          <w:lang w:eastAsia="ru-RU"/>
        </w:rPr>
        <w:t>БЮП-15-04м группы, 4 курса Институт права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color w:val="000000" w:themeColor="text1"/>
          <w:kern w:val="36"/>
          <w:sz w:val="28"/>
          <w:szCs w:val="28"/>
          <w:lang w:eastAsia="ru-RU"/>
        </w:rPr>
      </w:pPr>
      <w:r w:rsidRPr="00467B95">
        <w:rPr>
          <w:rFonts w:ascii="Times New Roman" w:eastAsia="Times New Roman" w:hAnsi="Times New Roman"/>
          <w:i/>
          <w:color w:val="000000" w:themeColor="text1"/>
          <w:kern w:val="36"/>
          <w:sz w:val="28"/>
          <w:szCs w:val="28"/>
          <w:lang w:eastAsia="ru-RU"/>
        </w:rPr>
        <w:t>Владивостокский государственный университет экономики и сервиса</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color w:val="000000" w:themeColor="text1"/>
          <w:kern w:val="36"/>
          <w:sz w:val="28"/>
          <w:szCs w:val="28"/>
          <w:lang w:eastAsia="ru-RU"/>
        </w:rPr>
      </w:pPr>
      <w:r w:rsidRPr="00467B95">
        <w:rPr>
          <w:rFonts w:ascii="Times New Roman" w:eastAsia="Times New Roman" w:hAnsi="Times New Roman"/>
          <w:i/>
          <w:color w:val="000000" w:themeColor="text1"/>
          <w:kern w:val="36"/>
          <w:sz w:val="28"/>
          <w:szCs w:val="28"/>
          <w:lang w:eastAsia="ru-RU"/>
        </w:rPr>
        <w:t>Россия. Владивосток</w:t>
      </w:r>
    </w:p>
    <w:p w:rsidR="00577911" w:rsidRDefault="00577911" w:rsidP="005A3DF4">
      <w:pPr>
        <w:widowControl w:val="0"/>
        <w:shd w:val="clear" w:color="auto" w:fill="FFFFFF"/>
        <w:spacing w:after="0" w:line="240" w:lineRule="auto"/>
        <w:ind w:firstLine="709"/>
        <w:contextualSpacing/>
        <w:jc w:val="both"/>
        <w:rPr>
          <w:rFonts w:ascii="Times New Roman" w:hAnsi="Times New Roman"/>
          <w:i/>
          <w:color w:val="000000" w:themeColor="text1"/>
          <w:sz w:val="28"/>
          <w:szCs w:val="28"/>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color w:val="000000" w:themeColor="text1"/>
          <w:kern w:val="36"/>
          <w:sz w:val="28"/>
          <w:szCs w:val="28"/>
          <w:lang w:eastAsia="ru-RU"/>
        </w:rPr>
      </w:pPr>
      <w:r w:rsidRPr="00467B95">
        <w:rPr>
          <w:rFonts w:ascii="Times New Roman" w:hAnsi="Times New Roman"/>
          <w:i/>
          <w:color w:val="000000" w:themeColor="text1"/>
          <w:sz w:val="28"/>
          <w:szCs w:val="28"/>
        </w:rPr>
        <w:t>В статье проведен анализ нормативно-правовых основ и основополагающих проблем применения законодательства о митингах, шествиях и пикетированиях, выявлены аспекты правовой неопределенности терминов «нарушение порядка проведения публичного мероприятия»,«несанкционированный митинг», даны рекомендации по оптимизации нормативных актов, которые осуществляют регулирование ответственности за нарушение законодательства о массовых мероприятиях</w:t>
      </w:r>
    </w:p>
    <w:p w:rsidR="00577911" w:rsidRDefault="00577911" w:rsidP="005A3DF4">
      <w:pPr>
        <w:widowControl w:val="0"/>
        <w:shd w:val="clear" w:color="auto" w:fill="FFFFFF"/>
        <w:spacing w:after="0" w:line="240" w:lineRule="auto"/>
        <w:ind w:firstLine="709"/>
        <w:contextualSpacing/>
        <w:jc w:val="both"/>
        <w:rPr>
          <w:rFonts w:ascii="Times New Roman" w:eastAsia="Times New Roman" w:hAnsi="Times New Roman"/>
          <w:b/>
          <w:i/>
          <w:color w:val="000000" w:themeColor="text1"/>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color w:val="000000" w:themeColor="text1"/>
          <w:kern w:val="36"/>
          <w:sz w:val="28"/>
          <w:szCs w:val="28"/>
          <w:lang w:eastAsia="ru-RU"/>
        </w:rPr>
      </w:pPr>
      <w:r w:rsidRPr="00577911">
        <w:rPr>
          <w:rFonts w:ascii="Times New Roman" w:eastAsia="Times New Roman" w:hAnsi="Times New Roman"/>
          <w:i/>
          <w:color w:val="000000" w:themeColor="text1"/>
          <w:kern w:val="36"/>
          <w:sz w:val="28"/>
          <w:szCs w:val="28"/>
          <w:lang w:eastAsia="ru-RU"/>
        </w:rPr>
        <w:t xml:space="preserve">Ключевые слова и словосочетания: </w:t>
      </w:r>
      <w:r w:rsidRPr="00577911">
        <w:rPr>
          <w:rFonts w:ascii="Times New Roman" w:hAnsi="Times New Roman"/>
          <w:i/>
          <w:color w:val="000000" w:themeColor="text1"/>
          <w:sz w:val="28"/>
          <w:szCs w:val="28"/>
        </w:rPr>
        <w:t>митинги</w:t>
      </w:r>
      <w:r w:rsidRPr="00467B95">
        <w:rPr>
          <w:rFonts w:ascii="Times New Roman" w:hAnsi="Times New Roman"/>
          <w:i/>
          <w:color w:val="000000" w:themeColor="text1"/>
          <w:sz w:val="28"/>
          <w:szCs w:val="28"/>
        </w:rPr>
        <w:t>, несанкционированные собрания, демонстрации, пикетирования, шествия, уголовная и административная ответственность за участие в массовых мероприятиях</w:t>
      </w:r>
      <w:r w:rsidRPr="00467B95">
        <w:rPr>
          <w:rFonts w:ascii="Times New Roman" w:hAnsi="Times New Roman"/>
          <w:color w:val="000000" w:themeColor="text1"/>
          <w:sz w:val="28"/>
          <w:szCs w:val="28"/>
        </w:rPr>
        <w:t>.</w:t>
      </w: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color w:val="000000" w:themeColor="text1"/>
          <w:kern w:val="36"/>
          <w:sz w:val="28"/>
          <w:szCs w:val="28"/>
          <w:lang w:eastAsia="ru-RU"/>
        </w:rPr>
      </w:pP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b/>
          <w:color w:val="000000" w:themeColor="text1"/>
          <w:kern w:val="36"/>
          <w:sz w:val="28"/>
          <w:szCs w:val="28"/>
          <w:lang w:val="en-US" w:eastAsia="ru-RU"/>
        </w:rPr>
      </w:pPr>
      <w:r w:rsidRPr="00467B95">
        <w:rPr>
          <w:rFonts w:ascii="Times New Roman" w:eastAsia="Times New Roman" w:hAnsi="Times New Roman"/>
          <w:b/>
          <w:color w:val="000000" w:themeColor="text1"/>
          <w:kern w:val="36"/>
          <w:sz w:val="28"/>
          <w:szCs w:val="28"/>
          <w:lang w:val="en-US" w:eastAsia="ru-RU"/>
        </w:rPr>
        <w:t>PROBLEMS OF APPLICATION OF LEGISLATION ON RALLIES AND PICKETING RETURNS</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themeColor="text1"/>
          <w:kern w:val="36"/>
          <w:sz w:val="28"/>
          <w:szCs w:val="28"/>
          <w:lang w:val="en-US" w:eastAsia="ru-RU"/>
        </w:rPr>
      </w:pPr>
      <w:r w:rsidRPr="00467B95">
        <w:rPr>
          <w:rFonts w:ascii="Times New Roman" w:eastAsia="Times New Roman" w:hAnsi="Times New Roman"/>
          <w:color w:val="000000" w:themeColor="text1"/>
          <w:kern w:val="36"/>
          <w:sz w:val="28"/>
          <w:szCs w:val="28"/>
          <w:lang w:val="en-US" w:eastAsia="ru-RU"/>
        </w:rPr>
        <w:t>Revutsky Igor Olegovich</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color w:val="000000" w:themeColor="text1"/>
          <w:kern w:val="36"/>
          <w:sz w:val="28"/>
          <w:szCs w:val="28"/>
          <w:lang w:val="en-US" w:eastAsia="ru-RU"/>
        </w:rPr>
      </w:pPr>
      <w:r w:rsidRPr="00467B95">
        <w:rPr>
          <w:rFonts w:ascii="Times New Roman" w:eastAsia="Times New Roman" w:hAnsi="Times New Roman"/>
          <w:color w:val="000000" w:themeColor="text1"/>
          <w:kern w:val="36"/>
          <w:sz w:val="28"/>
          <w:szCs w:val="28"/>
          <w:lang w:val="en-US" w:eastAsia="ru-RU"/>
        </w:rPr>
        <w:t>BPUP-15-04</w:t>
      </w:r>
      <w:r w:rsidRPr="00467B95">
        <w:rPr>
          <w:rFonts w:ascii="Times New Roman" w:eastAsia="Times New Roman" w:hAnsi="Times New Roman"/>
          <w:color w:val="000000" w:themeColor="text1"/>
          <w:kern w:val="36"/>
          <w:sz w:val="28"/>
          <w:szCs w:val="28"/>
          <w:lang w:eastAsia="ru-RU"/>
        </w:rPr>
        <w:t>м</w:t>
      </w:r>
      <w:r w:rsidRPr="00467B95">
        <w:rPr>
          <w:rFonts w:ascii="Times New Roman" w:eastAsia="Times New Roman" w:hAnsi="Times New Roman"/>
          <w:color w:val="000000" w:themeColor="text1"/>
          <w:kern w:val="36"/>
          <w:sz w:val="28"/>
          <w:szCs w:val="28"/>
          <w:lang w:val="en-US" w:eastAsia="ru-RU"/>
        </w:rPr>
        <w:t xml:space="preserve"> group, 4 course, Institute of law</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color w:val="000000" w:themeColor="text1"/>
          <w:kern w:val="36"/>
          <w:sz w:val="28"/>
          <w:szCs w:val="28"/>
          <w:lang w:val="en-US" w:eastAsia="ru-RU"/>
        </w:rPr>
      </w:pPr>
      <w:r w:rsidRPr="00467B95">
        <w:rPr>
          <w:rFonts w:ascii="Times New Roman" w:eastAsia="Times New Roman" w:hAnsi="Times New Roman"/>
          <w:i/>
          <w:color w:val="000000" w:themeColor="text1"/>
          <w:kern w:val="36"/>
          <w:sz w:val="28"/>
          <w:szCs w:val="28"/>
          <w:lang w:val="en-US" w:eastAsia="ru-RU"/>
        </w:rPr>
        <w:t>Vladivostok State University of Economics and Service</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color w:val="000000" w:themeColor="text1"/>
          <w:kern w:val="36"/>
          <w:sz w:val="28"/>
          <w:szCs w:val="28"/>
          <w:lang w:val="en-US" w:eastAsia="ru-RU"/>
        </w:rPr>
      </w:pPr>
      <w:r w:rsidRPr="00467B95">
        <w:rPr>
          <w:rFonts w:ascii="Times New Roman" w:eastAsia="Times New Roman" w:hAnsi="Times New Roman"/>
          <w:i/>
          <w:color w:val="000000" w:themeColor="text1"/>
          <w:kern w:val="36"/>
          <w:sz w:val="28"/>
          <w:szCs w:val="28"/>
          <w:lang w:val="en-US" w:eastAsia="ru-RU"/>
        </w:rPr>
        <w:t>Vladivostok, Russia</w:t>
      </w:r>
    </w:p>
    <w:p w:rsidR="001F2239" w:rsidRPr="00467B95" w:rsidRDefault="001F2239" w:rsidP="005A3DF4">
      <w:pPr>
        <w:widowControl w:val="0"/>
        <w:shd w:val="clear" w:color="auto" w:fill="FFFFFF"/>
        <w:spacing w:after="0" w:line="240" w:lineRule="auto"/>
        <w:ind w:firstLine="709"/>
        <w:contextualSpacing/>
        <w:jc w:val="center"/>
        <w:rPr>
          <w:rFonts w:ascii="Times New Roman" w:eastAsia="Times New Roman" w:hAnsi="Times New Roman"/>
          <w:i/>
          <w:color w:val="000000" w:themeColor="text1"/>
          <w:kern w:val="36"/>
          <w:sz w:val="28"/>
          <w:szCs w:val="28"/>
          <w:lang w:val="en-US" w:eastAsia="ru-RU"/>
        </w:rPr>
      </w:pPr>
      <w:r w:rsidRPr="00467B95">
        <w:rPr>
          <w:rFonts w:ascii="Times New Roman" w:eastAsia="Times New Roman" w:hAnsi="Times New Roman"/>
          <w:b/>
          <w:color w:val="000000" w:themeColor="text1"/>
          <w:kern w:val="36"/>
          <w:sz w:val="28"/>
          <w:szCs w:val="28"/>
          <w:lang w:val="en-US" w:eastAsia="ru-RU"/>
        </w:rPr>
        <w:lastRenderedPageBreak/>
        <w:br/>
      </w:r>
      <w:r w:rsidRPr="00467B95">
        <w:rPr>
          <w:rFonts w:ascii="Times New Roman" w:eastAsia="Times New Roman" w:hAnsi="Times New Roman"/>
          <w:i/>
          <w:color w:val="000000" w:themeColor="text1"/>
          <w:kern w:val="36"/>
          <w:sz w:val="28"/>
          <w:szCs w:val="28"/>
          <w:lang w:val="en-US" w:eastAsia="ru-RU"/>
        </w:rPr>
        <w:t>The article analyzes the legal framework and the fundamental problems of applying legislation on rallies, processions and picketing, reveals aspects of the legal ambiguity of the terms “violation of the procedure for holding a public event”, “unauthorized rally”, gives recommendations on the optimization of regulatory acts that regulate liability for violation of the law on mass events</w:t>
      </w:r>
    </w:p>
    <w:p w:rsidR="001F2239" w:rsidRPr="00467B95" w:rsidRDefault="001F2239" w:rsidP="005A3DF4">
      <w:pPr>
        <w:widowControl w:val="0"/>
        <w:shd w:val="clear" w:color="auto" w:fill="FFFFFF"/>
        <w:spacing w:after="0" w:line="240" w:lineRule="auto"/>
        <w:ind w:firstLine="709"/>
        <w:contextualSpacing/>
        <w:jc w:val="both"/>
        <w:rPr>
          <w:rFonts w:ascii="Times New Roman" w:hAnsi="Times New Roman"/>
          <w:i/>
          <w:iCs/>
          <w:color w:val="000000" w:themeColor="text1"/>
          <w:kern w:val="36"/>
          <w:sz w:val="28"/>
          <w:szCs w:val="28"/>
          <w:lang w:val="en-US" w:eastAsia="ru-RU"/>
        </w:rPr>
      </w:pPr>
    </w:p>
    <w:p w:rsidR="001F2239" w:rsidRPr="00467B95" w:rsidRDefault="001F2239" w:rsidP="005A3DF4">
      <w:pPr>
        <w:widowControl w:val="0"/>
        <w:shd w:val="clear" w:color="auto" w:fill="FFFFFF"/>
        <w:spacing w:after="0" w:line="240" w:lineRule="auto"/>
        <w:ind w:firstLine="709"/>
        <w:contextualSpacing/>
        <w:jc w:val="both"/>
        <w:rPr>
          <w:rFonts w:ascii="Times New Roman" w:eastAsia="Times New Roman" w:hAnsi="Times New Roman"/>
          <w:i/>
          <w:color w:val="000000" w:themeColor="text1"/>
          <w:kern w:val="36"/>
          <w:sz w:val="28"/>
          <w:szCs w:val="28"/>
          <w:lang w:val="en-US" w:eastAsia="ru-RU"/>
        </w:rPr>
      </w:pPr>
      <w:r w:rsidRPr="00A44907">
        <w:rPr>
          <w:rFonts w:ascii="Times New Roman" w:eastAsia="Times New Roman" w:hAnsi="Times New Roman"/>
          <w:i/>
          <w:color w:val="000000" w:themeColor="text1"/>
          <w:kern w:val="36"/>
          <w:sz w:val="28"/>
          <w:szCs w:val="28"/>
          <w:lang w:val="en-US" w:eastAsia="ru-RU"/>
        </w:rPr>
        <w:t>Keywords and phrases</w:t>
      </w:r>
      <w:r w:rsidRPr="00467B95">
        <w:rPr>
          <w:rFonts w:ascii="Times New Roman" w:eastAsia="Times New Roman" w:hAnsi="Times New Roman"/>
          <w:i/>
          <w:color w:val="000000" w:themeColor="text1"/>
          <w:kern w:val="36"/>
          <w:sz w:val="28"/>
          <w:szCs w:val="28"/>
          <w:lang w:val="en-US" w:eastAsia="ru-RU"/>
        </w:rPr>
        <w:t>: rallies, unauthorized meetings, demonstrations, pickets, processions, criminal and administrative responsibility for participation in mass events.</w:t>
      </w:r>
    </w:p>
    <w:p w:rsidR="001F2239" w:rsidRPr="00467B95" w:rsidRDefault="001F2239" w:rsidP="005A3DF4">
      <w:pPr>
        <w:widowControl w:val="0"/>
        <w:spacing w:after="0" w:line="240" w:lineRule="auto"/>
        <w:ind w:firstLine="709"/>
        <w:jc w:val="center"/>
        <w:rPr>
          <w:rFonts w:ascii="Times New Roman" w:hAnsi="Times New Roman"/>
          <w:b/>
          <w:color w:val="000000" w:themeColor="text1"/>
          <w:sz w:val="28"/>
          <w:szCs w:val="28"/>
          <w:lang w:val="en-US"/>
        </w:rPr>
      </w:pP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Крупнейшие митинги и демонстрации, политического характера, по своей  масштабности и  численности,  в которых  принимают участие лица,   в Российской Федерации,  проводятся  начиная  с 2011 г. после того,  после  проведения выборов  в Государственную думу VI созыва, в результате  которых были   обнаружены многочисленные нарушения  и факты  фальсификации итогов выборов. Самые многочисленные митинги и мероприятия, проходили  на проспекте академика Сахарова и на Болотной площади в города. Москвы.  Прошедшие  митинги по количеству участников  были самыми крупномасштабными за последние десять  лет. Причиной митингов, стали выявленные правонарушения, после чего в 2012 году    произошла  целая, серия, многотысячных митингов.</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Чтобы пресечь,  протестные  мероприятия  подобного характера, в будущем,  уже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с 2012 г. органы государственной власти решились на  ужесточение законодательства по  отношению к участникам  и организаторам митингов, и других массовых  политических мероприятий.  В соответствии, с Федеральным законом от 08.06.2012 № 65-ФЗ «О внесении изменений в Кодекс РФ об административных правонарушениях и Федеральный закон «О собраниях, митингах, демонстрациях, шествиях и пикетированиях»» был введен ряд  новых видов наказаний и возросли  в десятки раз размеры штрафов, а именно:</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1)  увеличились размеры административных  штрафов для граждан по санкциям ст. 5.38, 20.2, 20.2.2, 20.18, ч. 4 ст. 20.25 – до 300 000 руб., а для должностных лиц по санкциям статьи 5.38, ч. 1–4 ст. 20.2, ст.20.2.2, 20.18 – до 600 000 руб.;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2)  изменились, статья 20.2 была изложена в более расширенной редакции, где дифференцирован размер сроков обязательных работ и размер сроков  административных штрафов по составу правонарушения;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3)  как  один основных  видов  административных наказаний, были дополнены обязательными работами;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4)  при  уклонении  от исполнения обязательных работ, была  введена административная ответственность;</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5) к полномочиям судей районных судов было  отнесено рассмотрение </w:t>
      </w:r>
      <w:r w:rsidRPr="00467B95">
        <w:rPr>
          <w:rFonts w:ascii="Times New Roman" w:hAnsi="Times New Roman"/>
          <w:color w:val="000000" w:themeColor="text1"/>
          <w:sz w:val="28"/>
          <w:szCs w:val="28"/>
        </w:rPr>
        <w:lastRenderedPageBreak/>
        <w:t xml:space="preserve">дел при  нарушениях законодательства о митингах, шествиях и пикетированиях;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6) при  нарушении законодательства о митингах, пикетированиях и шествиях отнесённых к делам, по которым срок исковой давности равен одному году с момента как было совершено административное правонарушение;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7) обязательные работы теперь  относятся  к видам административных наказаний без возможности приостановления  по исполнению  данных  постановлений в связи с возможностью подачи протеста</w:t>
      </w:r>
      <w:r w:rsidR="00A44907">
        <w:rPr>
          <w:rFonts w:ascii="Times New Roman" w:hAnsi="Times New Roman"/>
          <w:color w:val="000000" w:themeColor="text1"/>
          <w:sz w:val="28"/>
          <w:szCs w:val="28"/>
        </w:rPr>
        <w:t xml:space="preserve"> </w:t>
      </w:r>
      <w:r w:rsidR="00A44907" w:rsidRPr="00A44907">
        <w:rPr>
          <w:rFonts w:ascii="Times New Roman" w:hAnsi="Times New Roman"/>
          <w:color w:val="000000" w:themeColor="text1"/>
          <w:sz w:val="28"/>
          <w:szCs w:val="28"/>
        </w:rPr>
        <w:t>[</w:t>
      </w:r>
      <w:r w:rsidR="00A44907" w:rsidRPr="00CE3E72">
        <w:rPr>
          <w:rFonts w:ascii="Times New Roman" w:hAnsi="Times New Roman"/>
          <w:color w:val="000000" w:themeColor="text1"/>
          <w:sz w:val="28"/>
          <w:szCs w:val="28"/>
        </w:rPr>
        <w:t>1</w:t>
      </w:r>
      <w:r w:rsidR="00A44907" w:rsidRPr="00A44907">
        <w:rPr>
          <w:rFonts w:ascii="Times New Roman" w:hAnsi="Times New Roman"/>
          <w:color w:val="000000" w:themeColor="text1"/>
          <w:sz w:val="28"/>
          <w:szCs w:val="28"/>
        </w:rPr>
        <w:t>]</w:t>
      </w:r>
      <w:r w:rsidRPr="00467B95">
        <w:rPr>
          <w:rFonts w:ascii="Times New Roman" w:hAnsi="Times New Roman"/>
          <w:color w:val="000000" w:themeColor="text1"/>
          <w:sz w:val="28"/>
          <w:szCs w:val="28"/>
        </w:rPr>
        <w:t xml:space="preserve">.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За последнее  время  значительно возросло  количество  политических и оппозиционных акций, а также митингов работников разных профессий,  так как всё большее количество российских граждан не устраивает  невыплата  зарплаты и условия труда, особенно в регионах,  в том  числе повышение пенсионного возраста.</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 Согласно ст. 31 Конституции РФ граждане Российской Федерации имеют право  на собрания  без оружия, на мирное  проведение  митингов,  проведение демонстраций  и собраний,  проведение пикетов и шествий</w:t>
      </w:r>
      <w:r w:rsidR="00A44907" w:rsidRPr="00A44907">
        <w:rPr>
          <w:rFonts w:ascii="Times New Roman" w:hAnsi="Times New Roman"/>
          <w:color w:val="000000" w:themeColor="text1"/>
          <w:sz w:val="28"/>
          <w:szCs w:val="28"/>
        </w:rPr>
        <w:t xml:space="preserve"> [2]</w:t>
      </w:r>
      <w:r w:rsidRPr="00467B95">
        <w:rPr>
          <w:rFonts w:ascii="Times New Roman" w:hAnsi="Times New Roman"/>
          <w:color w:val="000000" w:themeColor="text1"/>
          <w:sz w:val="28"/>
          <w:szCs w:val="28"/>
        </w:rPr>
        <w:t>. В связи с другими свободами и правами, которые  гарантированы  Конституцией РФ, главным образом статьями 29, 30, 32 и 33, которые указаны конституционным правом гражданам,  закрепляется и  обеспечивается реальная возможность с помощью, с помощью которой,   проводятся публичные мероприятия  (митинги, собрания, демонстрации, пикетирование и шествия).  Данные права  оказывают воздействие на деятельность органов государственной  власти и способствуют  поддержанию  мирного диалога между государством и гражданами, что не исключает полностью протестный  характер такого рода публичных политических  мероприятий, которые  выражаются в критике как отдельных принятых  решений и действий органов  публично власти, так и в целом проводимой ими политики.  Законодательное  регулирование в данной  области  осуществляется нормами  Федерального закона от 19.06.2004 N 54-ФЗ (ред. от 11.10.2018) «О собраниях, митингах, демонстрациях, шествиях и пикетированиях»</w:t>
      </w:r>
      <w:r w:rsidR="00A44907" w:rsidRPr="00A44907">
        <w:rPr>
          <w:rFonts w:ascii="Times New Roman" w:hAnsi="Times New Roman"/>
          <w:color w:val="000000" w:themeColor="text1"/>
          <w:sz w:val="28"/>
          <w:szCs w:val="28"/>
        </w:rPr>
        <w:t xml:space="preserve"> [3]</w:t>
      </w:r>
      <w:r w:rsidRPr="00467B95">
        <w:rPr>
          <w:rFonts w:ascii="Times New Roman" w:hAnsi="Times New Roman"/>
          <w:color w:val="000000" w:themeColor="text1"/>
          <w:sz w:val="28"/>
          <w:szCs w:val="28"/>
        </w:rPr>
        <w:t xml:space="preserve">, а также  правовыми  нормами Российской Федерации о выборах и референдумах. </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Вопросы оценки конституционности  положений Федерального закона «О собраниях, митингах, демонстрациях, шествиях и пикетированиях», об обязанности  организатора  публичных политических мероприятий подачи уведомлений о проведении, специально отведенных мест, является предметом рассмотрения Конституционного Суда РФ, которым в постановлениях от 18 мая 2012 г. N 12-П, от 14 февраля 2013 г. N 4-П и от 13 мая 2014 г. N 14-П сформулирована правовая  позиция  по данному вопросу.</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После принятия Федерального закона N 258-ФЗ от 21.07.2014  была  расширена  диспозиция ст. 20.2 КоАП. Согласно ч. 6.1 было введена административная ответственность за «участие в несанкционированных митинге, собрании, шествии,  демонстрации или пикетировании, которые </w:t>
      </w:r>
      <w:r w:rsidRPr="00467B95">
        <w:rPr>
          <w:rFonts w:ascii="Times New Roman" w:hAnsi="Times New Roman"/>
          <w:color w:val="000000" w:themeColor="text1"/>
          <w:sz w:val="28"/>
          <w:szCs w:val="28"/>
        </w:rPr>
        <w:lastRenderedPageBreak/>
        <w:t>повлекли создание каких-либо помех функционированию объектов жизнеобеспечения, социальной и транспортной инфраструктуры, связи, движению транспортных средство или пешеходов либо доступу граждан к жилым помещениям или объектам социальной или  транспортной инфраструктуры». Частью 8 было повторно закреплено ответственность за совершение повторно административного правонарушения,  предусмотренное частями 1 – 6.1  данной  статьи, если  действие  уголовно наказуемого деяния не содержит.</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Для право применения   административной ответственности существует формулировка ч. 6.1 ст. 20.2 КоАП РФ. Административная ответственность ранее за проведение и организацию не согласованном  и не в регламентированном порядке публичного мероприятия, а также последствия данного мероприятия была  возложена  только на организатора публичного мероприятия (согласно ч. 2 ст. 20.2 КоАП РФ) или лиц, по вине которых причинение вреда было допущено (согласно иной статьи КоАП РФ, чаще всего ст. 20.1), но не на всех участников мероприятия.</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Формулировка нормы рассматриваемой статьи требованиям правовой определенности применительно к объективной сторонне не отвечает, так как из ее содержания не  совсем понятно и  ясно, за какие конкретно действия  либо  бездействия может   наступить административная ответственность. Непосредственно за сам факт участия посредством присутствия без какого-либо умысла на публичном мероприятии «несанкционированного» характера, в результате которого и наступили негативные последствия,  обозначенные в части статьи, даже если они и не имеют  связи с действиями задержанного лица, за участие в мероприятии подобного характера, если непосредственно его действиями был причинен вред,  который установлен в рассматриваемой части статьи.</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Если законодатель имел в виду  данный  случай, то данная норма имеет  противоречия,  которые  были оспорены по делу «О проверке конституционности положений ч. 2 ст. 20.2 КоАП РФ, п. 3 ч. 4 ст. 5 и п. 5 ч. 3 ст. 7 Федерального закона «О собраниях, митингах, демонстрациях, шествиях и пикетированиях» в связи с жалобой гражданина С.А. Каткова». В  результате данного дела, Конституционным Судом РФ было обозначено, что в соответствии с общепринятой мировой практикой привлечение к административной ответственности  следует  «...не за любые  отступления  от положений нормативного характера, а лишь за те, которые создают непосредственную угрозу причинения вреда охраняемому объекту»</w:t>
      </w:r>
      <w:r w:rsidR="00A44907" w:rsidRPr="00A44907">
        <w:rPr>
          <w:rFonts w:ascii="Times New Roman" w:hAnsi="Times New Roman"/>
          <w:color w:val="000000" w:themeColor="text1"/>
          <w:sz w:val="28"/>
          <w:szCs w:val="28"/>
        </w:rPr>
        <w:t xml:space="preserve"> [4]</w:t>
      </w:r>
      <w:r w:rsidRPr="00467B95">
        <w:rPr>
          <w:rFonts w:ascii="Times New Roman" w:hAnsi="Times New Roman"/>
          <w:color w:val="000000" w:themeColor="text1"/>
          <w:sz w:val="28"/>
          <w:szCs w:val="28"/>
        </w:rPr>
        <w:t>.</w:t>
      </w:r>
      <w:r w:rsidR="00A44907" w:rsidRPr="00467B95">
        <w:rPr>
          <w:rFonts w:ascii="Times New Roman" w:hAnsi="Times New Roman"/>
          <w:color w:val="000000" w:themeColor="text1"/>
          <w:sz w:val="28"/>
          <w:szCs w:val="28"/>
        </w:rPr>
        <w:t xml:space="preserve"> </w:t>
      </w:r>
      <w:r w:rsidRPr="00467B95">
        <w:rPr>
          <w:rFonts w:ascii="Times New Roman" w:hAnsi="Times New Roman"/>
          <w:color w:val="000000" w:themeColor="text1"/>
          <w:sz w:val="28"/>
          <w:szCs w:val="28"/>
        </w:rPr>
        <w:t xml:space="preserve">Помимо этого, в рассматриваемом случае  было выявлено, что правовое неравенство ответственности лиц, чьими действиями был вред причинен, и лиц, которые принимали участие в публичном политическом  мероприятии. Однако правоприменительная практика идет по пути признания виновными в совершении административных  правонарушений, которые предусмотрены ч. 6.1 ст. 20.2 КоАП РФ, любых лиц, в отношении которых полиция  осуществила сбор данных об их непосредственном присутствии в качестве </w:t>
      </w:r>
      <w:r w:rsidRPr="00467B95">
        <w:rPr>
          <w:rFonts w:ascii="Times New Roman" w:hAnsi="Times New Roman"/>
          <w:color w:val="000000" w:themeColor="text1"/>
          <w:sz w:val="28"/>
          <w:szCs w:val="28"/>
        </w:rPr>
        <w:lastRenderedPageBreak/>
        <w:t>наблюдателей за публичными политическими  мероприятиями, а не обязательно в них участвующих лицах.</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 Судебная система РФ на данном  современном этапе не может эффективно обеспечивать защиту прав граждан, по  проведению  публичных акций, собираться с мирными целями. В тщательной доработке нуждается процедура рассмотрения таких дел судами. Данная процедура должна строиться с учетом всех нюансов по реализации данного права, при этом  включать учет срочности,  сроки   публичных акций, актуальности мест,  и времени  их проведения.</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К субъектам ответственности за нарушение законодательства о митингах, шествиях и пикетированиях, за нарушение порядка проведения и организации публичного мероприятия относятся: граждане-организаторы.; граждане, которые  непосредственно принимают  участие в митинге, шествии, пикетировании; должностные лица и граждане, которые своими  бездействиями  или действиями препятствуют проведению публичных о мероприятий</w:t>
      </w:r>
      <w:r w:rsidR="00A44907" w:rsidRPr="00A44907">
        <w:rPr>
          <w:rFonts w:ascii="Times New Roman" w:hAnsi="Times New Roman"/>
          <w:color w:val="000000" w:themeColor="text1"/>
          <w:sz w:val="28"/>
          <w:szCs w:val="28"/>
        </w:rPr>
        <w:t xml:space="preserve"> [5]</w:t>
      </w:r>
      <w:r w:rsidRPr="00467B95">
        <w:rPr>
          <w:rFonts w:ascii="Times New Roman" w:hAnsi="Times New Roman"/>
          <w:color w:val="000000" w:themeColor="text1"/>
          <w:sz w:val="28"/>
          <w:szCs w:val="28"/>
        </w:rPr>
        <w:t>.</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Мнение многих исследователей,  совершенно, обосновано, что при квалификации правонарушений,  связанных с нарушением порядка проведения митингов, шествий и пикетирования, требуется разграничение участников и случайных лиц, которые  наблюдают за проведением  публичных мероприятия и которые не подлежат  к привлечению  ответственности</w:t>
      </w:r>
      <w:r w:rsidR="00A44907" w:rsidRPr="00CE3E72">
        <w:rPr>
          <w:rFonts w:ascii="Times New Roman" w:hAnsi="Times New Roman"/>
          <w:color w:val="000000" w:themeColor="text1"/>
          <w:sz w:val="28"/>
          <w:szCs w:val="28"/>
        </w:rPr>
        <w:t xml:space="preserve"> [6]</w:t>
      </w:r>
      <w:r w:rsidRPr="00467B95">
        <w:rPr>
          <w:rFonts w:ascii="Times New Roman" w:hAnsi="Times New Roman"/>
          <w:color w:val="000000" w:themeColor="text1"/>
          <w:sz w:val="28"/>
          <w:szCs w:val="28"/>
        </w:rPr>
        <w:t>.</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Основанием ответственности за нарушение законодательства является   совершение действий  субъектом  правонарушения, диспозиция которого может заключаться:  в  проведении  несанкционированного митинга, шествия, нарушение порядка мероприятия (время, маршрут, место,), нарушение запретов, которые  установлены законодательством,  также, если в процессе публичного мероприятия делаются заявления экстремистского характера, проводится разжигание межнациональной розни и др</w:t>
      </w:r>
      <w:r w:rsidR="00A44907" w:rsidRPr="00A44907">
        <w:rPr>
          <w:rFonts w:ascii="Times New Roman" w:hAnsi="Times New Roman"/>
          <w:color w:val="000000" w:themeColor="text1"/>
          <w:sz w:val="28"/>
          <w:szCs w:val="28"/>
        </w:rPr>
        <w:t xml:space="preserve"> [7]</w:t>
      </w:r>
      <w:r w:rsidRPr="00467B95">
        <w:rPr>
          <w:rFonts w:ascii="Times New Roman" w:hAnsi="Times New Roman"/>
          <w:color w:val="000000" w:themeColor="text1"/>
          <w:sz w:val="28"/>
          <w:szCs w:val="28"/>
        </w:rPr>
        <w:t>.</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В соответствии с Федеральным законом от 21.07.2014 N 258-ФЗ была введена в УК РФ ст. 212.1. «Неоднократное нарушение установленного порядка организации либо проведение собраний, митингов, демонстраций, шествий или пикетирования», если это деяние было совершено неоднократно, наказывается штрафом в размере от 600 тыс. до 1 миллиона рублей либо в размере заработной платы или какого-либо другого дохода осужденного за период от 2-х до 3-х лет, либо  обязательными работами на срок до 480 часов, либо исправительными работами на срок от 1 года до 3-х лет, либо принудительными работами на срок до 5 лет, либо лишением свободы на тот же срок».</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Примечание к рассматриваемой статье УК РФ говорит о том, что нарушением установленного порядка проведения или организации митинга и других публичных мероприятий, если данное лицо уже привлекалось ранее к административной ответственности за совершение административных правонарушений,  которые установлены статьей 20.2 КоАП РФ, более двух </w:t>
      </w:r>
      <w:r w:rsidRPr="00467B95">
        <w:rPr>
          <w:rFonts w:ascii="Times New Roman" w:hAnsi="Times New Roman"/>
          <w:color w:val="000000" w:themeColor="text1"/>
          <w:sz w:val="28"/>
          <w:szCs w:val="28"/>
        </w:rPr>
        <w:lastRenderedPageBreak/>
        <w:t>раз в течение   ста  восьми десяти дней.</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Конституционный Суд РФ своим Постановлением от 10 февраля 2017 г. № 2-П дает соответствующую оценку конституционности положений статьи 212.1 УК РФ. Предметом рассмотрения Конституционного Суда оспариваемые положения являются потому, что служат основанием при решении вопросов  о наличии в деянии признаков уголовно-противоправных  нарушений установленного порядка проведения или организации митингов, шествий и других публичных мероприятий, к лицу  совершившему  данное  деяние, уголовного наказания в виде лишения свободы. Конституционным Судом оспариваемые положения признаются не противоречащими Конституции РФ.</w:t>
      </w:r>
    </w:p>
    <w:p w:rsidR="001F2239" w:rsidRPr="00467B95" w:rsidRDefault="001F2239"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Таким образом, можно сделать вывод, что практика по  применению мер уголовной и административной ответственности за нарушение законодательства о митингах, шествиях и пикетированиях имеет достаточно много нерешенных  проблем, которые могут быть   решены  только уточнением применяемых в нормах права определений.</w:t>
      </w:r>
    </w:p>
    <w:p w:rsidR="00A44907" w:rsidRPr="00467B95" w:rsidRDefault="00A44907"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1F2239" w:rsidRPr="00D7493E" w:rsidRDefault="001F2239" w:rsidP="007F4EC1">
      <w:pPr>
        <w:pStyle w:val="a7"/>
        <w:widowControl w:val="0"/>
        <w:numPr>
          <w:ilvl w:val="0"/>
          <w:numId w:val="18"/>
        </w:numPr>
        <w:spacing w:after="0" w:line="240" w:lineRule="auto"/>
        <w:ind w:left="0" w:firstLine="709"/>
        <w:jc w:val="both"/>
        <w:rPr>
          <w:rFonts w:ascii="Times New Roman" w:hAnsi="Times New Roman"/>
          <w:color w:val="000000" w:themeColor="text1"/>
          <w:sz w:val="28"/>
          <w:szCs w:val="28"/>
        </w:rPr>
      </w:pPr>
      <w:r w:rsidRPr="00D7493E">
        <w:rPr>
          <w:rFonts w:ascii="Times New Roman" w:hAnsi="Times New Roman"/>
          <w:color w:val="000000" w:themeColor="text1"/>
          <w:sz w:val="28"/>
          <w:szCs w:val="28"/>
        </w:rPr>
        <w:t xml:space="preserve">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11-ФКЗ)[Электронный ресурс]. // СПС «КонсультантПлюс». – Режим доступа: </w:t>
      </w:r>
      <w:hyperlink r:id="rId175" w:history="1">
        <w:r w:rsidRPr="00D7493E">
          <w:rPr>
            <w:rStyle w:val="a8"/>
            <w:rFonts w:ascii="Times New Roman" w:hAnsi="Times New Roman" w:cs="Times New Roman"/>
            <w:color w:val="000000" w:themeColor="text1"/>
            <w:sz w:val="28"/>
            <w:szCs w:val="28"/>
            <w:u w:val="none"/>
          </w:rPr>
          <w:t>http://www.consultant.ru/document/cons_doc_LAW_28399/</w:t>
        </w:r>
      </w:hyperlink>
    </w:p>
    <w:p w:rsidR="001F2239" w:rsidRPr="00D7493E" w:rsidRDefault="001F2239" w:rsidP="007F4EC1">
      <w:pPr>
        <w:pStyle w:val="a7"/>
        <w:widowControl w:val="0"/>
        <w:numPr>
          <w:ilvl w:val="0"/>
          <w:numId w:val="18"/>
        </w:numPr>
        <w:spacing w:after="0" w:line="240" w:lineRule="auto"/>
        <w:ind w:left="0" w:firstLine="709"/>
        <w:jc w:val="both"/>
        <w:rPr>
          <w:rFonts w:ascii="Times New Roman" w:hAnsi="Times New Roman" w:cs="Times New Roman"/>
          <w:color w:val="000000" w:themeColor="text1"/>
          <w:sz w:val="28"/>
          <w:szCs w:val="28"/>
        </w:rPr>
      </w:pPr>
      <w:r w:rsidRPr="00D7493E">
        <w:rPr>
          <w:rFonts w:ascii="Times New Roman" w:hAnsi="Times New Roman" w:cs="Times New Roman"/>
          <w:color w:val="000000" w:themeColor="text1"/>
          <w:sz w:val="28"/>
          <w:szCs w:val="28"/>
        </w:rPr>
        <w:t>Федеральный закон от 19.06.2004 N 54-ФЗ (ред. от 11.10.2018) «О собраниях, митингах, демонстрациях, шествиях и пикетированиях»[Электронный ресурс]. // СПС «КонсультантПлюс». – Режим доступа: http://www.consultant.ru/document/cons_doc_LAW_48103/</w:t>
      </w:r>
    </w:p>
    <w:p w:rsidR="001F2239" w:rsidRPr="00D7493E" w:rsidRDefault="001F2239" w:rsidP="007F4EC1">
      <w:pPr>
        <w:pStyle w:val="a7"/>
        <w:widowControl w:val="0"/>
        <w:numPr>
          <w:ilvl w:val="0"/>
          <w:numId w:val="18"/>
        </w:numPr>
        <w:spacing w:after="0" w:line="240" w:lineRule="auto"/>
        <w:ind w:left="0" w:firstLine="709"/>
        <w:jc w:val="both"/>
        <w:rPr>
          <w:rStyle w:val="a8"/>
          <w:rFonts w:ascii="Times New Roman" w:hAnsi="Times New Roman" w:cs="Times New Roman"/>
          <w:color w:val="000000" w:themeColor="text1"/>
          <w:sz w:val="28"/>
          <w:szCs w:val="28"/>
          <w:u w:val="none"/>
        </w:rPr>
      </w:pPr>
      <w:r w:rsidRPr="00D7493E">
        <w:rPr>
          <w:rFonts w:ascii="Times New Roman" w:hAnsi="Times New Roman" w:cs="Times New Roman"/>
          <w:color w:val="000000" w:themeColor="text1"/>
          <w:sz w:val="28"/>
          <w:szCs w:val="28"/>
        </w:rPr>
        <w:t xml:space="preserve">Федеральный закон от 08.06.2012 N 65-ФЗ (с изм. от 14.02.2013) «О внесении изменений в Кодекс Российской Федерации об административных правонарушениях и Федеральный закон «О собраниях, митингах, демонстрациях, шествиях и пикетированиях» [Электронный ресурс]. // СПС «КонсультантПлюс». – Режим доступа: </w:t>
      </w:r>
      <w:hyperlink r:id="rId176" w:history="1">
        <w:r w:rsidRPr="00D7493E">
          <w:rPr>
            <w:rStyle w:val="a8"/>
            <w:rFonts w:ascii="Times New Roman" w:hAnsi="Times New Roman" w:cs="Times New Roman"/>
            <w:color w:val="000000" w:themeColor="text1"/>
            <w:sz w:val="28"/>
            <w:szCs w:val="28"/>
            <w:u w:val="none"/>
          </w:rPr>
          <w:t>http://www.consultant.ru/law/hotdocs/19045.html/</w:t>
        </w:r>
      </w:hyperlink>
    </w:p>
    <w:p w:rsidR="001F2239" w:rsidRPr="00D7493E" w:rsidRDefault="001F2239" w:rsidP="007F4EC1">
      <w:pPr>
        <w:pStyle w:val="a7"/>
        <w:widowControl w:val="0"/>
        <w:numPr>
          <w:ilvl w:val="0"/>
          <w:numId w:val="18"/>
        </w:numPr>
        <w:spacing w:after="0" w:line="240" w:lineRule="auto"/>
        <w:ind w:left="0" w:firstLine="709"/>
        <w:jc w:val="both"/>
        <w:rPr>
          <w:rStyle w:val="a8"/>
          <w:rFonts w:ascii="Times New Roman" w:hAnsi="Times New Roman" w:cs="Times New Roman"/>
          <w:color w:val="000000" w:themeColor="text1"/>
          <w:sz w:val="28"/>
          <w:szCs w:val="28"/>
          <w:u w:val="none"/>
        </w:rPr>
      </w:pPr>
      <w:r w:rsidRPr="00D7493E">
        <w:rPr>
          <w:rStyle w:val="a8"/>
          <w:rFonts w:ascii="Times New Roman" w:hAnsi="Times New Roman" w:cs="Times New Roman"/>
          <w:color w:val="000000" w:themeColor="text1"/>
          <w:sz w:val="28"/>
          <w:szCs w:val="28"/>
          <w:u w:val="none"/>
        </w:rPr>
        <w:t>Федеральный закон от 21.07.2014 N 258-ФЗ «О внесении изменений в отдельные законодательные акты Российской Федерации в части совершенствования законодательства о публичных мероприятиях»[Электронный ресурс]. //</w:t>
      </w:r>
      <w:r w:rsidRPr="00D7493E">
        <w:rPr>
          <w:rFonts w:ascii="Times New Roman" w:hAnsi="Times New Roman" w:cs="Times New Roman"/>
          <w:color w:val="000000" w:themeColor="text1"/>
          <w:sz w:val="28"/>
          <w:szCs w:val="28"/>
        </w:rPr>
        <w:t>СПС «КонсультантПлюс». – Режим доступа</w:t>
      </w:r>
      <w:r w:rsidRPr="00D7493E">
        <w:rPr>
          <w:rStyle w:val="a8"/>
          <w:rFonts w:ascii="Times New Roman" w:hAnsi="Times New Roman" w:cs="Times New Roman"/>
          <w:color w:val="000000" w:themeColor="text1"/>
          <w:sz w:val="28"/>
          <w:szCs w:val="28"/>
          <w:u w:val="none"/>
        </w:rPr>
        <w:t>: http://www.consultant.ru/document/cons_doc_LAW_165926/</w:t>
      </w:r>
    </w:p>
    <w:p w:rsidR="001F2239" w:rsidRPr="00D7493E" w:rsidRDefault="001F2239" w:rsidP="007F4EC1">
      <w:pPr>
        <w:pStyle w:val="a7"/>
        <w:widowControl w:val="0"/>
        <w:numPr>
          <w:ilvl w:val="0"/>
          <w:numId w:val="18"/>
        </w:numPr>
        <w:spacing w:after="0" w:line="240" w:lineRule="auto"/>
        <w:ind w:left="0" w:firstLine="709"/>
        <w:jc w:val="both"/>
        <w:rPr>
          <w:rFonts w:ascii="Times New Roman" w:hAnsi="Times New Roman" w:cs="Times New Roman"/>
          <w:color w:val="000000" w:themeColor="text1"/>
          <w:sz w:val="28"/>
          <w:szCs w:val="28"/>
        </w:rPr>
      </w:pPr>
      <w:r w:rsidRPr="00D7493E">
        <w:rPr>
          <w:rFonts w:ascii="Times New Roman" w:hAnsi="Times New Roman" w:cs="Times New Roman"/>
          <w:color w:val="000000" w:themeColor="text1"/>
          <w:sz w:val="28"/>
          <w:szCs w:val="28"/>
        </w:rPr>
        <w:t>Постановление Конституционного Суда Российской Федерации от 18 мая 2012 г. по делу «О проверке конституционности положений ч. 2 ст. 20.2 КоАП РФ, п. 3 ч. 4 ст. 5 и п. 5 ч. 3 ст. 7 Федерального закона "О собраниях, митингах, демонстрациях, шествиях и пикетированиях" в связи с жалобой гражданина С.А. Каткова» // Собрание законодательства РФ. 28.05.2012. № 22. ст. 2921</w:t>
      </w:r>
    </w:p>
    <w:p w:rsidR="001F2239" w:rsidRPr="00D7493E" w:rsidRDefault="001F2239" w:rsidP="007F4EC1">
      <w:pPr>
        <w:pStyle w:val="a7"/>
        <w:widowControl w:val="0"/>
        <w:numPr>
          <w:ilvl w:val="0"/>
          <w:numId w:val="18"/>
        </w:numPr>
        <w:spacing w:after="0" w:line="240" w:lineRule="auto"/>
        <w:ind w:left="0" w:firstLine="709"/>
        <w:jc w:val="both"/>
        <w:rPr>
          <w:rFonts w:ascii="Times New Roman" w:hAnsi="Times New Roman" w:cs="Times New Roman"/>
          <w:color w:val="000000" w:themeColor="text1"/>
          <w:sz w:val="28"/>
          <w:szCs w:val="28"/>
        </w:rPr>
      </w:pPr>
      <w:r w:rsidRPr="00D7493E">
        <w:rPr>
          <w:rFonts w:ascii="Times New Roman" w:hAnsi="Times New Roman" w:cs="Times New Roman"/>
          <w:color w:val="000000" w:themeColor="text1"/>
          <w:sz w:val="28"/>
          <w:szCs w:val="28"/>
        </w:rPr>
        <w:lastRenderedPageBreak/>
        <w:t>Прокофьев К.Г. Субъекты административной ответственности за нарушение порядка организации и проведения собраний, митингов, демонстраций, шествий и пикетирования // Административное и муниципальное право. – 2014. – № 5. – С. 421-424.</w:t>
      </w:r>
    </w:p>
    <w:p w:rsidR="001F2239" w:rsidRPr="00D7493E" w:rsidRDefault="001F2239" w:rsidP="007F4EC1">
      <w:pPr>
        <w:pStyle w:val="a7"/>
        <w:widowControl w:val="0"/>
        <w:numPr>
          <w:ilvl w:val="0"/>
          <w:numId w:val="18"/>
        </w:numPr>
        <w:spacing w:after="0" w:line="240" w:lineRule="auto"/>
        <w:ind w:left="0" w:firstLine="709"/>
        <w:jc w:val="both"/>
        <w:rPr>
          <w:rFonts w:ascii="Times New Roman" w:hAnsi="Times New Roman" w:cs="Times New Roman"/>
          <w:color w:val="000000" w:themeColor="text1"/>
          <w:sz w:val="28"/>
          <w:szCs w:val="28"/>
        </w:rPr>
      </w:pPr>
      <w:r w:rsidRPr="00D7493E">
        <w:rPr>
          <w:rFonts w:ascii="Times New Roman" w:hAnsi="Times New Roman" w:cs="Times New Roman"/>
          <w:color w:val="000000" w:themeColor="text1"/>
          <w:sz w:val="28"/>
          <w:szCs w:val="28"/>
        </w:rPr>
        <w:t>Шилкин А.М. Проблемы применения законодательства о митингах, шествиях, демонстрациях и пикетировании // Управление в современных системах. – 2017. – № 5. – С. 55-63.</w:t>
      </w:r>
    </w:p>
    <w:p w:rsidR="001F2239" w:rsidRPr="00467B95" w:rsidRDefault="001F2239" w:rsidP="005A3DF4">
      <w:pPr>
        <w:widowControl w:val="0"/>
        <w:spacing w:after="0" w:line="240" w:lineRule="auto"/>
        <w:ind w:firstLine="709"/>
        <w:jc w:val="center"/>
        <w:rPr>
          <w:rFonts w:ascii="Times New Roman" w:hAnsi="Times New Roman"/>
          <w:color w:val="000000" w:themeColor="text1"/>
          <w:sz w:val="28"/>
          <w:szCs w:val="28"/>
        </w:rPr>
      </w:pPr>
    </w:p>
    <w:p w:rsidR="009A1B7E" w:rsidRPr="00891CAD" w:rsidRDefault="009A1B7E" w:rsidP="005A3DF4">
      <w:pPr>
        <w:widowControl w:val="0"/>
        <w:spacing w:after="0" w:line="240" w:lineRule="auto"/>
        <w:ind w:firstLine="709"/>
        <w:jc w:val="center"/>
        <w:rPr>
          <w:rFonts w:ascii="Times New Roman" w:hAnsi="Times New Roman"/>
          <w:b/>
          <w:sz w:val="28"/>
          <w:szCs w:val="28"/>
        </w:rPr>
      </w:pPr>
      <w:r w:rsidRPr="00891CAD">
        <w:rPr>
          <w:rFonts w:ascii="Times New Roman" w:hAnsi="Times New Roman"/>
          <w:b/>
          <w:sz w:val="28"/>
          <w:szCs w:val="28"/>
        </w:rPr>
        <w:t>АНГЛОСАКСОНСКАЯ МОДЕЛЬ МЕСТНОГО САМОУПРАВЛЕНИЯ</w:t>
      </w:r>
    </w:p>
    <w:p w:rsidR="009A1B7E" w:rsidRPr="000E6564" w:rsidRDefault="009A1B7E" w:rsidP="005A3DF4">
      <w:pPr>
        <w:widowControl w:val="0"/>
        <w:spacing w:after="0" w:line="240" w:lineRule="auto"/>
        <w:ind w:firstLine="709"/>
        <w:jc w:val="center"/>
        <w:rPr>
          <w:rFonts w:ascii="Times New Roman" w:hAnsi="Times New Roman"/>
          <w:b/>
          <w:sz w:val="28"/>
          <w:szCs w:val="28"/>
        </w:rPr>
      </w:pPr>
    </w:p>
    <w:p w:rsidR="009A1B7E" w:rsidRPr="000E6564" w:rsidRDefault="009A1B7E" w:rsidP="005A3DF4">
      <w:pPr>
        <w:widowControl w:val="0"/>
        <w:spacing w:after="0" w:line="240" w:lineRule="auto"/>
        <w:ind w:firstLine="709"/>
        <w:jc w:val="center"/>
        <w:rPr>
          <w:rFonts w:ascii="Times New Roman" w:hAnsi="Times New Roman"/>
          <w:sz w:val="28"/>
          <w:szCs w:val="28"/>
        </w:rPr>
      </w:pPr>
      <w:r w:rsidRPr="000E6564">
        <w:rPr>
          <w:rFonts w:ascii="Times New Roman" w:hAnsi="Times New Roman"/>
          <w:sz w:val="28"/>
          <w:szCs w:val="28"/>
        </w:rPr>
        <w:t>Романова Дарья Сергеевна,</w:t>
      </w:r>
    </w:p>
    <w:p w:rsidR="009A1B7E" w:rsidRPr="000E6564" w:rsidRDefault="009A1B7E" w:rsidP="005A3DF4">
      <w:pPr>
        <w:widowControl w:val="0"/>
        <w:spacing w:after="0" w:line="240" w:lineRule="auto"/>
        <w:ind w:firstLine="709"/>
        <w:jc w:val="center"/>
        <w:rPr>
          <w:rFonts w:ascii="Times New Roman" w:hAnsi="Times New Roman"/>
          <w:sz w:val="28"/>
          <w:szCs w:val="28"/>
        </w:rPr>
      </w:pPr>
      <w:r w:rsidRPr="000E6564">
        <w:rPr>
          <w:rFonts w:ascii="Times New Roman" w:hAnsi="Times New Roman"/>
          <w:sz w:val="28"/>
          <w:szCs w:val="28"/>
        </w:rPr>
        <w:t xml:space="preserve">студентка </w:t>
      </w:r>
      <w:r w:rsidRPr="000E6564">
        <w:rPr>
          <w:rFonts w:ascii="Times New Roman" w:hAnsi="Times New Roman"/>
          <w:color w:val="000000"/>
          <w:sz w:val="28"/>
          <w:szCs w:val="28"/>
        </w:rPr>
        <w:t>4</w:t>
      </w:r>
      <w:r w:rsidRPr="000E6564">
        <w:rPr>
          <w:rFonts w:ascii="Times New Roman" w:hAnsi="Times New Roman"/>
          <w:sz w:val="28"/>
          <w:szCs w:val="28"/>
        </w:rPr>
        <w:t xml:space="preserve"> курса, кафедра уголовно-правовых дисциплин, Институт права</w:t>
      </w:r>
    </w:p>
    <w:p w:rsidR="009A1B7E" w:rsidRPr="000E6564" w:rsidRDefault="009A1B7E" w:rsidP="005A3DF4">
      <w:pPr>
        <w:widowControl w:val="0"/>
        <w:spacing w:after="0" w:line="240" w:lineRule="auto"/>
        <w:ind w:firstLine="709"/>
        <w:jc w:val="center"/>
        <w:rPr>
          <w:rFonts w:ascii="Times New Roman" w:hAnsi="Times New Roman"/>
          <w:i/>
          <w:sz w:val="28"/>
          <w:szCs w:val="28"/>
        </w:rPr>
      </w:pPr>
      <w:r w:rsidRPr="000E6564">
        <w:rPr>
          <w:rFonts w:ascii="Times New Roman" w:hAnsi="Times New Roman"/>
          <w:i/>
          <w:sz w:val="28"/>
          <w:szCs w:val="28"/>
        </w:rPr>
        <w:t>Владивостокский государственный университет экономики и сервиса</w:t>
      </w:r>
    </w:p>
    <w:p w:rsidR="009A1B7E" w:rsidRPr="000E6564" w:rsidRDefault="009A1B7E" w:rsidP="005A3DF4">
      <w:pPr>
        <w:widowControl w:val="0"/>
        <w:spacing w:after="0" w:line="240" w:lineRule="auto"/>
        <w:ind w:firstLine="709"/>
        <w:jc w:val="center"/>
        <w:rPr>
          <w:rFonts w:ascii="Times New Roman" w:hAnsi="Times New Roman"/>
          <w:i/>
          <w:sz w:val="28"/>
          <w:szCs w:val="28"/>
        </w:rPr>
      </w:pPr>
      <w:r w:rsidRPr="000E6564">
        <w:rPr>
          <w:rFonts w:ascii="Times New Roman" w:hAnsi="Times New Roman"/>
          <w:i/>
          <w:sz w:val="28"/>
          <w:szCs w:val="28"/>
        </w:rPr>
        <w:t>Россия. Владивосток</w:t>
      </w:r>
    </w:p>
    <w:p w:rsidR="009A1B7E" w:rsidRPr="000E6564" w:rsidRDefault="009A1B7E" w:rsidP="005A3DF4">
      <w:pPr>
        <w:widowControl w:val="0"/>
        <w:spacing w:after="0" w:line="240" w:lineRule="auto"/>
        <w:ind w:firstLine="709"/>
        <w:jc w:val="center"/>
        <w:rPr>
          <w:rFonts w:ascii="Times New Roman" w:hAnsi="Times New Roman"/>
          <w:i/>
          <w:sz w:val="28"/>
          <w:szCs w:val="28"/>
        </w:rPr>
      </w:pPr>
    </w:p>
    <w:p w:rsidR="009A1B7E" w:rsidRPr="000E6564" w:rsidRDefault="009A1B7E" w:rsidP="005A3DF4">
      <w:pPr>
        <w:widowControl w:val="0"/>
        <w:spacing w:after="0" w:line="240" w:lineRule="auto"/>
        <w:ind w:firstLine="709"/>
        <w:jc w:val="both"/>
        <w:rPr>
          <w:rFonts w:ascii="Times New Roman" w:hAnsi="Times New Roman"/>
          <w:i/>
          <w:sz w:val="28"/>
          <w:szCs w:val="28"/>
        </w:rPr>
      </w:pPr>
      <w:r w:rsidRPr="000E6564">
        <w:rPr>
          <w:rFonts w:ascii="Times New Roman" w:hAnsi="Times New Roman"/>
          <w:i/>
          <w:sz w:val="28"/>
          <w:szCs w:val="28"/>
        </w:rPr>
        <w:t xml:space="preserve">В статье рассматриваются отличительный признаки англосаксонской модели местного самоуправления, а также проводится анализ возможности ее применения на территории Российской Федерации. </w:t>
      </w:r>
    </w:p>
    <w:p w:rsidR="009A1B7E" w:rsidRPr="000E6564" w:rsidRDefault="009A1B7E" w:rsidP="005A3DF4">
      <w:pPr>
        <w:widowControl w:val="0"/>
        <w:spacing w:after="0" w:line="240" w:lineRule="auto"/>
        <w:ind w:firstLine="709"/>
        <w:jc w:val="both"/>
        <w:rPr>
          <w:rFonts w:ascii="Times New Roman" w:hAnsi="Times New Roman"/>
          <w:b/>
          <w:i/>
          <w:color w:val="000000"/>
          <w:sz w:val="28"/>
          <w:szCs w:val="28"/>
        </w:rPr>
      </w:pPr>
    </w:p>
    <w:p w:rsidR="009A1B7E" w:rsidRPr="000E6564" w:rsidRDefault="009A1B7E" w:rsidP="005A3DF4">
      <w:pPr>
        <w:widowControl w:val="0"/>
        <w:spacing w:after="0" w:line="240" w:lineRule="auto"/>
        <w:ind w:firstLine="709"/>
        <w:jc w:val="both"/>
        <w:rPr>
          <w:rFonts w:ascii="Times New Roman" w:hAnsi="Times New Roman"/>
          <w:i/>
          <w:sz w:val="28"/>
          <w:szCs w:val="28"/>
        </w:rPr>
      </w:pPr>
      <w:r w:rsidRPr="00891CAD">
        <w:rPr>
          <w:rFonts w:ascii="Times New Roman" w:hAnsi="Times New Roman"/>
          <w:i/>
          <w:color w:val="000000"/>
          <w:sz w:val="28"/>
          <w:szCs w:val="28"/>
        </w:rPr>
        <w:t>Ключевые слова и словосочетания:</w:t>
      </w:r>
      <w:r w:rsidRPr="000E6564">
        <w:rPr>
          <w:rFonts w:ascii="Times New Roman" w:hAnsi="Times New Roman"/>
          <w:b/>
          <w:i/>
          <w:color w:val="000000"/>
          <w:sz w:val="28"/>
          <w:szCs w:val="28"/>
        </w:rPr>
        <w:t xml:space="preserve"> </w:t>
      </w:r>
      <w:r w:rsidRPr="000E6564">
        <w:rPr>
          <w:rFonts w:ascii="Times New Roman" w:hAnsi="Times New Roman"/>
          <w:i/>
          <w:sz w:val="28"/>
          <w:szCs w:val="28"/>
        </w:rPr>
        <w:t>местное самоуправление, орган, публичная власть, Великобритания, Российская Федерации.</w:t>
      </w:r>
    </w:p>
    <w:p w:rsidR="009A1B7E" w:rsidRPr="000E6564" w:rsidRDefault="009A1B7E" w:rsidP="005A3DF4">
      <w:pPr>
        <w:widowControl w:val="0"/>
        <w:spacing w:after="0" w:line="240" w:lineRule="auto"/>
        <w:ind w:firstLine="709"/>
        <w:jc w:val="both"/>
        <w:rPr>
          <w:rFonts w:ascii="Times New Roman" w:hAnsi="Times New Roman"/>
          <w:color w:val="000000"/>
          <w:sz w:val="28"/>
          <w:szCs w:val="28"/>
        </w:rPr>
      </w:pPr>
    </w:p>
    <w:p w:rsidR="009A1B7E" w:rsidRPr="00891CAD" w:rsidRDefault="009A1B7E" w:rsidP="005A3DF4">
      <w:pPr>
        <w:widowControl w:val="0"/>
        <w:spacing w:after="0" w:line="240" w:lineRule="auto"/>
        <w:ind w:firstLine="709"/>
        <w:jc w:val="center"/>
        <w:rPr>
          <w:rFonts w:ascii="Times New Roman" w:hAnsi="Times New Roman"/>
          <w:b/>
          <w:color w:val="000000"/>
          <w:sz w:val="28"/>
          <w:szCs w:val="28"/>
          <w:lang w:val="en-US"/>
        </w:rPr>
      </w:pPr>
      <w:r w:rsidRPr="00891CAD">
        <w:rPr>
          <w:rFonts w:ascii="Times New Roman" w:hAnsi="Times New Roman"/>
          <w:b/>
          <w:color w:val="000000"/>
          <w:sz w:val="28"/>
          <w:szCs w:val="28"/>
          <w:lang w:val="en-US"/>
        </w:rPr>
        <w:t>ANGLO-SAXON MODEL LOCAL GOVERNMENT</w:t>
      </w:r>
    </w:p>
    <w:p w:rsidR="009A1B7E" w:rsidRPr="000E6564" w:rsidRDefault="009A1B7E" w:rsidP="005A3DF4">
      <w:pPr>
        <w:widowControl w:val="0"/>
        <w:spacing w:after="0" w:line="240" w:lineRule="auto"/>
        <w:ind w:firstLine="709"/>
        <w:jc w:val="center"/>
        <w:rPr>
          <w:rFonts w:ascii="Times New Roman" w:hAnsi="Times New Roman"/>
          <w:color w:val="000000"/>
          <w:sz w:val="28"/>
          <w:szCs w:val="28"/>
          <w:lang w:val="en-US"/>
        </w:rPr>
      </w:pPr>
      <w:r w:rsidRPr="000E6564">
        <w:rPr>
          <w:rFonts w:ascii="Times New Roman" w:hAnsi="Times New Roman"/>
          <w:color w:val="000000"/>
          <w:sz w:val="28"/>
          <w:szCs w:val="28"/>
          <w:lang w:val="en-US"/>
        </w:rPr>
        <w:t>Romanova Daria Sergeevna,</w:t>
      </w:r>
    </w:p>
    <w:p w:rsidR="009A1B7E" w:rsidRPr="000E6564" w:rsidRDefault="009A1B7E" w:rsidP="005A3DF4">
      <w:pPr>
        <w:widowControl w:val="0"/>
        <w:spacing w:after="0" w:line="240" w:lineRule="auto"/>
        <w:ind w:firstLine="709"/>
        <w:jc w:val="center"/>
        <w:rPr>
          <w:rFonts w:ascii="Times New Roman" w:hAnsi="Times New Roman"/>
          <w:color w:val="000000"/>
          <w:sz w:val="28"/>
          <w:szCs w:val="28"/>
          <w:lang w:val="en-US"/>
        </w:rPr>
      </w:pPr>
      <w:r w:rsidRPr="000E6564">
        <w:rPr>
          <w:rFonts w:ascii="Times New Roman" w:hAnsi="Times New Roman"/>
          <w:color w:val="000000"/>
          <w:sz w:val="28"/>
          <w:szCs w:val="28"/>
          <w:lang w:val="en-US"/>
        </w:rPr>
        <w:t>student of the 4 th year, Chair of criminal-law academic subjects, Institute of Law</w:t>
      </w:r>
    </w:p>
    <w:p w:rsidR="009A1B7E" w:rsidRPr="000E6564" w:rsidRDefault="009A1B7E" w:rsidP="005A3DF4">
      <w:pPr>
        <w:widowControl w:val="0"/>
        <w:shd w:val="clear" w:color="auto" w:fill="FFFFFF"/>
        <w:spacing w:after="0" w:line="240" w:lineRule="auto"/>
        <w:ind w:firstLine="709"/>
        <w:jc w:val="center"/>
        <w:rPr>
          <w:rFonts w:ascii="Times New Roman" w:hAnsi="Times New Roman"/>
          <w:i/>
          <w:kern w:val="2"/>
          <w:sz w:val="28"/>
          <w:szCs w:val="28"/>
          <w:lang w:val="en-US"/>
        </w:rPr>
      </w:pPr>
      <w:r w:rsidRPr="000E6564">
        <w:rPr>
          <w:rFonts w:ascii="Times New Roman" w:hAnsi="Times New Roman"/>
          <w:i/>
          <w:kern w:val="2"/>
          <w:sz w:val="28"/>
          <w:szCs w:val="28"/>
          <w:lang w:val="en-US"/>
        </w:rPr>
        <w:t>Vladivostok State University of Economics and Service</w:t>
      </w:r>
    </w:p>
    <w:p w:rsidR="009A1B7E" w:rsidRPr="000E6564" w:rsidRDefault="009A1B7E" w:rsidP="005A3DF4">
      <w:pPr>
        <w:widowControl w:val="0"/>
        <w:shd w:val="clear" w:color="auto" w:fill="FFFFFF"/>
        <w:spacing w:after="0" w:line="240" w:lineRule="auto"/>
        <w:ind w:firstLine="709"/>
        <w:jc w:val="center"/>
        <w:rPr>
          <w:rFonts w:ascii="Times New Roman" w:hAnsi="Times New Roman"/>
          <w:i/>
          <w:kern w:val="2"/>
          <w:sz w:val="28"/>
          <w:szCs w:val="28"/>
          <w:lang w:val="en-US"/>
        </w:rPr>
      </w:pPr>
      <w:r w:rsidRPr="000E6564">
        <w:rPr>
          <w:rFonts w:ascii="Times New Roman" w:hAnsi="Times New Roman"/>
          <w:i/>
          <w:kern w:val="2"/>
          <w:sz w:val="28"/>
          <w:szCs w:val="28"/>
          <w:lang w:val="en-US"/>
        </w:rPr>
        <w:t>Vladivostok, Russia</w:t>
      </w:r>
    </w:p>
    <w:p w:rsidR="009A1B7E" w:rsidRPr="000E6564" w:rsidRDefault="009A1B7E" w:rsidP="005A3DF4">
      <w:pPr>
        <w:widowControl w:val="0"/>
        <w:spacing w:after="0" w:line="240" w:lineRule="auto"/>
        <w:ind w:firstLine="709"/>
        <w:jc w:val="center"/>
        <w:rPr>
          <w:rFonts w:ascii="Times New Roman" w:hAnsi="Times New Roman"/>
          <w:i/>
          <w:color w:val="000000"/>
          <w:sz w:val="28"/>
          <w:szCs w:val="28"/>
          <w:lang w:val="en-US"/>
        </w:rPr>
      </w:pPr>
    </w:p>
    <w:p w:rsidR="009A1B7E" w:rsidRPr="00467B95" w:rsidRDefault="009A1B7E" w:rsidP="005A3DF4">
      <w:pPr>
        <w:pStyle w:val="a9"/>
        <w:widowControl w:val="0"/>
        <w:spacing w:before="0" w:beforeAutospacing="0" w:after="0" w:afterAutospacing="0"/>
        <w:ind w:firstLine="709"/>
        <w:jc w:val="both"/>
        <w:rPr>
          <w:i/>
          <w:color w:val="000000"/>
          <w:sz w:val="28"/>
          <w:szCs w:val="28"/>
          <w:shd w:val="clear" w:color="auto" w:fill="FFFFFF"/>
          <w:lang w:val="en-US"/>
        </w:rPr>
      </w:pPr>
      <w:r w:rsidRPr="00467B95">
        <w:rPr>
          <w:i/>
          <w:color w:val="000000"/>
          <w:sz w:val="28"/>
          <w:szCs w:val="28"/>
          <w:shd w:val="clear" w:color="auto" w:fill="FFFFFF"/>
          <w:lang w:val="en-US"/>
        </w:rPr>
        <w:t>This article discusses the distinguishing features of the Anglo-Saxon model of local self-government, as well as an analysis of the possibility of its application in the territory of the Russian Federation.</w:t>
      </w:r>
      <w:r w:rsidRPr="00467B95">
        <w:rPr>
          <w:i/>
          <w:color w:val="000000"/>
          <w:sz w:val="28"/>
          <w:szCs w:val="28"/>
          <w:shd w:val="clear" w:color="auto" w:fill="FFFFFF"/>
          <w:lang w:val="en-US"/>
        </w:rPr>
        <w:tab/>
      </w:r>
    </w:p>
    <w:p w:rsidR="009A1B7E" w:rsidRDefault="009A1B7E" w:rsidP="005A3DF4">
      <w:pPr>
        <w:pStyle w:val="a9"/>
        <w:widowControl w:val="0"/>
        <w:spacing w:before="0" w:beforeAutospacing="0" w:after="0" w:afterAutospacing="0"/>
        <w:ind w:firstLine="709"/>
        <w:jc w:val="both"/>
        <w:rPr>
          <w:b/>
          <w:i/>
          <w:color w:val="000000"/>
          <w:sz w:val="28"/>
          <w:szCs w:val="28"/>
          <w:lang w:val="en-US"/>
        </w:rPr>
      </w:pPr>
    </w:p>
    <w:p w:rsidR="009A1B7E" w:rsidRPr="00467B95" w:rsidRDefault="009A1B7E" w:rsidP="005A3DF4">
      <w:pPr>
        <w:pStyle w:val="a9"/>
        <w:widowControl w:val="0"/>
        <w:spacing w:before="0" w:beforeAutospacing="0" w:after="0" w:afterAutospacing="0"/>
        <w:ind w:firstLine="709"/>
        <w:jc w:val="both"/>
        <w:rPr>
          <w:b/>
          <w:i/>
          <w:color w:val="000000"/>
          <w:sz w:val="28"/>
          <w:szCs w:val="28"/>
          <w:shd w:val="clear" w:color="auto" w:fill="FFFFFF"/>
          <w:lang w:val="en-US"/>
        </w:rPr>
      </w:pPr>
      <w:r w:rsidRPr="00891CAD">
        <w:rPr>
          <w:i/>
          <w:color w:val="000000"/>
          <w:sz w:val="28"/>
          <w:szCs w:val="28"/>
          <w:lang w:val="en-US"/>
        </w:rPr>
        <w:t>Keywords:</w:t>
      </w:r>
      <w:r w:rsidRPr="00467B95">
        <w:rPr>
          <w:b/>
          <w:i/>
          <w:color w:val="000000"/>
          <w:sz w:val="28"/>
          <w:szCs w:val="28"/>
          <w:lang w:val="en-US"/>
        </w:rPr>
        <w:t xml:space="preserve"> </w:t>
      </w:r>
      <w:r w:rsidRPr="00467B95">
        <w:rPr>
          <w:i/>
          <w:color w:val="000000"/>
          <w:sz w:val="28"/>
          <w:szCs w:val="28"/>
          <w:shd w:val="clear" w:color="auto" w:fill="FFFFFF"/>
          <w:lang w:val="en-US"/>
        </w:rPr>
        <w:t>local self-government body, public authority, the United Kingdom, the Russian Federation.</w:t>
      </w:r>
    </w:p>
    <w:p w:rsidR="009A1B7E" w:rsidRPr="000E6564" w:rsidRDefault="009A1B7E" w:rsidP="005A3DF4">
      <w:pPr>
        <w:widowControl w:val="0"/>
        <w:spacing w:after="0" w:line="240" w:lineRule="auto"/>
        <w:ind w:firstLine="709"/>
        <w:jc w:val="both"/>
        <w:rPr>
          <w:rFonts w:ascii="Times New Roman" w:hAnsi="Times New Roman"/>
          <w:i/>
          <w:color w:val="000000"/>
          <w:sz w:val="28"/>
          <w:szCs w:val="28"/>
          <w:lang w:val="en-US"/>
        </w:rPr>
      </w:pPr>
    </w:p>
    <w:p w:rsidR="009A1B7E" w:rsidRPr="00467B95" w:rsidRDefault="009A1B7E" w:rsidP="005A3DF4">
      <w:pPr>
        <w:pStyle w:val="a9"/>
        <w:widowControl w:val="0"/>
        <w:spacing w:before="0" w:beforeAutospacing="0" w:after="0" w:afterAutospacing="0"/>
        <w:ind w:firstLine="709"/>
        <w:jc w:val="both"/>
        <w:rPr>
          <w:sz w:val="28"/>
          <w:szCs w:val="28"/>
        </w:rPr>
      </w:pPr>
      <w:r w:rsidRPr="00467B95">
        <w:rPr>
          <w:sz w:val="28"/>
          <w:szCs w:val="28"/>
        </w:rPr>
        <w:t>Становление современного демократического, правового государства невозможно без создания, функционирования и последующего развития института местного самоуправления как формы реализации одного из видов публичной власти – муниципальной – на территориях соответствующих муниципальных образованиях.</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Анализ положений действующего зарубежного законодательства, </w:t>
      </w:r>
      <w:r w:rsidRPr="000E6564">
        <w:rPr>
          <w:rFonts w:ascii="Times New Roman" w:hAnsi="Times New Roman"/>
          <w:sz w:val="28"/>
          <w:szCs w:val="28"/>
        </w:rPr>
        <w:lastRenderedPageBreak/>
        <w:t>положений зарубежной доктрины муниципального права различных государств показал, что в современных зарубежных государствах институт местного самоуправления представляет в сущности своей определенную децентрализованную организацию публичной власти, предполагающую ее разделение на государственную и муниципальную, которая складывалась не сиюминутно, а в результате длительного, преимущественно эволюционного, развития.</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Традиционно в науке зарубежного конституционного и муниципального права под юридической дефиницией «местное самоуправление» принято понимать систему органов, наделенных правом реализации публичной власти на территории соответствующих административно-территориальных единиц, в частности:</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А) местный представительный орган, избираемый населением соответствующей административно-территориальной единицы и принимающий решения по наиболее важным местным вопросам;</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Б) исполнительный орган (мэр, бургомистр и т.д.), как правило, призванный в первую очередь выполнять решения представительного органа и осуществлять оперативное управление (хотя на него могут быть возложены и некоторые общегосударственные функции) [1, </w:t>
      </w:r>
      <w:r w:rsidRPr="000E6564">
        <w:rPr>
          <w:rFonts w:ascii="Times New Roman" w:hAnsi="Times New Roman"/>
          <w:sz w:val="28"/>
          <w:szCs w:val="28"/>
          <w:lang w:val="en-US"/>
        </w:rPr>
        <w:t>c</w:t>
      </w:r>
      <w:r w:rsidRPr="000E6564">
        <w:rPr>
          <w:rFonts w:ascii="Times New Roman" w:hAnsi="Times New Roman"/>
          <w:sz w:val="28"/>
          <w:szCs w:val="28"/>
        </w:rPr>
        <w:t>. 11].</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Исходя из определенных функций, возложенных на органы муниципальной власти принято различать конкретные модели местного самоуправления, действующие на территории тех или иных зарубежных стран.</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Так, одной из наиболее широко распространенных моделей местного самоуправления, действующих на территории иностранных государств (в частности, США, Великобритании, Канаде, Австралии, а также ряде других государств, в которых применяется англосаксонская правовая система), является англосаксонская модель становления и функционирования местного самоуправления [2, </w:t>
      </w:r>
      <w:r w:rsidRPr="000E6564">
        <w:rPr>
          <w:rFonts w:ascii="Times New Roman" w:hAnsi="Times New Roman"/>
          <w:sz w:val="28"/>
          <w:szCs w:val="28"/>
          <w:lang w:val="en-US"/>
        </w:rPr>
        <w:t>c</w:t>
      </w:r>
      <w:r w:rsidRPr="000E6564">
        <w:rPr>
          <w:rFonts w:ascii="Times New Roman" w:hAnsi="Times New Roman"/>
          <w:sz w:val="28"/>
          <w:szCs w:val="28"/>
        </w:rPr>
        <w:t>. 20].</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Данную модель местного самоуправления в научной юридической литературе также именуют и первой муниципальной системой. Указанное связано, с тем, что, начиная правления Вильгельма Завоевателя, общинам Англии, действовавшим на принципе самоуправления, была дарована достаточно широкая автономия. Это проявлялось как в возможности собственного нормотворчества общин, с целью исполнения предписаний королевской власти, так и в самостоятельном, независимом политическом управлении делами на местном уровне.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В качестве наиболее характерных черт, присущих и характеризующих рассматриваемую модель местного самоуправления можно выделить следующие:</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1) главным муниципальным органом соответствующей административно-территориальной единицы выступает совет, представляющий собой коллегиальный представительный орган, непосредственно избираемый населением данного муниципального </w:t>
      </w:r>
      <w:r w:rsidRPr="000E6564">
        <w:rPr>
          <w:rFonts w:ascii="Times New Roman" w:hAnsi="Times New Roman"/>
          <w:sz w:val="28"/>
          <w:szCs w:val="28"/>
        </w:rPr>
        <w:lastRenderedPageBreak/>
        <w:t>образования путем прямого (личного), тайного голосования, наделяемый определенными законом полномочиями, в частности, по принятию окончательных (итоговых) решений местного значения, которые реализуются им автономно в пределах указанной территории;</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2) руководителем совета соответствующего муниципального образования является лицо, избираемое самим советом на собрании с полномочным кворумом, либо также населением, проживающим на указанной территории, путем прямого (личного), тайного голосования, полномочия которого сводятся, как правило, к представлению интересов данного органа местного самоуправления во взаимоотношениях с другими государственными органами, должностными лицами, организациями, частными лицами, судом;</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3) значительная часть полномочий совета как главного органа местного самоуправления административно-территориальной</w:t>
      </w:r>
      <w:r w:rsidRPr="000E6564">
        <w:rPr>
          <w:rFonts w:ascii="Times New Roman" w:hAnsi="Times New Roman"/>
          <w:sz w:val="28"/>
          <w:szCs w:val="28"/>
        </w:rPr>
        <w:tab/>
        <w:t xml:space="preserve"> единицы, передается так называемым местным комиссиям (комитетам), которые зачастую играют весомую и значимую роль в подготовке и принятии отдельных решений муниципального уровня;</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4) отсутствие иерархии (прямой соподчиненности) выборных органов местного самоуправления, создаваемых на территории тех или иных муниципальных образований: каждый из них, выполняет только те полномочия, которым их наделили специальный закон, без права осуществления надзорных, контрольных функций за деятельностью других органов местного самоуправления;</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5)  контроль (надзор) за деятельностью органов местных органов реализуется исключительно косвенным путем: через центральные государственные министерства, а также через суд (так, например, в Великобритании контроль за органами местного самоуправления, действующими на территории того или иного муниципального образования, по вопросам охраны и оберегания окружающей среды, осуществляется Министерством окружающей среды;</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6) решения, которые были приняты органами местного самоуправления соответствующей административно-территориальной единицы, невозможно обжаловать (оспорить или признать недействительными) в административном порядке. Так, единственным способом обжалования действий органов местного самоуправления того или иного муниципального образования могут быть оспорены исключительно в судебном порядке, по инициативе тех лиц, чьи права, свободы и законные интересы были нарушены принятием того или иного решения, совершением того или иного действия органа местного самоуправления [3, </w:t>
      </w:r>
      <w:r w:rsidRPr="000E6564">
        <w:rPr>
          <w:rFonts w:ascii="Times New Roman" w:hAnsi="Times New Roman"/>
          <w:sz w:val="28"/>
          <w:szCs w:val="28"/>
          <w:lang w:val="en-US"/>
        </w:rPr>
        <w:t>c</w:t>
      </w:r>
      <w:r w:rsidRPr="000E6564">
        <w:rPr>
          <w:rFonts w:ascii="Times New Roman" w:hAnsi="Times New Roman"/>
          <w:sz w:val="28"/>
          <w:szCs w:val="28"/>
        </w:rPr>
        <w:t>. 22].</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Анализ теоретических положений зарубежной доктрины конституционного и муниципального права позволяет выделить два подвида англосаксонской модели местного самоуправления: английскую (унифицированную) и североамериканскую (диверсифицированную).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Английской (унифицированной) модели как подвиду англосаксонской </w:t>
      </w:r>
      <w:r w:rsidRPr="000E6564">
        <w:rPr>
          <w:rFonts w:ascii="Times New Roman" w:hAnsi="Times New Roman"/>
          <w:sz w:val="28"/>
          <w:szCs w:val="28"/>
        </w:rPr>
        <w:lastRenderedPageBreak/>
        <w:t xml:space="preserve">модели местного самоуправления присущи следующие отличительные черты: признание наряду с органом местного самоуправления и иных муниципальных органов, отсутствие на местном уровне строгого разделения властей (органы местного самоуправления сочетают законодательные и представительные функции), а также унификация правового статуса административно-территориальных единиц и органов местного управления одного уровня [4, </w:t>
      </w:r>
      <w:r w:rsidRPr="000E6564">
        <w:rPr>
          <w:rFonts w:ascii="Times New Roman" w:hAnsi="Times New Roman"/>
          <w:sz w:val="28"/>
          <w:szCs w:val="28"/>
          <w:lang w:val="en-US"/>
        </w:rPr>
        <w:t>c</w:t>
      </w:r>
      <w:r w:rsidRPr="000E6564">
        <w:rPr>
          <w:rFonts w:ascii="Times New Roman" w:hAnsi="Times New Roman"/>
          <w:sz w:val="28"/>
          <w:szCs w:val="28"/>
        </w:rPr>
        <w:t>. 37].</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Так, например, в соответствии с Законом Великобритании, принятом в 1967 году, должность омбудсмена (иными словами, уполномоченного по защите прав и основных свобод человека), кроме как на государственном уровне, учреждена также и на уровне местного самоуправления, что позволяет говорить не только о государственной защите прав человека в Великобритании, но и о муниципальной, что говорит о высоком уровне развития института местного самоуправления в тех зарубежных государствах, которые применяют данную модель организации публичной власти на муниципальном уровне.</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Финансирование местного самоуправления на территории Великобритании осуществляется путем сложения трех основных компонентов:</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А) взыскание налогов с местного населения;</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Б) получение платежей или взносов, которые выплачивает местное население английского муниципального образование за различные коммунальные услуги (в частности, свет, вода, отопление);</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В) получение правительственных субсидий.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Учеными отмечается, что еще с начала 80-х годов прошлого столетия, государственная поддержка английским правительством муниципальных образований в значительной мере снизилась.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Вследствие этого органы муниципального управления, вынужденно ища способы пополнения финансовых ресурсов местного бюджета, увеличили оплату некоторых услуг для населения, проживающего на территории данного муниципального образования.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Указанное также обусловлено и ростом расходов муниципального образования на решение вопросов местного значения, в связи с развитием научных и иных инновационных современных технологий.</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Североамериканской (диверсифицированной) модели присуще признание в качестве субъекта местного самоуправления населения, особым образом организованного, а также присуще многообразие форм и методов организации и деятельности муниципальных властей.</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 Исходя из буквального толкования вышеуказанного следует, что в разных штатах США могут применяться разные варианты организации и осуществления местного самоуправления (наиболее распространенными являются «сильный мэр-городской совет»; «сильный городской совет – мэр (управляющий), с соответствующим распределением властных полномочий) [5, </w:t>
      </w:r>
      <w:r w:rsidRPr="000E6564">
        <w:rPr>
          <w:rFonts w:ascii="Times New Roman" w:hAnsi="Times New Roman"/>
          <w:sz w:val="28"/>
          <w:szCs w:val="28"/>
          <w:lang w:val="en-US"/>
        </w:rPr>
        <w:t>c</w:t>
      </w:r>
      <w:r w:rsidRPr="000E6564">
        <w:rPr>
          <w:rFonts w:ascii="Times New Roman" w:hAnsi="Times New Roman"/>
          <w:sz w:val="28"/>
          <w:szCs w:val="28"/>
        </w:rPr>
        <w:t xml:space="preserve">. 13].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lastRenderedPageBreak/>
        <w:t xml:space="preserve">На наш взгляд, равно как и по мнению являющихся служащими органами местного самоуправления, невозможно однозначно высказать мнение о том, какой из изученных подвидов англосаксонской модели местного самоуправления, наиболее эффективен и может быть применен в том виде, в котором существует, изначально на территории России, что обусловлено спецификой отечественной правовой системы.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Резюмируя все вышеизложенное, представляется возможным сформулировать следующие промежуточные выводы:</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1) Одной из наиболее широко распространенных моделей местного самоуправления, действующих на территории иностранных государств (в частности, США, Великобритании, Канаде, Австралии, а также ряде других государств, в которых применяется англосаксонская правовая система), является англосаксонская модель становления и функционирования местного самоуправления.</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2) Отличительными признаками рассматриваемой модели местного самоуправления являются следующие: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А) наличие избираемого населением органа, с точно определенной в специальном законе компетенцией по вопросам муниципального значения; наличие избираемого населением (либо самим органом) должностного лица, руководящего данным органом;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Б) наличие иных органов местного самоуправления (комиссий, комитетов), отсутствие их иерархии (соподчиненности);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В) осуществление контроля (надзора) за деятельностью муниципальных органов только государственными вышестоящими органами;</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Г) обжалование их действий, решений исключительно в судебном порядке заинтересованными лицами. </w:t>
      </w:r>
    </w:p>
    <w:p w:rsidR="009A1B7E" w:rsidRPr="000E6564" w:rsidRDefault="009A1B7E"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3) На наш взгляд, равно как и по мнению являющихся служащими органами местного самоуправления, невозможно однозначно высказать мнение о том, какой из изученных подвидов англосаксонской модели местного самоуправления, наиболее эффективен и может быть применен в том виде, в котором существует, изначально на территории России, что обусловлено спецификой отечественной правовой системы.</w:t>
      </w:r>
    </w:p>
    <w:p w:rsidR="009A1B7E" w:rsidRPr="00467B95" w:rsidRDefault="009A1B7E"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9A1B7E" w:rsidRPr="000E6564" w:rsidRDefault="009A1B7E" w:rsidP="005A3DF4">
      <w:pPr>
        <w:widowControl w:val="0"/>
        <w:autoSpaceDE w:val="0"/>
        <w:autoSpaceDN w:val="0"/>
        <w:adjustRightInd w:val="0"/>
        <w:spacing w:after="0" w:line="240" w:lineRule="auto"/>
        <w:ind w:firstLine="709"/>
        <w:jc w:val="both"/>
        <w:rPr>
          <w:rFonts w:ascii="Times New Roman" w:hAnsi="Times New Roman"/>
          <w:sz w:val="28"/>
          <w:szCs w:val="28"/>
        </w:rPr>
      </w:pPr>
      <w:r w:rsidRPr="000E6564">
        <w:rPr>
          <w:rFonts w:ascii="Times New Roman" w:hAnsi="Times New Roman"/>
          <w:bCs/>
          <w:sz w:val="28"/>
          <w:szCs w:val="28"/>
        </w:rPr>
        <w:t>1</w:t>
      </w:r>
      <w:r w:rsidRPr="000E6564">
        <w:rPr>
          <w:rFonts w:ascii="Times New Roman" w:hAnsi="Times New Roman"/>
          <w:sz w:val="28"/>
          <w:szCs w:val="28"/>
        </w:rPr>
        <w:t xml:space="preserve"> Дроботенко И. И. Зарубежные модели местного самоуправления: опыт для России. / И.И. Дроботенко/ // Власть. - 2016. - №1. - C. 11-20.</w:t>
      </w:r>
    </w:p>
    <w:p w:rsidR="009A1B7E" w:rsidRPr="000E6564" w:rsidRDefault="009A1B7E" w:rsidP="005A3DF4">
      <w:pPr>
        <w:widowControl w:val="0"/>
        <w:autoSpaceDE w:val="0"/>
        <w:autoSpaceDN w:val="0"/>
        <w:adjustRightInd w:val="0"/>
        <w:spacing w:after="0" w:line="240" w:lineRule="auto"/>
        <w:ind w:firstLine="709"/>
        <w:jc w:val="both"/>
        <w:rPr>
          <w:rFonts w:ascii="Times New Roman" w:hAnsi="Times New Roman"/>
          <w:sz w:val="28"/>
          <w:szCs w:val="28"/>
        </w:rPr>
      </w:pPr>
      <w:r w:rsidRPr="000E6564">
        <w:rPr>
          <w:rFonts w:ascii="Times New Roman" w:hAnsi="Times New Roman"/>
          <w:sz w:val="28"/>
          <w:szCs w:val="28"/>
        </w:rPr>
        <w:t>2 Евдокимов В. Б. Местные органы власти зарубежных стран: правовые аспекты/ / В.Б. Евдокимов. - М.: Спарк, 2011. - 600 c.</w:t>
      </w:r>
    </w:p>
    <w:p w:rsidR="009A1B7E" w:rsidRPr="000E6564" w:rsidRDefault="009A1B7E" w:rsidP="005A3DF4">
      <w:pPr>
        <w:widowControl w:val="0"/>
        <w:autoSpaceDE w:val="0"/>
        <w:autoSpaceDN w:val="0"/>
        <w:adjustRightInd w:val="0"/>
        <w:spacing w:after="0" w:line="240" w:lineRule="auto"/>
        <w:ind w:firstLine="709"/>
        <w:jc w:val="both"/>
        <w:rPr>
          <w:rFonts w:ascii="Times New Roman" w:hAnsi="Times New Roman"/>
          <w:sz w:val="28"/>
          <w:szCs w:val="28"/>
        </w:rPr>
      </w:pPr>
      <w:r w:rsidRPr="000E6564">
        <w:rPr>
          <w:rFonts w:ascii="Times New Roman" w:hAnsi="Times New Roman"/>
          <w:sz w:val="28"/>
          <w:szCs w:val="28"/>
        </w:rPr>
        <w:t>3 Колосов Н. В. Гарантии в организационной сфере местного самоуправления: практика зарубежных стран. / Н.В. Колосов // Сибирский юридический вестник. - 2005. - №3. - С. 133-138.</w:t>
      </w:r>
    </w:p>
    <w:p w:rsidR="009A1B7E" w:rsidRPr="000E6564" w:rsidRDefault="009A1B7E" w:rsidP="005A3DF4">
      <w:pPr>
        <w:widowControl w:val="0"/>
        <w:autoSpaceDE w:val="0"/>
        <w:autoSpaceDN w:val="0"/>
        <w:adjustRightInd w:val="0"/>
        <w:spacing w:after="0" w:line="240" w:lineRule="auto"/>
        <w:ind w:firstLine="709"/>
        <w:jc w:val="both"/>
        <w:rPr>
          <w:rFonts w:ascii="Times New Roman" w:hAnsi="Times New Roman"/>
          <w:sz w:val="28"/>
          <w:szCs w:val="28"/>
        </w:rPr>
      </w:pPr>
      <w:r w:rsidRPr="000E6564">
        <w:rPr>
          <w:rFonts w:ascii="Times New Roman" w:hAnsi="Times New Roman"/>
          <w:sz w:val="28"/>
          <w:szCs w:val="28"/>
        </w:rPr>
        <w:t>4 Переходов В.А. Зарубежные модели взаимодействия органов государственной власти и местного самоуправления: сравнительный анализ/ / В.А. Переходов // Вестник ПАГС. - 2014. - № 32. - С. 22-23.</w:t>
      </w:r>
    </w:p>
    <w:p w:rsidR="009A1B7E" w:rsidRPr="000E6564" w:rsidRDefault="009A1B7E" w:rsidP="005A3DF4">
      <w:pPr>
        <w:widowControl w:val="0"/>
        <w:autoSpaceDE w:val="0"/>
        <w:autoSpaceDN w:val="0"/>
        <w:adjustRightInd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5 Чиркин В. Е. Конституционное право зарубежных стран/ / В. Е. </w:t>
      </w:r>
      <w:r w:rsidRPr="000E6564">
        <w:rPr>
          <w:rFonts w:ascii="Times New Roman" w:hAnsi="Times New Roman"/>
          <w:sz w:val="28"/>
          <w:szCs w:val="28"/>
        </w:rPr>
        <w:lastRenderedPageBreak/>
        <w:t>Чиркин. –  М.: Норма, 2010. - 378 с.</w:t>
      </w:r>
    </w:p>
    <w:p w:rsidR="001F2239" w:rsidRDefault="001F2239" w:rsidP="005A3DF4">
      <w:pPr>
        <w:widowControl w:val="0"/>
        <w:spacing w:after="0" w:line="240" w:lineRule="auto"/>
        <w:ind w:firstLine="709"/>
        <w:rPr>
          <w:rFonts w:ascii="Times New Roman" w:hAnsi="Times New Roman"/>
          <w:sz w:val="28"/>
          <w:szCs w:val="28"/>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Роль института ответственности при защите прав участников исполнительного производства</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Сазонова Анастасия Сергеевна</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БЮП-15-03 группы, 4 курса Институт права</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Ответственность, исполнительное производство, способы защиты прав, участники исполнительного производства, исполнительное производство, поворот исполнения решения суда, обжалование действий судебного пристава исполнителя.</w:t>
      </w:r>
    </w:p>
    <w:p w:rsidR="009B66C0" w:rsidRPr="00CE3E72" w:rsidRDefault="009B66C0"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9B66C0">
        <w:rPr>
          <w:rFonts w:ascii="Times New Roman" w:eastAsia="Times New Roman" w:hAnsi="Times New Roman"/>
          <w:i/>
          <w:kern w:val="36"/>
          <w:sz w:val="28"/>
          <w:szCs w:val="28"/>
          <w:lang w:eastAsia="ru-RU"/>
        </w:rPr>
        <w:t>Ключевые слова и словосочетания:</w:t>
      </w:r>
      <w:r w:rsidRPr="00467B95">
        <w:rPr>
          <w:rFonts w:ascii="Times New Roman" w:eastAsia="Times New Roman" w:hAnsi="Times New Roman"/>
          <w:i/>
          <w:kern w:val="36"/>
          <w:sz w:val="28"/>
          <w:szCs w:val="28"/>
          <w:lang w:eastAsia="ru-RU"/>
        </w:rPr>
        <w:t xml:space="preserve"> ответственность, исполнительное производство, поворот исполнения решения суда, гарантии, защита прав.</w:t>
      </w: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The role of the institution of responsibility in protecting the rights of participants in the enforcement proceedings</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Sazonova Anastasia Strgeevna</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BIP-15-03 group, 4 course, Institute of law</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State University of Economics and Service</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F8234A" w:rsidRPr="00467B95" w:rsidRDefault="00F8234A"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467B95">
        <w:rPr>
          <w:rFonts w:ascii="Times New Roman" w:hAnsi="Times New Roman"/>
          <w:i/>
          <w:iCs/>
          <w:kern w:val="36"/>
          <w:sz w:val="28"/>
          <w:szCs w:val="28"/>
          <w:lang w:val="en-US" w:eastAsia="ru-RU"/>
        </w:rPr>
        <w:t>Responsibility, enforcement proceedings, methods of protecting rights, participants in enforcement proceedings, enforcement proceedings, the decision of the executive court, appealing against actions of the bailiff of the contractor.</w:t>
      </w:r>
    </w:p>
    <w:p w:rsidR="009B66C0" w:rsidRDefault="009B66C0"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val="en-US" w:eastAsia="ru-RU"/>
        </w:rPr>
      </w:pP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9B66C0">
        <w:rPr>
          <w:rFonts w:ascii="Times New Roman" w:eastAsia="Times New Roman" w:hAnsi="Times New Roman"/>
          <w:i/>
          <w:kern w:val="36"/>
          <w:sz w:val="28"/>
          <w:szCs w:val="28"/>
          <w:lang w:val="en-US" w:eastAsia="ru-RU"/>
        </w:rPr>
        <w:t>Keywords and phrases: responsibility</w:t>
      </w:r>
      <w:r w:rsidRPr="00467B95">
        <w:rPr>
          <w:rFonts w:ascii="Times New Roman" w:eastAsia="Times New Roman" w:hAnsi="Times New Roman"/>
          <w:i/>
          <w:kern w:val="36"/>
          <w:sz w:val="28"/>
          <w:szCs w:val="28"/>
          <w:lang w:val="en-US" w:eastAsia="ru-RU"/>
        </w:rPr>
        <w:t>, enforcement proceedings, turnaround of the execution of a court decision, guarantees, protection of rights.</w:t>
      </w: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Актуальность. Существует «аксиома», основанная на опыте прошлых лет, которая в современном мире уже не требует, как правило, каких-либо доказательств. Она гласит о том, что если не будет существовать в государстве действенного, упорядоченного, а также действующего механизма применения юридической ответственности, то, в противном случае, все нормы, которые будут связаны с регулированием законных прав, свобод человека и гражданина, а также его обязанностей, будут носить исключительно показной, условный характер. В данном случае, можно будет говорить о том, что перед правоохранительными органами возникнут сложности, обусловленные непониманием того, как же им необходимо осуществлять свои основные функции, связанные с государственным </w:t>
      </w:r>
      <w:r w:rsidRPr="00467B95">
        <w:rPr>
          <w:rFonts w:ascii="Times New Roman" w:hAnsi="Times New Roman"/>
          <w:sz w:val="28"/>
          <w:szCs w:val="28"/>
        </w:rPr>
        <w:lastRenderedPageBreak/>
        <w:t xml:space="preserve">принуждением в части исполнения обязательств.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можно предположить, что в случае неурегулированного вопроса, касающегося применения юридической ответственности, может возникнуть, так называемые, произвол и анархия в рядах государственных служащих, правоохранительных органах, судах, прочих лиц и органах, обладающих государственной властью, в той или иной степени. Все это будет связано с тем, что в данном случае законодательно урегулирован вопрос, касающийся государственного принуждения, не будет, а будет разрешаться лишь, по внутреннему убеждению, вышеперечисленных властвующих лиц и органов.</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Важно понимать, что при реализации правоотношений, а также защите законных прав и свобод граждан роль института ответственности в исполнительном производстве достаточно значима, ведь существующие меры ответственности за нарушение законодательства об исполнительном производстве определяют рамки деятельности его участников.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Невозможно не переоценить значение юридической ответственности в исполнительном производстве, ведь она играет огромную роль в вопросах, касающихся защиты законных прав и интересов участников исполнительного производства.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 как Федеральный закон «Об исполнительном производстве» от 02.10.2007 № 229-ФЗ (последняя редакция) [1] не дает точного определения термина «ответственность», а определение юридической ответственности является основополагающим базисом для всех видов ответственности, нам, представляется целесообразным проанализировать мнения по поводу понятия «ответственность» таких теоретиков права, как: В.Д. </w:t>
      </w:r>
      <w:r w:rsidRPr="00467B95">
        <w:rPr>
          <w:rFonts w:ascii="Times New Roman" w:eastAsia="Times New Roman" w:hAnsi="Times New Roman"/>
          <w:sz w:val="28"/>
          <w:szCs w:val="28"/>
          <w:lang w:eastAsia="ru-RU"/>
        </w:rPr>
        <w:t>Перевалов, Р.В. Енгибарян, А. Б. Венгеров</w:t>
      </w:r>
      <w:r w:rsidRPr="00467B95">
        <w:rPr>
          <w:rFonts w:ascii="Times New Roman" w:hAnsi="Times New Roman"/>
          <w:sz w:val="28"/>
          <w:szCs w:val="28"/>
        </w:rPr>
        <w:t>.</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В.Д. Перевалов представляет юридическую ответственность в таком воплощении: «Юридическая ответственность – применение к правонарушителю мер государственного принуждения, выражающихся для него в лишениях, предусмотренных санкцией юридических норм» [2, с. 266]. В данном случае, можно говорить о том, что в указанном выше определении В.Д. Перевалов присваивает юридической ответственности такие характеристики как: государственное принуждение, то есть юридическая ответственность может быть возложена лишь государством, уполномоченными на это лицами, а также определенные лишения, которые санкция подразумевает для правонарушителя. </w:t>
      </w:r>
    </w:p>
    <w:p w:rsidR="00F8234A" w:rsidRPr="00467B95" w:rsidRDefault="00F8234A"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Ю.К. Краснов и Р.В. Енгибарян под юридическое ответственность подразумевают следующее: «юридическая ответственность — это использование в отношении дееспособных лиц, нарушивших закон, мер государственного принуждения в форме лишений личного, организационного либо имущественного характера» [3, с. 506]. То есть можно говорить о том, что Ю.К. Краснов и Р.В. Енгибарян, так же, как и В.Д. Перевалов видят юридическую ответственность в лице определенных мер (лишений), которые возлагаются государством в виде принуждения на лицо виновное. Однако, данное определение, составленное Ю.К. Красновым и Р.В. Енгибаряном, </w:t>
      </w:r>
      <w:r w:rsidRPr="00467B95">
        <w:rPr>
          <w:rFonts w:ascii="Times New Roman" w:eastAsia="Times New Roman" w:hAnsi="Times New Roman"/>
          <w:sz w:val="28"/>
          <w:szCs w:val="28"/>
          <w:lang w:eastAsia="ru-RU"/>
        </w:rPr>
        <w:lastRenderedPageBreak/>
        <w:t>является более раскрытым, так как они говорят еще о том, что лицо виновное должно отвечать таким характеристикам, как: дееспособность, а так называемые «лишения» применимы как к физическим, так и к юридическим лицам.</w:t>
      </w:r>
    </w:p>
    <w:p w:rsidR="00F8234A" w:rsidRPr="00467B95" w:rsidRDefault="00F8234A"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Известный советский и российский ученый Венгеров А. Б. понимает под юридической ответственностью следующее: «юридическая ответственность — это установленные законом меры воздействия на правонарушителя, содержащие неблагоприятные для него последствия, применяемые государственными органами в порядке, также установленном государством» [4, с.544]. Казалось бы, чем отличается это определение от вышеуказанных? Но, в данном случае, Венгеров А.Б. затрагивает процессуальный аспект, он не просто говорит о возможности государства прибегнуть к применению мер ответственности, а выделяет уже государственный орган, который обладает правом, а также указывает на то, что данное право государственный орган должен применять лишь по уставленному государством порядку.</w:t>
      </w:r>
    </w:p>
    <w:p w:rsidR="00F8234A" w:rsidRPr="00467B95" w:rsidRDefault="00F8234A" w:rsidP="005A3DF4">
      <w:pPr>
        <w:widowControl w:val="0"/>
        <w:spacing w:after="0" w:line="240" w:lineRule="auto"/>
        <w:ind w:firstLine="709"/>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Подводя итог проанализированным определениям теоретиков права, можно сказать, что юридическая ответственность – это применяемая к правонарушителю мера, посредством государственного принуждения, имеющая определенные последствия различного правового характера.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eastAsia="Times New Roman" w:hAnsi="Times New Roman"/>
          <w:sz w:val="28"/>
          <w:szCs w:val="28"/>
          <w:lang w:eastAsia="ru-RU"/>
        </w:rPr>
        <w:t>Учитывая изложенное, можно дать определение ответственности в исполнительном производстве. Ответственность в исполнительном производстве – это есть мера, обладающая различными последствиями, которые могут наступить для участника исполнительного производства, который совершил, отрицательно оцененные государством действия (бездействия), установленные законом.</w:t>
      </w:r>
    </w:p>
    <w:p w:rsidR="00F8234A" w:rsidRPr="00467B95" w:rsidRDefault="00F8234A" w:rsidP="005A3DF4">
      <w:pPr>
        <w:pStyle w:val="a9"/>
        <w:widowControl w:val="0"/>
        <w:spacing w:before="0" w:beforeAutospacing="0" w:after="0" w:afterAutospacing="0"/>
        <w:ind w:firstLine="709"/>
        <w:jc w:val="both"/>
        <w:rPr>
          <w:sz w:val="28"/>
          <w:szCs w:val="28"/>
        </w:rPr>
      </w:pPr>
      <w:r w:rsidRPr="00467B95">
        <w:rPr>
          <w:sz w:val="28"/>
          <w:szCs w:val="28"/>
        </w:rPr>
        <w:t>Существует несколько отличительных характеристик, присущих институту ответственности в исполнительном производстве:</w:t>
      </w:r>
    </w:p>
    <w:p w:rsidR="00F8234A" w:rsidRPr="00467B95" w:rsidRDefault="00F8234A" w:rsidP="007F4EC1">
      <w:pPr>
        <w:pStyle w:val="a9"/>
        <w:widowControl w:val="0"/>
        <w:numPr>
          <w:ilvl w:val="0"/>
          <w:numId w:val="29"/>
        </w:numPr>
        <w:spacing w:before="0" w:beforeAutospacing="0" w:after="0" w:afterAutospacing="0"/>
        <w:ind w:left="0" w:firstLine="709"/>
        <w:jc w:val="both"/>
        <w:rPr>
          <w:sz w:val="28"/>
          <w:szCs w:val="28"/>
        </w:rPr>
      </w:pPr>
      <w:r w:rsidRPr="00467B95">
        <w:rPr>
          <w:sz w:val="28"/>
          <w:szCs w:val="28"/>
        </w:rPr>
        <w:t>ответственность в исполнительном производстве, в большинстве своем регулируется нормами Федерального закона «Об исполнительном производстве». Однако, помимо указанных норм, данный аспект регулируют нормы Уголовный кодекс Российской Федерации от 13.06.1996 № 63-ФЗ (ред. От 29.05.2019) [5], Кодекс Российской Федерации об административных правонарушениях от 30.12.2001 № 195-ФЗ (ред. от 01.05.2019) [6]  и Гражданский процессуальный кодекс Российской Федерации от 14.11.2002 № 138-ФЗ (ред. от 27.12.20018) [7]. Например, ст. 431 ГПК РФ предусматривает ответственность за утрату судебного приказа либо исполнительного листа  [7];</w:t>
      </w:r>
    </w:p>
    <w:p w:rsidR="00F8234A" w:rsidRPr="00467B95" w:rsidRDefault="00F8234A" w:rsidP="007F4EC1">
      <w:pPr>
        <w:pStyle w:val="a9"/>
        <w:widowControl w:val="0"/>
        <w:numPr>
          <w:ilvl w:val="0"/>
          <w:numId w:val="29"/>
        </w:numPr>
        <w:spacing w:before="0" w:beforeAutospacing="0" w:after="0" w:afterAutospacing="0"/>
        <w:ind w:left="0" w:firstLine="709"/>
        <w:jc w:val="both"/>
        <w:rPr>
          <w:sz w:val="28"/>
          <w:szCs w:val="28"/>
        </w:rPr>
      </w:pPr>
      <w:r w:rsidRPr="00467B95">
        <w:rPr>
          <w:sz w:val="28"/>
          <w:szCs w:val="28"/>
        </w:rPr>
        <w:t>определяется размер возложенных мер ответственности судебным приставом-исполнителем, после чего данное решение утверждается старшим приставом-исполнителем [1];</w:t>
      </w:r>
    </w:p>
    <w:p w:rsidR="00F8234A" w:rsidRPr="00467B95" w:rsidRDefault="00F8234A" w:rsidP="007F4EC1">
      <w:pPr>
        <w:pStyle w:val="a9"/>
        <w:widowControl w:val="0"/>
        <w:numPr>
          <w:ilvl w:val="0"/>
          <w:numId w:val="29"/>
        </w:numPr>
        <w:spacing w:before="0" w:beforeAutospacing="0" w:after="0" w:afterAutospacing="0"/>
        <w:ind w:left="0" w:firstLine="709"/>
        <w:jc w:val="both"/>
        <w:rPr>
          <w:sz w:val="28"/>
          <w:szCs w:val="28"/>
        </w:rPr>
      </w:pPr>
      <w:r w:rsidRPr="00467B95">
        <w:rPr>
          <w:sz w:val="28"/>
          <w:szCs w:val="28"/>
        </w:rPr>
        <w:t>судебный пристав-исполнитель обладает правом на возложение мер ответственности с согласия старшего пристава-исполнителя [1];</w:t>
      </w:r>
    </w:p>
    <w:p w:rsidR="00F8234A" w:rsidRPr="00467B95" w:rsidRDefault="00F8234A" w:rsidP="007F4EC1">
      <w:pPr>
        <w:pStyle w:val="a9"/>
        <w:widowControl w:val="0"/>
        <w:numPr>
          <w:ilvl w:val="0"/>
          <w:numId w:val="29"/>
        </w:numPr>
        <w:spacing w:before="0" w:beforeAutospacing="0" w:after="0" w:afterAutospacing="0"/>
        <w:ind w:left="0" w:firstLine="709"/>
        <w:jc w:val="both"/>
        <w:rPr>
          <w:sz w:val="28"/>
          <w:szCs w:val="28"/>
        </w:rPr>
      </w:pPr>
      <w:r w:rsidRPr="00467B95">
        <w:rPr>
          <w:sz w:val="28"/>
          <w:szCs w:val="28"/>
        </w:rPr>
        <w:t>все решения могут быть обжалованы в суде;</w:t>
      </w:r>
    </w:p>
    <w:p w:rsidR="00F8234A" w:rsidRPr="00467B95" w:rsidRDefault="00F8234A" w:rsidP="007F4EC1">
      <w:pPr>
        <w:pStyle w:val="a9"/>
        <w:widowControl w:val="0"/>
        <w:numPr>
          <w:ilvl w:val="0"/>
          <w:numId w:val="29"/>
        </w:numPr>
        <w:spacing w:before="0" w:beforeAutospacing="0" w:after="0" w:afterAutospacing="0"/>
        <w:ind w:left="0" w:firstLine="709"/>
        <w:jc w:val="both"/>
        <w:rPr>
          <w:sz w:val="28"/>
          <w:szCs w:val="28"/>
        </w:rPr>
      </w:pPr>
      <w:r w:rsidRPr="00467B95">
        <w:rPr>
          <w:sz w:val="28"/>
          <w:szCs w:val="28"/>
        </w:rPr>
        <w:lastRenderedPageBreak/>
        <w:t>поводом для привлечения к ответственности является нарушение законодательства об исполнительном производстве;</w:t>
      </w:r>
    </w:p>
    <w:p w:rsidR="00F8234A" w:rsidRPr="00467B95" w:rsidRDefault="00F8234A" w:rsidP="007F4EC1">
      <w:pPr>
        <w:pStyle w:val="a9"/>
        <w:widowControl w:val="0"/>
        <w:numPr>
          <w:ilvl w:val="0"/>
          <w:numId w:val="29"/>
        </w:numPr>
        <w:spacing w:before="0" w:beforeAutospacing="0" w:after="0" w:afterAutospacing="0"/>
        <w:ind w:left="0" w:firstLine="709"/>
        <w:jc w:val="both"/>
        <w:rPr>
          <w:sz w:val="28"/>
          <w:szCs w:val="28"/>
        </w:rPr>
      </w:pPr>
      <w:r w:rsidRPr="00467B95">
        <w:rPr>
          <w:sz w:val="28"/>
          <w:szCs w:val="28"/>
        </w:rPr>
        <w:t>лицо, привлекаемое к юридической ответственности, является виновным в нарушении предусмотренного законом порядка.</w:t>
      </w:r>
    </w:p>
    <w:p w:rsidR="00F8234A" w:rsidRPr="00467B95" w:rsidRDefault="00F8234A" w:rsidP="005A3DF4">
      <w:pPr>
        <w:pStyle w:val="a9"/>
        <w:widowControl w:val="0"/>
        <w:spacing w:before="0" w:beforeAutospacing="0" w:after="0" w:afterAutospacing="0"/>
        <w:ind w:firstLine="709"/>
        <w:jc w:val="both"/>
        <w:rPr>
          <w:sz w:val="28"/>
          <w:szCs w:val="28"/>
        </w:rPr>
      </w:pPr>
      <w:r w:rsidRPr="00467B95">
        <w:rPr>
          <w:sz w:val="28"/>
          <w:szCs w:val="28"/>
        </w:rPr>
        <w:t>Задачи института ответственности исполнительного производства в части защиты его участников тесно связаны с задачами, присущими исполнительному производству в ст. 2 ФЗ «Об исполнительном производстве»: правильное и своевременное исполнение судебных актов, актов других органов и должностных лиц в целях защиты нарушенных прав, свобод и законных интересов участников исполнительного производства [1]. В данном случае институт ответственности является правовым гарантом обеспечения участникам исполнительного производства их законных прав и интересов.</w:t>
      </w:r>
    </w:p>
    <w:p w:rsidR="00F8234A" w:rsidRPr="00467B95" w:rsidRDefault="00F8234A" w:rsidP="005A3DF4">
      <w:pPr>
        <w:pStyle w:val="a9"/>
        <w:widowControl w:val="0"/>
        <w:spacing w:before="0" w:beforeAutospacing="0" w:after="0" w:afterAutospacing="0"/>
        <w:ind w:firstLine="709"/>
        <w:jc w:val="both"/>
        <w:rPr>
          <w:sz w:val="28"/>
          <w:szCs w:val="28"/>
        </w:rPr>
      </w:pPr>
      <w:r w:rsidRPr="00467B95">
        <w:rPr>
          <w:sz w:val="28"/>
          <w:szCs w:val="28"/>
        </w:rPr>
        <w:t>К функциям института ответственности в исполнительном производстве можно отнести:</w:t>
      </w:r>
    </w:p>
    <w:p w:rsidR="00F8234A" w:rsidRPr="00467B95" w:rsidRDefault="00F8234A" w:rsidP="007F4EC1">
      <w:pPr>
        <w:pStyle w:val="a9"/>
        <w:widowControl w:val="0"/>
        <w:numPr>
          <w:ilvl w:val="0"/>
          <w:numId w:val="30"/>
        </w:numPr>
        <w:spacing w:before="0" w:beforeAutospacing="0" w:after="0" w:afterAutospacing="0"/>
        <w:ind w:left="0" w:firstLine="709"/>
        <w:jc w:val="both"/>
        <w:rPr>
          <w:sz w:val="28"/>
          <w:szCs w:val="28"/>
        </w:rPr>
      </w:pPr>
      <w:r w:rsidRPr="00467B95">
        <w:rPr>
          <w:sz w:val="28"/>
          <w:szCs w:val="28"/>
        </w:rPr>
        <w:t>право восстановительная функция, то есть в случае возложения мер ответственности на правонарушителя, участник исполнительного производства, который претерпел нарушение его законных прав, свобод и интересов, посредством определенных лишений имеет возможность восстановить прежнее положение, которое имело место быть до нарушения их;</w:t>
      </w:r>
    </w:p>
    <w:p w:rsidR="00F8234A" w:rsidRPr="00467B95" w:rsidRDefault="00F8234A" w:rsidP="007F4EC1">
      <w:pPr>
        <w:pStyle w:val="a9"/>
        <w:widowControl w:val="0"/>
        <w:numPr>
          <w:ilvl w:val="0"/>
          <w:numId w:val="30"/>
        </w:numPr>
        <w:spacing w:before="0" w:beforeAutospacing="0" w:after="0" w:afterAutospacing="0"/>
        <w:ind w:left="0" w:firstLine="709"/>
        <w:jc w:val="both"/>
        <w:rPr>
          <w:sz w:val="28"/>
          <w:szCs w:val="28"/>
        </w:rPr>
      </w:pPr>
      <w:r w:rsidRPr="00467B95">
        <w:rPr>
          <w:sz w:val="28"/>
          <w:szCs w:val="28"/>
        </w:rPr>
        <w:t>воспитательная функция, в данном случае речь идет о воздействии на правосознание общества посредством правоприменительной практики для дальнейшего пресечения правонарушений и преступлений. Нам представляется, что к данной функции наиболее подходящим будет являться пример, связанный с предусмотренной УК РФ ответственности за неуплату средств на содержание детей или нетрудоспособных родителей [5]. Законодатель, введя санкции за данное преступление, как бы формирует в подсознании общества необходимость в содержании детей либо нетрудоспособных родителей.</w:t>
      </w:r>
    </w:p>
    <w:p w:rsidR="00F8234A" w:rsidRPr="00467B95" w:rsidRDefault="00F8234A" w:rsidP="007F4EC1">
      <w:pPr>
        <w:pStyle w:val="a9"/>
        <w:widowControl w:val="0"/>
        <w:numPr>
          <w:ilvl w:val="0"/>
          <w:numId w:val="30"/>
        </w:numPr>
        <w:spacing w:before="0" w:beforeAutospacing="0" w:after="0" w:afterAutospacing="0"/>
        <w:ind w:left="0" w:firstLine="709"/>
        <w:jc w:val="both"/>
        <w:rPr>
          <w:sz w:val="28"/>
          <w:szCs w:val="28"/>
        </w:rPr>
      </w:pPr>
      <w:r w:rsidRPr="00467B95">
        <w:rPr>
          <w:sz w:val="28"/>
          <w:szCs w:val="28"/>
        </w:rPr>
        <w:t>штрафная функция, которая выражена в мерах ответственности в исполнительном производстве, посредством применения которых правонарушитель претерпевает различные имущественные, организационные и личные потери</w:t>
      </w:r>
    </w:p>
    <w:p w:rsidR="00F8234A" w:rsidRPr="00467B95" w:rsidRDefault="00F8234A" w:rsidP="005A3DF4">
      <w:pPr>
        <w:pStyle w:val="a9"/>
        <w:widowControl w:val="0"/>
        <w:spacing w:before="0" w:beforeAutospacing="0" w:after="0" w:afterAutospacing="0"/>
        <w:ind w:firstLine="709"/>
        <w:jc w:val="both"/>
        <w:rPr>
          <w:sz w:val="28"/>
          <w:szCs w:val="28"/>
        </w:rPr>
      </w:pPr>
      <w:r w:rsidRPr="00467B95">
        <w:rPr>
          <w:sz w:val="28"/>
          <w:szCs w:val="28"/>
        </w:rPr>
        <w:t>Подытоживая вышеизложенное, считаем, что, можно сказать о том, что институт ответственности в исполнительном производстве имеет важное значение: он обеспечивает правовые гарантии субъектам исполнительного производства, способствует предотвращению и предупреждению отрицательных последствий (правонарушений), выступает гарантом восстановления прав и охраны интересов участников исполнительного производства, которые были нарушены. Институт ответственности в исполнительном производстве затрагивает такие отрасли права, как гражданское право, уголовное право, административное право, гражданско-процессуальное право и уголовно-процессуальное.</w:t>
      </w:r>
    </w:p>
    <w:p w:rsidR="00F8234A" w:rsidRPr="00467B95" w:rsidRDefault="00F8234A" w:rsidP="005A3DF4">
      <w:pPr>
        <w:pStyle w:val="a7"/>
        <w:widowControl w:val="0"/>
        <w:spacing w:after="0" w:line="240" w:lineRule="auto"/>
        <w:ind w:left="0" w:firstLine="709"/>
        <w:jc w:val="both"/>
        <w:rPr>
          <w:rFonts w:ascii="Times New Roman" w:hAnsi="Times New Roman" w:cs="Times New Roman"/>
          <w:color w:val="FF0000"/>
          <w:sz w:val="28"/>
          <w:szCs w:val="28"/>
        </w:rPr>
      </w:pPr>
      <w:r w:rsidRPr="00467B95">
        <w:rPr>
          <w:rFonts w:ascii="Times New Roman" w:hAnsi="Times New Roman" w:cs="Times New Roman"/>
          <w:sz w:val="28"/>
          <w:szCs w:val="28"/>
        </w:rPr>
        <w:lastRenderedPageBreak/>
        <w:t>Законодатель предусматривает для субъектов исполнительного производства юридическую ответственность, которая может быть возложена на них за несоблюдение, нарушение законодательства Российской Федерации об исполнительном производстве. В данном случае, все субъекты исполнительного производства обязаны соблюдать, установленный законом порядок в части исполнения судебных актов, а также актов иных органов.</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hAnsi="Times New Roman"/>
          <w:sz w:val="28"/>
          <w:szCs w:val="28"/>
        </w:rPr>
        <w:t xml:space="preserve">Было определено, что ответственность в исполнительном производстве представляет собой </w:t>
      </w:r>
      <w:r w:rsidRPr="00467B95">
        <w:rPr>
          <w:rFonts w:ascii="Times New Roman" w:eastAsia="Times New Roman" w:hAnsi="Times New Roman"/>
          <w:sz w:val="28"/>
          <w:szCs w:val="28"/>
          <w:lang w:eastAsia="ru-RU"/>
        </w:rPr>
        <w:t>меру, обеспеченную государством, обладающую различными последствиями, которые могут наступить для участника исполнительного производства, который совершил, отрицательно оцененные государством действия (бездействия), установленные законом.</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Обязательным фактом, служащим основанием для привлечения к юридической ответственности в исполнительном производстве, является виновность лица. То есть, беззаконное применение мер государственного принуждения со стороны уполномоченных лиц к невиновному субъекту исполнительного производства недопустимо. Это обосновано, ведь презумпция невиновности – это закрепленный Конституцией РФ основополагающий принцип, формирующий правосудие в целом [17].</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Нам представляется, что для дачи классификации юридической ответственности за нарушение исполнительного производства, необходимо проанализировать существующие правовые нормы в законодательстве РФ, которые регулируют данный аспект.</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Правовые нормы административного права Российской Федерации предусматривают юридическую ответственность для виновного лица, которое является таким участником исполнительного производства, как должник. Юридическая ответственность, согласно ч.1 ст.17.14 КоАП РФ, возлагается на должника в случае, если он нарушит законодательство об исполнительном производстве, касающееся выполнения законных требований судебного пристава-исполнителя, обязанности предоставления достоверных сведений о своих правах на имущество [6]. То есть, в случае, если должник решит не выполнять требования, предъявленные судебным приставом-исполнителем, то применение юридической ответственности неизбежно. Хотелось бы заметить, что законодатель указывает на то, что требования к исполнению со сторону судебного пристава-исполнителя должны отвечать принципу законности, что говорит о правовых гарантиях должника со стороны государства. Также, для должника, законодатель предусматривает обязанность предоставить достоверные сведения в части своего имущества. Юридическая ответственность за несоблюдение данных требований обоснована, ведь в случае сокрытия должником указанных сведений, права взыскателя и иных лиц, чьи интересы могут быть затронуты, несомненно, нарушаются. Указанная выше норм, также предусматривает ответственность в случае, если должник не уведомил об увольнении с работы, о смене работы, учебы, месте получения любых своих доходов [6]. В данном случае, можно говорить о том, что юридическая ответственность, предусмотренная за </w:t>
      </w:r>
      <w:r w:rsidRPr="00467B95">
        <w:rPr>
          <w:rFonts w:ascii="Times New Roman" w:eastAsia="Times New Roman" w:hAnsi="Times New Roman"/>
          <w:sz w:val="28"/>
          <w:szCs w:val="28"/>
          <w:lang w:eastAsia="ru-RU"/>
        </w:rPr>
        <w:lastRenderedPageBreak/>
        <w:t xml:space="preserve">данные действия (бездействия), обоснована, ведь сокрытие указанных выше фактов может способствовать нарушению законных прав и интересов взыскателя, а также иных участников исполнительного производства. </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По нашему мнению, распределение долгового имущества в таком случае будет распределяться согласно известным лишь источникам дохода должника, а не всем существующим фактически, то есть должник будет поступать недобросовестно относительно своих обязательств. Ответственность, за указанные выше действия (бездействия) должника, предусматривает, представлена в виде штрафа.</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Что касается ч.3 ст.17.14 КоАП РФ, то правовые нормы административного права Российской Федерации предусматривают юридическую ответственность для виновного лица, которое не является должником за те же действия (бездействия), которые предусматривает часть первая настоящей статьи. Однако, для лица, не являющегося должником, законодатель установил дополнительные основания, в случае которых, указанное лицо может быть привлечено к юридической ответственности, выраженной в виде наложения штрафа. К таким основаниям законодатель отнес: отказ от получения конфискованного имущества, утрата исполнительного документа, а также его несвоевременное отправление [6]. Нам представляется, что законодатель тем самым пресекает любые действия со стороны иных лиц, не являющихся должником, которые могут повлиять на исполнение судебных актов и иных лиц отрицательным образом.</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Гражданско-процессуальное законодательство предусматривает ответственность в виде штрафных санкций за утрату исполнительного листа либо приказа. Данная мера государственного принуждения зафиксирована в статье 431 Гражданского процессуального кодекса Российской Федерации  [7].</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Законодатель также предусмотрел уголовную ответственность за нарушение законодательства об исполнительном производстве, что отражено в статье 113 Федерального закона «Об исполнительном производстве» [1]. На наш взгляд, данный шаг законодателя является достаточно успешным в пути, проложенном к защите законных прав и интересов участников исполнительного производства, так как влияет на более серьезное восприятие его субъектами важности соблюдения судебных актов, а также актов иных лиц в части их исполнения.</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Существует также юридическая ответственность, которая выражена в качестве исполнительского сбора. Данная мера государственного принуждения указана в статье 112 Федерального закона «Об исполнительном производстве» и представлена в форме денежного взыскания [1]. Налагается исполнительский сбор на должника, а устанавливается судебным приставом исполнителем. Основаниями для наложения данного вида юридической ответственности в исполнительном производстве являются: несвоевременное исполнение судебного акта, а также акта должностного лица должником, а равно те же самые действия с документом, исполнение которого подлежит </w:t>
      </w:r>
      <w:r w:rsidRPr="00467B95">
        <w:rPr>
          <w:rFonts w:ascii="Times New Roman" w:eastAsia="Times New Roman" w:hAnsi="Times New Roman"/>
          <w:sz w:val="28"/>
          <w:szCs w:val="28"/>
          <w:lang w:eastAsia="ru-RU"/>
        </w:rPr>
        <w:lastRenderedPageBreak/>
        <w:t>немедленно. Данный вид юридической ответственности выражен в виде публично-правовой формы и обладаете свойствами штрафной санкции.</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Заслуженный юрист Российской Федерации А.С. Мамыкин полагает, что: «Вид ответственности, применяемый к виновному лицу за нарушение законодательства об исполнительном производстве, зависит от характера допущенного правонарушения и должностного положения лица, совершившего это правонарушение» [8, С.240]. Проанализировав законодательство РФ в части института ответственности в исполнительном производстве в части защиты его участников, с указанным высказыванием невозможно не согласиться. Ведь, несомненно, законодатель как бы устанавливает шкалу, которая и определяет какие действия (бездействия) субъектов исполнительного производства наиболее опасны в обществе. </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Учитывая изложенное, нам представляется, что можно выделить такие виды ответственности за нарушение законодательства об исполнительном производстве:</w:t>
      </w:r>
    </w:p>
    <w:p w:rsidR="00F8234A" w:rsidRPr="00467B95" w:rsidRDefault="00F8234A" w:rsidP="007F4EC1">
      <w:pPr>
        <w:pStyle w:val="a7"/>
        <w:widowControl w:val="0"/>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административная ответственность;</w:t>
      </w:r>
    </w:p>
    <w:p w:rsidR="00F8234A" w:rsidRPr="00467B95" w:rsidRDefault="00F8234A" w:rsidP="007F4EC1">
      <w:pPr>
        <w:pStyle w:val="a7"/>
        <w:widowControl w:val="0"/>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гражданско-правовая ответственность;</w:t>
      </w:r>
    </w:p>
    <w:p w:rsidR="00F8234A" w:rsidRPr="00467B95" w:rsidRDefault="00F8234A" w:rsidP="007F4EC1">
      <w:pPr>
        <w:pStyle w:val="a7"/>
        <w:widowControl w:val="0"/>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уголовная ответственность;</w:t>
      </w:r>
    </w:p>
    <w:p w:rsidR="00F8234A" w:rsidRPr="00467B95" w:rsidRDefault="00F8234A" w:rsidP="007F4EC1">
      <w:pPr>
        <w:pStyle w:val="a7"/>
        <w:widowControl w:val="0"/>
        <w:numPr>
          <w:ilvl w:val="0"/>
          <w:numId w:val="31"/>
        </w:numPr>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взыскание исполнительского сбора.</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Нам представляется, что, введя юридическую ответственность за нарушение законодательства в исполнительном производстве, законодатель хочет сказать об обязательности и важности исполнения судебных актов, решений, а также иных должностных лиц. Считаем, что это справедливо по отношению к участникам исполнительного производства в части защиты их прав, ведь государство предоставляет им охрану за счет применения мер принуждения в отношении виновных лиц.</w:t>
      </w:r>
    </w:p>
    <w:p w:rsidR="00F8234A" w:rsidRPr="00467B95" w:rsidRDefault="00F8234A" w:rsidP="005A3DF4">
      <w:pPr>
        <w:pStyle w:val="a7"/>
        <w:widowControl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Считаем необходимым внести изменения в санкции таких норм административного права, как 19.3, 19.7, 17.5, 17.3, 17.8 КоАП РФ. Изменения будут выражены в следующем: увеличить размер штрафа, что повлечет за собой, по нашему мнению, эффективность данных норм права, направленных на соблюдение законодательства об исполнительном производстве.</w:t>
      </w:r>
    </w:p>
    <w:p w:rsidR="00F8234A" w:rsidRPr="00467B95" w:rsidRDefault="00F8234A" w:rsidP="005A3DF4">
      <w:pPr>
        <w:pStyle w:val="a7"/>
        <w:widowControl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Также представляем необходимым введение в ФЗ «Об исполнительном производстве» изменения, касающегося дачи определения термина «ответственность» в исполнительном производстве. Данное нововведение необходимо с целью наконец-таки законодательно закрепить положение, определяющее ответственность в исполнительном производстве.</w:t>
      </w:r>
    </w:p>
    <w:p w:rsidR="00F8234A" w:rsidRPr="00467B95" w:rsidRDefault="00F8234A" w:rsidP="005A3DF4">
      <w:pPr>
        <w:pStyle w:val="a7"/>
        <w:widowControl w:val="0"/>
        <w:spacing w:after="0" w:line="240" w:lineRule="auto"/>
        <w:ind w:left="0" w:firstLine="709"/>
        <w:jc w:val="both"/>
        <w:rPr>
          <w:rFonts w:ascii="Times New Roman" w:eastAsia="Times New Roman" w:hAnsi="Times New Roman" w:cs="Times New Roman"/>
          <w:sz w:val="28"/>
          <w:szCs w:val="28"/>
          <w:lang w:eastAsia="ru-RU"/>
        </w:rPr>
      </w:pPr>
      <w:r w:rsidRPr="00467B95">
        <w:rPr>
          <w:rFonts w:ascii="Times New Roman" w:eastAsia="Times New Roman" w:hAnsi="Times New Roman" w:cs="Times New Roman"/>
          <w:sz w:val="28"/>
          <w:szCs w:val="28"/>
          <w:lang w:eastAsia="ru-RU"/>
        </w:rPr>
        <w:t>Также считаем необходимым, закрепить в ФЗ «Об исполнительном производстве» нормы, определяющие гражданскую ответственность за несоблюдение законодательства об исполнительном производстве. Это необходимо в связи с проблемными аспектами, возникающими на практике относительно прав и обязанностей взыскателя и должника в исполнительном производстве.</w:t>
      </w:r>
    </w:p>
    <w:p w:rsidR="00AE76D6" w:rsidRDefault="00AE76D6" w:rsidP="005A3DF4">
      <w:pPr>
        <w:widowControl w:val="0"/>
        <w:spacing w:after="0" w:line="240" w:lineRule="auto"/>
        <w:ind w:firstLine="709"/>
        <w:contextualSpacing/>
        <w:jc w:val="center"/>
        <w:rPr>
          <w:rFonts w:ascii="Times New Roman" w:eastAsia="Times New Roman" w:hAnsi="Times New Roman"/>
          <w:sz w:val="28"/>
          <w:szCs w:val="28"/>
          <w:lang w:eastAsia="ru-RU"/>
        </w:rPr>
      </w:pPr>
    </w:p>
    <w:p w:rsidR="001D0ABF" w:rsidRPr="001D0ABF" w:rsidRDefault="001D0ABF" w:rsidP="005A3DF4">
      <w:pPr>
        <w:widowControl w:val="0"/>
        <w:spacing w:after="0" w:line="240" w:lineRule="auto"/>
        <w:ind w:firstLine="709"/>
        <w:contextualSpacing/>
        <w:jc w:val="center"/>
        <w:rPr>
          <w:rFonts w:ascii="Times New Roman" w:eastAsia="Times New Roman" w:hAnsi="Times New Roman"/>
          <w:sz w:val="28"/>
          <w:szCs w:val="28"/>
          <w:lang w:eastAsia="ru-RU"/>
        </w:rPr>
      </w:pPr>
      <w:r w:rsidRPr="001D0ABF">
        <w:rPr>
          <w:rFonts w:ascii="Times New Roman" w:eastAsia="Times New Roman" w:hAnsi="Times New Roman"/>
          <w:sz w:val="28"/>
          <w:szCs w:val="28"/>
          <w:lang w:eastAsia="ru-RU"/>
        </w:rPr>
        <w:lastRenderedPageBreak/>
        <w:t>Список использованных источников</w:t>
      </w:r>
    </w:p>
    <w:p w:rsidR="00F8234A" w:rsidRPr="001D0ABF"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1D0ABF">
        <w:rPr>
          <w:rFonts w:ascii="Times New Roman" w:eastAsia="Times New Roman" w:hAnsi="Times New Roman"/>
          <w:sz w:val="28"/>
          <w:szCs w:val="28"/>
          <w:lang w:eastAsia="ru-RU"/>
        </w:rPr>
        <w:t xml:space="preserve">Об исполнительном производстве: федеральный закон от 02.10.2007 № 229-ФЗ (ред. от 06.03.2019) [Электронный ресурс] // СПС «КонсультантПлюс» —  Режим доступа: </w:t>
      </w:r>
      <w:hyperlink r:id="rId177" w:history="1">
        <w:r w:rsidRPr="001D0ABF">
          <w:rPr>
            <w:rStyle w:val="a8"/>
            <w:rFonts w:ascii="Times New Roman" w:eastAsia="Times New Roman" w:hAnsi="Times New Roman"/>
            <w:color w:val="auto"/>
            <w:sz w:val="28"/>
            <w:szCs w:val="28"/>
            <w:u w:val="none"/>
            <w:lang w:eastAsia="ru-RU"/>
          </w:rPr>
          <w:t>http://www.consultant.ru/document/cons_doc_LAW_71450/</w:t>
        </w:r>
      </w:hyperlink>
      <w:r w:rsidRPr="001D0ABF">
        <w:rPr>
          <w:rFonts w:ascii="Times New Roman" w:eastAsia="Times New Roman" w:hAnsi="Times New Roman"/>
          <w:sz w:val="28"/>
          <w:szCs w:val="28"/>
          <w:lang w:eastAsia="ru-RU"/>
        </w:rPr>
        <w:t>.</w:t>
      </w:r>
    </w:p>
    <w:p w:rsidR="00F8234A" w:rsidRPr="001D0ABF"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1D0ABF">
        <w:rPr>
          <w:rFonts w:ascii="Times New Roman" w:eastAsia="Times New Roman" w:hAnsi="Times New Roman"/>
          <w:sz w:val="28"/>
          <w:szCs w:val="28"/>
          <w:lang w:eastAsia="ru-RU"/>
        </w:rPr>
        <w:t>Перевалов В.Д. Теория государства и права: учебник для вузов / В.Д. Перевалов. — М.: Норма, 2015. — 496 с.</w:t>
      </w:r>
    </w:p>
    <w:p w:rsidR="00F8234A" w:rsidRPr="001D0ABF"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1D0ABF">
        <w:rPr>
          <w:rFonts w:ascii="Times New Roman" w:eastAsia="Times New Roman" w:hAnsi="Times New Roman"/>
          <w:sz w:val="28"/>
          <w:szCs w:val="28"/>
          <w:lang w:eastAsia="ru-RU"/>
        </w:rPr>
        <w:t>Енгибарян Р.В. Теория государства и права: учеб.пособие / Р.В. Енгибарян. — М.: Норма, 2015. — 576 с.</w:t>
      </w:r>
    </w:p>
    <w:p w:rsidR="00F8234A" w:rsidRPr="001D0ABF"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1D0ABF">
        <w:rPr>
          <w:rFonts w:ascii="Times New Roman" w:eastAsia="Times New Roman" w:hAnsi="Times New Roman"/>
          <w:sz w:val="28"/>
          <w:szCs w:val="28"/>
          <w:lang w:eastAsia="ru-RU"/>
        </w:rPr>
        <w:t>Венгеров А.Б. Теория государства и права: учеб. / А.Б. Венгеров. —М.: Омега, 2014. — 607 с.</w:t>
      </w:r>
    </w:p>
    <w:p w:rsidR="00F8234A" w:rsidRPr="00467B95"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1D0ABF">
        <w:rPr>
          <w:rFonts w:ascii="Times New Roman" w:eastAsia="Times New Roman" w:hAnsi="Times New Roman"/>
          <w:sz w:val="28"/>
          <w:szCs w:val="28"/>
          <w:lang w:eastAsia="ru-RU"/>
        </w:rPr>
        <w:t>Уголовный кодекс</w:t>
      </w:r>
      <w:r w:rsidRPr="00467B95">
        <w:rPr>
          <w:rFonts w:ascii="Times New Roman" w:eastAsia="Times New Roman" w:hAnsi="Times New Roman"/>
          <w:sz w:val="28"/>
          <w:szCs w:val="28"/>
          <w:lang w:eastAsia="ru-RU"/>
        </w:rPr>
        <w:t xml:space="preserve"> Российской Федерации: федеральный закон от 13.06.1996 № 63-ФЗ (ред. от 29.05.2019) [Электронный ресурс] // СПС «КонсультантПлюс» —  Режим доступа: http://www.consultant.ru/cons/cgi/online.cgi?rnd=4/.</w:t>
      </w:r>
    </w:p>
    <w:p w:rsidR="00F8234A" w:rsidRPr="00467B95"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 xml:space="preserve">Кодекс Российской Федерации об административных правонарушениях: федеральный закон </w:t>
      </w:r>
      <w:r w:rsidRPr="00467B95">
        <w:rPr>
          <w:rFonts w:ascii="Times New Roman" w:eastAsia="Times New Roman" w:hAnsi="Times New Roman"/>
          <w:bCs/>
          <w:sz w:val="28"/>
          <w:szCs w:val="28"/>
          <w:lang w:eastAsia="ru-RU"/>
        </w:rPr>
        <w:t>от 30.12.2001 № 195-ФЗ (ред. от 18.03.2019) (с изм. и доп., вступ. в силу с 29.03.2019)</w:t>
      </w:r>
      <w:r w:rsidRPr="00467B95">
        <w:rPr>
          <w:rFonts w:ascii="Times New Roman" w:eastAsia="Times New Roman" w:hAnsi="Times New Roman"/>
          <w:sz w:val="28"/>
          <w:szCs w:val="28"/>
          <w:lang w:eastAsia="ru-RU"/>
        </w:rPr>
        <w:t xml:space="preserve"> [Электронный ресурс] // СПС «КонсультантПлюс» — Режим доступа: http://www.consultant.ru/document/cons_doc_LAW_34661/.</w:t>
      </w:r>
    </w:p>
    <w:p w:rsidR="00F8234A" w:rsidRPr="00467B95"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Гражданский процессуальный кодекс Российской Федерации. Часть первая: федеральный закон от 30.11.1994 (ред. от 18.03.2019) // [Электронный ресурс] // СПС «КонсультанПлюс» — Режим доступа: http://www.consultant.ru/cons/cgi/online.cgi?rnd/.</w:t>
      </w:r>
    </w:p>
    <w:p w:rsidR="00F8234A" w:rsidRPr="00467B95" w:rsidRDefault="00F8234A" w:rsidP="007F4EC1">
      <w:pPr>
        <w:widowControl w:val="0"/>
        <w:numPr>
          <w:ilvl w:val="0"/>
          <w:numId w:val="32"/>
        </w:numPr>
        <w:spacing w:after="0" w:line="240" w:lineRule="auto"/>
        <w:ind w:left="0" w:firstLine="709"/>
        <w:contextualSpacing/>
        <w:jc w:val="both"/>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t>Мамыкин А.С. Исполнительное производство: учебник / А.С. Мамыкин. – М.: РГУП, 2017. – 280 с.</w:t>
      </w:r>
    </w:p>
    <w:p w:rsidR="00F8234A" w:rsidRPr="00467B95" w:rsidRDefault="00F8234A" w:rsidP="005A3DF4">
      <w:pPr>
        <w:widowControl w:val="0"/>
        <w:spacing w:after="0" w:line="240" w:lineRule="auto"/>
        <w:ind w:firstLine="709"/>
        <w:contextualSpacing/>
        <w:jc w:val="both"/>
        <w:rPr>
          <w:rFonts w:ascii="Times New Roman" w:eastAsia="Times New Roman" w:hAnsi="Times New Roman"/>
          <w:sz w:val="28"/>
          <w:szCs w:val="28"/>
          <w:lang w:eastAsia="ru-RU"/>
        </w:rPr>
      </w:pPr>
    </w:p>
    <w:p w:rsidR="00F8234A" w:rsidRPr="00467B95" w:rsidRDefault="00F8234A"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Правовое положение детей-сирот и детей, оставшихся без попечения родителей в Российской Федерации на примере Приморского края</w:t>
      </w:r>
    </w:p>
    <w:p w:rsidR="00F8234A" w:rsidRPr="00467B95" w:rsidRDefault="00F8234A" w:rsidP="005A3DF4">
      <w:pPr>
        <w:widowControl w:val="0"/>
        <w:spacing w:after="0" w:line="240" w:lineRule="auto"/>
        <w:ind w:firstLine="709"/>
        <w:jc w:val="center"/>
        <w:rPr>
          <w:rFonts w:ascii="Times New Roman" w:hAnsi="Times New Roman"/>
          <w:sz w:val="28"/>
          <w:szCs w:val="28"/>
        </w:rPr>
      </w:pPr>
    </w:p>
    <w:p w:rsidR="00F8234A" w:rsidRPr="00467B95" w:rsidRDefault="00F8234A"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Синкина Анна Александровна</w:t>
      </w:r>
    </w:p>
    <w:p w:rsidR="00F8234A" w:rsidRPr="00467B95" w:rsidRDefault="00F8234A"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Группы БЮП-15-03, 4 курса Институт права</w:t>
      </w:r>
    </w:p>
    <w:p w:rsidR="00F8234A" w:rsidRPr="00467B95" w:rsidRDefault="00F8234A"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Владивостокский государственный университет экономики и сервиса</w:t>
      </w:r>
    </w:p>
    <w:p w:rsidR="00F8234A" w:rsidRPr="00467B95" w:rsidRDefault="00F8234A" w:rsidP="005A3DF4">
      <w:pPr>
        <w:widowControl w:val="0"/>
        <w:spacing w:after="0" w:line="240" w:lineRule="auto"/>
        <w:ind w:firstLine="709"/>
        <w:jc w:val="center"/>
        <w:rPr>
          <w:rFonts w:ascii="Times New Roman" w:hAnsi="Times New Roman"/>
          <w:i/>
          <w:sz w:val="28"/>
          <w:szCs w:val="28"/>
        </w:rPr>
      </w:pPr>
      <w:r w:rsidRPr="00467B95">
        <w:rPr>
          <w:rFonts w:ascii="Times New Roman" w:hAnsi="Times New Roman"/>
          <w:i/>
          <w:sz w:val="28"/>
          <w:szCs w:val="28"/>
        </w:rPr>
        <w:t>Россия г. Владивосток</w:t>
      </w:r>
    </w:p>
    <w:p w:rsidR="00F8234A" w:rsidRPr="00467B95" w:rsidRDefault="00F8234A" w:rsidP="005A3DF4">
      <w:pPr>
        <w:widowControl w:val="0"/>
        <w:spacing w:after="0" w:line="240" w:lineRule="auto"/>
        <w:ind w:firstLine="709"/>
        <w:jc w:val="center"/>
        <w:rPr>
          <w:rFonts w:ascii="Times New Roman" w:hAnsi="Times New Roman"/>
          <w:i/>
          <w:sz w:val="28"/>
          <w:szCs w:val="28"/>
        </w:rPr>
      </w:pPr>
    </w:p>
    <w:p w:rsidR="00F8234A" w:rsidRPr="00467B95" w:rsidRDefault="00F8234A" w:rsidP="005A3DF4">
      <w:pPr>
        <w:widowControl w:val="0"/>
        <w:spacing w:after="0" w:line="240" w:lineRule="auto"/>
        <w:ind w:firstLine="709"/>
        <w:jc w:val="both"/>
        <w:rPr>
          <w:rFonts w:ascii="Times New Roman" w:hAnsi="Times New Roman"/>
          <w:i/>
          <w:sz w:val="28"/>
          <w:szCs w:val="28"/>
        </w:rPr>
      </w:pPr>
      <w:r w:rsidRPr="001D0ABF">
        <w:rPr>
          <w:rFonts w:ascii="Times New Roman" w:hAnsi="Times New Roman"/>
          <w:i/>
          <w:sz w:val="28"/>
          <w:szCs w:val="28"/>
        </w:rPr>
        <w:t>Аннотация.</w:t>
      </w:r>
      <w:r w:rsidRPr="00467B95">
        <w:rPr>
          <w:rFonts w:ascii="Times New Roman" w:hAnsi="Times New Roman"/>
          <w:i/>
          <w:sz w:val="28"/>
          <w:szCs w:val="28"/>
        </w:rPr>
        <w:t xml:space="preserve"> Статья посвящена исследованию правового положения детей-сирот и детей, оставшихся без попечения родителей в Российской Федерации. Фундаментальные права несовершеннолетних установлены нормами конституционного права. Именно поэтому забота о детях-сиротах и детях, оставшихся без попечения родителей, является одним из важнейших элементов социальной функции любого современного государства. </w:t>
      </w:r>
    </w:p>
    <w:p w:rsidR="001D0ABF" w:rsidRPr="00CE3E72" w:rsidRDefault="001D0ABF" w:rsidP="005A3DF4">
      <w:pPr>
        <w:widowControl w:val="0"/>
        <w:spacing w:after="0" w:line="240" w:lineRule="auto"/>
        <w:ind w:firstLine="709"/>
        <w:jc w:val="both"/>
        <w:rPr>
          <w:rFonts w:ascii="Times New Roman" w:hAnsi="Times New Roman"/>
          <w:b/>
          <w:i/>
          <w:sz w:val="28"/>
          <w:szCs w:val="28"/>
        </w:rPr>
      </w:pPr>
    </w:p>
    <w:p w:rsidR="00F8234A" w:rsidRPr="00467B95" w:rsidRDefault="00F8234A" w:rsidP="005A3DF4">
      <w:pPr>
        <w:widowControl w:val="0"/>
        <w:spacing w:after="0" w:line="240" w:lineRule="auto"/>
        <w:ind w:firstLine="709"/>
        <w:jc w:val="both"/>
        <w:rPr>
          <w:rFonts w:ascii="Times New Roman" w:hAnsi="Times New Roman"/>
          <w:i/>
          <w:sz w:val="28"/>
          <w:szCs w:val="28"/>
        </w:rPr>
      </w:pPr>
      <w:r w:rsidRPr="001D0ABF">
        <w:rPr>
          <w:rFonts w:ascii="Times New Roman" w:hAnsi="Times New Roman"/>
          <w:i/>
          <w:sz w:val="28"/>
          <w:szCs w:val="28"/>
        </w:rPr>
        <w:lastRenderedPageBreak/>
        <w:t>Ключевые слова и словосочетания:</w:t>
      </w:r>
      <w:r w:rsidRPr="00467B95">
        <w:rPr>
          <w:rFonts w:ascii="Times New Roman" w:hAnsi="Times New Roman"/>
          <w:i/>
          <w:sz w:val="28"/>
          <w:szCs w:val="28"/>
        </w:rPr>
        <w:t xml:space="preserve"> правовое положение, дети-сироты, дети, оставшиеся без попечения родителей, права детей, гарантии.</w:t>
      </w:r>
    </w:p>
    <w:p w:rsidR="00F8234A" w:rsidRPr="00467B95" w:rsidRDefault="00F8234A" w:rsidP="005A3DF4">
      <w:pPr>
        <w:widowControl w:val="0"/>
        <w:spacing w:after="0" w:line="240" w:lineRule="auto"/>
        <w:ind w:firstLine="709"/>
        <w:jc w:val="both"/>
        <w:rPr>
          <w:rFonts w:ascii="Times New Roman" w:hAnsi="Times New Roman"/>
          <w:i/>
          <w:sz w:val="28"/>
          <w:szCs w:val="28"/>
        </w:rPr>
      </w:pPr>
    </w:p>
    <w:p w:rsidR="00F8234A" w:rsidRPr="00467B95" w:rsidRDefault="00F8234A"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Legal status of orphans and children left without parental care in the Russian Federation on the example of Primorsky Krai</w:t>
      </w:r>
    </w:p>
    <w:p w:rsidR="001D0ABF" w:rsidRDefault="001D0ABF" w:rsidP="005A3DF4">
      <w:pPr>
        <w:widowControl w:val="0"/>
        <w:spacing w:after="0" w:line="240" w:lineRule="auto"/>
        <w:ind w:firstLine="709"/>
        <w:jc w:val="center"/>
        <w:rPr>
          <w:rFonts w:ascii="Times New Roman" w:hAnsi="Times New Roman"/>
          <w:sz w:val="28"/>
          <w:szCs w:val="28"/>
          <w:lang w:val="en-US"/>
        </w:rPr>
      </w:pPr>
    </w:p>
    <w:p w:rsidR="00F8234A" w:rsidRPr="00467B95" w:rsidRDefault="00F8234A"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Sinkina Anna Alexandrovna</w:t>
      </w:r>
    </w:p>
    <w:p w:rsidR="00F8234A" w:rsidRPr="00467B95" w:rsidRDefault="00F8234A"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BIP-15-03 group, 4 course, Institute of law</w:t>
      </w:r>
    </w:p>
    <w:p w:rsidR="00F8234A" w:rsidRPr="00467B95" w:rsidRDefault="00F8234A" w:rsidP="005A3DF4">
      <w:pPr>
        <w:widowControl w:val="0"/>
        <w:spacing w:after="0" w:line="240" w:lineRule="auto"/>
        <w:ind w:firstLine="709"/>
        <w:jc w:val="center"/>
        <w:rPr>
          <w:rFonts w:ascii="Times New Roman" w:hAnsi="Times New Roman"/>
          <w:i/>
          <w:sz w:val="28"/>
          <w:szCs w:val="28"/>
          <w:lang w:val="en-US"/>
        </w:rPr>
      </w:pPr>
      <w:r w:rsidRPr="00467B95">
        <w:rPr>
          <w:rFonts w:ascii="Times New Roman" w:hAnsi="Times New Roman"/>
          <w:i/>
          <w:sz w:val="28"/>
          <w:szCs w:val="28"/>
          <w:lang w:val="en-US"/>
        </w:rPr>
        <w:t>Vladivostok State University of Economics and Service</w:t>
      </w:r>
    </w:p>
    <w:p w:rsidR="00F8234A" w:rsidRPr="00467B95" w:rsidRDefault="00F8234A" w:rsidP="005A3DF4">
      <w:pPr>
        <w:widowControl w:val="0"/>
        <w:spacing w:after="0" w:line="240" w:lineRule="auto"/>
        <w:ind w:firstLine="709"/>
        <w:jc w:val="center"/>
        <w:rPr>
          <w:rFonts w:ascii="Times New Roman" w:hAnsi="Times New Roman"/>
          <w:i/>
          <w:sz w:val="28"/>
          <w:szCs w:val="28"/>
          <w:lang w:val="en-US"/>
        </w:rPr>
      </w:pPr>
      <w:r w:rsidRPr="00467B95">
        <w:rPr>
          <w:rFonts w:ascii="Times New Roman" w:hAnsi="Times New Roman"/>
          <w:i/>
          <w:sz w:val="28"/>
          <w:szCs w:val="28"/>
          <w:lang w:val="en-US"/>
        </w:rPr>
        <w:t>Vladivostok, Russia</w:t>
      </w:r>
    </w:p>
    <w:p w:rsidR="00F8234A" w:rsidRPr="00467B95" w:rsidRDefault="00F8234A" w:rsidP="005A3DF4">
      <w:pPr>
        <w:widowControl w:val="0"/>
        <w:spacing w:after="0" w:line="240" w:lineRule="auto"/>
        <w:ind w:firstLine="709"/>
        <w:jc w:val="both"/>
        <w:rPr>
          <w:rFonts w:ascii="Times New Roman" w:hAnsi="Times New Roman"/>
          <w:b/>
          <w:sz w:val="28"/>
          <w:szCs w:val="28"/>
          <w:lang w:val="en-US"/>
        </w:rPr>
      </w:pPr>
    </w:p>
    <w:p w:rsidR="00F8234A" w:rsidRPr="00467B95" w:rsidRDefault="00F8234A" w:rsidP="005A3DF4">
      <w:pPr>
        <w:widowControl w:val="0"/>
        <w:spacing w:after="0" w:line="240" w:lineRule="auto"/>
        <w:ind w:firstLine="709"/>
        <w:jc w:val="both"/>
        <w:rPr>
          <w:rFonts w:ascii="Times New Roman" w:hAnsi="Times New Roman"/>
          <w:i/>
          <w:sz w:val="28"/>
          <w:szCs w:val="28"/>
          <w:lang w:val="en-US"/>
        </w:rPr>
      </w:pPr>
      <w:r w:rsidRPr="001D0ABF">
        <w:rPr>
          <w:rFonts w:ascii="Times New Roman" w:hAnsi="Times New Roman"/>
          <w:i/>
          <w:sz w:val="28"/>
          <w:szCs w:val="28"/>
          <w:lang w:val="en-US"/>
        </w:rPr>
        <w:t>Annotation. The</w:t>
      </w:r>
      <w:r w:rsidRPr="00467B95">
        <w:rPr>
          <w:rFonts w:ascii="Times New Roman" w:hAnsi="Times New Roman"/>
          <w:i/>
          <w:sz w:val="28"/>
          <w:szCs w:val="28"/>
          <w:lang w:val="en-US"/>
        </w:rPr>
        <w:t xml:space="preserve"> article is devoted to the study of the legal status of orphans and children left without parental care in the Russian Federation. The fundamental rights of minors are established by constitutional law. That is why the care of orphans and children left without parental care is one of the most important elements of the social function of any modern state.</w:t>
      </w:r>
    </w:p>
    <w:p w:rsidR="001D0ABF" w:rsidRDefault="001D0ABF" w:rsidP="005A3DF4">
      <w:pPr>
        <w:widowControl w:val="0"/>
        <w:spacing w:after="0" w:line="240" w:lineRule="auto"/>
        <w:ind w:firstLine="709"/>
        <w:jc w:val="both"/>
        <w:rPr>
          <w:rFonts w:ascii="Times New Roman" w:hAnsi="Times New Roman"/>
          <w:b/>
          <w:i/>
          <w:sz w:val="28"/>
          <w:szCs w:val="28"/>
          <w:lang w:val="en-US"/>
        </w:rPr>
      </w:pPr>
    </w:p>
    <w:p w:rsidR="00F8234A" w:rsidRPr="00467B95" w:rsidRDefault="00F8234A" w:rsidP="005A3DF4">
      <w:pPr>
        <w:widowControl w:val="0"/>
        <w:spacing w:after="0" w:line="240" w:lineRule="auto"/>
        <w:ind w:firstLine="709"/>
        <w:jc w:val="both"/>
        <w:rPr>
          <w:rFonts w:ascii="Times New Roman" w:hAnsi="Times New Roman"/>
          <w:i/>
          <w:sz w:val="28"/>
          <w:szCs w:val="28"/>
          <w:lang w:val="en-US"/>
        </w:rPr>
      </w:pPr>
      <w:r w:rsidRPr="001D0ABF">
        <w:rPr>
          <w:rFonts w:ascii="Times New Roman" w:hAnsi="Times New Roman"/>
          <w:i/>
          <w:sz w:val="28"/>
          <w:szCs w:val="28"/>
          <w:lang w:val="en-US"/>
        </w:rPr>
        <w:t>Key words and phrases: legal</w:t>
      </w:r>
      <w:r w:rsidRPr="00467B95">
        <w:rPr>
          <w:rFonts w:ascii="Times New Roman" w:hAnsi="Times New Roman"/>
          <w:i/>
          <w:sz w:val="28"/>
          <w:szCs w:val="28"/>
          <w:lang w:val="en-US"/>
        </w:rPr>
        <w:t xml:space="preserve"> status, orphans, children left without parental care, children's rights, guarantees.</w:t>
      </w:r>
    </w:p>
    <w:p w:rsidR="001D0ABF" w:rsidRDefault="001D0ABF" w:rsidP="005A3DF4">
      <w:pPr>
        <w:widowControl w:val="0"/>
        <w:spacing w:after="0" w:line="240" w:lineRule="auto"/>
        <w:ind w:firstLine="709"/>
        <w:jc w:val="both"/>
        <w:rPr>
          <w:rFonts w:ascii="Times New Roman" w:hAnsi="Times New Roman"/>
          <w:color w:val="000000" w:themeColor="text1"/>
          <w:sz w:val="28"/>
          <w:szCs w:val="28"/>
          <w:lang w:val="en-US"/>
        </w:rPr>
      </w:pPr>
    </w:p>
    <w:p w:rsidR="00F8234A" w:rsidRPr="00467B95" w:rsidRDefault="00F8234A"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Правовой статус ребенка определяется нормами семейного права и представляет собой совокупность прав, свобод, обязанностей ребенка, гарантий их реализации, установленную международно-правовыми актами, Конституцией Российской Федерации, федеральными законами Российской Федерации, а также иными нормативными правовыми актами субъектов РФ.</w:t>
      </w:r>
    </w:p>
    <w:p w:rsidR="00F8234A" w:rsidRPr="00467B95" w:rsidRDefault="00F8234A" w:rsidP="005A3DF4">
      <w:pPr>
        <w:widowControl w:val="0"/>
        <w:spacing w:after="0" w:line="240" w:lineRule="auto"/>
        <w:ind w:firstLine="709"/>
        <w:jc w:val="both"/>
        <w:rPr>
          <w:rFonts w:ascii="Times New Roman" w:hAnsi="Times New Roman"/>
          <w:sz w:val="28"/>
          <w:szCs w:val="28"/>
          <w:highlight w:val="yellow"/>
        </w:rPr>
      </w:pPr>
      <w:r w:rsidRPr="00467B95">
        <w:rPr>
          <w:rFonts w:ascii="Times New Roman" w:hAnsi="Times New Roman"/>
          <w:sz w:val="28"/>
          <w:szCs w:val="28"/>
        </w:rPr>
        <w:t>Необходимо отметить, что проблемы детей-сирот в будущем всегда будут стоять перед людьми. Дети, оставшиеся без попечения родителей, существуют в любом обществе: имеет оно достаток или же не имеет, так как никто не застрахован от рисков, которые ожидают за следующим поворотом.</w:t>
      </w:r>
    </w:p>
    <w:p w:rsidR="00F8234A" w:rsidRPr="00467B95" w:rsidRDefault="00F8234A"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Федеральный закон №159-ФЗ от 21.12.1996 «О дополнительных гарантиях по социальной поддержке детей-сирот и детей, оставшихся без попечения родителей» устанавливает круг лиц, принадлежащих к категории детей, оставшихся без попечения родителей:</w:t>
      </w:r>
    </w:p>
    <w:p w:rsidR="00F8234A" w:rsidRPr="00467B95" w:rsidRDefault="00F8234A" w:rsidP="007F4EC1">
      <w:pPr>
        <w:pStyle w:val="a7"/>
        <w:widowControl w:val="0"/>
        <w:numPr>
          <w:ilvl w:val="0"/>
          <w:numId w:val="34"/>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дети-сироты, лица в возрасте до 18 лет, у которых умерли оба или единственный родитель;</w:t>
      </w:r>
    </w:p>
    <w:p w:rsidR="00F8234A" w:rsidRPr="00467B95" w:rsidRDefault="00F8234A" w:rsidP="007F4EC1">
      <w:pPr>
        <w:pStyle w:val="a7"/>
        <w:widowControl w:val="0"/>
        <w:numPr>
          <w:ilvl w:val="0"/>
          <w:numId w:val="3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color w:val="000000" w:themeColor="text1"/>
          <w:sz w:val="28"/>
          <w:szCs w:val="28"/>
        </w:rPr>
        <w:t>дети, оставшиеся без попечения родителей (лица в возрасте до 18 лет, которые остались без попечения по одной из причин): лишение родительских прав, ограничение родителей в родительских правах, признание родителей безвестно отсутствующими, родители, признанные недееспособными (ограничено дееспособными), родители, объявленные умершими и т.д.</w:t>
      </w:r>
      <w:r w:rsidRPr="00467B95">
        <w:rPr>
          <w:rFonts w:ascii="Times New Roman" w:hAnsi="Times New Roman" w:cs="Times New Roman"/>
          <w:sz w:val="28"/>
          <w:szCs w:val="28"/>
        </w:rPr>
        <w:t xml:space="preserve">[1]. </w:t>
      </w:r>
    </w:p>
    <w:p w:rsidR="00F8234A" w:rsidRPr="00467B95" w:rsidRDefault="00F8234A"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Иначе говоря, помимо той категории несовершеннолетних, которые указаны в Федеральном законе №159-ФЗ от 21.12.1996 к ним еще относятся и дети, имеющие родителей.</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В свою очередь п.1 статьи 20 Конвенции ООН о правах ребенка содержит следующее положение о том, что «ребенок, который временно или постоянно лишен своего семейного окружения или который в его собственных наилучших интересах не может оставаться в таком окружении, имеет право на особую защиту и помощь, предоставляемые государством» [2]. </w:t>
      </w:r>
    </w:p>
    <w:p w:rsidR="00F8234A" w:rsidRPr="00467B95" w:rsidRDefault="00F8234A" w:rsidP="005A3DF4">
      <w:pPr>
        <w:widowControl w:val="0"/>
        <w:spacing w:after="0" w:line="240" w:lineRule="auto"/>
        <w:ind w:firstLine="709"/>
        <w:jc w:val="both"/>
        <w:rPr>
          <w:rFonts w:ascii="Times New Roman" w:hAnsi="Times New Roman"/>
          <w:color w:val="000000" w:themeColor="text1"/>
          <w:sz w:val="28"/>
          <w:szCs w:val="28"/>
          <w:highlight w:val="yellow"/>
        </w:rPr>
      </w:pPr>
      <w:r w:rsidRPr="00467B95">
        <w:rPr>
          <w:rFonts w:ascii="Times New Roman" w:hAnsi="Times New Roman"/>
          <w:color w:val="000000" w:themeColor="text1"/>
          <w:sz w:val="28"/>
          <w:szCs w:val="28"/>
        </w:rPr>
        <w:t xml:space="preserve">В Российской Федерации по достижению определенного возраста ребенок приобретает особые права и обязанности, например, получение полной дееспособности, связано с наступлением совершеннолетия ребенка. Однако, еще до наступления полной дееспособности, ребенок обладает частичной дееспособностью. Так, в статье 28 Гражданского кодекса Российской Федерации (часть первая): Федеральный закон от 30.11.1994 № 51-ФЗ, указано, что дети могут совершать сделки с согласия родителей, или иных лиц их заменяющих, и только некоторые сделки могут совершать самостоятельно [3]. </w:t>
      </w:r>
    </w:p>
    <w:p w:rsidR="00F8234A" w:rsidRPr="00467B95" w:rsidRDefault="00F8234A" w:rsidP="005A3DF4">
      <w:pPr>
        <w:widowControl w:val="0"/>
        <w:spacing w:after="0" w:line="240" w:lineRule="auto"/>
        <w:ind w:firstLine="709"/>
        <w:jc w:val="both"/>
        <w:rPr>
          <w:rFonts w:ascii="Times New Roman" w:hAnsi="Times New Roman"/>
          <w:color w:val="000000" w:themeColor="text1"/>
          <w:sz w:val="28"/>
          <w:szCs w:val="28"/>
          <w:highlight w:val="yellow"/>
        </w:rPr>
      </w:pPr>
      <w:r w:rsidRPr="00467B95">
        <w:rPr>
          <w:rFonts w:ascii="Times New Roman" w:hAnsi="Times New Roman"/>
          <w:color w:val="000000" w:themeColor="text1"/>
          <w:sz w:val="28"/>
          <w:szCs w:val="28"/>
        </w:rPr>
        <w:t xml:space="preserve">Это значит, что дети имеют право наследовать имущество, но фактически осуществлять свои права они могут только при участии лиц, имеющих полную дееспособность. При этом недееспособным субъектам обладать самостоятельностью в социально-экономической жизни становится возможным при условии наличия у ребенка всех элементов правосубъектности. </w:t>
      </w:r>
    </w:p>
    <w:p w:rsidR="00F8234A" w:rsidRPr="00467B95" w:rsidRDefault="00F8234A" w:rsidP="005A3DF4">
      <w:pPr>
        <w:pStyle w:val="rtejustify"/>
        <w:widowControl w:val="0"/>
        <w:spacing w:before="0" w:beforeAutospacing="0" w:after="0" w:afterAutospacing="0"/>
        <w:ind w:firstLine="709"/>
        <w:jc w:val="both"/>
        <w:textAlignment w:val="baseline"/>
        <w:rPr>
          <w:color w:val="FF0000"/>
          <w:sz w:val="28"/>
          <w:szCs w:val="28"/>
        </w:rPr>
      </w:pPr>
      <w:r w:rsidRPr="00467B95">
        <w:rPr>
          <w:color w:val="000000" w:themeColor="text1"/>
          <w:sz w:val="28"/>
          <w:szCs w:val="28"/>
        </w:rPr>
        <w:t>Структурные элементы правового статуса детей-сирот – это их правоспособность, дееспособность и деликтоспособность [4].</w:t>
      </w:r>
    </w:p>
    <w:p w:rsidR="00F8234A" w:rsidRPr="00467B95" w:rsidRDefault="00F8234A" w:rsidP="005A3DF4">
      <w:pPr>
        <w:pStyle w:val="rtejustify"/>
        <w:widowControl w:val="0"/>
        <w:spacing w:before="0" w:beforeAutospacing="0" w:after="0" w:afterAutospacing="0"/>
        <w:ind w:firstLine="709"/>
        <w:jc w:val="both"/>
        <w:textAlignment w:val="baseline"/>
        <w:rPr>
          <w:color w:val="FF0000"/>
          <w:sz w:val="28"/>
          <w:szCs w:val="28"/>
        </w:rPr>
      </w:pPr>
      <w:r w:rsidRPr="00467B95">
        <w:rPr>
          <w:color w:val="000000" w:themeColor="text1"/>
          <w:sz w:val="28"/>
          <w:szCs w:val="28"/>
        </w:rPr>
        <w:t xml:space="preserve">Особенность правоспособности детей-сирот заключается в том, что они могут иметь некоторые права и обязанности, характерные только для них и не свойственные остальным субъектам права. Например, дополнительные социальные гарантии для детей-сирот и детей, оставшихся без попечения родителей: жилищное, медицинское, трудовое обеспечение, льготы в сфере образования и т.д. </w:t>
      </w:r>
    </w:p>
    <w:p w:rsidR="00F8234A" w:rsidRPr="00467B95" w:rsidRDefault="00F8234A" w:rsidP="005A3DF4">
      <w:pPr>
        <w:pStyle w:val="rtejustify"/>
        <w:widowControl w:val="0"/>
        <w:spacing w:before="0" w:beforeAutospacing="0" w:after="0" w:afterAutospacing="0"/>
        <w:ind w:firstLine="709"/>
        <w:jc w:val="both"/>
        <w:textAlignment w:val="baseline"/>
        <w:rPr>
          <w:color w:val="000000" w:themeColor="text1"/>
          <w:sz w:val="28"/>
          <w:szCs w:val="28"/>
          <w:highlight w:val="yellow"/>
        </w:rPr>
      </w:pPr>
      <w:r w:rsidRPr="00467B95">
        <w:rPr>
          <w:color w:val="000000" w:themeColor="text1"/>
          <w:sz w:val="28"/>
          <w:szCs w:val="28"/>
        </w:rPr>
        <w:t>Дееспособность ребенка-сироты имеет отличительную особенность тогда, когда отсутствует законное представительство родителей, которое обычное в других отношениях, связанных с детьми. Представитель ребенка-сироты устанавливается в результате совершения юридических фактов (оформление попечительства, к примеру).</w:t>
      </w:r>
    </w:p>
    <w:p w:rsidR="00F8234A" w:rsidRPr="00467B95" w:rsidRDefault="00F8234A" w:rsidP="005A3DF4">
      <w:pPr>
        <w:pStyle w:val="rtejustify"/>
        <w:widowControl w:val="0"/>
        <w:spacing w:before="0" w:beforeAutospacing="0" w:after="0" w:afterAutospacing="0"/>
        <w:ind w:firstLine="709"/>
        <w:jc w:val="both"/>
        <w:textAlignment w:val="baseline"/>
        <w:rPr>
          <w:color w:val="000000" w:themeColor="text1"/>
          <w:sz w:val="28"/>
          <w:szCs w:val="28"/>
          <w:highlight w:val="yellow"/>
        </w:rPr>
      </w:pPr>
      <w:r w:rsidRPr="00467B95">
        <w:rPr>
          <w:color w:val="000000" w:themeColor="text1"/>
          <w:sz w:val="28"/>
          <w:szCs w:val="28"/>
        </w:rPr>
        <w:t>Деликтоспособность детей-сирот отличается от общей деликтоспособности граждан тем, что субъектом нарушения может выступать именно человек, имеющий статус ребенка-сироты. К примеру, случай дисциплинарной ответственности за нарушение административного режима в организации, в которую несовершеннолетний был помещен под надзор.</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Российской Федерации создана правовая основа защиты прав и законных интересов несовершеннолетних. В частности, определены цели государственной политики, основные направления и организационные основы обеспечения прав ребенка, определены полномочия органов государственной власти различных уровней в этой области.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В соответствии со статьей 54 Семейного кодекса РФ, каждый ребенок имеет право жить и воспитываться в семье, право знать своих родителей, право на их заботу, на совместное с ними проживание, за исключением случаев, когда это противоречит его интересам [5].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Семейном кодексе предусмотрено, что родители обязаны содержать своих детей. Для обеспечения реализации права на алименты детей, находящихся в детских учреждениях, действует ряд нормативных документов. Уполномоченным выявлялись факты ненадлежащего исполнения обязанностей должностными лицами, призванными обеспечить получение ребенком алиментов. К примеру, при посещении КГОКУ «Центр содействия семейному устройству детей-сирот и детей, оставшихся без попечения родителей в семьи г. Большой Камень» выявлено, что из 16 детей, которым назначена выплата алиментов, реально получают лишь 3 несовершеннолетних. В КГОКУ «Центр содействия семейному устройству детей-сирот и детей, оставшихся без попечения родителей в семьи с. Мысовой» из 29 детей, которым назначена выплата алиментов, получают лишь 5 человек [6].</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Одной из главных проблем - необеспечение сохранности жилых помещений, которые закреплены за детьми-сиротами и детьми, оставшимися без попечения родителей. С каждым годом количество детей, нуждающихся в жилье, увеличивалось потому, что не все смогли сохранить закрепленное за ними жилье до окончания образовательных учреждений по причине отчуждения жилья (неуплата коммунальных платежей).</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Закону Приморского края от 12 февраля 2013 года № 168-КЗ дети-сироты и лица из их числа подлежат обеспечению жильем в форме предоставления жилого помещения специализированного жилищного фонда по договорам найма специализированных жилых помещений </w:t>
      </w:r>
      <w:r w:rsidRPr="00467B95">
        <w:rPr>
          <w:rFonts w:ascii="Times New Roman" w:hAnsi="Times New Roman"/>
          <w:color w:val="000000" w:themeColor="text1"/>
          <w:sz w:val="28"/>
          <w:szCs w:val="28"/>
        </w:rPr>
        <w:t>[7].</w:t>
      </w:r>
    </w:p>
    <w:p w:rsidR="00F8234A" w:rsidRPr="00467B95" w:rsidRDefault="00F8234A" w:rsidP="005A3DF4">
      <w:pPr>
        <w:widowControl w:val="0"/>
        <w:spacing w:after="0" w:line="240" w:lineRule="auto"/>
        <w:ind w:firstLine="709"/>
        <w:jc w:val="both"/>
        <w:rPr>
          <w:rFonts w:ascii="Times New Roman" w:hAnsi="Times New Roman"/>
          <w:color w:val="000000" w:themeColor="text1"/>
          <w:sz w:val="28"/>
          <w:szCs w:val="28"/>
          <w:highlight w:val="yellow"/>
        </w:rPr>
      </w:pPr>
      <w:r w:rsidRPr="00467B95">
        <w:rPr>
          <w:rFonts w:ascii="Times New Roman" w:hAnsi="Times New Roman"/>
          <w:color w:val="000000" w:themeColor="text1"/>
          <w:sz w:val="28"/>
          <w:szCs w:val="28"/>
        </w:rPr>
        <w:t>На территории Приморского края, в сводный список детей-сирот и детей, оставшихся без попечения родителей, имеющих право на обеспечение жилым помещением включены 7040 человек, из которых 5237 детей подлежат обеспечению жилыми помещениями в связи с достижением ими возраста 18 лет, из них 2045 человек – в возрасте от 23 лет и старше [8].</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связи с этим представляется необходимым совершение следующих действий в масштабах регионального уровня: разработка и принятие специального нормативно-правого акта, определяющего механизм обеспечения сохранности жилых помещений, которые находятся в собственности (пользовании) указанного круга лиц; усиление контроля за работой соответствующих органов по обеспечению сохранения закрепленного жилья за детьми-сиротами и детьми, оставшимися без попечения родителей, за проведением капитального ремонта перед вселением, погашению задолженности по оплате коммунальных услуг и др.</w:t>
      </w:r>
    </w:p>
    <w:p w:rsidR="00F8234A" w:rsidRPr="00467B95" w:rsidRDefault="00F8234A" w:rsidP="005A3DF4">
      <w:pPr>
        <w:widowControl w:val="0"/>
        <w:spacing w:after="0" w:line="240" w:lineRule="auto"/>
        <w:ind w:firstLine="709"/>
        <w:jc w:val="both"/>
        <w:rPr>
          <w:rFonts w:ascii="Times New Roman" w:hAnsi="Times New Roman"/>
          <w:color w:val="FF0000"/>
          <w:sz w:val="28"/>
          <w:szCs w:val="28"/>
        </w:rPr>
      </w:pPr>
      <w:r w:rsidRPr="00467B95">
        <w:rPr>
          <w:rFonts w:ascii="Times New Roman" w:hAnsi="Times New Roman"/>
          <w:sz w:val="28"/>
          <w:szCs w:val="28"/>
        </w:rPr>
        <w:t xml:space="preserve">Согласно с  Федеральным законом от 29 февраля 2012 № 15 [9], жилье теперь будет предоставляться на пятилетний срок по безвозмездному договору найма с возможностью его продления в случае обнаружения </w:t>
      </w:r>
      <w:r w:rsidRPr="00467B95">
        <w:rPr>
          <w:rFonts w:ascii="Times New Roman" w:hAnsi="Times New Roman"/>
          <w:sz w:val="28"/>
          <w:szCs w:val="28"/>
        </w:rPr>
        <w:lastRenderedPageBreak/>
        <w:t>обстоятельств, которые свидетельствуют о трудной жизненной ситуации нанимателя; по истечении срока данного договора жилье будет передаваться на условиях социального найма. Данная норма не позволяет продать, обменивать или приватизировать жилье минимум 5 лет, что способствует обеспечению сохранности жилья и нивелировке мошеннических намерений недобропорядочных граждан, которые обманным путем совершили сделки по приватизации и последующему отчуждению жилья [10, с.129].</w:t>
      </w:r>
    </w:p>
    <w:p w:rsidR="00F8234A" w:rsidRPr="00467B95" w:rsidRDefault="00F8234A" w:rsidP="005A3DF4">
      <w:pPr>
        <w:widowControl w:val="0"/>
        <w:spacing w:after="0" w:line="240" w:lineRule="auto"/>
        <w:ind w:firstLine="709"/>
        <w:jc w:val="both"/>
        <w:rPr>
          <w:rFonts w:ascii="Times New Roman" w:hAnsi="Times New Roman"/>
          <w:sz w:val="28"/>
          <w:szCs w:val="28"/>
          <w:highlight w:val="yellow"/>
        </w:rPr>
      </w:pPr>
      <w:r w:rsidRPr="00467B95">
        <w:rPr>
          <w:rFonts w:ascii="Times New Roman" w:hAnsi="Times New Roman"/>
          <w:sz w:val="28"/>
          <w:szCs w:val="28"/>
        </w:rPr>
        <w:t xml:space="preserve">В настоящее время отменен ограничительный возраст получения необходимого жилья. Новый порядок предоставляет сохранение права получения жилого помещения до фактического обеспечения такими помещениями, даже по достижении 23-летнего возраста. Еще одной немаловажной проблемой данной сферы является слабая разъяснительная работа по вопросам, касающихся реализации жилищных прав указанной категории лиц, относящаяся к обязанностям учреждения, где воспитываются дети-сироты и дети, оставшиеся без попечения родителей.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Довольно остро стоит проблема, касающаяся длительного неисполнения, в том числе и по решению суда обязательства по предоставлению объектов недвижимости для проживания детей сирот и оставшихся без попечения родителей. Во много, актуальность данной проблематики связана именно с отсутствием желания у «высших чинов» решать данные жилищные вопросы в силу отсутствия бюджетных средств государственной системы РФ.</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Эффективное решение большинства этих вопросов невозможно без активного участия в их решении органов опеки и попечительства. С 01.09.2015 года вступило в силу постановление Правительства Российской Федерации от 24.05.2014 № 481, которое утверждает Положение о деятельности организаций для детей-сирот и детей, оставшихся без попечения родителей, и об устройстве в них детей, оставшихся без попечения родителей, и изменяет подход к воспитанию детей-сирот в данных организациях [11].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Целью организаций для детей-сирот является обеспечение доступности информации о правах ребенка, об уставе и о правилах внутреннего распорядка принимающих организаций, об органах государственной власти, органах местного самоуправления и их должностных лицах, осуществляющих деятельность по защите прав и законных интересов несовершеннолетних, об органах опеки и попечительства, органах внутренних дел, о прокуратуре, судах, а также информацию о номерах телефонов служб экстренной помощи, включая психологическую, юридическую и др., об адресах указанных органов и организаций, а также возможности беспрепятственного обращения детей в указанные органы и получения ими бесплатной квалифицированной юридической помощи [11].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Федеральному закону от 21.12.1996 года №159 статьи 6 указанные выше категории несовершеннолетних имеют право на обучение на подготовительных отделениях образовательных организаций высшего </w:t>
      </w:r>
      <w:r w:rsidRPr="00467B95">
        <w:rPr>
          <w:rFonts w:ascii="Times New Roman" w:hAnsi="Times New Roman"/>
          <w:sz w:val="28"/>
          <w:szCs w:val="28"/>
        </w:rPr>
        <w:lastRenderedPageBreak/>
        <w:t>образования за счет средств соответствующего бюджета бюджетной системы Российской Федерации [1].</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Дополнительно статья 6 полагает: бесплатную подготовку к поступлению в ВУЗ или колледж, училище; обеспечиваются бесплатным проездом на городском, пригородном транспорте, в сельской местности на внутрирайонном транспорте (кроме такси), сироты-выпускники получают разовое пособие, предметы одежды и нужные предметы для учебы либо денежную компенсацию.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Согласно статье 7 данного закона детям-сиротам и детям, оставшимся без попечения родителей, полагаются льготы по медицинскому обслуживанию: бесплатная медицинская помощь, проведение диспансеризации, оздоровления и осуществляется их направление на лечение за пределы территории Российской Федерации; путевки в организации отдыха детей и их оздоровления [1].</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соответствии со ст. 56 Семейного кодекса РФ от 29.12.1995 № 223-ФЗ, защита прав и интересов детей осуществляется их родителями или законными представителями (опекунами, попечителями и иными лицами, их заменяющими). Так же возможны случаи, когда представляют интересы ребенка органы прокуратуры, опеки и попечительства, суд. В случае, когда ребенок, оставшийся без попечения родителей, находится в воспитательном учреждении, защита его прав и интересов является обязанностью администрации данных учреждений [5].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Органы опеки и попечительства в Российской Федерации являются официальными представителями государства, которые устанавливают порядок усыновления детей-сирот и детей, оставшихся без попечения родителей, также регулируют перевод несовершеннолетних из одного образовательного учреждения РФ в другое либо же на изменение формы обучения до получения ими основного общего образования. Судебные заседания, затрагивающие права и интересы детей, не могут проходить без участия этих органов. Органы опеки и попечительства участвуют в пределах своей компетенции в проведении индивидуальной профилактической работы с несовершеннолетними, если они являются сиротами либо остались без попечения родителей (законных представителей), а также осуществляют меры по защите личных и имущественных прав несовершеннолетних, нуждающихся в помощи государства [12].</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Далее, не маловажным являются специальные учебно-воспитательные учреждения открытого типа, которые осуществляют защиту прав и законных интересов несовершеннолетних указанной категории, получение ими начального общего, основного общего, среднего общего образования, среднего профессионального образования в соответствии с федеральными государственными образовательными стандартами, организуют психологическую, медицинскую, педагогическую реабилитацию несовершеннолетних, а также участвуют в пределах своей компетенции в индивидуальной профилактической работе с ними. </w:t>
      </w:r>
    </w:p>
    <w:p w:rsidR="00F8234A" w:rsidRPr="00467B95" w:rsidRDefault="00F8234A" w:rsidP="005A3DF4">
      <w:pPr>
        <w:widowControl w:val="0"/>
        <w:spacing w:after="0" w:line="240" w:lineRule="auto"/>
        <w:ind w:firstLine="709"/>
        <w:jc w:val="both"/>
        <w:rPr>
          <w:rFonts w:ascii="Times New Roman" w:hAnsi="Times New Roman"/>
          <w:sz w:val="28"/>
          <w:szCs w:val="28"/>
          <w:highlight w:val="yellow"/>
        </w:rPr>
      </w:pPr>
      <w:r w:rsidRPr="00467B95">
        <w:rPr>
          <w:rFonts w:ascii="Times New Roman" w:hAnsi="Times New Roman"/>
          <w:sz w:val="28"/>
          <w:szCs w:val="28"/>
        </w:rPr>
        <w:lastRenderedPageBreak/>
        <w:t>Специализированные учреждения для несовершеннолетних, нуждающихся в социальной реабилитации, в установленном порядке осуществляют полную государственную поддержку несовершеннолетних, осуществляют их социальную реабилитацию, защищают их права и законные интересы, обучают несовершеннолетних по соответствующим образовательным программам, содействуют их профессиональной ориентации и получению ими специальности.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Существуют и организации для детей-сирот и детей, оставшихся без попечения родителей, которые точно также защищают права и законные интересы несовершеннолетних, обучающихся или содержащихся в этих учреждениях, и тоже участвуют в рамках своей компетенции в индивидуальной профилактической работе с ними [1].</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Право ребенка на защиту включает возможность самостоятельного принятия мер в случае, когда его законные права и интересы нарушаются. Это может произойти вследствие ненадлежащего исполнения родителями своих обязанностей по воспитанию и образованию ребенка, а также в случае злоупотребления родительскими правами. В подобных ситуациях, ребенок имеет право обратиться в орган опеки и попечительства, а с достижением 14 лет – в суд. По итогам подобного обращения могут быть осуществлены следующие действия: привлечение родителей к административной, уголовной ответственности, немедленное изъятие ребенка у родителей органом опеки и попечительства в случае прямой угрозы жизни или здоровью ребенка, лишение или ограничение родительских прав в судебном порядке.</w:t>
      </w:r>
    </w:p>
    <w:p w:rsidR="00F8234A" w:rsidRPr="00467B95" w:rsidRDefault="00F8234A" w:rsidP="005A3DF4">
      <w:pPr>
        <w:widowControl w:val="0"/>
        <w:spacing w:after="0" w:line="240" w:lineRule="auto"/>
        <w:ind w:firstLine="709"/>
        <w:jc w:val="both"/>
        <w:rPr>
          <w:rFonts w:ascii="Times New Roman" w:hAnsi="Times New Roman"/>
          <w:sz w:val="28"/>
          <w:szCs w:val="28"/>
          <w:highlight w:val="yellow"/>
        </w:rPr>
      </w:pPr>
      <w:r w:rsidRPr="00467B95">
        <w:rPr>
          <w:rFonts w:ascii="Times New Roman" w:hAnsi="Times New Roman"/>
          <w:sz w:val="28"/>
          <w:szCs w:val="28"/>
        </w:rPr>
        <w:t>На данный момент в Приморском крае насчитывается 34 территориальных отдела опеки и попечительства. Специалисты таких отделов помогают решать необходимые вопросы организации жизни детей-сирот, оказания медицинских или социально-психологических услуг, помогают в решении юридических вопросов, а также социально-экономических проблем.</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Постановление от 24 мая 2014 года №481 [11] позволят повысить эффективность деятельности организаций для детей-сирот по устройству детей на воспитание в семьи, их социальной адаптации и защите прав и интересов, созданию в организациях для детей-сирот независимо от их ведомственной принадлежности условий для воспитания детей, приближённых к семейным.</w:t>
      </w:r>
    </w:p>
    <w:p w:rsidR="00F8234A" w:rsidRPr="00467B95" w:rsidRDefault="00F8234A" w:rsidP="005A3DF4">
      <w:pPr>
        <w:widowControl w:val="0"/>
        <w:spacing w:after="0" w:line="240" w:lineRule="auto"/>
        <w:ind w:firstLine="709"/>
        <w:jc w:val="both"/>
        <w:rPr>
          <w:rFonts w:ascii="Times New Roman" w:hAnsi="Times New Roman"/>
          <w:color w:val="000000" w:themeColor="text1"/>
          <w:sz w:val="28"/>
          <w:szCs w:val="28"/>
        </w:rPr>
      </w:pPr>
      <w:r w:rsidRPr="00467B95">
        <w:rPr>
          <w:rFonts w:ascii="Times New Roman" w:hAnsi="Times New Roman"/>
          <w:color w:val="000000" w:themeColor="text1"/>
          <w:sz w:val="28"/>
          <w:szCs w:val="28"/>
        </w:rPr>
        <w:t xml:space="preserve">Подводя итог вышесказанному можно сделать вывод, что дети-сироты и дети, оставшиеся без попечения родителей – разные юридические дефиниции. Лица данной категории имеют особенности правового статуса, выраженного в обязанности государства обеспечить им законное представительство в лице органов опеки и попечительства, а также организаций для детей-сирот, либо со стороны граждан, в форме опеки (попечительства), усыновления, приемного родителя. Кроме того, дети-сироты и дети, оставшиеся без попечения родителей, наделены правами, которые характерны только для них и не свойственные остальным субъектам права: гарантии в сфере образования, медицинского обслуживания, на </w:t>
      </w:r>
      <w:r w:rsidRPr="00467B95">
        <w:rPr>
          <w:rFonts w:ascii="Times New Roman" w:hAnsi="Times New Roman"/>
          <w:color w:val="000000" w:themeColor="text1"/>
          <w:sz w:val="28"/>
          <w:szCs w:val="28"/>
        </w:rPr>
        <w:lastRenderedPageBreak/>
        <w:t>имущество и жилое помещение, на труд и социальную защиту от безработицы.</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Необходимо отметить, что существует система по защите детей-сирот и детей, оставшихся без попечения родителей, состоящая из государственных и общественных институтов (органы опеки и попечительства, организации для детей-сирот и детей, оставшихся без попечения родителей, учреждения социальной защиты, по реабилитации детей в трудной жизненной ситуации).</w:t>
      </w:r>
    </w:p>
    <w:p w:rsidR="00F8234A" w:rsidRPr="0043319E" w:rsidRDefault="00F8234A" w:rsidP="005A3DF4">
      <w:pPr>
        <w:widowControl w:val="0"/>
        <w:spacing w:after="0" w:line="240" w:lineRule="auto"/>
        <w:ind w:firstLine="709"/>
        <w:jc w:val="center"/>
        <w:rPr>
          <w:rFonts w:ascii="Times New Roman" w:hAnsi="Times New Roman"/>
          <w:sz w:val="28"/>
          <w:szCs w:val="28"/>
        </w:rPr>
      </w:pPr>
      <w:r w:rsidRPr="0043319E">
        <w:rPr>
          <w:rFonts w:ascii="Times New Roman" w:hAnsi="Times New Roman"/>
          <w:sz w:val="28"/>
          <w:szCs w:val="28"/>
        </w:rPr>
        <w:t>Список использованных источников</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О дополнительных гарантиях по социальной поддержке детей-сирот и детей, оставшихся без попечения родителей: федеральный закон от 21.12.1996 № 159-ФЗ (ред. от 25.12.2018) [Электронный ресурс] // СПС «КонсультантПлюс». – Режим доступа: http://www.consultant.ru/document/cons_doc_LAW_12778/.</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Конвенция о правах ребенка: (одобрена Генеральной Ассамблеей ООН 20.11.1989) (вступила в силу для СССР 15.09.1990) [Электронный ресурс] // СПС «КонсультантПлюс». – Режим доступа: http://www.consultant.ru/document/cons_doc_LAW_9959/.</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Гражданский кодекс Российской Федерации: федеральный закон от 30.11.1994 № 51-ФЗ [Электронный ресурс] // СПС «КонсультантПлюс». – Режим доступа: http://www.consultant.ru/document/cons_doc_LAW_5142/.</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Сиятскова К.Н. Правовой статус детей-сирот [Электронный ресурс] / К.Н. Сиятскова // Студенческий форум. – 2017. - №14 (14). – Режим доступа: https://nauchforum.ru/journal/stud/14/25633</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Семейный кодекс Российской Федерации: федеральный закон от 29.12.1995 № 223-ФЗ (ред. от 29.05.2019) [Электронный ресурс] // СПС «КонсультантПлюс». – Режим доступа: http://www.consultant.ru/document/cons_doc_LAW_8982/.</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Доклад о деятельности уполномоченного при Губернаторе Приморского края по правам ребенка и о соблюдении прав и законных интересов детей на территории Приморского края в 2017 г. [Электронный ресурс] // Официальный сайт Администрации Приморского края и органов исполнительной власти Приморского края. – Режим  доступа: https://www.primorsky.ru/authorities/governor-staff/child/ДОКЛАД%202017.pdf.</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Об обеспечении жилыми помещениями детей-сирот, детей, оставшихся без попечения родителей, лиц из числа детей-сирот и детей, оставшихся без попечения родителей, на территории Приморского края: закон Приморского края от 12 февраля 2013 года № 168-КЗ [Электронный ресурс] // СПС «КонсультантПлюс». – Режим доступа: http://www.consultant.ru/regbase/cgi/online.cgi?req=doc&amp;base=RLAW020&amp;n=59143#06540437364925626</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 xml:space="preserve">Об обращении Законодательного Собрания Приморского края к Председателю Правительства Российской Федерации Медведеву Д.А. по вопросу внесения изменений в законодательство, регулирующее порядок обеспечения жилыми помещениями детей-сирот и детей, оставшихся без </w:t>
      </w:r>
      <w:r w:rsidRPr="00467B95">
        <w:rPr>
          <w:rFonts w:ascii="Times New Roman" w:hAnsi="Times New Roman" w:cs="Times New Roman"/>
          <w:color w:val="000000" w:themeColor="text1"/>
          <w:sz w:val="28"/>
          <w:szCs w:val="28"/>
        </w:rPr>
        <w:lastRenderedPageBreak/>
        <w:t xml:space="preserve">попечения родителей: Постановление Законодательного Собрания Приморского края № 980 от 25.07.2018 [Электронный ресурс] – Режим доступа: </w:t>
      </w:r>
      <w:r w:rsidRPr="00467B95">
        <w:rPr>
          <w:rFonts w:ascii="Times New Roman" w:eastAsiaTheme="minorEastAsia" w:hAnsi="Times New Roman" w:cs="Times New Roman"/>
          <w:color w:val="000000" w:themeColor="text1"/>
          <w:sz w:val="28"/>
          <w:szCs w:val="28"/>
          <w:lang w:eastAsia="ru-RU"/>
        </w:rPr>
        <w:t>http://monitoring.zspk.gov.ru/%D1%84%D0%B0%D0%B9%D0%BB/1871905/__980-pdf.</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 федеральный закон от 29.02.2012 № 15-ФЗ [Электронный ресурс] //  СПС «КонсультантПлюс». – Режим доступа: http://www.consultant.ru/document/cons_doc_LAW_126736/.</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Джумагазиева Г.С, Калинина Н.Н. Правовые особенности обеспечения детей-сирот жилыми помещениями [Электронный ресурс] / Г.С. Джумагазиева, Н.Н. Калинина // Гуманитарные исследования. – 2017. - №2 (62). – С. 127-132. – Режим доступа: https://elibrary.ru/item.asp?id=29782921</w:t>
      </w:r>
    </w:p>
    <w:p w:rsidR="00F8234A" w:rsidRPr="00467B95" w:rsidRDefault="00F8234A" w:rsidP="007F4EC1">
      <w:pPr>
        <w:pStyle w:val="a7"/>
        <w:widowControl w:val="0"/>
        <w:numPr>
          <w:ilvl w:val="0"/>
          <w:numId w:val="33"/>
        </w:numPr>
        <w:spacing w:after="0" w:line="240" w:lineRule="auto"/>
        <w:ind w:left="0" w:firstLine="709"/>
        <w:jc w:val="both"/>
        <w:rPr>
          <w:rFonts w:ascii="Times New Roman" w:hAnsi="Times New Roman" w:cs="Times New Roman"/>
          <w:color w:val="000000" w:themeColor="text1"/>
          <w:sz w:val="28"/>
          <w:szCs w:val="28"/>
        </w:rPr>
      </w:pPr>
      <w:r w:rsidRPr="00467B95">
        <w:rPr>
          <w:rFonts w:ascii="Times New Roman" w:hAnsi="Times New Roman" w:cs="Times New Roman"/>
          <w:color w:val="000000" w:themeColor="text1"/>
          <w:sz w:val="28"/>
          <w:szCs w:val="28"/>
        </w:rPr>
        <w:t>О деятельности организаций для детей-сирот и детей, оставшихся без попечения родителей, и об устройстве в них детей, оставшихся без попечения родителей: Постановление Правительства РФ от 24.05.2014 № 481 (ред. от 19.12.2018) [Электронный ресурс] // СПС «КонсультантПлюс». – Режим доступа: http://www.consultant.ru/document/cons_doc_LAW_163487/</w:t>
      </w:r>
    </w:p>
    <w:p w:rsidR="00F8234A" w:rsidRPr="009A1B7E" w:rsidRDefault="00F8234A" w:rsidP="007F4EC1">
      <w:pPr>
        <w:pStyle w:val="a7"/>
        <w:widowControl w:val="0"/>
        <w:numPr>
          <w:ilvl w:val="0"/>
          <w:numId w:val="33"/>
        </w:numPr>
        <w:spacing w:after="0" w:line="240" w:lineRule="auto"/>
        <w:ind w:left="0" w:firstLine="709"/>
        <w:jc w:val="both"/>
        <w:rPr>
          <w:rFonts w:ascii="Times New Roman" w:hAnsi="Times New Roman" w:cs="Times New Roman"/>
          <w:sz w:val="28"/>
          <w:szCs w:val="28"/>
        </w:rPr>
      </w:pPr>
      <w:r w:rsidRPr="009A1B7E">
        <w:rPr>
          <w:rFonts w:ascii="Times New Roman" w:hAnsi="Times New Roman" w:cs="Times New Roman"/>
          <w:sz w:val="28"/>
          <w:szCs w:val="28"/>
        </w:rPr>
        <w:t xml:space="preserve">Об основах системы профилактики безнадзорности и правонарушений несовершеннолетних: федеральный закон от 24.06.1999 № 120-ФЗ [Электронный ресурс] // СПС «КонсультантПлюс». – Режим доступа: </w:t>
      </w:r>
      <w:hyperlink r:id="rId178" w:history="1">
        <w:r w:rsidR="009A1B7E" w:rsidRPr="009A1B7E">
          <w:rPr>
            <w:rStyle w:val="a8"/>
            <w:rFonts w:ascii="Times New Roman" w:hAnsi="Times New Roman" w:cs="Times New Roman"/>
            <w:color w:val="auto"/>
            <w:sz w:val="28"/>
            <w:szCs w:val="28"/>
            <w:u w:val="none"/>
          </w:rPr>
          <w:t>http://www.consultant.ru/document/cons_doc_LAW_23509/</w:t>
        </w:r>
      </w:hyperlink>
    </w:p>
    <w:p w:rsidR="009A1B7E" w:rsidRDefault="009A1B7E" w:rsidP="005A3DF4">
      <w:pPr>
        <w:widowControl w:val="0"/>
        <w:spacing w:after="0" w:line="240" w:lineRule="auto"/>
        <w:jc w:val="both"/>
        <w:rPr>
          <w:rFonts w:ascii="Times New Roman" w:hAnsi="Times New Roman"/>
          <w:color w:val="000000" w:themeColor="text1"/>
          <w:sz w:val="28"/>
          <w:szCs w:val="28"/>
        </w:rPr>
      </w:pPr>
    </w:p>
    <w:p w:rsidR="009A1B7E" w:rsidRPr="00467B95" w:rsidRDefault="009A1B7E"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Валютный контроль за импортными поставками</w:t>
      </w:r>
    </w:p>
    <w:p w:rsidR="009A1B7E" w:rsidRPr="00467B95" w:rsidRDefault="009A1B7E" w:rsidP="005A3DF4">
      <w:pPr>
        <w:widowControl w:val="0"/>
        <w:spacing w:after="0" w:line="240" w:lineRule="auto"/>
        <w:ind w:firstLine="709"/>
        <w:jc w:val="center"/>
        <w:rPr>
          <w:rFonts w:ascii="Times New Roman" w:hAnsi="Times New Roman"/>
          <w:sz w:val="28"/>
          <w:szCs w:val="28"/>
        </w:rPr>
      </w:pPr>
    </w:p>
    <w:p w:rsidR="009A1B7E" w:rsidRPr="00467B95" w:rsidRDefault="009A1B7E"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Толкачева Анастасия Валентиновна</w:t>
      </w:r>
    </w:p>
    <w:p w:rsidR="009A1B7E" w:rsidRPr="00467B95" w:rsidRDefault="009A1B7E"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Студентка Владивостокского государственного университета экономики и сервиса 4 курса гр. БЮП 15-03</w:t>
      </w:r>
    </w:p>
    <w:p w:rsidR="009A1B7E" w:rsidRPr="00467B95" w:rsidRDefault="009A1B7E" w:rsidP="005A3DF4">
      <w:pPr>
        <w:widowControl w:val="0"/>
        <w:spacing w:after="0" w:line="240" w:lineRule="auto"/>
        <w:ind w:firstLine="709"/>
        <w:jc w:val="both"/>
        <w:rPr>
          <w:rFonts w:ascii="Times New Roman" w:hAnsi="Times New Roman"/>
          <w:sz w:val="28"/>
          <w:szCs w:val="28"/>
        </w:rPr>
      </w:pPr>
    </w:p>
    <w:p w:rsidR="009A1B7E" w:rsidRPr="00467B95" w:rsidRDefault="009A1B7E"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В статье раскрывается понятие валютного контроля как самостоятельной отрасли права. Рассматриваются основные проблемы контроля на основе судебной практики. Делается вывод о необходимости изменения механизма валютного контроля на основе реорганизации органов и агентов валютного контроля.</w:t>
      </w:r>
    </w:p>
    <w:p w:rsidR="009A1B7E" w:rsidRPr="00467B95" w:rsidRDefault="009A1B7E" w:rsidP="005A3DF4">
      <w:pPr>
        <w:widowControl w:val="0"/>
        <w:spacing w:after="0" w:line="240" w:lineRule="auto"/>
        <w:ind w:firstLine="709"/>
        <w:jc w:val="both"/>
        <w:rPr>
          <w:rFonts w:ascii="Times New Roman" w:hAnsi="Times New Roman"/>
          <w:b/>
          <w:sz w:val="28"/>
          <w:szCs w:val="28"/>
        </w:rPr>
      </w:pPr>
    </w:p>
    <w:p w:rsidR="009A1B7E" w:rsidRPr="000E6564" w:rsidRDefault="009A1B7E" w:rsidP="005A3DF4">
      <w:pPr>
        <w:widowControl w:val="0"/>
        <w:spacing w:after="0" w:line="240" w:lineRule="auto"/>
        <w:ind w:firstLine="709"/>
        <w:jc w:val="both"/>
        <w:rPr>
          <w:rFonts w:ascii="Times New Roman" w:hAnsi="Times New Roman"/>
          <w:i/>
          <w:sz w:val="28"/>
          <w:szCs w:val="28"/>
        </w:rPr>
      </w:pPr>
      <w:r w:rsidRPr="000E6564">
        <w:rPr>
          <w:rFonts w:ascii="Times New Roman" w:hAnsi="Times New Roman"/>
          <w:i/>
          <w:sz w:val="28"/>
          <w:szCs w:val="28"/>
        </w:rPr>
        <w:t>Ключевые слова и словосочетания: валютный контроль, валютные операции, импортные поставки, легализация отмывания денежных средств, валюта, органы и агенты валютного контроля.</w:t>
      </w:r>
    </w:p>
    <w:p w:rsidR="009A1B7E" w:rsidRPr="00467B95" w:rsidRDefault="009A1B7E" w:rsidP="005A3DF4">
      <w:pPr>
        <w:widowControl w:val="0"/>
        <w:spacing w:after="0" w:line="240" w:lineRule="auto"/>
        <w:ind w:firstLine="709"/>
        <w:jc w:val="both"/>
        <w:rPr>
          <w:rFonts w:ascii="Times New Roman" w:hAnsi="Times New Roman"/>
          <w:sz w:val="28"/>
          <w:szCs w:val="28"/>
        </w:rPr>
      </w:pPr>
    </w:p>
    <w:p w:rsidR="009A1B7E" w:rsidRPr="00467B95" w:rsidRDefault="009A1B7E"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Currency control of import deliveries</w:t>
      </w:r>
    </w:p>
    <w:p w:rsidR="009A1B7E" w:rsidRPr="00467B95" w:rsidRDefault="009A1B7E" w:rsidP="005A3DF4">
      <w:pPr>
        <w:widowControl w:val="0"/>
        <w:spacing w:after="0" w:line="240" w:lineRule="auto"/>
        <w:ind w:firstLine="709"/>
        <w:jc w:val="center"/>
        <w:rPr>
          <w:rFonts w:ascii="Times New Roman" w:hAnsi="Times New Roman"/>
          <w:b/>
          <w:sz w:val="28"/>
          <w:szCs w:val="28"/>
          <w:lang w:val="en-US"/>
        </w:rPr>
      </w:pPr>
    </w:p>
    <w:p w:rsidR="009A1B7E" w:rsidRPr="00467B95" w:rsidRDefault="009A1B7E"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A.V.Tolkacheva</w:t>
      </w:r>
    </w:p>
    <w:p w:rsidR="009A1B7E" w:rsidRPr="00467B95" w:rsidRDefault="009A1B7E"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Student Vladivostok State University of Economics and Service 4 course</w:t>
      </w:r>
    </w:p>
    <w:p w:rsidR="009A1B7E" w:rsidRPr="00467B95" w:rsidRDefault="009A1B7E" w:rsidP="005A3DF4">
      <w:pPr>
        <w:widowControl w:val="0"/>
        <w:spacing w:after="0" w:line="240" w:lineRule="auto"/>
        <w:ind w:firstLine="709"/>
        <w:jc w:val="center"/>
        <w:rPr>
          <w:rFonts w:ascii="Times New Roman" w:hAnsi="Times New Roman"/>
          <w:sz w:val="28"/>
          <w:szCs w:val="28"/>
          <w:lang w:val="en-US"/>
        </w:rPr>
      </w:pPr>
    </w:p>
    <w:p w:rsidR="009A1B7E" w:rsidRPr="00467B95" w:rsidRDefault="009A1B7E"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In article the concept of currency control as independent industry of the right reveals. The main problems of control come to light using judicial practice. A conclusion about need of change of the mechanism of currency control with reorganization of agents of currency control.</w:t>
      </w:r>
    </w:p>
    <w:p w:rsidR="009A1B7E" w:rsidRPr="00467B95" w:rsidRDefault="009A1B7E" w:rsidP="005A3DF4">
      <w:pPr>
        <w:widowControl w:val="0"/>
        <w:spacing w:after="0" w:line="240" w:lineRule="auto"/>
        <w:ind w:firstLine="709"/>
        <w:jc w:val="both"/>
        <w:rPr>
          <w:rFonts w:ascii="Times New Roman" w:hAnsi="Times New Roman"/>
          <w:b/>
          <w:sz w:val="28"/>
          <w:szCs w:val="28"/>
          <w:lang w:val="en-US"/>
        </w:rPr>
      </w:pPr>
    </w:p>
    <w:p w:rsidR="009A1B7E" w:rsidRPr="000E6564" w:rsidRDefault="009A1B7E" w:rsidP="005A3DF4">
      <w:pPr>
        <w:widowControl w:val="0"/>
        <w:spacing w:after="0" w:line="240" w:lineRule="auto"/>
        <w:ind w:firstLine="709"/>
        <w:jc w:val="both"/>
        <w:rPr>
          <w:rFonts w:ascii="Times New Roman" w:hAnsi="Times New Roman"/>
          <w:i/>
          <w:sz w:val="28"/>
          <w:szCs w:val="28"/>
          <w:lang w:val="en-US"/>
        </w:rPr>
      </w:pPr>
      <w:r w:rsidRPr="000E6564">
        <w:rPr>
          <w:rFonts w:ascii="Times New Roman" w:hAnsi="Times New Roman"/>
          <w:i/>
          <w:sz w:val="28"/>
          <w:szCs w:val="28"/>
          <w:lang w:val="en-US"/>
        </w:rPr>
        <w:t>Key words and phrases: currency control, currency transactions, import deliveries, legalization of money laundering, currency, agents of currency control.</w:t>
      </w:r>
    </w:p>
    <w:p w:rsidR="009A1B7E" w:rsidRPr="00467B95" w:rsidRDefault="009A1B7E" w:rsidP="005A3DF4">
      <w:pPr>
        <w:widowControl w:val="0"/>
        <w:spacing w:after="0" w:line="240" w:lineRule="auto"/>
        <w:ind w:firstLine="709"/>
        <w:jc w:val="both"/>
        <w:rPr>
          <w:rFonts w:ascii="Times New Roman" w:hAnsi="Times New Roman"/>
          <w:sz w:val="28"/>
          <w:szCs w:val="28"/>
          <w:lang w:val="en-US"/>
        </w:rPr>
      </w:pP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Актуальность темы обусловлена экономическими, юридическими и социальными причинами. Неоднозначность толкования законодательства в сфере валютного контроля, приводит к серьезным финансовым ущербам, затрагивающим бюджет Российской Федерации. Возникают ситуации, когда часть импортной продукции не поступает на территорию государства, что приводит к ослаблению сектора рыночной экономики страны и нарушению обеспечения товарообмена между странами.</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Цель исследования – анализ законодательства в сфере валютного контроля за импортными поставками и выявления существующих проблем.</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Для достижения поставленной цели определены следующие задачи: </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изучить деятельность государственных органов по осуществлению валютного контроля;</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провести анализ судебной практики по основным нарушениям в области валютного законодательства;</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выявить проблемы и определить пути их решения в сфере валютного контроля за импортными поставками.</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Предметом исследования является отношения в сфере валютного контроля за импортными поставками.</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Методами  исследования,  используемыми  в  работе,  являются  методы синтеза и  анализа,  формально-юридический и системный метод.</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Теоретическую основу исследования составляют труды таких известных ученых, как В.М. Крашенинников [1], Ю. А. Крохина [2], И.В. Хаменушко [3] и другие.</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Нормативную основу исследования составляют Конституция РФ, федеральные законы, подзаконные акты.</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Практическая значимость исследования обусловлена тем, что сформулированные теоретические положения и рекомендации могут использоваться в целях совершенствования законодателем существующих (с одновременной возможностью разработки новых) нормативно-правовых актов, регулирующих отношения между субъектами, заключающими контракты на импорт товара и государственными органами, контролирующими факт заключения данной сделки.</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Понятие валютного контроля рассматривается в различных аспектах и анализируется разными авторами по-своему. С одной стороны, «как административная мера, предпринимаемая государством для защиты </w:t>
      </w:r>
      <w:r w:rsidRPr="00467B95">
        <w:rPr>
          <w:rFonts w:ascii="Times New Roman" w:hAnsi="Times New Roman"/>
          <w:sz w:val="28"/>
          <w:szCs w:val="28"/>
        </w:rPr>
        <w:lastRenderedPageBreak/>
        <w:t>финансовой самостоятельности, обеспечения стабильности денежной системы, укрепления курса национальной валюты и мобилизации валютных ресурсов. С другой, как форма нетарифного регулирования внешней торговли, аналогом которой может служить квотирование экспорта» [1, с.62]. Существует позиция, что валютный контроль это воля государства за соблюдением валютного законодательства [2, с.199]. Авторы рассматривают контроль как вид государственного финансового контроля. Так, «валютный контроль, как и финансовый контроль в целом, осуществляется в целях реализации государственной валютной политики, представляя собой особый вид государственного контроля» [2, с.200].  В свою очередь, с помощью государственного финансового контроля реализуется надзор за полнотой выполнения обязательств физических и юридических лиц перед страной; осуществляется проверка соблюдения положений финансового законодательства; проводится контроль за целевым и рациональным использованием государственных средств и другое [4, с.41]. В данном случае, позиции неоднозначны, но при анализе понятий, можно прийти к единому мнению, что любое определение валютного контроля указывает на непосредственную деятельность государства и государственных органов в данной сфере. Практически, деятельность органов валютного контроля сводится к соблюдению валютного законодательства и выявлению валютных правонарушений.</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Считаем, что нельзя согласиться с позицией тех авторов, которые сопоставляют валютный и финансовый контроль, так как валютный контроль обладает собственным предметом, методом, специальными задачами и целями, особым кругом субъектов и объектов, что позволяет рассматривать его как самостоятельную отрасль права. Рассмотрим каждый из названных элементов подробнее.</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«Предмет валютного контроля – валютные операции [3, с.26].</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Субъекты валютного контроля делятся на две группы – это государственные органы (органы валютного контроля) и агенты валютного контроля.</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Под объектами валютного контроля понимаются «те юридические и физические лица, действия которых в валютной сфере (валютные операции) являются предметом валютного контроля» [3, с.36].</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Цель валютного контроля – «обеспечение режима законности в сфере валютных отношений» [3,с.39]. </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Что касается задач валютного контроля, то можно выделить четыре основных направления: «1 определение соответствия валютных операций законодательству и наличия лицензий и разрешений, 2 проверка выполнения резидентами обязательств в иностранной валюте перед государством, а также обязательств по продаже иностранной валюты на внутреннем рынке, 3 проверка обоснованности валютных платежей, 4 проверка полноты и объективности учета и отчетности по валютным операциям» [3, с.40-41].</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При анализе статьи 23 федерального закона о валютном регулировании </w:t>
      </w:r>
      <w:r w:rsidRPr="00467B95">
        <w:rPr>
          <w:rFonts w:ascii="Times New Roman" w:hAnsi="Times New Roman"/>
          <w:sz w:val="28"/>
          <w:szCs w:val="28"/>
        </w:rPr>
        <w:lastRenderedPageBreak/>
        <w:t>и валютном контроле [5], можно сделать вывод об использовании органами и агентами валютного контроля таких методов, как проверка и запрос. Проверка направлена на установление соблюдения «резидентами и нерезидентами» валютного законодательства Российской Федерации и отчетности, представляемой «резидентами и нерезидентами» по совершенным сделкам. В свою очередь запрос представляет собой истребование документов и информации органами и агентами валютного контроля для выявления нарушений в сфере валютного законодательства и их устранения.</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основе анализа судебной практики применения валютного законодательства при осуществлении валютного контроля за импортными поставками можно выделить следующие проблемы:</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Во-первых, следует обратить внимание на одно из самых распространенных оснований для привлечения к административной ответственности – не соблюдение резидентами сроков, предусмотренных ч.5 ст.15.25 КоАП, для возврата в Российскую Федерацию денежных средств за не ввезенный товар [6]. Согласно ч.1 ст.19 закона о валютном регулировании [5], норма, предусматривающая репатриацию валютной выручки, носит императивный характер, что осложняет взаимоотношения между участниками внешнеторгового контракта и зачастую приводит к пробелам в регулировании государственными органами (в частности таможенными органами) исполнения контракта сторонами. На практике, стороны, устанавливая сжатые сроки исполнения обязательств по контракту, в дальнейшем заключают дополнительные соглашения с измененными сроками, при этом во всех случаях покупатель выплачивал 100 % предоплату товара [7], [8], [9], при этом оплата партии товара осуществлялась, а ввоз товара, в том объеме, который установлен паспортом сделки и контрактом нет. Общество (покупатель) не обеспечивало возврат денежных средств. </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Можно сделать вывод, что стороны контракта в своих интересах, при наступлении сроков, предусмотренных контрактом, заключая дополнительные соглашения на продление сроков, вступают в противоречие со статьей 19 закона о валютном регулировании [5]. При этом, во всех рассмотренных делах [7], [8], [9] таможенные органы выносили постановление по делу об административном правонарушении, суд признавал действия таможни правомерными и назначал  наказание в виде административного штрафа в размере трех четвёртых суммы денежных средств по ч.5 ст.15.25 КоАП [6]. Как правило, юридическое лицо не подтверждало факта отсутствия вины, при этом, сроки, указанные сторонами в контракте носят абстрактный характер [10]. Зачастую, указывается месяц, без конкретной даты или оплаты товара и срока действия контракта, без отдельных операций по импорту товара, что приводит к выводу об отсутствии возможности для осуществления контроля со стороны органов валютного контроля за совершением отдельных операций и расчетов по контракту.   </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Во-вторых, практика основывается на нарушениях пункта 3.8 Инструкции № 138-И [11], Инструкции Банка России от 16.08.2017 № 181-И [12] при заключении контракта на поставку товара и дополнительных соглашений, юридическое лицо – резидент открывает в уполномоченном банке паспорт сделки, но справку о валютных операциях и документы о поступлении и списании с расчетного счета валюты по контракту [13], [14], [15] предоставляет за часть поставки или полную поставку в сроках превышающих 15 рабочих дней с даты зачисления валюты [11]. </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возникает проблема, связанная с деятельностью органов валютного контроля, описанная выше, когда стороны контракта сознательно продлевают срок, при этом предусматривая 100 % оплаты поставки товара, в том случае, если оплачен товар, но ввоз осуществлен только части партии, возникает вопрос, следует ли предоставлять справку о валютных операциях, если списанная с расчетного счета сумма за недопоставленный товар должна быть возвращена резиденту. Необходимо так же отметить, что сложность процедуры предоставления справок, порождает факт задержки в выполнении резидентами своих обязательств.</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Дополнительную проблему создает деление органов на органы и агентов валютного контроля. В связи с тем, что таможенные органы как агенты валютного контроля не связаны с деятельностью уполномоченных банков, а уполномоченные банки напрямую взаимосвязаны с органом валютного контроля Центральным банком, возникают сложности в контроле за информацией, которую предоставляют резиденты в уполномоченные банки. Общество (резидент) регистрирует паспорт сделки в уполномоченном банке и предоставляет соответствующие документы и выписки с информацией об оплате товара, движению валютной выручки. Сущность банковского контроля составляет обнаружение ошибок при перечислении денежных средств на валютный счет общества (заявителя) в уполномоченном банке. Таможенные органы, не взаимодействуя с уполномоченными банками, совершают ошибки при вынесение постановления о привлечение к административной ответственности в тех случаях, когда общество (резидент), выступая в роли покупателя, осуществляя множество операций по валютному счету с получением и возвращением валютных средств закрывает паспорт сделки, при этом таможенные органы, не отслеживая конечную операцию общества, ошибочно учитывают платежи в адрес покупателя товара и приравнивают их к суммам, которые  были возвращены на счет заявителя – продавца [15]. Дополнительно, трудность создают ситуации, когда общество, воспользовавшись своим правом [16] делегирует полномочия по оформлению справок, документов по валютному счету уполномоченному банку, таким образом, если сторонами контракта подписывались дополнительные соглашения, банк должен внести изменения в справку и паспорт сделки. При этом, ответственность за  нарушение сроков предоставления информации о сделке общество в данном случае не несет, таможенные органы ошибочно выносят постановление о привлечении к административной ответственности </w:t>
      </w:r>
      <w:r w:rsidRPr="00467B95">
        <w:rPr>
          <w:rFonts w:ascii="Times New Roman" w:hAnsi="Times New Roman"/>
          <w:sz w:val="28"/>
          <w:szCs w:val="28"/>
        </w:rPr>
        <w:lastRenderedPageBreak/>
        <w:t xml:space="preserve">без должного взаимодействия с уполномоченными банками.    </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Можно сделать вывод о том, что система работы органов и агентов валютного контроля несовершенна, как и механизм валютного контроля за импортными поставками в целом. Требуется системный подход к структурированию не только организации работы государственных органов по осуществлению валютного контроля, но и внесение изменений в нормативно – правовые акты, с целью упорядочивания работы по борьбе с легализацией отмывания денежных средств и предотвращением увеличения количества заключения фиктивных сделок между субъектами валютного законодательства.</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Сложность в реализации законодательных норм видится в неэффективной работе органов и механизма валютного контроля. Валютное законодательство строго регламентирует меры ответственности за совершение валютных правонарушений, но при анализе судебной практике выявляются проблемы контроля за исполнением совершения сделок резидентами и нерезидентами. Таким образом, важная функция агентов валютного контроля по обеспечению предотвращения совершения валютных правонарушений не достигается и в отдельной части, нормы законодательства по предотвращению правонарушений в области валютного законодательства и само применение мер ответственности за совершение правонарушений противоречат друг другу. Фактически, законодатель не искореняет проблему заключения фиктивных импортных сделок, а предусматривает меры по восполнению понесенного ущерба.</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процессе изучения деятельности государственных органов по осуществлению валютного контроля и их взаимодействия с субъектами, осуществляющими сделки с валютными операциями, на примере анализа судебной практики, были обнаружены проблемы, связанные с нарушением обязательств по репатриации резидентами валюты в установленные законодательством сроки, за счет продления конечных сроков завершения расчетов. Выявлены проблемы, связанные с оформлением и предоставлением резидентами документации уполномоченным банкам по совершенным валютным операциям, в частности, если в контракт неоднократно вносились изменения, то данный факт может явиться одной из причин возникновения дополнительной проблемы – созданию определенной сложности в ходе сотрудничества между таможенными органами и уполномоченными банками. Данная проблема является ключевой в вопросе осуществления валютного контроля, так как согласно федеральному закону о валютном регулировании и валютном контроле [5] деятельность агентов и органов валютного контроля взаимосвязана, лишь при сотрудничестве данных структур возможно выявление и устранение нарушений законодательства на начальных этапах совершения правонарушения и, соответственно, становления эффективного механизма валютного контроля. </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Дополнительно, можно прийти к выводу о не автоматизированном подходе к переходу органами и агентами валютного контроля к единой </w:t>
      </w:r>
      <w:r w:rsidRPr="00467B95">
        <w:rPr>
          <w:rFonts w:ascii="Times New Roman" w:hAnsi="Times New Roman"/>
          <w:sz w:val="28"/>
          <w:szCs w:val="28"/>
        </w:rPr>
        <w:lastRenderedPageBreak/>
        <w:t>электронной системе регистрации и отслеживания совершения всех валютных операций, и заключению импортных сделок резидентами и нерезидентами, что в значительной степени затрудняет работу таможенных органов, в частности, нагружает дополнительными операциями по обращению в уполномоченные банки за получением информации по совершению импортных сделок резидентами и нерезидентами. В данном случае,  устранение лишних действий таможенных органов и возможность резидентов и нерезидентов взаимодействовать с органами и агентами валютного контроля, избегая большего количества письменных документов, позволило бы упростить контроль за импортными поставками и повысить эффективность валютного контроля.</w:t>
      </w:r>
    </w:p>
    <w:p w:rsidR="009A1B7E" w:rsidRPr="00467B95" w:rsidRDefault="009A1B7E"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Таким образом, решение данных проблем видится в совершенствовании нормативной базы в части создания единого органа валютного контроля и наделения таможенных органов статусом органов валютного контроля, для расширения полномочий данной структуры по устранению и выявлению валютных правонарушений; создание комплексной системы государственного валютного контроля за импортными поставками, с помощью введения современных информационных технологий и ужесточения мер ответственности за нарушение валютного законодательства; устранение противоречий между фактическим исполнением обязанностей резидентами и нерезидентами, предусмотренных законодательством и предписанным поведением.</w:t>
      </w:r>
    </w:p>
    <w:p w:rsidR="009A1B7E" w:rsidRPr="00467B95" w:rsidRDefault="009A1B7E"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Крашенинникова В. М. Валютное регулирование и валютный контроль: учеб. Пособие / В. М. Крашенинникова. – М.: Экон. 2005. – 400 с.</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Валютное право: учебник для академического бакалавриата / Ю. А. Крохина [и др.]; под ред. Ю. А. Крохиной. — 6-е изд., пер. и доп. — М.: Издательство Юрайт, 2018. — 399 с. </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Хаменушко И. В. Валютный контроль в Российской Федерации: учеб.- практ. Пособие / И. В. Хаменушко. – М.: ИД ФБК – ПРЕСС, 2001.- 480 с.</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Пирогова А. В. Роль валютного контроля в системе государственного финансового контроля и оценка его результативности в Российской Федерации / А. В. Пирогова // Известия Байкальского государственного университета. − 2014. − № 4 (96). С. 40-50.</w:t>
      </w:r>
    </w:p>
    <w:p w:rsidR="009A1B7E" w:rsidRPr="000E6564"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 валютном регулировании и валютном контроле: федеральный закон от 10.12.2003 № 173-ФЗ (ред. от 3 </w:t>
      </w:r>
      <w:r w:rsidRPr="000E6564">
        <w:rPr>
          <w:rFonts w:ascii="Times New Roman" w:hAnsi="Times New Roman" w:cs="Times New Roman"/>
          <w:sz w:val="28"/>
          <w:szCs w:val="28"/>
        </w:rPr>
        <w:t xml:space="preserve">августа 2018 г.) [Электронный ресурс] // СПС «Гарант». – Режим доступа: </w:t>
      </w:r>
      <w:hyperlink r:id="rId179" w:history="1">
        <w:r w:rsidRPr="000E6564">
          <w:rPr>
            <w:rStyle w:val="a8"/>
            <w:rFonts w:ascii="Times New Roman" w:hAnsi="Times New Roman" w:cs="Times New Roman"/>
            <w:color w:val="auto"/>
            <w:sz w:val="28"/>
            <w:szCs w:val="28"/>
            <w:u w:val="none"/>
          </w:rPr>
          <w:t>http://base.garant.ru/12133556/</w:t>
        </w:r>
      </w:hyperlink>
    </w:p>
    <w:p w:rsidR="009A1B7E" w:rsidRPr="000E6564"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0E6564">
        <w:rPr>
          <w:rFonts w:ascii="Times New Roman" w:hAnsi="Times New Roman" w:cs="Times New Roman"/>
          <w:sz w:val="28"/>
          <w:szCs w:val="28"/>
        </w:rPr>
        <w:t xml:space="preserve">Кодекс Российской Федерации об административных правонарушениях: федеральный закон от 30.12.2001 N 195-ФЗ (ред. от 11.10.2018) (с изм. и доп., вступ. в силу с 29.10.2018) [Электронный ресурс] // СПС «КонсультантПлюс». – Режим доступа: </w:t>
      </w:r>
    </w:p>
    <w:p w:rsidR="009A1B7E" w:rsidRPr="00467B95" w:rsidRDefault="009A1B7E"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http://www.consultant.ru/document/cons_doc_LAW_34661/</w:t>
      </w:r>
    </w:p>
    <w:p w:rsidR="009A1B7E" w:rsidRPr="00467B95" w:rsidRDefault="009A1B7E" w:rsidP="007F4EC1">
      <w:pPr>
        <w:pStyle w:val="a7"/>
        <w:widowControl w:val="0"/>
        <w:numPr>
          <w:ilvl w:val="0"/>
          <w:numId w:val="44"/>
        </w:numPr>
        <w:spacing w:after="0" w:line="240" w:lineRule="auto"/>
        <w:ind w:left="0" w:firstLine="709"/>
        <w:rPr>
          <w:rFonts w:ascii="Times New Roman" w:hAnsi="Times New Roman" w:cs="Times New Roman"/>
          <w:sz w:val="28"/>
          <w:szCs w:val="28"/>
        </w:rPr>
      </w:pPr>
      <w:r w:rsidRPr="00467B95">
        <w:rPr>
          <w:rFonts w:ascii="Times New Roman" w:hAnsi="Times New Roman" w:cs="Times New Roman"/>
          <w:sz w:val="28"/>
          <w:szCs w:val="28"/>
        </w:rPr>
        <w:t xml:space="preserve">О нарушение валютного законодательства Российской Федерации </w:t>
      </w:r>
      <w:r w:rsidRPr="00467B95">
        <w:rPr>
          <w:rFonts w:ascii="Times New Roman" w:hAnsi="Times New Roman" w:cs="Times New Roman"/>
          <w:sz w:val="28"/>
          <w:szCs w:val="28"/>
        </w:rPr>
        <w:lastRenderedPageBreak/>
        <w:t>и актов органов валютного регулирования. Решение Арбитражного суда Республики Хакасия от 17 мая 2018 г. по делу № А74-2434/2018 [Электронный ресурс] // Судебные и нормативные акты РФ – Режим доступа: http://sudact.ru/arbitral/doc/6SfmuPzdtuK/</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нарушение валютного законодательства Российской Федерации и актов органов валютного регулирования. Определение Верховного Суда Российской Федерации от 9 ноября 2018 г. по делу № А32-31807/2017 [Электронный ресурс] // Судебные и нормативные акты РФ – Режим доступа: http://sudact.ru/vsrf/doc/daCVqDDERcl8/</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нарушение валютного законодательства Российской Федерации и актов органов валютного регулирования. Решение Арбитражного суда Курской области от 23 мая 2018 г. по делу № А35-1503/2018 [Электронный ресурс] // Судебные и нормативные акты РФ – Режим доступа: http://sudact.ru/arbitral/doc/aRODT3q92HUP/</w:t>
      </w:r>
    </w:p>
    <w:p w:rsidR="009A1B7E" w:rsidRPr="00467B95" w:rsidRDefault="009A1B7E" w:rsidP="007F4EC1">
      <w:pPr>
        <w:pStyle w:val="a7"/>
        <w:widowControl w:val="0"/>
        <w:numPr>
          <w:ilvl w:val="0"/>
          <w:numId w:val="44"/>
        </w:numPr>
        <w:spacing w:after="0" w:line="240" w:lineRule="auto"/>
        <w:ind w:left="0" w:firstLine="709"/>
        <w:rPr>
          <w:rFonts w:ascii="Times New Roman" w:hAnsi="Times New Roman" w:cs="Times New Roman"/>
          <w:sz w:val="28"/>
          <w:szCs w:val="28"/>
        </w:rPr>
      </w:pPr>
      <w:r w:rsidRPr="00467B95">
        <w:rPr>
          <w:rFonts w:ascii="Times New Roman" w:hAnsi="Times New Roman" w:cs="Times New Roman"/>
          <w:sz w:val="28"/>
          <w:szCs w:val="28"/>
        </w:rPr>
        <w:t xml:space="preserve">О нарушение валютного законодательства Российской Федерации и актов органов валютного регулирования. Решение Арбитражного суда Кемеровской области от 7 мая 2018 г. по делу № А27-4749/2018 [Электронный ресурс] // Судебные и нормативные акты РФ – Режим доступа: http://sudact.ru/arbitral/doc/tgvL7ITjFfoT/ </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порядке представления резидентами и нерезидентами уполномоченным банкам документов и информации, связанных с проведением валютных операций, порядке оформления паспортов сделок, а также порядке учета уполномоченными банками валютных операций и контроля за их проведением: Инструкции Банка России от 04.06.2012 № 138-И (ред. от 25.04.2017) (Зарегистрировано в Минюсте России 03.08.2012 № 25103) [Электронный ресурс] // СПС «Гарант». – Режим доступа: http://base.garant.ru/70212146/#friends</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 порядке представления резидентами и нерезидентами уполномоченным банкам подтверждающих документов и информации при осуществлении валютных операций, о единых формах учета и отчетности по валютным операциям, порядке и сроках их представления: Инструкции Банка России от 16.08.2017 № 181-И (ред. от 29.11.2017) (Зарегистрировано в Минюсте России 31.10.2017 № 48749) [Электронный ресурс] // СПС «КонсультантПлюс». – Режим доступа: </w:t>
      </w:r>
    </w:p>
    <w:p w:rsidR="009A1B7E" w:rsidRPr="00467B95" w:rsidRDefault="009A1B7E" w:rsidP="005A3DF4">
      <w:pPr>
        <w:pStyle w:val="a7"/>
        <w:widowControl w:val="0"/>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http://www.consultant.ru/document/cons_doc_LAW_282089/</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нарушение валютного законодательства Российской Федерации и актов органов валютного регулирования. Решение Арбитражного суда Кировской области от 12 апреля 2018 г. по делу № А28-1843/2018 [Электронный ресурс] // Судебные и нормативные акты РФ – Режим доступа: http://sudact.ru/arbitral/doc/2K1HrFR8TXgT/</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 нарушение валютного законодательства Российской Федерации и актов органов валютного регулирования. Решение Арбитражного суда Калининградской области от 24 мая 2018 г. по делу № А21-3355/2017 [Электронный ресурс] // Судебные и нормативные акты РФ – Режим доступа: </w:t>
      </w:r>
      <w:r w:rsidRPr="00467B95">
        <w:rPr>
          <w:rFonts w:ascii="Times New Roman" w:hAnsi="Times New Roman" w:cs="Times New Roman"/>
          <w:sz w:val="28"/>
          <w:szCs w:val="28"/>
        </w:rPr>
        <w:lastRenderedPageBreak/>
        <w:t>http://sudact.ru/arbitral/doc/WatDw6Sr8pdT/</w:t>
      </w:r>
    </w:p>
    <w:p w:rsidR="009A1B7E" w:rsidRPr="00467B95" w:rsidRDefault="009A1B7E" w:rsidP="007F4EC1">
      <w:pPr>
        <w:pStyle w:val="a7"/>
        <w:widowControl w:val="0"/>
        <w:numPr>
          <w:ilvl w:val="0"/>
          <w:numId w:val="44"/>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нарушение валютного законодательства Российской Федерации и актов органов валютного регулирования. Решение Арбитражного суда Забайкальского края от 28 мая 2018 г. по делу № А78-16956/2017 [Электронный ресурс] // Судебные и нормативные акты РФ – Режим доступа: http://sudact.ru/arbitral/doc/OnQHaPLooZma/</w:t>
      </w:r>
    </w:p>
    <w:p w:rsidR="009A1B7E" w:rsidRPr="000E6564" w:rsidRDefault="009A1B7E" w:rsidP="007F4EC1">
      <w:pPr>
        <w:pStyle w:val="a7"/>
        <w:widowControl w:val="0"/>
        <w:numPr>
          <w:ilvl w:val="0"/>
          <w:numId w:val="44"/>
        </w:numPr>
        <w:spacing w:after="0" w:line="240" w:lineRule="auto"/>
        <w:ind w:left="0" w:firstLine="709"/>
        <w:rPr>
          <w:rFonts w:ascii="Times New Roman" w:hAnsi="Times New Roman" w:cs="Times New Roman"/>
          <w:sz w:val="28"/>
          <w:szCs w:val="28"/>
        </w:rPr>
      </w:pPr>
      <w:r w:rsidRPr="00467B95">
        <w:rPr>
          <w:rFonts w:ascii="Times New Roman" w:hAnsi="Times New Roman" w:cs="Times New Roman"/>
          <w:sz w:val="28"/>
          <w:szCs w:val="28"/>
        </w:rPr>
        <w:t xml:space="preserve">О нарушение валютного законодательства Российской Федерации и актов органов валютного регулирования. Решение Арбитражного суда города Санкт-Петербурга и Ленинградской области от 21 мая 2018 г. по делу № А56-25799/2018 [Электронный ресурс] // Судебные и нормативные акты РФ – Режим доступа: http://sudact.ru/arbitral/doc/3VcqZUHveXWu/ </w:t>
      </w:r>
    </w:p>
    <w:p w:rsidR="009A1B7E" w:rsidRDefault="009A1B7E" w:rsidP="005A3DF4">
      <w:pPr>
        <w:widowControl w:val="0"/>
        <w:spacing w:after="0" w:line="240" w:lineRule="auto"/>
        <w:jc w:val="both"/>
        <w:rPr>
          <w:rFonts w:ascii="Times New Roman" w:hAnsi="Times New Roman"/>
          <w:color w:val="000000" w:themeColor="text1"/>
          <w:sz w:val="28"/>
          <w:szCs w:val="28"/>
        </w:rPr>
      </w:pP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Понятие и виды антикоррупционной экспертизы нормативных правовых актов и их проектов</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Фукс Елена Владимировна</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БЮП-15-01</w:t>
      </w:r>
      <w:r w:rsidRPr="00467B95">
        <w:rPr>
          <w:rFonts w:ascii="Times New Roman" w:eastAsia="Times New Roman" w:hAnsi="Times New Roman"/>
          <w:kern w:val="36"/>
          <w:sz w:val="28"/>
          <w:szCs w:val="28"/>
          <w:u w:val="single"/>
          <w:lang w:eastAsia="ru-RU"/>
        </w:rPr>
        <w:t xml:space="preserve"> </w:t>
      </w:r>
      <w:r w:rsidRPr="00467B95">
        <w:rPr>
          <w:rFonts w:ascii="Times New Roman" w:eastAsia="Times New Roman" w:hAnsi="Times New Roman"/>
          <w:kern w:val="36"/>
          <w:sz w:val="28"/>
          <w:szCs w:val="28"/>
          <w:lang w:eastAsia="ru-RU"/>
        </w:rPr>
        <w:t>группы, 4 курса Институт права</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387BFD">
        <w:rPr>
          <w:rFonts w:ascii="Times New Roman" w:eastAsia="Times New Roman" w:hAnsi="Times New Roman"/>
          <w:i/>
          <w:kern w:val="36"/>
          <w:sz w:val="28"/>
          <w:szCs w:val="28"/>
          <w:lang w:eastAsia="ru-RU"/>
        </w:rPr>
        <w:t xml:space="preserve">Аннотация: </w:t>
      </w:r>
      <w:r w:rsidRPr="00467B95">
        <w:rPr>
          <w:rFonts w:ascii="Times New Roman" w:eastAsia="Times New Roman" w:hAnsi="Times New Roman"/>
          <w:i/>
          <w:kern w:val="36"/>
          <w:sz w:val="28"/>
          <w:szCs w:val="28"/>
          <w:lang w:eastAsia="ru-RU"/>
        </w:rPr>
        <w:t>Статья посвящена анализу понятия и отдельных видов антикоррупционной экспертизы нормативных правовых актов и их проектов: формулируется собственное авторское определение рассматриваемой дефиниции, выявляются особенности отдельных видов антикоррупционной экспертизы.</w:t>
      </w:r>
    </w:p>
    <w:p w:rsidR="00881865" w:rsidRPr="004B584B" w:rsidRDefault="00881865"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eastAsia="ru-RU"/>
        </w:rPr>
      </w:pP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387BFD">
        <w:rPr>
          <w:rFonts w:ascii="Times New Roman" w:eastAsia="Times New Roman" w:hAnsi="Times New Roman"/>
          <w:i/>
          <w:kern w:val="36"/>
          <w:sz w:val="28"/>
          <w:szCs w:val="28"/>
          <w:lang w:eastAsia="ru-RU"/>
        </w:rPr>
        <w:t>Ключевые слова и словосочетания:</w:t>
      </w:r>
      <w:r w:rsidRPr="00467B95">
        <w:rPr>
          <w:rFonts w:ascii="Times New Roman" w:eastAsia="Times New Roman" w:hAnsi="Times New Roman"/>
          <w:i/>
          <w:kern w:val="36"/>
          <w:sz w:val="28"/>
          <w:szCs w:val="28"/>
          <w:lang w:eastAsia="ru-RU"/>
        </w:rPr>
        <w:t xml:space="preserve"> понятие, виды, антикоррупционная экспертиза, нормативный правовой акт, проект.</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Fonts w:ascii="Times New Roman" w:eastAsia="Times New Roman" w:hAnsi="Times New Roman"/>
          <w:b/>
          <w:kern w:val="36"/>
          <w:sz w:val="28"/>
          <w:szCs w:val="28"/>
          <w:lang w:val="en-US" w:eastAsia="ru-RU"/>
        </w:rPr>
        <w:t>The concept and types of anti-corruption expertise of normative legal acts and their projects</w:t>
      </w:r>
    </w:p>
    <w:p w:rsidR="00881865" w:rsidRPr="00467B95" w:rsidRDefault="00881865" w:rsidP="005A3DF4">
      <w:pPr>
        <w:widowControl w:val="0"/>
        <w:shd w:val="clear" w:color="auto" w:fill="FFFFFF"/>
        <w:spacing w:after="0" w:line="240" w:lineRule="auto"/>
        <w:ind w:firstLine="709"/>
        <w:contextualSpacing/>
        <w:rPr>
          <w:rFonts w:ascii="Times New Roman" w:eastAsia="Times New Roman" w:hAnsi="Times New Roman"/>
          <w:b/>
          <w:kern w:val="36"/>
          <w:sz w:val="28"/>
          <w:szCs w:val="28"/>
          <w:lang w:val="en-US" w:eastAsia="ru-RU"/>
        </w:rPr>
      </w:pP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Fuks Elena Vladimirovna</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Byup-15-01 group, 4 course, Institute of law</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State University of Economics and Service</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881865" w:rsidRPr="00467B95" w:rsidRDefault="00881865"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881865" w:rsidRPr="00467B95" w:rsidRDefault="00881865" w:rsidP="005A3DF4">
      <w:pPr>
        <w:widowControl w:val="0"/>
        <w:shd w:val="clear" w:color="auto" w:fill="FFFFFF"/>
        <w:spacing w:after="0" w:line="240" w:lineRule="auto"/>
        <w:ind w:firstLine="709"/>
        <w:contextualSpacing/>
        <w:jc w:val="both"/>
        <w:rPr>
          <w:rFonts w:ascii="Times New Roman" w:hAnsi="Times New Roman"/>
          <w:i/>
          <w:iCs/>
          <w:kern w:val="36"/>
          <w:sz w:val="28"/>
          <w:szCs w:val="28"/>
          <w:lang w:val="en-US" w:eastAsia="ru-RU"/>
        </w:rPr>
      </w:pPr>
      <w:r w:rsidRPr="00387BFD">
        <w:rPr>
          <w:rFonts w:ascii="Times New Roman" w:hAnsi="Times New Roman"/>
          <w:i/>
          <w:iCs/>
          <w:kern w:val="36"/>
          <w:sz w:val="28"/>
          <w:szCs w:val="28"/>
          <w:lang w:val="en-US" w:eastAsia="ru-RU"/>
        </w:rPr>
        <w:t>Annotation: The</w:t>
      </w:r>
      <w:r w:rsidRPr="00467B95">
        <w:rPr>
          <w:rFonts w:ascii="Times New Roman" w:hAnsi="Times New Roman"/>
          <w:i/>
          <w:iCs/>
          <w:kern w:val="36"/>
          <w:sz w:val="28"/>
          <w:szCs w:val="28"/>
          <w:lang w:val="en-US" w:eastAsia="ru-RU"/>
        </w:rPr>
        <w:t xml:space="preserve"> article is devoted to the analysis of the concept and individual types of anti-corruption expertise of normative legal acts and their projects: the author’s own definition of the definition under consideration is formulated, the features of certain types of anti-corruption expertise are identified.</w:t>
      </w:r>
    </w:p>
    <w:p w:rsidR="00881865" w:rsidRDefault="00881865"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val="en-US" w:eastAsia="ru-RU"/>
        </w:rPr>
      </w:pP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387BFD">
        <w:rPr>
          <w:rFonts w:ascii="Times New Roman" w:eastAsia="Times New Roman" w:hAnsi="Times New Roman"/>
          <w:i/>
          <w:kern w:val="36"/>
          <w:sz w:val="28"/>
          <w:szCs w:val="28"/>
          <w:lang w:val="en-US" w:eastAsia="ru-RU"/>
        </w:rPr>
        <w:t>Keywords and phrases:</w:t>
      </w:r>
      <w:r w:rsidRPr="00387BFD">
        <w:rPr>
          <w:rFonts w:ascii="Times New Roman" w:hAnsi="Times New Roman"/>
          <w:sz w:val="28"/>
          <w:szCs w:val="28"/>
          <w:lang w:val="en-US"/>
        </w:rPr>
        <w:t xml:space="preserve"> </w:t>
      </w:r>
      <w:r w:rsidRPr="00467B95">
        <w:rPr>
          <w:rFonts w:ascii="Times New Roman" w:eastAsia="Times New Roman" w:hAnsi="Times New Roman"/>
          <w:i/>
          <w:kern w:val="36"/>
          <w:sz w:val="28"/>
          <w:szCs w:val="28"/>
          <w:lang w:val="en-US" w:eastAsia="ru-RU"/>
        </w:rPr>
        <w:t>concept, types, anti-corruption expertise, regulatory legal act, draft.</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настоящее время единообразного подхода к правопониманию дефиниции «антикоррупционная экспертиза» в рамках отечественной правовой доктрины не представлено, что, полагаем, отчасти может быть предопределено отсутствием ее легального определения на законодательном и подзаконном уровне, а также в содержании актов судебного толкования.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Все множество существующих концептуальных позиций по рассматриваемому вопросу условно допустимо разделить на две основных, главенствующих: определения, данные в узкой смысловой нагрузке, и определения, данные в широкой смысловой нагрузке. Так, в рамках первого из указанных подходов рассматриваемый вид юридической экспертизы направлен, по мнение его сторонников, исключительно на выявление в содержании уже принятого нормативного правового акта, разрабатываемого его проекта, с целью предотвращения совершения коррупционных правонарушений в будущем времени.</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Второй подход связывает рассматриваемый вид юридической экспертизы не только с целью выявления коррупциогенных факторов, но и с целью приведения содержания действующего нормативного правового акта, разрабатываемого его проекта в соответствии с вышестоящими по юридической силе законами, подзаконными актами, устранения пробелов, коллизий, иных недостатков законодательной (юридической) техники, что, в свою очередь, способствует повышению качества и эффективности правового регулирования, в целом.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Представляется, что второй подход к определению рассматриваемой дефиниции более точен и верен, поскольку на практике при производстве данного вида юридической экспертизы осуществляется выявление не только коррупциогенных факторов, но и иных допущенных недостатков в законодательной технике, о чем наглядно свидетельствует практический опыт производства антикоррупционной экспертизы служащими Правового управления Администрации Артемовского городского округа.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Так, например, в заключении, вынесенном по результатам проведения антикоррупционной экспертизы проекта постановления данного органа муниципальной власти «О Положении об обеспечении безопасности персональных данных в администрации Артемовского городского округа» указывается, что помимо выявленных коррупциогенных факторов, также усматриваются и  допущенные нарушения юридической техники, например, употребление абстрактных понятий, без раскрытия их сущностного содержания (в частности, таких как «ответ формулируется профессионально», «непонятное информирование», а также ряд иных» [1].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 этой связи, полагаем допустимым сформулировать определение рассматриваемого понятия следующим образом: это деятельность субъектов, специально уполномоченных на это законом, целью которой является выявление коррупциогенных факторов, правовых пробелов, коллизий, иных недостатков юридико-законодательной техники в содержании уже </w:t>
      </w:r>
      <w:r w:rsidRPr="00467B95">
        <w:rPr>
          <w:rFonts w:ascii="Times New Roman" w:eastAsia="Times New Roman" w:hAnsi="Times New Roman"/>
          <w:kern w:val="36"/>
          <w:sz w:val="28"/>
          <w:szCs w:val="28"/>
          <w:lang w:eastAsia="ru-RU"/>
        </w:rPr>
        <w:lastRenderedPageBreak/>
        <w:t xml:space="preserve">действующего нормативного правового акта, либо в положениях разрабатываемого его проекта, для обеспечения повышения качества и эффективности правового регулирования общественных отношений в будущем.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Разграничение видов экспертизы допустимо произвести по такому критерию как субъект, уполномоченный на ее производства, в соответствии с которым выделяются следующие ее разновидности:</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1 Экспертиза, субъектом производства которой являются органа прокуратуры РФ.</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Так, ч.1 ст. 9.1. специального федерального закона [2], в целом регулирующего деятельность органов прокуратуры на территории российского государства, закрепляет предмет производимой ими экспертизы — это нормативные правовые акты, уже действующие и принятые федеральными и региональными органами исполнительной власти,  органами муниципальной власти, а также их должностными лицами, регулирующие вопросы, касающиеся, в частности:</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А) прав, свобод и обязанностей человека и гражданина;</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 государственной и муниципальной собственности, государственной и муниципальной службы, бюджетного, налогового, таможенного, лесного, водного, земельного, градостроительного, природоохранного законодательства, законодательства о лицензировании, а также законодательства, регулирующего деятельность государственных корпораций, фондов и иных организаций, создаваемых Российской Федерацией на основании действующего федерального законодательства;</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 социальных гарантий лицам, замещающим (замещавшим) государственные или муниципальные должности, должности государственной или муниципальной службы [3].</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По итогам производства экспертизы органами прокуратуры, выносится соответствующее требование об устранении допущенных в содержании проверяемого нормативного правового акта коррупциогенных факторов, в котором также детально указывается каждый из них с одновременным разъяснением о возможных способах их устранения. Вынесенное требование направляется в принявший данный нормативный правовой акт орган, и должно быть рассмотрено им в течение десятидневного срока с момента его поступления (то есть с момента регистрации в качестве входящего сообщения). Однако, законом предусматривается единственное исключение из указанного правила: требование, направленное в региональный законодательный орган, должно быть рассмотрено на его ближайшем заседании.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При этом, в обязательном порядке к участию в рассмотрении поступившего требования об устранении допущенных в содержании проверяемого нормативного правового акта коррупциогенных факторов привлекается и руководитель органов прокуратуры, внесшей данный акт прокурорского реагирования, а о результатах рассмотрения в обязательном </w:t>
      </w:r>
      <w:r w:rsidRPr="00467B95">
        <w:rPr>
          <w:rFonts w:ascii="Times New Roman" w:eastAsia="Times New Roman" w:hAnsi="Times New Roman"/>
          <w:kern w:val="36"/>
          <w:sz w:val="28"/>
          <w:szCs w:val="28"/>
          <w:lang w:eastAsia="ru-RU"/>
        </w:rPr>
        <w:lastRenderedPageBreak/>
        <w:t xml:space="preserve">порядке должно быть сообщено субъекту производства данного вида юридической экспертизы [4]. Отметим, что орган, должностное лицо, принявший проверяемый нормативный правовой акт, не обязаны автоматически соглашаться с решением и требованиями прокурора, в случае их принципиального несогласия с выявленными нарушениями, что подтверждено законодательно закрепленной возможностью обжалования решения прокурора.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2 Экспертиза, субъектом производства которой является Министерство юстиции РФ, определяемое в положениях закона как федеральный орган исполнительной власти.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Предмет производства экспертизы рассматриваемого субъекта закреплен на законодательном уровне, и им являются:</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А) проекты федеральных законов, проекты указов Президента РФ и проекты постановлений Правительства РФ, разрабатываемых федеральными органами исполнительной власти, иными государственными органами и организациями;</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 проекты поправок Правительства Российской Федерации к проектам федеральных законов, подготовленным федеральными органами исполнительной власти, иными государственными органами и организациями;</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В) нормативные правовые акты федеральных органов исполнительной власти, иных государственных органов и организаций, затрагивающих права, свободы и обязанности человека и гражданина, устанавливающих правовой статус организаций или имеющих межведомственный характер, а также уставов муниципальных образований и муниципальных правовых актов о внесении изменений в уставы муниципальных образований;</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Г) нормативные правовые акты субъектов РФ [3].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Порядок производства экспертизы в зависимости от конкретного предмета несколько различен: в первых двух случаях Министерство юстиции РФ производит ее в рамках проведения комплексной правовой (юридической) экспертизы; в третьем - исключительно в ходе их государственной регистрации при поступлении на согласование, и, наконец, в четвертом случае - как в ходе проводимой комплексной правовой (юридической) экспертизы, так и в ходе осуществляемого на систематической, постоянной основе мониторинга их практического применения.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По результатам производства экспертизы, рассматриваемый субъект принимает одно из двух возможных решений, отражаемых в содержании вынесенного им заключения: либо о наличии в тексте предмета проверки коррупциогенных факторов, либо о их отсутствии. Принятое Министерством юстиции РФ решение по общему правилу носит для органа, должностного лица рекомендательный характер, за исключением, если проверяемый нормативный правовой акт, его проект, связанные с регулированием прав и свобод человека и гражданина, устанавливающие правовой статус организаций или имеющие межведомственный характер, а также в уставы </w:t>
      </w:r>
      <w:r w:rsidRPr="00467B95">
        <w:rPr>
          <w:rFonts w:ascii="Times New Roman" w:eastAsia="Times New Roman" w:hAnsi="Times New Roman"/>
          <w:kern w:val="36"/>
          <w:sz w:val="28"/>
          <w:szCs w:val="28"/>
          <w:lang w:eastAsia="ru-RU"/>
        </w:rPr>
        <w:lastRenderedPageBreak/>
        <w:t xml:space="preserve">муниципальных образований: в приведенных случаях заключение Министерства юстиции РФ носит обязательный характер, и в случае несоблюдения изложенных в нем рекомендаций, такой проект нормативного правового акта не пройдет этап государственной регистрации.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3 Экспертизы, субъектом производства которой являют органы, организации, должностные лица.</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Предметом производства рассматриваемого вида антикоррупционной экспертизы являются те нормативные правовые акты и их проекты, которые был непосредственно приняты и разработаны указанными органами, организациями, должностными лицами, выступающими в качестве субъектов ее производства, а также те, что были приняты реорганизованными и ликвидированными организациями, чьи полномочия были им переданы. Однако, здесь имеется один немаловажный момент, связанный с необходимостью обращения в органы прокуратуры, если устранение выявленных коррупциогенных факторов не охватывается компетенцией соответствующего органа, организации, должностного лица. Во всех иных возможных ситуациях, в случае, если при производстве экспертизы были обнаружены коррупциогенные факторы то составленное по его итогам заключение рассматривается на ближайшем проводимом заседании указанного органа, организации.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4 Экспертизы, субъектом производства которых являются независимые экспертные организации, прошедшие требуемую государственную аккредитацию.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Предметом рассматриваемого вида экспертизы являются абсолютно любые действующие нормативные правовые акты и их разработанные проекты. Независимая экспертиза производится при обращении различных институтов российского гражданского общества, а также граждан за счет их собственных денежных средств [5, </w:t>
      </w:r>
      <w:r w:rsidRPr="00467B95">
        <w:rPr>
          <w:rFonts w:ascii="Times New Roman" w:eastAsia="Times New Roman" w:hAnsi="Times New Roman"/>
          <w:kern w:val="36"/>
          <w:sz w:val="28"/>
          <w:szCs w:val="28"/>
          <w:lang w:val="en-US" w:eastAsia="ru-RU"/>
        </w:rPr>
        <w:t>c</w:t>
      </w:r>
      <w:r w:rsidRPr="00467B95">
        <w:rPr>
          <w:rFonts w:ascii="Times New Roman" w:eastAsia="Times New Roman" w:hAnsi="Times New Roman"/>
          <w:kern w:val="36"/>
          <w:sz w:val="28"/>
          <w:szCs w:val="28"/>
          <w:lang w:eastAsia="ru-RU"/>
        </w:rPr>
        <w:t>. 51] (инициаторы независимой антикоррупционной экспертизы), в отношении которых установил ряд ограничений, в частности, следующие:</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отсутствие непогашенной или неснятой судимости;</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отсутствие факта совершения им ранее коррупционного правонарушения и его увольнения, в связи с этим по утрате им доверия;</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отсутствии факта замещения им должности в федеральных и региональных органа власти, чьи принятые нормативные правовые акты и их разработанные проекты подлежат проверке на предмет наличия в них коррупциогенных факторов;</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отсутствие у них правового статуса международной и иностранной организации; некоммерческой организации-иностранного агента.</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Возможность проведения рассматриваемого вида экспертизы обеспечивается, в частности, за счет размещения на официальном сайте соответствующего органа, организации, должностного лица информации о реестре проводимых антикоррупционных экспертиз, а также опубликовывается текст разработанного проекта нормативного правового </w:t>
      </w:r>
      <w:r w:rsidRPr="00467B95">
        <w:rPr>
          <w:rFonts w:ascii="Times New Roman" w:eastAsia="Times New Roman" w:hAnsi="Times New Roman"/>
          <w:kern w:val="36"/>
          <w:sz w:val="28"/>
          <w:szCs w:val="28"/>
          <w:lang w:eastAsia="ru-RU"/>
        </w:rPr>
        <w:lastRenderedPageBreak/>
        <w:t xml:space="preserve">акта (или уже принятого), сроки приема экспертных заключений, адрес электронной почти или входящей корреспонденции, куда следует их направлять.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При этом, инициатор проведения независимой экспертизы должен понимать, что в содержании направляемого им заключения, помимо детального изложения выявленных коррупциогенных факторов, должны быть также указаны и способы их устранения (преодоления). Поступившее экспертное заключение подлежит обязательному рассмотрению в течение тридцатидневного срока со дня его поступления (то есть регистрации в качестве входящего сообщения), а о результатах его рассмотрения в обязательном порядке должно быть сообщено лицу, его направившему (за исключением, когда содержание заключения не соответствует установленным требованиям).</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Собственно, изложенная нами выше информация позволяет сформулировать следующие выводы:</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Антикоррупционная экспертиза нормативных правовых актов и их проектов - это деятельность субъектов, специально уполномоченных на это законом, целью которой является выявление коррупциогенных факторов, правовых пробелов, коллизий, иных недостатков юридико-законодательной техники в содержании уже действующего нормативного правового акта, либо в положениях разрабатываемого его проекта, для обеспечения повышения качества и эффективности правового регулирования общественных отношений в будущем. </w:t>
      </w:r>
    </w:p>
    <w:p w:rsidR="00881865" w:rsidRPr="00467B95" w:rsidRDefault="00881865"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 xml:space="preserve">По субъектному составу выделяются следующие ее виды: производимые органами прокуратуры, производимые Министерством юстиции РФ, производимые органами, организациями, должностными лицами; производимыми независимыми экспертными учреждениями, прошедшими государственную аккредитацию. </w:t>
      </w:r>
    </w:p>
    <w:p w:rsidR="00881865" w:rsidRPr="00467B95" w:rsidRDefault="00881865"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881865" w:rsidRPr="00467B95" w:rsidRDefault="0088186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О Положении об обеспечении безопасности персональных данных в администрации Артемовского городского округа: заключение правовой экспертизы проекта постановления Администрации Артемовского городского округа  от 19.03.2018 № 1-212/2018 // Архив Правового Управления Администрации Артемовского городского округа. – 2018.</w:t>
      </w:r>
    </w:p>
    <w:p w:rsidR="00881865" w:rsidRPr="00467B95" w:rsidRDefault="0088186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О прокуратуре Российской Федерации: федеральный закон от 17.01.1992 № 2202-1 (ред. от 27.12.2018) [Электронный ресурс] // СПС «Консультант Плюс». – Режим доступа: http://www.consultant.ru/document/cons_doc_LAW_262/</w:t>
      </w:r>
    </w:p>
    <w:p w:rsidR="00881865" w:rsidRPr="00467B95" w:rsidRDefault="0088186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w:t>
      </w:r>
      <w:bookmarkStart w:id="31" w:name="_Hlk2602045"/>
      <w:r w:rsidRPr="00467B95">
        <w:rPr>
          <w:rFonts w:ascii="Times New Roman" w:hAnsi="Times New Roman"/>
          <w:sz w:val="28"/>
          <w:szCs w:val="28"/>
        </w:rPr>
        <w:t xml:space="preserve"> </w:t>
      </w:r>
      <w:bookmarkEnd w:id="31"/>
      <w:r w:rsidRPr="00467B95">
        <w:rPr>
          <w:rFonts w:ascii="Times New Roman" w:hAnsi="Times New Roman"/>
          <w:sz w:val="28"/>
          <w:szCs w:val="28"/>
        </w:rPr>
        <w:t>Об антикоррупционной экспертизе нормативных правовых актов и проектов нормативных правовых актов: федеральный закон от 17.07.2009 № 172-ФЗ (ред. от 11.10.2018) [Электронный ресурс] // СПС «Гарант». – Режим доступа: http://base.garant.ru/195958/.</w:t>
      </w:r>
    </w:p>
    <w:p w:rsidR="00881865" w:rsidRPr="00467B95" w:rsidRDefault="0088186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4 Об организации проведения антикоррупционной экспертизы нормативных правовых актов: Приказ Генпрокуратуры России от 28.12.2009 </w:t>
      </w:r>
      <w:r w:rsidRPr="00467B95">
        <w:rPr>
          <w:rFonts w:ascii="Times New Roman" w:hAnsi="Times New Roman"/>
          <w:sz w:val="28"/>
          <w:szCs w:val="28"/>
        </w:rPr>
        <w:lastRenderedPageBreak/>
        <w:t>№ 400 (ред. от 13.03.2018) [Электронный ресурс] // СПС «Гарант». – Режим доступа: https://www.garant.ru/products/ipo/prime/doc/1257231/.</w:t>
      </w:r>
    </w:p>
    <w:p w:rsidR="00881865" w:rsidRPr="00467B95" w:rsidRDefault="00881865"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Казанцева О. Л. Независимая антикоррупционная экспертиза: оправдались ли ожидания? / О. Л. Казанцева // Евразийская адвокатура. – 2015. –  № 1 (14). – С. 51-53.</w:t>
      </w:r>
    </w:p>
    <w:p w:rsidR="009A1B7E" w:rsidRDefault="009A1B7E" w:rsidP="005A3DF4">
      <w:pPr>
        <w:widowControl w:val="0"/>
        <w:spacing w:after="0" w:line="240" w:lineRule="auto"/>
        <w:jc w:val="both"/>
        <w:rPr>
          <w:rFonts w:ascii="Times New Roman" w:hAnsi="Times New Roman"/>
          <w:color w:val="000000" w:themeColor="text1"/>
          <w:sz w:val="28"/>
          <w:szCs w:val="28"/>
        </w:rPr>
      </w:pPr>
    </w:p>
    <w:p w:rsidR="009537A7" w:rsidRPr="00467B95" w:rsidRDefault="009537A7" w:rsidP="005A3DF4">
      <w:pPr>
        <w:pStyle w:val="af4"/>
        <w:widowControl w:val="0"/>
        <w:ind w:firstLine="709"/>
        <w:jc w:val="center"/>
        <w:rPr>
          <w:b/>
          <w:caps/>
          <w:szCs w:val="28"/>
          <w:shd w:val="clear" w:color="auto" w:fill="FFFFFF"/>
        </w:rPr>
      </w:pPr>
      <w:r w:rsidRPr="00467B95">
        <w:rPr>
          <w:b/>
          <w:caps/>
          <w:szCs w:val="28"/>
          <w:shd w:val="clear" w:color="auto" w:fill="FFFFFF"/>
        </w:rPr>
        <w:t>МИНИМАЛЬНЫЙ РАЗМЕР ОПЛАТЫ ТРУДА КАК ОсновнАЯ государственнАЯ гарантиЯ оплаты труда работников в РФ</w:t>
      </w:r>
    </w:p>
    <w:p w:rsidR="009537A7" w:rsidRPr="00467B95" w:rsidRDefault="009537A7" w:rsidP="005A3DF4">
      <w:pPr>
        <w:pStyle w:val="af4"/>
        <w:widowControl w:val="0"/>
        <w:ind w:firstLine="709"/>
        <w:jc w:val="center"/>
        <w:rPr>
          <w:b/>
          <w:caps/>
          <w:szCs w:val="28"/>
          <w:shd w:val="clear" w:color="auto" w:fill="FFFFFF"/>
        </w:rPr>
      </w:pPr>
    </w:p>
    <w:p w:rsidR="009537A7" w:rsidRPr="00467B95" w:rsidRDefault="009537A7" w:rsidP="005A3DF4">
      <w:pPr>
        <w:pStyle w:val="af4"/>
        <w:widowControl w:val="0"/>
        <w:ind w:firstLine="709"/>
        <w:jc w:val="center"/>
        <w:rPr>
          <w:szCs w:val="28"/>
        </w:rPr>
      </w:pPr>
      <w:r w:rsidRPr="00467B95">
        <w:rPr>
          <w:szCs w:val="28"/>
        </w:rPr>
        <w:t xml:space="preserve">Е.В.Хайруллина, </w:t>
      </w:r>
    </w:p>
    <w:p w:rsidR="009537A7" w:rsidRPr="00467B95" w:rsidRDefault="009537A7" w:rsidP="005A3DF4">
      <w:pPr>
        <w:pStyle w:val="af4"/>
        <w:widowControl w:val="0"/>
        <w:ind w:firstLine="709"/>
        <w:jc w:val="center"/>
        <w:rPr>
          <w:szCs w:val="28"/>
        </w:rPr>
      </w:pPr>
      <w:r w:rsidRPr="00467B95">
        <w:rPr>
          <w:szCs w:val="28"/>
        </w:rPr>
        <w:t>студент 5 курса направления «Юриспруденция»  ВГУЭС</w:t>
      </w:r>
    </w:p>
    <w:p w:rsidR="009537A7" w:rsidRPr="00467B95" w:rsidRDefault="009537A7" w:rsidP="005A3DF4">
      <w:pPr>
        <w:pStyle w:val="af4"/>
        <w:widowControl w:val="0"/>
        <w:ind w:firstLine="709"/>
        <w:jc w:val="center"/>
        <w:rPr>
          <w:szCs w:val="28"/>
        </w:rPr>
      </w:pPr>
      <w:r w:rsidRPr="00467B95">
        <w:rPr>
          <w:szCs w:val="28"/>
          <w:lang w:val="en-US"/>
        </w:rPr>
        <w:t>E</w:t>
      </w:r>
      <w:r w:rsidRPr="00467B95">
        <w:rPr>
          <w:szCs w:val="28"/>
        </w:rPr>
        <w:t>-</w:t>
      </w:r>
      <w:r w:rsidRPr="00467B95">
        <w:rPr>
          <w:szCs w:val="28"/>
          <w:lang w:val="en-US"/>
        </w:rPr>
        <w:t>mail</w:t>
      </w:r>
      <w:r w:rsidRPr="00467B95">
        <w:rPr>
          <w:szCs w:val="28"/>
        </w:rPr>
        <w:t xml:space="preserve">: </w:t>
      </w:r>
      <w:hyperlink r:id="rId180" w:history="1">
        <w:r w:rsidRPr="00467B95">
          <w:rPr>
            <w:rStyle w:val="a8"/>
            <w:color w:val="auto"/>
            <w:szCs w:val="28"/>
            <w:u w:val="none"/>
            <w:lang w:val="en-US"/>
          </w:rPr>
          <w:t>genyaltobasova</w:t>
        </w:r>
        <w:r w:rsidRPr="00467B95">
          <w:rPr>
            <w:rStyle w:val="a8"/>
            <w:color w:val="auto"/>
            <w:szCs w:val="28"/>
            <w:u w:val="none"/>
          </w:rPr>
          <w:t>@</w:t>
        </w:r>
        <w:r w:rsidRPr="00467B95">
          <w:rPr>
            <w:rStyle w:val="a8"/>
            <w:color w:val="auto"/>
            <w:szCs w:val="28"/>
            <w:u w:val="none"/>
            <w:lang w:val="en-US"/>
          </w:rPr>
          <w:t>mail</w:t>
        </w:r>
        <w:r w:rsidRPr="00467B95">
          <w:rPr>
            <w:rStyle w:val="a8"/>
            <w:color w:val="auto"/>
            <w:szCs w:val="28"/>
            <w:u w:val="none"/>
          </w:rPr>
          <w:t>.</w:t>
        </w:r>
        <w:r w:rsidRPr="00467B95">
          <w:rPr>
            <w:rStyle w:val="a8"/>
            <w:color w:val="auto"/>
            <w:szCs w:val="28"/>
            <w:u w:val="none"/>
            <w:lang w:val="en-US"/>
          </w:rPr>
          <w:t>ru</w:t>
        </w:r>
      </w:hyperlink>
    </w:p>
    <w:p w:rsidR="009537A7" w:rsidRPr="00467B95" w:rsidRDefault="009537A7" w:rsidP="005A3DF4">
      <w:pPr>
        <w:pStyle w:val="af4"/>
        <w:widowControl w:val="0"/>
        <w:ind w:firstLine="709"/>
        <w:jc w:val="left"/>
        <w:rPr>
          <w:b/>
          <w:caps/>
          <w:szCs w:val="28"/>
        </w:rPr>
      </w:pPr>
    </w:p>
    <w:p w:rsidR="009537A7" w:rsidRPr="008B668A" w:rsidRDefault="009537A7" w:rsidP="005A3DF4">
      <w:pPr>
        <w:pStyle w:val="af4"/>
        <w:widowControl w:val="0"/>
        <w:ind w:firstLine="709"/>
        <w:rPr>
          <w:i/>
          <w:szCs w:val="28"/>
        </w:rPr>
      </w:pPr>
      <w:r w:rsidRPr="008B668A">
        <w:rPr>
          <w:i/>
          <w:szCs w:val="28"/>
        </w:rPr>
        <w:t>В статье анализируются последние изменения законодательства об установлении уровня минимального размера оплаты труда в размере прожиточного минимума. Определены условия, необходимые для доведения реального содержания минимальной заработной платы до прожиточного минимума. С целью исключения двойственности толкования трудового законодательства, предлагается включить в определение заработной платы в статье 133 ТК РФ коэффициент районного регулирования.</w:t>
      </w:r>
    </w:p>
    <w:p w:rsidR="009537A7" w:rsidRPr="009537A7" w:rsidRDefault="009537A7" w:rsidP="005A3DF4">
      <w:pPr>
        <w:pStyle w:val="af4"/>
        <w:widowControl w:val="0"/>
        <w:ind w:firstLine="709"/>
        <w:rPr>
          <w:i/>
          <w:szCs w:val="28"/>
        </w:rPr>
      </w:pPr>
    </w:p>
    <w:p w:rsidR="009537A7" w:rsidRPr="008B668A" w:rsidRDefault="009537A7" w:rsidP="005A3DF4">
      <w:pPr>
        <w:pStyle w:val="af4"/>
        <w:widowControl w:val="0"/>
        <w:ind w:firstLine="709"/>
        <w:rPr>
          <w:i/>
          <w:szCs w:val="28"/>
        </w:rPr>
      </w:pPr>
      <w:r w:rsidRPr="008B668A">
        <w:rPr>
          <w:i/>
          <w:szCs w:val="28"/>
        </w:rPr>
        <w:t>Ключевые слова: минимальный размер оплаты труда, прожиточный минимум, государственная гарантия.</w:t>
      </w:r>
    </w:p>
    <w:p w:rsidR="009537A7" w:rsidRPr="009537A7" w:rsidRDefault="009537A7" w:rsidP="005A3DF4">
      <w:pPr>
        <w:pStyle w:val="af4"/>
        <w:widowControl w:val="0"/>
        <w:ind w:firstLine="709"/>
        <w:jc w:val="left"/>
        <w:rPr>
          <w:szCs w:val="28"/>
        </w:rPr>
      </w:pPr>
    </w:p>
    <w:p w:rsidR="009537A7" w:rsidRPr="00467B95" w:rsidRDefault="009537A7" w:rsidP="005A3DF4">
      <w:pPr>
        <w:pStyle w:val="af4"/>
        <w:widowControl w:val="0"/>
        <w:ind w:firstLine="709"/>
        <w:jc w:val="center"/>
        <w:rPr>
          <w:szCs w:val="28"/>
          <w:lang w:val="en-US"/>
        </w:rPr>
      </w:pPr>
      <w:r w:rsidRPr="00467B95">
        <w:rPr>
          <w:szCs w:val="28"/>
          <w:lang w:val="en-US"/>
        </w:rPr>
        <w:t>Evgenia Khayrullina, student 5 courses of the law SERVICE VGUES</w:t>
      </w:r>
    </w:p>
    <w:p w:rsidR="009537A7" w:rsidRPr="00467B95" w:rsidRDefault="009537A7" w:rsidP="005A3DF4">
      <w:pPr>
        <w:pStyle w:val="af4"/>
        <w:widowControl w:val="0"/>
        <w:ind w:firstLine="709"/>
        <w:jc w:val="center"/>
        <w:rPr>
          <w:szCs w:val="28"/>
          <w:lang w:val="en-US"/>
        </w:rPr>
      </w:pPr>
      <w:r w:rsidRPr="00467B95">
        <w:rPr>
          <w:szCs w:val="28"/>
          <w:lang w:val="en-US"/>
        </w:rPr>
        <w:t xml:space="preserve">E-mail: </w:t>
      </w:r>
      <w:hyperlink r:id="rId181" w:history="1">
        <w:r w:rsidRPr="00467B95">
          <w:rPr>
            <w:rStyle w:val="a8"/>
            <w:color w:val="auto"/>
            <w:szCs w:val="28"/>
            <w:u w:val="none"/>
            <w:lang w:val="en-US"/>
          </w:rPr>
          <w:t>genyaltobasova@mail.ru</w:t>
        </w:r>
      </w:hyperlink>
    </w:p>
    <w:p w:rsidR="009537A7" w:rsidRPr="00467B95" w:rsidRDefault="009537A7" w:rsidP="005A3DF4">
      <w:pPr>
        <w:widowControl w:val="0"/>
        <w:spacing w:after="0" w:line="240" w:lineRule="auto"/>
        <w:ind w:firstLine="709"/>
        <w:jc w:val="both"/>
        <w:rPr>
          <w:rFonts w:ascii="Times New Roman" w:hAnsi="Times New Roman"/>
          <w:sz w:val="28"/>
          <w:szCs w:val="28"/>
          <w:lang w:val="en-US"/>
        </w:rPr>
      </w:pPr>
    </w:p>
    <w:p w:rsidR="009537A7" w:rsidRPr="008B668A" w:rsidRDefault="009537A7" w:rsidP="005A3DF4">
      <w:pPr>
        <w:widowControl w:val="0"/>
        <w:spacing w:after="0" w:line="240" w:lineRule="auto"/>
        <w:ind w:firstLine="709"/>
        <w:jc w:val="center"/>
        <w:rPr>
          <w:rFonts w:ascii="Times New Roman" w:hAnsi="Times New Roman"/>
          <w:b/>
          <w:sz w:val="28"/>
          <w:szCs w:val="28"/>
          <w:lang w:val="en-US"/>
        </w:rPr>
      </w:pPr>
      <w:r w:rsidRPr="008B668A">
        <w:rPr>
          <w:rFonts w:ascii="Times New Roman" w:hAnsi="Times New Roman"/>
          <w:b/>
          <w:sz w:val="28"/>
          <w:szCs w:val="28"/>
          <w:lang w:val="en-US"/>
        </w:rPr>
        <w:t>THE MINIMUM WAGE AS THE BASIC STATE GUARANTEE OF PAYMENT OF LABOUR OF EMPLOYEES IN RUSSIA</w:t>
      </w:r>
    </w:p>
    <w:p w:rsidR="009537A7" w:rsidRPr="00467B95" w:rsidRDefault="009537A7" w:rsidP="005A3DF4">
      <w:pPr>
        <w:widowControl w:val="0"/>
        <w:spacing w:after="0" w:line="240" w:lineRule="auto"/>
        <w:ind w:firstLine="709"/>
        <w:jc w:val="both"/>
        <w:rPr>
          <w:rFonts w:ascii="Times New Roman" w:hAnsi="Times New Roman"/>
          <w:sz w:val="28"/>
          <w:szCs w:val="28"/>
          <w:lang w:val="en-US"/>
        </w:rPr>
      </w:pPr>
    </w:p>
    <w:p w:rsidR="009537A7" w:rsidRPr="008B668A" w:rsidRDefault="009537A7" w:rsidP="005A3DF4">
      <w:pPr>
        <w:widowControl w:val="0"/>
        <w:spacing w:after="0" w:line="240" w:lineRule="auto"/>
        <w:ind w:firstLine="709"/>
        <w:contextualSpacing/>
        <w:jc w:val="both"/>
        <w:rPr>
          <w:rFonts w:ascii="Times New Roman" w:hAnsi="Times New Roman"/>
          <w:i/>
          <w:sz w:val="28"/>
          <w:szCs w:val="28"/>
          <w:lang w:val="en-US"/>
        </w:rPr>
      </w:pPr>
      <w:r w:rsidRPr="008B668A">
        <w:rPr>
          <w:rFonts w:ascii="Times New Roman" w:hAnsi="Times New Roman"/>
          <w:i/>
          <w:sz w:val="28"/>
          <w:szCs w:val="28"/>
          <w:lang w:val="en-US"/>
        </w:rPr>
        <w:t>The article analyzes the latest changes in the legislation on the establishment of the minimum wage in the amount of the subsistence minimum. The conditions necessary to bring the real content of the minimum wage to the subsistence minimum are determined. In order to eliminate the ambiguity of interpretation of labor legislation, it is proposed to include in the definition of wages in article 133 of the labor code the coefficient of district regulation.</w:t>
      </w:r>
    </w:p>
    <w:p w:rsidR="009537A7" w:rsidRDefault="009537A7" w:rsidP="005A3DF4">
      <w:pPr>
        <w:pStyle w:val="af4"/>
        <w:widowControl w:val="0"/>
        <w:ind w:firstLine="709"/>
        <w:jc w:val="left"/>
        <w:rPr>
          <w:i/>
          <w:szCs w:val="28"/>
          <w:lang w:val="en-US"/>
        </w:rPr>
      </w:pPr>
    </w:p>
    <w:p w:rsidR="009537A7" w:rsidRPr="008B668A" w:rsidRDefault="009537A7" w:rsidP="005A3DF4">
      <w:pPr>
        <w:pStyle w:val="af4"/>
        <w:widowControl w:val="0"/>
        <w:ind w:firstLine="709"/>
        <w:jc w:val="left"/>
        <w:rPr>
          <w:i/>
          <w:szCs w:val="28"/>
          <w:lang w:val="en-US"/>
        </w:rPr>
      </w:pPr>
      <w:r w:rsidRPr="008B668A">
        <w:rPr>
          <w:i/>
          <w:szCs w:val="28"/>
          <w:lang w:val="en-US"/>
        </w:rPr>
        <w:t>Key words: minimum wage, subsistence minimum, state guarantee.</w:t>
      </w:r>
    </w:p>
    <w:p w:rsidR="009537A7" w:rsidRPr="00467B95" w:rsidRDefault="009537A7" w:rsidP="005A3DF4">
      <w:pPr>
        <w:widowControl w:val="0"/>
        <w:spacing w:after="0" w:line="240" w:lineRule="auto"/>
        <w:ind w:firstLine="709"/>
        <w:contextualSpacing/>
        <w:jc w:val="both"/>
        <w:rPr>
          <w:rFonts w:ascii="Times New Roman" w:hAnsi="Times New Roman"/>
          <w:sz w:val="28"/>
          <w:szCs w:val="28"/>
          <w:lang w:val="en-US"/>
        </w:rPr>
      </w:pP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Конституция РФ провозглашает незыблемость демократической основы государства [1]. Принципами демократического государства выступают права и свободы граждан, свобода слова, свобода выбора, в том числе и свобода выбора рода деятельности и профессии, обеспечение верховенства закона во </w:t>
      </w:r>
      <w:r w:rsidRPr="00467B95">
        <w:rPr>
          <w:rFonts w:ascii="Times New Roman" w:hAnsi="Times New Roman"/>
          <w:sz w:val="28"/>
          <w:szCs w:val="28"/>
        </w:rPr>
        <w:lastRenderedPageBreak/>
        <w:t xml:space="preserve">всех направлениях жизни общества, будь то социальная, экономическая, политическая или иная сфера его деятельности. Важной составляющей прав и свобод граждан РФ, следующей за гарантированным правом на жизнь, свободу и личную неприкосновенность, является право на труд.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Статьей 7 Конституции РФ [1] - Россия определена как социальное государство, в котором охраняется труд, гарантирован минимальный размер оплаты труда. Право на труд, свобода труда, право на вознаграждение за труд, причем не ниже минимального размера оплаты труда (далее МРОТ), установленного федеральным законом (статья 37 Конституции РФ [1]).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Установление минимального размера оплаты труда (далее МРОТ) признается одной из основных государственных гарантий в области социально-трудовых отношений. МРОТ применяется в целях «регулирования оплаты труда и определения размеров пособий по временной нетрудоспособности, по беременности и родам, а так же для иных целей обязательного социального страхования» статья 3 Федерального закона от 19.06.2000 года № 82-ФЗ «О минимальном размере оплаты труда» (далее ФЗ «О МРОТ») [2].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Регулирующая функция МРОТ заключается в установлении минимального порога заработка, который обязан заплатить работодатель работнику, отработавшему часовую норму месяца (статья 133 ТК РФ) [3]. Сущность МРОТ заключается в установлении жизненно необходимого минимума оплаты труда для осуществления возможности человеку и его семьи  приобрести на эти деньги продукты, необходимые товары и заплатить за услуги. При получении заработной платы менее размера МРОТ у работника не будет возможности существовать на эти денежные средства, и работник попадает за черту бедности и нищенского существования.</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Федеральным законом от 28.12.2017 года № 421-ФЗ «О внесении изменений в отдельные законодательные акты Российской Федерации в части повышения минимального оплаты труда до прожиточного минимума трудоспособного населения» в статью 1 ФЗ «О МРОТ» (далее Федеральный закон № 421-ФЗ) внесены существенные изменения, определяющие размер МРОТ в размере прожиточного минимума (далее ПМ) за второй квартал предыдущего года [4]. В прожиточный минимум включается минимальный набор продуктов, товаров и услуг, необходимых для существования человека.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связи с данными изменениями величина МРОТ поэтапно выросла до величины ПМ, сначала с 1 января 2018 года МРОТ составил 9489 рублей, что составляло 80% от величины ПМ, далее с 1 мая 2018 года МРОТ был досрочно приравнен к величине ПМ за второй квартал 2017 года и составил 11163 рублей. Федеральным законом № 421-ФЗ планировалось приравнять МРОТ к ПМ с января 2019 года [4].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Величина прожиточного минимума трудоспособного населения за второй квартал 2018 года в соответствии с Приказом Минтруда РФ от 24.08.2018 года № 550н установлена 11280 рублей [5]. Величина МРОТ с  1 января 2019 года установлена в размере 11280 рублей, в соответствии с </w:t>
      </w:r>
      <w:r w:rsidRPr="00467B95">
        <w:rPr>
          <w:rFonts w:ascii="Times New Roman" w:hAnsi="Times New Roman"/>
          <w:sz w:val="28"/>
          <w:szCs w:val="28"/>
        </w:rPr>
        <w:lastRenderedPageBreak/>
        <w:t>Федеральным законом от 25.12.2018 года № 481-ФЗ «О внесении изменения в статью 1 Федерального закона «О минимальном размере оплаты труда»» [6].</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Данные изменения привели к значительному росту заработной платы бюджетной сферы, росту заработной платы низкооплачиваемых работ, росту социальных пособий и пособий по временной нетрудоспособности, что в свою очередь привело к дополнительным расходам бюджета регионов, которые измеряется миллиардами рублей дополнительных средств.</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Однако нельзя не отметить, что существенное повышение размера МРОТ предполагало повышение объема поступлений в бюджет налогов, которые до настоящего времени были занижены по причине установления недобросовестными работодателями величины налоговой базы в размере уровня МРОТ с выплатой оставшейся заработной платы работникам в обход налогов и социальных отчислений «в конверте».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К примеру, для малого и среднего бизнеса бремя исполнения налогов является неподъемным,  даже при использовании упрощенной системы налогообложения. Данные предприятия становятся нерентабельными, отсутствие прибыли при полном исполнении обязанности перед государством влечет за собой возрастающую тенденцию ухода малого и среднего бизнеса в теневую сторону экономики. В конечном счете, дополнительного пополнения бюджета страны не происходит.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Проблема отсутствия на предприятиях малого и среднего бизнеса белой заработной платы имеет место быть в настоящих реалиях современной экономики страны и с увеличением МРОТ данная проблема наиболее остро встает перед экономикой страны.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Необходимость доведения величины МРОТ до величины ПМ широко обсуждалась в научной литературе, средствах массовой информации на протяжении последних двух десятилетий. И даже в свете последних значительных изменений нельзя с уверенностью сказать, что МРОТ приравнялся к ПМ по следующим причинам:</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во-первых, установленная величина МРОТ отстает на величину инфляции за год, так как в расчет принимается величина ПМ за второй квартал предыдущего года без учета инфляции за год;</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во-вторых, размер МРОТ должен быть увеличен на величину подоходного налога, иначе в реальном соотношении работник получает ПМ уменьшенный на величину подоходного налога, что приводит работников, получающих заработную плату в размере МРОТ к существованию за чертой бедности.</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данной области остаются не решенные на законодательном уровне как минимум четыре проблемы:</w:t>
      </w:r>
    </w:p>
    <w:p w:rsidR="009537A7" w:rsidRPr="00467B95" w:rsidRDefault="009537A7" w:rsidP="007F4EC1">
      <w:pPr>
        <w:pStyle w:val="a7"/>
        <w:widowControl w:val="0"/>
        <w:numPr>
          <w:ilvl w:val="0"/>
          <w:numId w:val="42"/>
        </w:numPr>
        <w:tabs>
          <w:tab w:val="left" w:pos="0"/>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Доведение величины МРОТ, получаемого в чистом виде работником до величины реального уровня ПМ в соответствии с уровнем инфляции цен на товары и услуги.</w:t>
      </w:r>
    </w:p>
    <w:p w:rsidR="009537A7" w:rsidRPr="00467B95" w:rsidRDefault="009537A7" w:rsidP="007F4EC1">
      <w:pPr>
        <w:pStyle w:val="a7"/>
        <w:widowControl w:val="0"/>
        <w:numPr>
          <w:ilvl w:val="0"/>
          <w:numId w:val="42"/>
        </w:numPr>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Размер МРОТ должен включать ПМ иждивенцев, хотя бы на одного ребенка.</w:t>
      </w:r>
    </w:p>
    <w:p w:rsidR="009537A7" w:rsidRPr="00467B95" w:rsidRDefault="009537A7" w:rsidP="007F4EC1">
      <w:pPr>
        <w:pStyle w:val="a7"/>
        <w:widowControl w:val="0"/>
        <w:numPr>
          <w:ilvl w:val="0"/>
          <w:numId w:val="42"/>
        </w:numPr>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lastRenderedPageBreak/>
        <w:t>С увеличением величины МРОТ произошло в равной мере обесценивание оплаты труда высоко квалифицированных работников. Уровень оплаты труда работников низкой квалификации приблизился к уровню оплаты труда высококвалифицированных кадров, при чем, данное приближение прослеживается не только в бюджетной сфере, но и в других отраслях промышленности.</w:t>
      </w:r>
    </w:p>
    <w:p w:rsidR="009537A7" w:rsidRPr="00467B95" w:rsidRDefault="009537A7" w:rsidP="007F4EC1">
      <w:pPr>
        <w:pStyle w:val="a7"/>
        <w:widowControl w:val="0"/>
        <w:numPr>
          <w:ilvl w:val="0"/>
          <w:numId w:val="42"/>
        </w:numPr>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Законодательно не установлен уровень ограничения удержаний из заработной платы до величины МРОТ с региональным коэффициентом, что в совокупности с налоговыми вычетами и удержаниями по исполнительным документам в размере до пятидесяти процентов заработка приводит к нищенскому существованию работника, вынуждая искать заработок в «конверте» без социальных и налоговых отчислений, чтобы хоть как-то обеспечить себя самым необходимым.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Путями решения первой проблемы может быть, как вариант, предоставление налоговых льгот работникам, имеющим величину заработной платы на уровне МРОТ;  увеличение величины МРОТ на величину инфляции за прошедший год.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Вторая проблема на сегодняшний день не рассматривается трудовыми нормами права, государство компенсирует данный аспект социальными пособиями и социальными льготами семьям, имеющим статус малоимущих. На мой взгляд, решение данной проблемы будет иметь новый этап развития и станет возможен при стабильной прогрессирующей экономике страны.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О важности включения в МРОТ дополнительных средств, кроме величины прожиточного минимума граждан С.В. Савина отмечает «в случае МРОТ, равного ПМ трудоспособного населения, работник не имеет средств для содержания семьи и воспитания детей» [7, с.75].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Во «Всеобщей декларации прав человека» 1948 года в статье 23 провозглашается, что «работающий имеет право на … достойное человека существование для него самого и его семьи…»  [8].</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Нельзя недооценивать возрастающую роль третьей проблемы – уравнивание уровня оплаты труда специалистов, имеющих высокую квалификацию, и работников с низкой квалификацией.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Сама сущность заработной платы, имеющей прямую зависимость размера оплаты труда от квалифицированности кадров теряет смысл (статья 132 ТК РФ «Оплата по труду»[3]), а труд работников с большей степенью ответственности приравнивается или имеет незначительную разницу в оплате с трудом работников, не несущих моральную нагрузку ответственности за работу других сотрудников.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Данную проблему наиболее остро рассматривает М.С. Ивченков, помощник прокурора Пермского края, в своей статье «Минимальная оплата труда: справедлив ли ее размер?»: «обеспечив повышение оплаты труда одним работникам, законодатель забыл о других, имеющих более высокую квалификацию, опыт, стаж, образование. На практике ситуация доходила до абсурда. Сотрудник с высшим образованием … мог получать чуть более </w:t>
      </w:r>
      <w:r w:rsidRPr="00467B95">
        <w:rPr>
          <w:rFonts w:ascii="Times New Roman" w:hAnsi="Times New Roman" w:cs="Times New Roman"/>
          <w:sz w:val="28"/>
          <w:szCs w:val="28"/>
        </w:rPr>
        <w:lastRenderedPageBreak/>
        <w:t>11000 руб., а другой (неквалифицированный) – 10251 руб…» [9].</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Так же С.В. Савина подчерквает, что «доведение МРОТ до величины ПМ, сопровождающееся замораживанием заработной платы той категории работников, у которой ставки и оклады значительно превышают ПМ, может заложить основу для снижения дифференциации в оплате труда, характеризующейся неоправданно высокими масштабами, которые можно назвать даже социально опасными» [7, с.77].</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 необходимости решения выше перечисленных проблем, путем «регулярной индексации размера минимума оплаты труда в соответствии с ростом потребительских цен; утверждение минимума оплаты труда на основе принципов единства, справедливости, обоснованности…» отмечает В.В. Коокуева [10, с.1163]</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Таким образом, уравнивая заработную плату специалистов разной квалификации нарушается принцип справедливого вознаграждения, провозглашенный мировым сообществом во «Всеобщей декларации прав человека» ГА ООН от 10.12.1948 года [6], и или как указано в «Декларации об основополагающих принципах и правах в сфере труда» МОТ от 18.06.1998 года «справедливой доли богатства» [11].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Следовательно, повышение МРОТ до уровня ПМ должно способствовать увеличению оплаты труда во всех сферах деятельности, в том числе положительно влиять в сторону увеличения оплаты труда и специалистов с высоким уровнем квалификации.</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В качестве решения четвертой проблемы необходимо в статью 138 ТК РФ об ограничении размера удержаний из заработной платы [3], внести дополнения, отдельной частью статьи, например, в таком изложении: «Причитающаяся часть заработной платы работнику за полностью отработанный месяц после всех удержаний не может быть менее МРОТ, увеличенного на коэффициент районного регулирования».</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Одним из общепризнанных принципов правового регулирования трудовых отношений в соответствии со статьей 2 ТК РФ [3] является право работника в получении заработной платы не ниже установленного МРОТ. Так же в статье 133 ТК РФ «Установление минимального размера оплаты труда» законодательно закреплено одно из важнейших ограничений: «месячная заработная плата работника … не может быть меньше минимального размера оплаты труда» и при этом не уточняется компенсационные и стимулирующие выплаты входят в состав МРОТ или нет</w:t>
      </w:r>
      <w:r w:rsidRPr="00467B95">
        <w:rPr>
          <w:rFonts w:ascii="Times New Roman" w:hAnsi="Times New Roman" w:cs="Times New Roman"/>
          <w:sz w:val="28"/>
          <w:szCs w:val="28"/>
          <w:lang w:val="en-US"/>
        </w:rPr>
        <w:t>n</w:t>
      </w:r>
      <w:r w:rsidRPr="00467B95">
        <w:rPr>
          <w:rFonts w:ascii="Times New Roman" w:hAnsi="Times New Roman" w:cs="Times New Roman"/>
          <w:sz w:val="28"/>
          <w:szCs w:val="28"/>
        </w:rPr>
        <w:t xml:space="preserve">[3].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Например, компенсационной выплатой считается повышенный размер заработка, установленный в местностях с особыми климатическими условиями труда, установленный в соответствии со статьями 146,148, 315, 316,317 ТК РФ [3].</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Из-за неоднозначности толкования размера МРОТ и неопределенности в установлении порядка исчисления компенсационных и стимулирующих выплат относительно минимального размера оплаты труда, на протяжении последних десяти лет массово возникали трудовые споры, причем решения </w:t>
      </w:r>
      <w:r w:rsidRPr="00467B95">
        <w:rPr>
          <w:rFonts w:ascii="Times New Roman" w:hAnsi="Times New Roman"/>
          <w:sz w:val="28"/>
          <w:szCs w:val="28"/>
        </w:rPr>
        <w:lastRenderedPageBreak/>
        <w:t xml:space="preserve">судов были разными: как в сторону работодателя, так и в сторону работника.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Так, работодатель, пользуясь неконкретной формулировкой определения размера МРОТ в трудовом кодексе, в трудовом договоре устанавливал размер заработной платы в величине федерального МРОТ. Работодатель прописывал в условиях трудового договора, что данный размер заработной платы уже включает в себя установленный в регионе районный коэффициент и процентные надбавки за стаж работы, а так же другие компенсационные выплаты, полагающиеся к выплате при отклонении условий труда от нормальных.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итоге, трудовые споры привели к вынесению постановления Конституционным Судом РФ (далее КС РФ) от 07.12.2017 года № 38-П [12], согласно которому работодатель должен выплатить работнику, за полностью отработанный месяц, заработную плату не ниже величины МРОТ, не учитывая установленные постановлением Правительства районные коэффициенты и процентные надбавки за стаж работы в районах Крайнего Севера, Дальнего Востока.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Так же заслуживает внимания Постановление президиума Верховного Суда РФ (далее ВС РФ) «О признании права на заработную плату не ниже МРОТ с начислением районного коэффициента, обязании произвести перерасчет заработной платы» от 07.02.2018 года № 4-ПВ17 [13], которым было отменено определение Судебной коллегии по гражданским делам ВС РФ от 19 сентября 2016 года № 51-КГ16-10 [14] по иску Благовещенского прокурора, в интересах работников краевого бюджетного учреждения здравоохранения, о получении заработной платы работниками не ниже МРОТ с последующим начислением коэффициента районного регулирования.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Выводы Судебной коллегии ВС РФ от 19 сентября 2016 года о включении районного коэффициента в заработную плату были признаны ошибочными, не советующими нормам материального права. Президиум ВС РФ в своем постановлении  от 07.02.2018 года  № 4-ПВ17 [13] ссылался, в том числе и на Постановление КС РФ от 07.12.2017 года № 38-П [12], уже провозглашенного на момент вынесения постановления о направлении дела на новое рассмотрение в порядке кассации.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Таким образом, размер заработной платы не должен быть меньше МРОТ, увеличенного на полагающиеся работнику районный коэффициент, процентную надбавку.</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Аналогичный вывод приведен в разъяснительном письме Первого заместителя начальника департамента по организации, оплате и мотивации труда ОАО «РЖД» А.Н. Тихомирова от 09.06.2018 года № ИСХ-1081/ЦЗТ «заработная плата должна сравниваться с МРОТ, увеличенным на размер районного коэффициента и процентной надбавки …, установленных конкретному работнику» [15].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В Приморском крае, при установленном размере МРОТ 11280 рублей с 1 января 2019 года, размер заработной платы должен быть не менее 16920 рублей, а на железнодорожном транспорте, с учетом увеличенного размера </w:t>
      </w:r>
      <w:r w:rsidRPr="00467B95">
        <w:rPr>
          <w:rFonts w:ascii="Times New Roman" w:hAnsi="Times New Roman"/>
          <w:sz w:val="28"/>
          <w:szCs w:val="28"/>
        </w:rPr>
        <w:lastRenderedPageBreak/>
        <w:t xml:space="preserve">районного регулирования на 10%, должен составлять не менее 18048 рублей.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Данный минимальный размер оплаты непосредственно связан с отработанной нормой времени работника за месяц. Другими словами, существенным условием для выплаты заработной платы в размере не ниже МРОТ с коэффициентом районного регулирования является отработка работником всех часов в конкретном месяце по производственному календарю.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случаях, если работник работает по совместительству на полставки или у работника были в рассматриваемом месяце часы отсутствия по уважительным причинам, такие как болезнь, отпуск, дни без сохранения заработной платы и так далее, тогда размер минимальной оплаты, увеличенный на коэффициент районного регулирования, уменьшается пропорционально часам отсутствия работника в данном месяце.</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Пользуясь прорехами в трудовом законодательстве, работодатель зачастую не только занижает заработок относительно МРОТ, но и устанавливает фиксированный размер оплаты труда в различных регионах страны на одном уровне.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Показательным, является судебное разбирательство Павлова С.С. по иску к ЗАО «Хилти Дистрибьюши ЛТД» с предъявленными требованиями о взыскании невыплаченных процентов районного регулирования к заработной плате.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Истец Павлов С.С. (далее истец) получал заработную плату в размере оклада, установленного трудовым договором, находился в трудовых отношениях с компанией ответчика ЗАО «Хилти Дистрибьюши ЛТД» (далее ответчик). В соответствии с трудовым договором истца и Положением об оплате труда ответчика в размер оклада были включены районный коэффициент и дальневосточная надбавка.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Решением Советского районного города Владивостока от 12 апреля 2016 года было отказано истцу во взыскании с ответчика сумм, не начисленных и не выплаченных процентов районного регулирования сверх оклада. Однако истец был не удовлетворен решением первой инстанции и обжаловал решение в краевом суде.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Судом апелляционной инстанции был рассмотрен уровень заработной платы аналогичной истцу должности в разных регионах страны и установлено, что заработная плата истца не отличалась увеличенным размером по сравнению с другими регионами, а так же была на уровне заработной платы в регионе, не имеющим районные коэффициенты и процентные надбавки.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Апелляционным определением Приморского краевого суда от 26 июля 2016 года решение суда первой инстанции в части не выплаты процентов районного регулирования было отменено и принято новое решение взыскать данные проценты, компенсацию за задержку выплаты заработной платы, компенсацию морального вреда.</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Далее ответчик, считая нарушенными нормы материального права, для </w:t>
      </w:r>
      <w:r w:rsidRPr="00467B95">
        <w:rPr>
          <w:rFonts w:ascii="Times New Roman" w:hAnsi="Times New Roman"/>
          <w:sz w:val="28"/>
          <w:szCs w:val="28"/>
        </w:rPr>
        <w:lastRenderedPageBreak/>
        <w:t xml:space="preserve">отмены апелляционного определения подал кассационную жалобу с требованием оставить в силе решение суда, вынесенное первой инстанцией.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 xml:space="preserve">Судебная коллегия Верховного Суда РФ посчитала выводы суда апелляционной инстанции, основанные на том, что оклад истца одинаковый по всем регионам, не соответствующим нормам закона, в том числе положениям статьи 129 ТК РФ. В обосновании определила, что нет норм закона, в соответствии с которыми величина оклада работников, занимающих одинаковую должность в различных регионах страны, в обязательном порядке была различной, причем отличалась на величину регионального коэффициента и надбавки. Так же Судебной коллегией ВС РФ были выявлены нарушения норм процессуального права апелляционной инстанции. </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В итоге определением ВС РФ от 3 июля 2017 года № 56-КГ 17-4 [16] определение апелляционной инстанции Приморского краевого суда от 26 июля 2016 года отменено, а решение Советского районного суда города Владивостока от 12 апреля 2016 года оставлено в силе. С определением ВС от 3 июля 2017 года № 56-КГ 17-4 [16] следует не согласиться, так как из определения значения оклада, установленного статьей 129 ТК РФ следует, что оклад – это «фиксированный размер оплаты труда работника за исполнение трудовых обязанностей определенной сложности за календарный месяц без учета компенсационных, стимулирующих и социальных выплат». Следовательно, компенсационные выплаты в местностях с особыми условиями труда, такие как районный коэффициент и процентная надбавка в оклад не включаются и начисляются сверх оклада.</w:t>
      </w:r>
    </w:p>
    <w:p w:rsidR="009537A7" w:rsidRPr="00467B95" w:rsidRDefault="009537A7" w:rsidP="005A3DF4">
      <w:pPr>
        <w:widowControl w:val="0"/>
        <w:spacing w:after="0" w:line="240" w:lineRule="auto"/>
        <w:ind w:firstLine="709"/>
        <w:contextualSpacing/>
        <w:jc w:val="both"/>
        <w:rPr>
          <w:rFonts w:ascii="Times New Roman" w:hAnsi="Times New Roman"/>
          <w:sz w:val="28"/>
          <w:szCs w:val="28"/>
        </w:rPr>
      </w:pPr>
      <w:r w:rsidRPr="00467B95">
        <w:rPr>
          <w:rFonts w:ascii="Times New Roman" w:hAnsi="Times New Roman"/>
          <w:sz w:val="28"/>
          <w:szCs w:val="28"/>
        </w:rPr>
        <w:t>Таким образом, многих судебных разбирательств можно было бы  избежать и разгрузить некоторым образом судебную систему, дополнив статью 133 ТК РФ [3], устанавливающую размер МРОТ, дополнить определение заработной платы «… не может быть меньше минимального размера оплаты труда», словами: увеличенного на размер районного регулирования в регионе, где работник выполняет трудовые обязанности.</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Хотя трудовое законодательство в области оплаты труда максимально объемно, необходимость уточнения и доработки отдельных статей в направлении предоставления системы государственных гарантий все-таки остается. Уверенно утверждать, что главная государственная гарантия – уровень минимальной заработной платы с 01.01.2019 года стал соответствовать уровню прожиточного минимума в стране преждевременно. Необходимость предоставления дополнительного налогового вычета работникам, получающим заработную плату в размере МРОТ, остается. Так же необходимо учитывать при определении величины МРОТ и наличие иждивенцев у работников, включая в расчет размер прожиточного минимума для члена семьи работающего. Что касается недостаточного уровня заработной платы для достойного существования по разным категориям населения страны, то данная проблема носит исключительно экономический характер и напрямую зависит от уровня развития экономики в целом в стране. </w:t>
      </w:r>
    </w:p>
    <w:p w:rsidR="00AE76D6" w:rsidRDefault="00AE76D6" w:rsidP="005A3DF4">
      <w:pPr>
        <w:pStyle w:val="4"/>
        <w:keepNext w:val="0"/>
        <w:widowControl w:val="0"/>
        <w:spacing w:before="0" w:after="0"/>
        <w:ind w:firstLine="709"/>
        <w:contextualSpacing/>
        <w:jc w:val="center"/>
        <w:rPr>
          <w:b w:val="0"/>
        </w:rPr>
      </w:pPr>
    </w:p>
    <w:p w:rsidR="009537A7" w:rsidRPr="00467B95" w:rsidRDefault="009537A7" w:rsidP="005A3DF4">
      <w:pPr>
        <w:pStyle w:val="4"/>
        <w:keepNext w:val="0"/>
        <w:widowControl w:val="0"/>
        <w:spacing w:before="0" w:after="0"/>
        <w:ind w:firstLine="709"/>
        <w:contextualSpacing/>
        <w:jc w:val="center"/>
        <w:rPr>
          <w:b w:val="0"/>
        </w:rPr>
      </w:pPr>
      <w:r w:rsidRPr="00467B95">
        <w:rPr>
          <w:b w:val="0"/>
        </w:rPr>
        <w:lastRenderedPageBreak/>
        <w:t>Список использованных источников</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1 Конституция Российской Федерации от 12 декабря 1993 года, с изменениями от 21 июля 2014 года [Электронный ресурс] // СПС «КонсультантПлюс». – Режим доступа:   http://www.consultant.ru/document/cons_doc_LAW_ 28399/.</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2 О минимальном размере оплаты труда: федеральный закон от 19.06.2000  № 82-ФЗ (ред. от 25.12.2018) [Электронный ресурс] // СПС «КонсультантПлюс». – Режим доступа: http://www.consultant.ru/document/cons_doc_LAW_27572/.</w:t>
      </w:r>
    </w:p>
    <w:p w:rsidR="009537A7" w:rsidRPr="00467B95" w:rsidRDefault="009537A7" w:rsidP="005A3DF4">
      <w:pPr>
        <w:pStyle w:val="af6"/>
        <w:spacing w:line="240" w:lineRule="auto"/>
        <w:contextualSpacing/>
        <w:rPr>
          <w:rFonts w:cs="Times New Roman"/>
          <w:sz w:val="28"/>
          <w:szCs w:val="28"/>
        </w:rPr>
      </w:pPr>
      <w:r w:rsidRPr="00467B95">
        <w:rPr>
          <w:rFonts w:cs="Times New Roman"/>
          <w:sz w:val="28"/>
          <w:szCs w:val="28"/>
        </w:rPr>
        <w:t xml:space="preserve">3 Трудовой кодекс Российской Федерации: федеральный закон от 30.12.2001 № 197-ФЗ (ред. от 27.12.2018) [Электронный ресурс] // СПС «КонсультантПлюс». – Режим доступа: http://www.consultant.ru/document/cons_doc_LAW_34683/.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4 О внесении изменений в отдельные законодательные акты Российской Федерации в части повышения минимального оплаты труда до прожиточного минимума трудоспособного населения: федеральный закон от 28.12.2017  № 421-ФЗ [Электронный ресурс] // СПС «КонсультантПлюс». – Режим доступа: http://www.consultant.ru/ document/cons_doc_LAW_286456/.</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5 Об установлении величины прожиточного минимума на душу населения и по основным социально-демографическим группам населения в целом по Российской Федерации за II квартал 2018 года</w:t>
      </w:r>
      <w:r w:rsidRPr="00467B95">
        <w:rPr>
          <w:rFonts w:ascii="Times New Roman" w:hAnsi="Times New Roman" w:cs="Times New Roman"/>
          <w:b/>
          <w:sz w:val="28"/>
          <w:szCs w:val="28"/>
        </w:rPr>
        <w:t>:</w:t>
      </w:r>
      <w:r w:rsidRPr="00467B95">
        <w:rPr>
          <w:rFonts w:ascii="Times New Roman" w:hAnsi="Times New Roman" w:cs="Times New Roman"/>
          <w:sz w:val="28"/>
          <w:szCs w:val="28"/>
        </w:rPr>
        <w:t xml:space="preserve"> Приказ Минтруда РФ от 24.08.2018 № 550н [Электронный ресурс] // СПС «КонсультантПлюс». – Режим доступа: http://www. consultant.ru/document/cons_doc_LAW_306383/.</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6 О внесении изменения в статью 1 Федерального закона «О минимальном размере оплаты труда»: федеральный закон от 25.12.2018  № 481-ФЗ [Электронный ресурс] // СПС «КонсультантПлюс». – Режим доступа: http://www.consultant.ru/document/cons_doc_LAW_ 314257/.</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color w:val="000000"/>
          <w:sz w:val="28"/>
          <w:szCs w:val="28"/>
        </w:rPr>
      </w:pPr>
      <w:r w:rsidRPr="00467B95">
        <w:rPr>
          <w:rFonts w:ascii="Times New Roman" w:hAnsi="Times New Roman" w:cs="Times New Roman"/>
          <w:sz w:val="28"/>
          <w:szCs w:val="28"/>
        </w:rPr>
        <w:t>7 Савина С.В. Ослабление</w:t>
      </w:r>
      <w:r w:rsidRPr="00467B95">
        <w:rPr>
          <w:rFonts w:ascii="Times New Roman" w:hAnsi="Times New Roman" w:cs="Times New Roman"/>
          <w:color w:val="000000"/>
          <w:sz w:val="28"/>
          <w:szCs w:val="28"/>
        </w:rPr>
        <w:t xml:space="preserve"> действия воспроизводственной и стимулирующей функций заработной платы в регионах Российской Федерации </w:t>
      </w:r>
      <w:r w:rsidRPr="00467B95">
        <w:rPr>
          <w:rFonts w:ascii="Times New Roman" w:hAnsi="Times New Roman" w:cs="Times New Roman"/>
          <w:sz w:val="28"/>
          <w:szCs w:val="28"/>
        </w:rPr>
        <w:t xml:space="preserve">[Электронный ресурс] / С.В. Савина </w:t>
      </w:r>
      <w:r w:rsidRPr="00467B95">
        <w:rPr>
          <w:rFonts w:ascii="Times New Roman" w:hAnsi="Times New Roman" w:cs="Times New Roman"/>
          <w:color w:val="000000"/>
          <w:sz w:val="28"/>
          <w:szCs w:val="28"/>
        </w:rPr>
        <w:t xml:space="preserve">// Регионология: науч. электрон. журнал. - 2018. - №1 (102). – Режим доступа: </w:t>
      </w:r>
      <w:r w:rsidRPr="00467B95">
        <w:rPr>
          <w:rFonts w:ascii="Times New Roman" w:hAnsi="Times New Roman" w:cs="Times New Roman"/>
          <w:color w:val="000000"/>
          <w:sz w:val="28"/>
          <w:szCs w:val="28"/>
          <w:lang w:val="en-US"/>
        </w:rPr>
        <w:t>https</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cyberleninka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ru</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article</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n</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oslablenie</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deystviya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vosproizvodstvennoy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i</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stimuliruyuschey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funktsiy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zarabotnoy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platy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v</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regionah</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rossiyskoy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federatsii</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8 Всеобщая декларация прав человека: принятая Генеральной Ассамблеей</w:t>
      </w:r>
      <w:r w:rsidRPr="00467B95">
        <w:rPr>
          <w:rFonts w:ascii="Times New Roman" w:hAnsi="Times New Roman" w:cs="Times New Roman"/>
          <w:sz w:val="28"/>
          <w:szCs w:val="28"/>
          <w:shd w:val="clear" w:color="auto" w:fill="FFFFFF"/>
        </w:rPr>
        <w:t xml:space="preserve"> Организации Объединенных Наций 10.12.1948 </w:t>
      </w:r>
      <w:r w:rsidRPr="00467B95">
        <w:rPr>
          <w:rFonts w:ascii="Times New Roman" w:hAnsi="Times New Roman" w:cs="Times New Roman"/>
          <w:sz w:val="28"/>
          <w:szCs w:val="28"/>
        </w:rPr>
        <w:t xml:space="preserve">[Электронный ресурс] // СПС «КонсультантПлюс». – Режим доступа: http://www.consultant.ru/document/cons_doc_LAW_ 120805/. </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color w:val="000000"/>
          <w:sz w:val="28"/>
          <w:szCs w:val="28"/>
        </w:rPr>
      </w:pPr>
      <w:r w:rsidRPr="00467B95">
        <w:rPr>
          <w:rFonts w:ascii="Times New Roman" w:hAnsi="Times New Roman" w:cs="Times New Roman"/>
          <w:color w:val="000000"/>
          <w:sz w:val="28"/>
          <w:szCs w:val="28"/>
        </w:rPr>
        <w:t xml:space="preserve">9 Ивченков М.С. Минимальная оплата труда: справедлив ли ее размер? </w:t>
      </w:r>
      <w:r w:rsidRPr="00467B95">
        <w:rPr>
          <w:rFonts w:ascii="Times New Roman" w:hAnsi="Times New Roman" w:cs="Times New Roman"/>
          <w:sz w:val="28"/>
          <w:szCs w:val="28"/>
        </w:rPr>
        <w:t xml:space="preserve">[Электронный ресурс] / М.С. Ивченков </w:t>
      </w:r>
      <w:r w:rsidRPr="00467B95">
        <w:rPr>
          <w:rFonts w:ascii="Times New Roman" w:hAnsi="Times New Roman" w:cs="Times New Roman"/>
          <w:color w:val="000000"/>
          <w:sz w:val="28"/>
          <w:szCs w:val="28"/>
        </w:rPr>
        <w:t xml:space="preserve">// Российское право: Образование. Практика. Наука: науч. электрон. журнал. -  2017. - № 3 (99). - Режим доступа: </w:t>
      </w:r>
      <w:r w:rsidRPr="00467B95">
        <w:rPr>
          <w:rFonts w:ascii="Times New Roman" w:hAnsi="Times New Roman" w:cs="Times New Roman"/>
          <w:color w:val="000000"/>
          <w:sz w:val="28"/>
          <w:szCs w:val="28"/>
          <w:lang w:val="en-US"/>
        </w:rPr>
        <w:t>https</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cyberleninka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ru</w:t>
      </w:r>
      <w:r w:rsidRPr="00467B95">
        <w:rPr>
          <w:rFonts w:ascii="Times New Roman" w:hAnsi="Times New Roman" w:cs="Times New Roman"/>
          <w:color w:val="000000"/>
          <w:sz w:val="28"/>
          <w:szCs w:val="28"/>
        </w:rPr>
        <w:t xml:space="preserve">/ </w:t>
      </w:r>
      <w:r w:rsidRPr="00467B95">
        <w:rPr>
          <w:rFonts w:ascii="Times New Roman" w:hAnsi="Times New Roman" w:cs="Times New Roman"/>
          <w:color w:val="000000"/>
          <w:sz w:val="28"/>
          <w:szCs w:val="28"/>
          <w:lang w:val="en-US"/>
        </w:rPr>
        <w:t>article</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n</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minimalnaya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oplata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truda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spravedliv</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li</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ee</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razmer</w:t>
      </w:r>
      <w:r w:rsidRPr="00467B95">
        <w:rPr>
          <w:rFonts w:ascii="Times New Roman" w:hAnsi="Times New Roman" w:cs="Times New Roman"/>
          <w:color w:val="000000"/>
          <w:sz w:val="28"/>
          <w:szCs w:val="28"/>
        </w:rPr>
        <w:t>/.</w:t>
      </w:r>
    </w:p>
    <w:p w:rsidR="009537A7" w:rsidRPr="00467B95"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color w:val="000000"/>
          <w:sz w:val="28"/>
          <w:szCs w:val="28"/>
        </w:rPr>
        <w:t xml:space="preserve">10 Коокуева В.В. Минимальный размер оплаты труда как инструмент социальной политики: реалии и проблемы </w:t>
      </w:r>
      <w:r w:rsidRPr="00467B95">
        <w:rPr>
          <w:rFonts w:ascii="Times New Roman" w:hAnsi="Times New Roman" w:cs="Times New Roman"/>
          <w:sz w:val="28"/>
          <w:szCs w:val="28"/>
        </w:rPr>
        <w:t xml:space="preserve">[Электронный ресурс] / В.В. </w:t>
      </w:r>
      <w:r w:rsidRPr="00467B95">
        <w:rPr>
          <w:rFonts w:ascii="Times New Roman" w:hAnsi="Times New Roman" w:cs="Times New Roman"/>
          <w:sz w:val="28"/>
          <w:szCs w:val="28"/>
        </w:rPr>
        <w:lastRenderedPageBreak/>
        <w:t xml:space="preserve">Коокуева </w:t>
      </w:r>
      <w:r w:rsidRPr="00467B95">
        <w:rPr>
          <w:rFonts w:ascii="Times New Roman" w:hAnsi="Times New Roman" w:cs="Times New Roman"/>
          <w:color w:val="000000"/>
          <w:sz w:val="28"/>
          <w:szCs w:val="28"/>
        </w:rPr>
        <w:t xml:space="preserve">// Финансовая аналитика: науч. электрон. журнал. -  2017. - № 10 (340). - Режим доступа: </w:t>
      </w:r>
      <w:r w:rsidRPr="00467B95">
        <w:rPr>
          <w:rFonts w:ascii="Times New Roman" w:hAnsi="Times New Roman" w:cs="Times New Roman"/>
          <w:color w:val="000000"/>
          <w:sz w:val="28"/>
          <w:szCs w:val="28"/>
          <w:lang w:val="en-US"/>
        </w:rPr>
        <w:t>https</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cyberleninka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ru</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article</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n</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minimalnyy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razmer</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oplaty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truda</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kak</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instrument</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sotsialnoy</w:t>
      </w:r>
      <w:r w:rsidRPr="00467B95">
        <w:rPr>
          <w:rFonts w:ascii="Times New Roman" w:hAnsi="Times New Roman" w:cs="Times New Roman"/>
          <w:color w:val="000000"/>
          <w:sz w:val="28"/>
          <w:szCs w:val="28"/>
        </w:rPr>
        <w:t>-</w:t>
      </w:r>
      <w:r w:rsidRPr="00467B95">
        <w:rPr>
          <w:rFonts w:ascii="Times New Roman" w:hAnsi="Times New Roman" w:cs="Times New Roman"/>
          <w:color w:val="000000"/>
          <w:sz w:val="28"/>
          <w:szCs w:val="28"/>
          <w:lang w:val="en-US"/>
        </w:rPr>
        <w:t>politiki</w:t>
      </w:r>
      <w:r w:rsidRPr="00467B95">
        <w:rPr>
          <w:rFonts w:ascii="Times New Roman" w:hAnsi="Times New Roman" w:cs="Times New Roman"/>
          <w:color w:val="000000"/>
          <w:sz w:val="28"/>
          <w:szCs w:val="28"/>
        </w:rPr>
        <w:t>-</w:t>
      </w:r>
      <w:r w:rsidRPr="00467B95">
        <w:rPr>
          <w:rFonts w:ascii="Times New Roman" w:hAnsi="Times New Roman" w:cs="Times New Roman"/>
          <w:sz w:val="28"/>
          <w:szCs w:val="28"/>
          <w:lang w:val="en-US"/>
        </w:rPr>
        <w:t>realii</w:t>
      </w:r>
      <w:r w:rsidRPr="00467B95">
        <w:rPr>
          <w:rFonts w:ascii="Times New Roman" w:hAnsi="Times New Roman" w:cs="Times New Roman"/>
          <w:sz w:val="28"/>
          <w:szCs w:val="28"/>
        </w:rPr>
        <w:t>-</w:t>
      </w:r>
      <w:r w:rsidRPr="00467B95">
        <w:rPr>
          <w:rFonts w:ascii="Times New Roman" w:hAnsi="Times New Roman" w:cs="Times New Roman"/>
          <w:sz w:val="28"/>
          <w:szCs w:val="28"/>
          <w:lang w:val="en-US"/>
        </w:rPr>
        <w:t>i</w:t>
      </w:r>
      <w:r w:rsidRPr="00467B95">
        <w:rPr>
          <w:rFonts w:ascii="Times New Roman" w:hAnsi="Times New Roman" w:cs="Times New Roman"/>
          <w:sz w:val="28"/>
          <w:szCs w:val="28"/>
        </w:rPr>
        <w:t>-</w:t>
      </w:r>
      <w:r w:rsidRPr="00467B95">
        <w:rPr>
          <w:rFonts w:ascii="Times New Roman" w:hAnsi="Times New Roman" w:cs="Times New Roman"/>
          <w:sz w:val="28"/>
          <w:szCs w:val="28"/>
          <w:lang w:val="en-US"/>
        </w:rPr>
        <w:t>problemy</w:t>
      </w:r>
      <w:r w:rsidRPr="00467B95">
        <w:rPr>
          <w:rFonts w:ascii="Times New Roman" w:hAnsi="Times New Roman" w:cs="Times New Roman"/>
          <w:sz w:val="28"/>
          <w:szCs w:val="28"/>
        </w:rPr>
        <w:t>/.</w:t>
      </w:r>
    </w:p>
    <w:p w:rsidR="009537A7" w:rsidRPr="00467B95" w:rsidRDefault="009537A7" w:rsidP="005A3DF4">
      <w:pPr>
        <w:pStyle w:val="af6"/>
        <w:spacing w:line="240" w:lineRule="auto"/>
        <w:contextualSpacing/>
        <w:rPr>
          <w:rFonts w:cs="Times New Roman"/>
          <w:sz w:val="28"/>
          <w:szCs w:val="28"/>
        </w:rPr>
      </w:pPr>
      <w:r w:rsidRPr="00467B95">
        <w:rPr>
          <w:rFonts w:cs="Times New Roman"/>
          <w:sz w:val="28"/>
          <w:szCs w:val="28"/>
        </w:rPr>
        <w:t>11 Декларация об основополагающих принципах и правах в сфере труда: документ Международной организации труда от 18.06.1998 [Электронный ресурс] // СПС «КонсультантПлюс». – Режим доступа: http://www.consultant.ru/document/cons_doc_LAW_ 21316/.</w:t>
      </w:r>
    </w:p>
    <w:p w:rsidR="009537A7" w:rsidRPr="008B668A" w:rsidRDefault="009537A7" w:rsidP="005A3DF4">
      <w:pPr>
        <w:pStyle w:val="a7"/>
        <w:widowControl w:val="0"/>
        <w:tabs>
          <w:tab w:val="left" w:pos="993"/>
        </w:tabs>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 xml:space="preserve">12 По делу о проверке конституционности положений статьи 129, частей первой и третьей статьи 133, частей первой, второй, третьей, четвертой и одиннадцатой статьи 133.1 Трудового кодекса Российской Федерации в связи с жалобами граждан В.С. Григорьевой, О.Л. </w:t>
      </w:r>
      <w:r w:rsidRPr="008B668A">
        <w:rPr>
          <w:rFonts w:ascii="Times New Roman" w:hAnsi="Times New Roman" w:cs="Times New Roman"/>
          <w:sz w:val="28"/>
          <w:szCs w:val="28"/>
        </w:rPr>
        <w:t>Дейдей, Н.А. Капуриной и И.Я. Кураш</w:t>
      </w:r>
      <w:r w:rsidRPr="008B668A">
        <w:rPr>
          <w:rFonts w:ascii="Times New Roman" w:hAnsi="Times New Roman" w:cs="Times New Roman"/>
          <w:b/>
          <w:sz w:val="28"/>
          <w:szCs w:val="28"/>
        </w:rPr>
        <w:t>:</w:t>
      </w:r>
      <w:r w:rsidRPr="008B668A">
        <w:rPr>
          <w:rFonts w:ascii="Times New Roman" w:hAnsi="Times New Roman" w:cs="Times New Roman"/>
          <w:sz w:val="28"/>
          <w:szCs w:val="28"/>
        </w:rPr>
        <w:t xml:space="preserve"> постановление Конституционного Суда РФ от 07.12.2017 № 38-П  [Электронный ресурс] // СПС «Законы, кодексы и нормативно-правовые акты Российской Федерации». – Режим доступа: http://legalacts.ru/sud/ postanovlenie-konstitutsionnogo-suda-rf-ot-07122017-n-38-p/.</w:t>
      </w:r>
    </w:p>
    <w:p w:rsidR="009537A7" w:rsidRPr="008B668A" w:rsidRDefault="009537A7" w:rsidP="005A3DF4">
      <w:pPr>
        <w:pStyle w:val="1"/>
        <w:keepNext w:val="0"/>
        <w:keepLines w:val="0"/>
        <w:widowControl w:val="0"/>
        <w:spacing w:before="0" w:line="240" w:lineRule="auto"/>
        <w:ind w:firstLine="709"/>
        <w:contextualSpacing/>
        <w:jc w:val="both"/>
        <w:textAlignment w:val="baseline"/>
        <w:rPr>
          <w:rFonts w:ascii="Times New Roman" w:hAnsi="Times New Roman" w:cs="Times New Roman"/>
          <w:b w:val="0"/>
          <w:color w:val="auto"/>
        </w:rPr>
      </w:pPr>
      <w:r w:rsidRPr="008B668A">
        <w:rPr>
          <w:rFonts w:ascii="Times New Roman" w:hAnsi="Times New Roman" w:cs="Times New Roman"/>
          <w:b w:val="0"/>
          <w:color w:val="auto"/>
        </w:rPr>
        <w:t>13 О признании права на заработную плату не ниже МРОТ с начислением районного коэффициента, обязании произвести перерасчет заработной платы: постановление президиума Верховного Суда РФ от 07.02.2018 № 4-ПВ17 [Электронный ресурс] // СПС «Законы, кодексы и нормативно-правовые акты Российской Федерации». – Режим доступа:</w:t>
      </w:r>
    </w:p>
    <w:p w:rsidR="009537A7" w:rsidRPr="008B668A" w:rsidRDefault="009537A7" w:rsidP="005A3DF4">
      <w:pPr>
        <w:widowControl w:val="0"/>
        <w:spacing w:after="0" w:line="240" w:lineRule="auto"/>
        <w:ind w:firstLine="709"/>
        <w:contextualSpacing/>
        <w:rPr>
          <w:rFonts w:ascii="Times New Roman" w:hAnsi="Times New Roman"/>
          <w:sz w:val="28"/>
          <w:szCs w:val="28"/>
        </w:rPr>
      </w:pPr>
      <w:r w:rsidRPr="008B668A">
        <w:rPr>
          <w:rFonts w:ascii="Times New Roman" w:hAnsi="Times New Roman"/>
          <w:sz w:val="28"/>
          <w:szCs w:val="28"/>
        </w:rPr>
        <w:t>http://legalacts.ru/sud/postanovlenie-prezidiuma-verkhovnogo-suda-rf-ot-07022018-n-4pv17/.</w:t>
      </w:r>
    </w:p>
    <w:p w:rsidR="009537A7" w:rsidRPr="008B668A" w:rsidRDefault="009537A7" w:rsidP="005A3DF4">
      <w:pPr>
        <w:widowControl w:val="0"/>
        <w:spacing w:after="0" w:line="240" w:lineRule="auto"/>
        <w:ind w:firstLine="709"/>
        <w:contextualSpacing/>
        <w:jc w:val="both"/>
        <w:rPr>
          <w:rFonts w:ascii="Times New Roman" w:hAnsi="Times New Roman"/>
          <w:sz w:val="28"/>
          <w:szCs w:val="28"/>
        </w:rPr>
      </w:pPr>
      <w:r w:rsidRPr="008B668A">
        <w:rPr>
          <w:rFonts w:ascii="Times New Roman" w:hAnsi="Times New Roman"/>
          <w:sz w:val="28"/>
          <w:szCs w:val="28"/>
        </w:rPr>
        <w:t>14 Определение Судебной коллегии по гражданским делам Верховного Суда РФ от 19.09.2016 № 51-КГ16-10 [Электронный ресурс] // СПС «Законы, кодексы и нормативно-правовые акты Российской Федерации». – Режим доступа: http://legalacts.ru/sud/opredelenie-verkhovnogo-suda-rf-ot-19092016-n-51-kg16-10/.</w:t>
      </w:r>
    </w:p>
    <w:p w:rsidR="009537A7" w:rsidRPr="008B668A" w:rsidRDefault="009537A7" w:rsidP="005A3DF4">
      <w:pPr>
        <w:widowControl w:val="0"/>
        <w:spacing w:after="0" w:line="240" w:lineRule="auto"/>
        <w:ind w:firstLine="709"/>
        <w:contextualSpacing/>
        <w:jc w:val="both"/>
        <w:rPr>
          <w:rFonts w:ascii="Times New Roman" w:hAnsi="Times New Roman"/>
          <w:sz w:val="28"/>
          <w:szCs w:val="28"/>
        </w:rPr>
      </w:pPr>
      <w:r w:rsidRPr="008B668A">
        <w:rPr>
          <w:rFonts w:ascii="Times New Roman" w:hAnsi="Times New Roman"/>
          <w:sz w:val="28"/>
          <w:szCs w:val="28"/>
        </w:rPr>
        <w:t>15 О минимальном размере оплаты труда: информационное письмо первого заместителя начальника департамента по организации, оплате и мотивации труда ОАО «РЖД» Тихомирова А.Н. от 09.08.2018 № ИСХ-1081/ЦЗТ / ОАО «РЖД». – Москва, 2018. – 2 с.</w:t>
      </w:r>
    </w:p>
    <w:p w:rsidR="009537A7" w:rsidRPr="008B668A" w:rsidRDefault="009537A7" w:rsidP="005A3DF4">
      <w:pPr>
        <w:widowControl w:val="0"/>
        <w:spacing w:after="0" w:line="240" w:lineRule="auto"/>
        <w:ind w:firstLine="709"/>
        <w:contextualSpacing/>
        <w:jc w:val="both"/>
        <w:rPr>
          <w:rFonts w:ascii="Times New Roman" w:hAnsi="Times New Roman"/>
          <w:sz w:val="28"/>
          <w:szCs w:val="28"/>
        </w:rPr>
      </w:pPr>
      <w:r w:rsidRPr="008B668A">
        <w:rPr>
          <w:rFonts w:ascii="Times New Roman" w:hAnsi="Times New Roman"/>
          <w:sz w:val="28"/>
          <w:szCs w:val="28"/>
        </w:rPr>
        <w:t>16 Определение Судебной коллегии по гражданским делам Верховного Суда РФ от 03.07.2017 № 56-КГ17-4 [Электронный ресурс] // СПС «Гарант». – Режим доступа: https://www.garant.ru/products/ipo/prime/doc/71636370/.</w:t>
      </w:r>
    </w:p>
    <w:p w:rsidR="009A1B7E" w:rsidRDefault="009A1B7E" w:rsidP="005A3DF4">
      <w:pPr>
        <w:widowControl w:val="0"/>
        <w:spacing w:after="0" w:line="240" w:lineRule="auto"/>
        <w:jc w:val="both"/>
        <w:rPr>
          <w:rFonts w:ascii="Times New Roman" w:hAnsi="Times New Roman"/>
          <w:color w:val="000000" w:themeColor="text1"/>
          <w:sz w:val="28"/>
          <w:szCs w:val="28"/>
        </w:rPr>
      </w:pPr>
    </w:p>
    <w:p w:rsidR="009A1B7E" w:rsidRDefault="009A1B7E" w:rsidP="005A3DF4">
      <w:pPr>
        <w:widowControl w:val="0"/>
        <w:spacing w:after="0" w:line="240" w:lineRule="auto"/>
        <w:jc w:val="both"/>
        <w:rPr>
          <w:rFonts w:ascii="Times New Roman" w:hAnsi="Times New Roman"/>
          <w:color w:val="000000" w:themeColor="text1"/>
          <w:sz w:val="28"/>
          <w:szCs w:val="28"/>
        </w:rPr>
      </w:pPr>
    </w:p>
    <w:p w:rsidR="00F8234A" w:rsidRPr="00467B95" w:rsidRDefault="00F8234A" w:rsidP="005A3DF4">
      <w:pPr>
        <w:widowControl w:val="0"/>
        <w:spacing w:after="0" w:line="240" w:lineRule="auto"/>
        <w:ind w:firstLine="709"/>
        <w:jc w:val="center"/>
        <w:rPr>
          <w:rFonts w:ascii="Times New Roman" w:hAnsi="Times New Roman"/>
          <w:b/>
          <w:color w:val="000000"/>
          <w:sz w:val="28"/>
          <w:szCs w:val="28"/>
        </w:rPr>
      </w:pPr>
      <w:r w:rsidRPr="00467B95">
        <w:rPr>
          <w:rFonts w:ascii="Times New Roman" w:hAnsi="Times New Roman"/>
          <w:b/>
          <w:color w:val="000000"/>
          <w:sz w:val="28"/>
          <w:szCs w:val="28"/>
        </w:rPr>
        <w:t>ЮРИДИЧЕСКАЯ ЗАЩИТА ПРАВ И ЗАКОННЫХ ИНТЕРЕСОВ НЕСОВЕРШЕННОЛЕТНИХ В ИСПОЛНИТЕЛЬНОМ ПРОИЗВОДСТВЕ</w:t>
      </w:r>
    </w:p>
    <w:p w:rsidR="0043319E" w:rsidRPr="004C5C86" w:rsidRDefault="0043319E" w:rsidP="005A3DF4">
      <w:pPr>
        <w:widowControl w:val="0"/>
        <w:spacing w:after="0" w:line="240" w:lineRule="auto"/>
        <w:ind w:firstLine="709"/>
        <w:jc w:val="center"/>
        <w:rPr>
          <w:rFonts w:ascii="Times New Roman" w:hAnsi="Times New Roman"/>
          <w:sz w:val="28"/>
          <w:szCs w:val="28"/>
        </w:rPr>
      </w:pPr>
    </w:p>
    <w:p w:rsidR="00F8234A" w:rsidRPr="00467B95" w:rsidRDefault="00F8234A" w:rsidP="005A3DF4">
      <w:pPr>
        <w:widowControl w:val="0"/>
        <w:spacing w:after="0" w:line="240" w:lineRule="auto"/>
        <w:ind w:firstLine="709"/>
        <w:jc w:val="center"/>
        <w:rPr>
          <w:rFonts w:ascii="Times New Roman" w:hAnsi="Times New Roman"/>
          <w:sz w:val="28"/>
          <w:szCs w:val="28"/>
          <w:lang w:val="en-US"/>
        </w:rPr>
      </w:pPr>
      <w:r w:rsidRPr="00467B95">
        <w:rPr>
          <w:rFonts w:ascii="Times New Roman" w:hAnsi="Times New Roman"/>
          <w:sz w:val="28"/>
          <w:szCs w:val="28"/>
          <w:lang w:val="en-US"/>
        </w:rPr>
        <w:t>LEGAL PROTECTION OF THE RIGHTS AND LEGAL INTERESTS OF MINORS IN THE EXECUTIVE MANUFACTURE</w:t>
      </w:r>
    </w:p>
    <w:p w:rsidR="00F8234A" w:rsidRPr="00467B95" w:rsidRDefault="00F8234A" w:rsidP="005A3DF4">
      <w:pPr>
        <w:widowControl w:val="0"/>
        <w:spacing w:after="0" w:line="240" w:lineRule="auto"/>
        <w:ind w:firstLine="709"/>
        <w:jc w:val="right"/>
        <w:rPr>
          <w:rFonts w:ascii="Times New Roman" w:eastAsia="Times New Roman" w:hAnsi="Times New Roman"/>
          <w:sz w:val="28"/>
          <w:szCs w:val="28"/>
          <w:lang w:val="en-US" w:eastAsia="ru-RU"/>
        </w:rPr>
      </w:pPr>
    </w:p>
    <w:p w:rsidR="00AE76D6" w:rsidRPr="00250748" w:rsidRDefault="00AE76D6" w:rsidP="005A3DF4">
      <w:pPr>
        <w:widowControl w:val="0"/>
        <w:spacing w:after="0" w:line="240" w:lineRule="auto"/>
        <w:ind w:firstLine="709"/>
        <w:jc w:val="center"/>
        <w:rPr>
          <w:rFonts w:ascii="Times New Roman" w:eastAsia="Times New Roman" w:hAnsi="Times New Roman"/>
          <w:sz w:val="28"/>
          <w:szCs w:val="28"/>
          <w:lang w:val="en-US" w:eastAsia="ru-RU"/>
        </w:rPr>
      </w:pPr>
    </w:p>
    <w:p w:rsidR="00F8234A" w:rsidRPr="00467B95" w:rsidRDefault="00F8234A" w:rsidP="005A3DF4">
      <w:pPr>
        <w:widowControl w:val="0"/>
        <w:spacing w:after="0" w:line="240" w:lineRule="auto"/>
        <w:ind w:firstLine="709"/>
        <w:jc w:val="center"/>
        <w:rPr>
          <w:rFonts w:ascii="Times New Roman" w:eastAsia="Times New Roman" w:hAnsi="Times New Roman"/>
          <w:sz w:val="28"/>
          <w:szCs w:val="28"/>
          <w:lang w:eastAsia="ru-RU"/>
        </w:rPr>
      </w:pPr>
      <w:r w:rsidRPr="00467B95">
        <w:rPr>
          <w:rFonts w:ascii="Times New Roman" w:eastAsia="Times New Roman" w:hAnsi="Times New Roman"/>
          <w:sz w:val="28"/>
          <w:szCs w:val="28"/>
          <w:lang w:eastAsia="ru-RU"/>
        </w:rPr>
        <w:lastRenderedPageBreak/>
        <w:t>Елена Сергеевна Хромина</w:t>
      </w:r>
    </w:p>
    <w:p w:rsidR="00F8234A" w:rsidRPr="00467B95" w:rsidRDefault="00F8234A" w:rsidP="005A3DF4">
      <w:pPr>
        <w:widowControl w:val="0"/>
        <w:spacing w:after="0" w:line="240" w:lineRule="auto"/>
        <w:ind w:firstLine="709"/>
        <w:jc w:val="center"/>
        <w:rPr>
          <w:rFonts w:ascii="Times New Roman" w:eastAsia="Times New Roman" w:hAnsi="Times New Roman"/>
          <w:sz w:val="28"/>
          <w:szCs w:val="28"/>
          <w:lang w:eastAsia="ru-RU"/>
        </w:rPr>
      </w:pPr>
      <w:r w:rsidRPr="00467B95">
        <w:rPr>
          <w:rFonts w:ascii="Times New Roman" w:eastAsia="Times New Roman" w:hAnsi="Times New Roman"/>
          <w:sz w:val="28"/>
          <w:szCs w:val="28"/>
          <w:lang w:val="en-US" w:eastAsia="ru-RU"/>
        </w:rPr>
        <w:t>Khromina</w:t>
      </w:r>
      <w:r w:rsidRPr="00467B95">
        <w:rPr>
          <w:rFonts w:ascii="Times New Roman" w:eastAsia="Times New Roman" w:hAnsi="Times New Roman"/>
          <w:sz w:val="28"/>
          <w:szCs w:val="28"/>
          <w:lang w:eastAsia="ru-RU"/>
        </w:rPr>
        <w:t xml:space="preserve"> </w:t>
      </w:r>
      <w:r w:rsidRPr="00467B95">
        <w:rPr>
          <w:rFonts w:ascii="Times New Roman" w:eastAsia="Times New Roman" w:hAnsi="Times New Roman"/>
          <w:sz w:val="28"/>
          <w:szCs w:val="28"/>
          <w:lang w:val="en-US" w:eastAsia="ru-RU"/>
        </w:rPr>
        <w:t>Elena</w:t>
      </w:r>
      <w:r w:rsidRPr="00467B95">
        <w:rPr>
          <w:rFonts w:ascii="Times New Roman" w:eastAsia="Times New Roman" w:hAnsi="Times New Roman"/>
          <w:sz w:val="28"/>
          <w:szCs w:val="28"/>
          <w:lang w:eastAsia="ru-RU"/>
        </w:rPr>
        <w:t xml:space="preserve"> </w:t>
      </w:r>
      <w:r w:rsidRPr="00467B95">
        <w:rPr>
          <w:rFonts w:ascii="Times New Roman" w:eastAsia="Times New Roman" w:hAnsi="Times New Roman"/>
          <w:sz w:val="28"/>
          <w:szCs w:val="28"/>
          <w:lang w:val="en-US" w:eastAsia="ru-RU"/>
        </w:rPr>
        <w:t>Sergeevna</w:t>
      </w:r>
    </w:p>
    <w:p w:rsidR="00F8234A" w:rsidRPr="00467B95" w:rsidRDefault="00F8234A" w:rsidP="005A3DF4">
      <w:pPr>
        <w:widowControl w:val="0"/>
        <w:spacing w:after="0" w:line="240" w:lineRule="auto"/>
        <w:ind w:firstLine="709"/>
        <w:jc w:val="both"/>
        <w:rPr>
          <w:rFonts w:ascii="Times New Roman" w:eastAsia="Times New Roman" w:hAnsi="Times New Roman"/>
          <w:sz w:val="28"/>
          <w:szCs w:val="28"/>
          <w:lang w:eastAsia="ru-RU"/>
        </w:rPr>
      </w:pPr>
    </w:p>
    <w:p w:rsidR="00F8234A" w:rsidRPr="0043319E" w:rsidRDefault="00F8234A" w:rsidP="005A3DF4">
      <w:pPr>
        <w:widowControl w:val="0"/>
        <w:spacing w:after="0" w:line="240" w:lineRule="auto"/>
        <w:ind w:firstLine="709"/>
        <w:jc w:val="both"/>
        <w:rPr>
          <w:rFonts w:ascii="Times New Roman" w:hAnsi="Times New Roman"/>
          <w:b/>
          <w:i/>
          <w:sz w:val="28"/>
          <w:szCs w:val="28"/>
        </w:rPr>
      </w:pPr>
      <w:r w:rsidRPr="0043319E">
        <w:rPr>
          <w:rFonts w:ascii="Times New Roman" w:hAnsi="Times New Roman"/>
          <w:i/>
          <w:sz w:val="28"/>
          <w:szCs w:val="28"/>
        </w:rPr>
        <w:t>Аннотация.</w:t>
      </w:r>
      <w:r w:rsidRPr="0043319E">
        <w:rPr>
          <w:rFonts w:ascii="Times New Roman" w:hAnsi="Times New Roman"/>
          <w:b/>
          <w:i/>
          <w:sz w:val="28"/>
          <w:szCs w:val="28"/>
        </w:rPr>
        <w:t xml:space="preserve"> </w:t>
      </w:r>
      <w:r w:rsidRPr="0043319E">
        <w:rPr>
          <w:rFonts w:ascii="Times New Roman" w:hAnsi="Times New Roman"/>
          <w:i/>
          <w:sz w:val="28"/>
          <w:szCs w:val="28"/>
        </w:rPr>
        <w:t>В научной статье рассмотрены основные права и обязанности участия несовершеннолетних в ходе отправления исполнительного производства. Изучены нормативно-правовые акты в Российской Федерации, в которых содержится о производстве исполнительных действий в отношении должников по алиментным обязательствам, которые направлены на защиту законных прав и интересов несовершеннолетних. Были рассмотрены особенности отправления исполнительного производства связанного с определением порядка общения несовершеннолетнего с одним из родителей, а также роль судебных приставов и исполнителей в процессе организации встреч несовершеннолетних с законными представителями.</w:t>
      </w:r>
      <w:r w:rsidRPr="0043319E">
        <w:rPr>
          <w:rFonts w:ascii="Times New Roman" w:hAnsi="Times New Roman"/>
          <w:b/>
          <w:i/>
          <w:sz w:val="28"/>
          <w:szCs w:val="28"/>
        </w:rPr>
        <w:t xml:space="preserve"> </w:t>
      </w:r>
    </w:p>
    <w:p w:rsidR="00F8234A" w:rsidRPr="0043319E" w:rsidRDefault="00F8234A" w:rsidP="005A3DF4">
      <w:pPr>
        <w:widowControl w:val="0"/>
        <w:spacing w:after="0" w:line="240" w:lineRule="auto"/>
        <w:ind w:firstLine="709"/>
        <w:jc w:val="both"/>
        <w:rPr>
          <w:rFonts w:ascii="Times New Roman" w:hAnsi="Times New Roman"/>
          <w:b/>
          <w:i/>
          <w:sz w:val="28"/>
          <w:szCs w:val="28"/>
        </w:rPr>
      </w:pPr>
    </w:p>
    <w:p w:rsidR="00F8234A" w:rsidRPr="0043319E" w:rsidRDefault="00F8234A" w:rsidP="005A3DF4">
      <w:pPr>
        <w:widowControl w:val="0"/>
        <w:spacing w:after="0" w:line="240" w:lineRule="auto"/>
        <w:ind w:firstLine="709"/>
        <w:jc w:val="both"/>
        <w:rPr>
          <w:rFonts w:ascii="Times New Roman" w:hAnsi="Times New Roman"/>
          <w:i/>
          <w:sz w:val="28"/>
          <w:szCs w:val="28"/>
          <w:lang w:val="en-US"/>
        </w:rPr>
      </w:pPr>
      <w:r w:rsidRPr="0043319E">
        <w:rPr>
          <w:rFonts w:ascii="Times New Roman" w:hAnsi="Times New Roman"/>
          <w:i/>
          <w:sz w:val="28"/>
          <w:szCs w:val="28"/>
          <w:lang w:val="en-US"/>
        </w:rPr>
        <w:t>Annotation. The scientific article discusses the basic rights and obligations of the participation of minors in the course of the enforcement proceedings. We studied the regulatory legal acts in the Russian Federation, which contain the execution of executive actions against debtors under maintenance obligations, which are aimed at protecting the legal rights and interests of minors. The features of the administration of enforcement proceedings related to determining the order of communication between a minor with one of the parents, as well as the role of bailiffs and perpetrators in the process of organizing meetings of minors with legal representatives were considered.</w:t>
      </w:r>
    </w:p>
    <w:p w:rsidR="00F8234A" w:rsidRPr="0043319E" w:rsidRDefault="00F8234A" w:rsidP="005A3DF4">
      <w:pPr>
        <w:widowControl w:val="0"/>
        <w:tabs>
          <w:tab w:val="left" w:pos="8395"/>
        </w:tabs>
        <w:spacing w:after="0" w:line="240" w:lineRule="auto"/>
        <w:ind w:firstLine="709"/>
        <w:jc w:val="both"/>
        <w:rPr>
          <w:rFonts w:ascii="Times New Roman" w:hAnsi="Times New Roman"/>
          <w:i/>
          <w:sz w:val="28"/>
          <w:szCs w:val="28"/>
          <w:lang w:val="en-US"/>
        </w:rPr>
      </w:pPr>
    </w:p>
    <w:p w:rsidR="00F8234A" w:rsidRPr="0043319E" w:rsidRDefault="00F8234A" w:rsidP="005A3DF4">
      <w:pPr>
        <w:widowControl w:val="0"/>
        <w:tabs>
          <w:tab w:val="left" w:pos="8395"/>
        </w:tabs>
        <w:spacing w:after="0" w:line="240" w:lineRule="auto"/>
        <w:ind w:firstLine="709"/>
        <w:jc w:val="both"/>
        <w:rPr>
          <w:rFonts w:ascii="Times New Roman" w:hAnsi="Times New Roman"/>
          <w:i/>
          <w:sz w:val="28"/>
          <w:szCs w:val="28"/>
        </w:rPr>
      </w:pPr>
      <w:r w:rsidRPr="0043319E">
        <w:rPr>
          <w:rFonts w:ascii="Times New Roman" w:hAnsi="Times New Roman"/>
          <w:i/>
          <w:sz w:val="28"/>
          <w:szCs w:val="28"/>
        </w:rPr>
        <w:t xml:space="preserve">Ключевые слова. Несовершеннолетние, законные представители, исполнительное производство, должник, права и обязанности несовершеннолетних, правовая защита несовершеннолетних, общение несовершеннолетних с родителями. </w:t>
      </w:r>
    </w:p>
    <w:p w:rsidR="00F8234A" w:rsidRPr="0043319E" w:rsidRDefault="00F8234A" w:rsidP="005A3DF4">
      <w:pPr>
        <w:widowControl w:val="0"/>
        <w:spacing w:after="0" w:line="240" w:lineRule="auto"/>
        <w:ind w:firstLine="709"/>
        <w:jc w:val="both"/>
        <w:rPr>
          <w:rFonts w:ascii="Times New Roman" w:hAnsi="Times New Roman"/>
          <w:i/>
          <w:sz w:val="28"/>
          <w:szCs w:val="28"/>
        </w:rPr>
      </w:pPr>
    </w:p>
    <w:p w:rsidR="00F8234A" w:rsidRPr="0043319E" w:rsidRDefault="00F8234A" w:rsidP="005A3DF4">
      <w:pPr>
        <w:widowControl w:val="0"/>
        <w:spacing w:after="0" w:line="240" w:lineRule="auto"/>
        <w:ind w:firstLine="709"/>
        <w:jc w:val="both"/>
        <w:rPr>
          <w:rFonts w:ascii="Times New Roman" w:hAnsi="Times New Roman"/>
          <w:i/>
          <w:sz w:val="28"/>
          <w:szCs w:val="28"/>
          <w:lang w:val="en-US"/>
        </w:rPr>
      </w:pPr>
      <w:r w:rsidRPr="0043319E">
        <w:rPr>
          <w:rFonts w:ascii="Times New Roman" w:hAnsi="Times New Roman"/>
          <w:i/>
          <w:sz w:val="28"/>
          <w:szCs w:val="28"/>
          <w:lang w:val="en-US"/>
        </w:rPr>
        <w:t>Keywords. Minors, legal representatives, enforcement proceedings, debtor, rights and obligations of minors, legal protection of minors, communication of minors with parents.</w:t>
      </w:r>
    </w:p>
    <w:p w:rsidR="00F8234A" w:rsidRPr="00467B95" w:rsidRDefault="00F8234A" w:rsidP="005A3DF4">
      <w:pPr>
        <w:widowControl w:val="0"/>
        <w:spacing w:after="0" w:line="240" w:lineRule="auto"/>
        <w:ind w:firstLine="709"/>
        <w:jc w:val="both"/>
        <w:rPr>
          <w:rFonts w:ascii="Times New Roman" w:hAnsi="Times New Roman"/>
          <w:sz w:val="28"/>
          <w:szCs w:val="28"/>
          <w:lang w:val="en-US"/>
        </w:rPr>
      </w:pP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соответствии с Конституцией РФ материнство и детство, семья находятся под защитой государства. Основными целями защиты прав и законных интересов несовершеннолетних являются: соблюдение основных гарантий прав и законных интересов детей, недопущение их дискриминации, восстановление прав ребёнка в случае нарушений [1].</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Основным органом, осуществляющим деятельность по надзору за исполнением и охране прав несовершеннолетних в Российской Федерации, являются органы опеки и попечительства.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соответствии с Законом об исполнительном производстве защита прав несовершеннолетних осуществляется законными представителями </w:t>
      </w:r>
      <w:r w:rsidRPr="00467B95">
        <w:rPr>
          <w:rFonts w:ascii="Times New Roman" w:hAnsi="Times New Roman"/>
          <w:sz w:val="28"/>
          <w:szCs w:val="28"/>
        </w:rPr>
        <w:lastRenderedPageBreak/>
        <w:t>несовершеннолетних и органом опеки и попечительства [2].</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качестве законных представителей несовершеннолетних согласно действующего законодательства признаются родители, усыновители, опекуны или попечители.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 определенные законом представители несовершеннолетних совершают от имени представляемых все дозволенные действия, либо имеют право поручить участие в исполнительном производстве другому лицу, выбранному ими в качестве представителя.</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защиту интересов несовершеннолетнего могу выступать как один из законных представителей, так и оба. В случае если интересы законных представителей противоречивы, возникает ситуация, при которой законный представитель юридически сохраняет свой статус, фактически не принимает участия в воспитании несовершеннолетнего.</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Основу исполнительных производств, затрагивающих права несовершеннолетнего, составляют производства о взыскании алиментов. Так в соблюдении прав несовершеннолетних при производстве по делам о взыскании алиментов будет заключаться в своевременном установлении должника, его розыске и назначения исполнения в соответствии с решением суда. На практике выполнение указанных судебными-приставами не всегда возможно в силу различных причин. В одних случаях это связанно с нежеланием исполнять одним из законных представителей своих обязанностей, в других с тяжелым материальным положением представителей или обязанностью содержать других своих детей [2].</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Согласно ст. 51 Закона об исполнительном производстве, несовершеннолетние участники исполнительного производства подразделяются на три возрастные группы:</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Права и обязанности несовершеннолетнего в возрасте до четырнадцати лет осуществляет в исполнительном производстве его законный представитель.</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Несовершеннолетний в возрасте от четырнадцати до шестнадцати лет, являющийся по исполнительному документу взыскателем или должником, осуществляет свои права и исполняет обязанности в исполнительном производстве в присутствии или с согласия в письменной форме своего законного представителя или представителя органа опеки и попечительства.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Несовершеннолетний в возрасте от шестнадцати до восемнадцати лет, являющийся по исполнительному документу взыскателем или должником, осуществляет свои права и исполняет обязанности в исполнительном производстве самостоятельно. Судебный пристав-исполнитель вправе в этом случае привлечь для участия в исполнительном производстве законного представителя несовершеннолетнего или представителя органа опеки и попечительства.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Дееспособный несовершеннолетний самостоятельно осуществляет свои права и исполняет обязанности в исполнительном производстве [2].</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 момента рождения ребенка родители несут обязанность по его </w:t>
      </w:r>
      <w:r w:rsidRPr="00467B95">
        <w:rPr>
          <w:rFonts w:ascii="Times New Roman" w:hAnsi="Times New Roman"/>
          <w:sz w:val="28"/>
          <w:szCs w:val="28"/>
        </w:rPr>
        <w:lastRenderedPageBreak/>
        <w:t>содержанию. В случае, когда один из них уклоняется от этого, второй родитель имеет право на получение материальных средств в пользу несовершеннолетнего. Причем если официально брак между супругами не расторгнут, то один из родителей также может принять меры для защиты прав своего ребенка.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Алиментные обязательства одного из родителей продолжаются до достижения ребенком совершеннолетия, то есть до 18 лет. После этого требовать содержания от родителей гражданин не может, даже в том случае, если он обучается в учебном заведении в очной форме. Право на получение алиментов может прекратиться и досрочно в случае, когда в судебном порядке была проведена эмансипация ребенка, то есть приобретение им полной дееспособности до совершеннолетия.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практике существуют различные по своему правовому содержанию способы взыскания алиментов на несовершеннолетних детей, о которых и пойдет речь далее.</w:t>
      </w:r>
    </w:p>
    <w:p w:rsidR="00F8234A" w:rsidRPr="00467B95" w:rsidRDefault="00F8234A" w:rsidP="005A3DF4">
      <w:pPr>
        <w:widowControl w:val="0"/>
        <w:tabs>
          <w:tab w:val="left" w:pos="1150"/>
        </w:tabs>
        <w:spacing w:after="0" w:line="240" w:lineRule="auto"/>
        <w:ind w:firstLine="709"/>
        <w:jc w:val="both"/>
        <w:rPr>
          <w:rFonts w:ascii="Times New Roman" w:hAnsi="Times New Roman"/>
          <w:sz w:val="28"/>
          <w:szCs w:val="28"/>
        </w:rPr>
      </w:pPr>
      <w:r w:rsidRPr="00467B95">
        <w:rPr>
          <w:rFonts w:ascii="Times New Roman" w:hAnsi="Times New Roman"/>
          <w:sz w:val="28"/>
          <w:szCs w:val="28"/>
        </w:rPr>
        <w:t>В ряде случаев, когда у родителей не возникает споров относительно самого факта исполнения алиментных обязательств и сумм, выделяемых на содержание несовершеннолетнего, возможно добровольное их исполнение, что имеет закрепление в виде соглашения, заключенного между родителями.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Соглашение о взыскании алиментов на несовершеннолетних детей составляется в письменной форме и заверяется у нотариуса. Это обязательное условие, так как без надлежащего удостоверения соглашение не имеет правовой силы, что подтверждается соответствующей правоприменительной практикой.</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Основанием для прекращения действия этого документа через суд является значительное изменение материального состояния одной из сторон либо их семейного положения.</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основанием для прекращения действия соглашения является достижение ребенком совершеннолетия.</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практике чаще всего родителям не удается прийти согласию относительно порядка содержания ребенка. В этом случае применяется судебный порядок взыскания алиментов на несовершеннолетних детей.</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Семейным кодексом РФ регламентируется порядок взыскания алиментов на содержание несовершеннолетних детей. Так, ст. 82 СК РФ установлено, что виды заработка и (или) иного дохода родителей в рублях и (или) иностранной валюте и из которых производится удержание алиментов, взыскиваемых на несовершеннолетних детей, определяются Правительством РФ. Так же, алименты удерживаются, в том числе из пособия по безработице только на основании судебного акта о взыскании алиментов либо нотариально удостоверенного соглашения об уплате алиментов [3].</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Если же плательщик алиментов постоянно игнорирует требования об уплате алиментов и не предпринимает действий, как-либо направленных на выполнение своих обязательств перед своим несовершеннолетним ребенком, то такое противоправное поведение признается злостным уклонением. При </w:t>
      </w:r>
      <w:r w:rsidRPr="00467B95">
        <w:rPr>
          <w:rFonts w:ascii="Times New Roman" w:hAnsi="Times New Roman"/>
          <w:sz w:val="28"/>
          <w:szCs w:val="28"/>
        </w:rPr>
        <w:lastRenderedPageBreak/>
        <w:t>этом нерадивый родитель может быть привлечен к несению уголовной ответственности по 157 статье УК РФ. Максимальной санкцией данной нормы является лишение свободы, что на практике применяется крайне редко.</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Общение с ребенком после развода – право каждого родителя, что гарантировано ст. 66 Семейного кодекса Российской Федерации. С другой стороны, ст. 55 СК РФ фиксирует, что у каждого ребенка есть право на общение с родителем, независимо от совместности проживания и брака матери и отца [3].</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Глава 12 СК РФ устанавливает перечень прав и обязанностей родителей в отношении детей, к которым относятся: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равные права и обязанности матери и отца;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прекращение прав в случае лишения родительских прав осуществляется в судебном порядке;</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возможно ограничение полномочий;</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после устранения нарушений допускается восстановление отцовства/материнства.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Этот список действителен в отношении биологических матери и отца, а также усыновителей после вступления в юридическую силу судебного решения об усыновлении.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Закон гарантирует равные права матери и отца, независимо от адреса проживания (ст. 66 СК РФ). Отдельно проживающий родитель имеет право на встречи с детьми, участие в их воспитании, решение вопросов, связанных с развитием и образованием. Второй родитель – законный представитель, с которым живет несовершеннолетний, не имеет права мешать их общению. Исключение – причинение психологическому или физическому здоровью ребенка вреда [3].</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Порядок общения устанавливается мировым соглашением или судом по исковому заявлению одного из родителей. За нарушение установленных условий могут применяться нормы юридической ответственности.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После завершения бракоразводного процесса отдельно проживающий родитель имеет следующие права: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регулярные встречи с детьми;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неограниченное общение с ними;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получение информации о детях в любое время (в образовательных и медицинских учреждениях);</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высказывание личного мнения по всем вопросам, связанным с воспитанием и взрослением несовершеннолетнего;</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регулирование вопросов перемещения детей за пределы России.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Если после прекращения брака, бывшие супруги так и не смогли договориться друг с другом, то в этом случае папа и мама должны обратиться в суд для того, чтобы удалось успешно урегулировать вопрос относительно особенностей общения с ребенком [4].</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Представители суда уже будут учитывать многочисленные аспекты, в </w:t>
      </w:r>
      <w:r w:rsidRPr="00467B95">
        <w:rPr>
          <w:rFonts w:ascii="Times New Roman" w:hAnsi="Times New Roman"/>
          <w:sz w:val="28"/>
          <w:szCs w:val="28"/>
        </w:rPr>
        <w:lastRenderedPageBreak/>
        <w:t>том числе:</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размер зарплаты каждого родителя;</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наличие жилой площади;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наличие постоянной работы;</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особенности рабочего графика: сменность, число выходных, длительность смен.</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Важно понимать, что суд будет учитывать даже свидетельские показания, поэтому к решению вопроса могут привлечь соседей, воспитателей детсада или учителей школы. Дело в том, что суд должен составить правильную и полную картину относительно семьи.</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Дети, достигшие десятилетнего возраста, могут заявить о своих пожеланиях относительно проживания с папой или мамой. Однако мнение ребенка не всегда может быть искренним и основанным на правдивых моментах. В некоторых случаях расстроенный малыш может принять определенное решение назло одному из родителей.</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судебном решении будет составлен примерный график общения родителя, проживающего отдельно, с ребенком. При этом в документе будут указаны такие сведения, как продолжительность общения, особенности встреч, условия возвращения ребенка другому родителю.</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Органы опеки обладают полной картиной по всем семьям в определенном регионе. Таким образом, именно органы опеки идеально знают все важные нюансы. Неудивительно, что представители ООП должны разработать предложения к началу судебного процесса [5 </w:t>
      </w:r>
      <w:r w:rsidRPr="00467B95">
        <w:rPr>
          <w:rFonts w:ascii="Times New Roman" w:hAnsi="Times New Roman"/>
          <w:sz w:val="28"/>
          <w:szCs w:val="28"/>
          <w:lang w:val="en-US"/>
        </w:rPr>
        <w:t>c</w:t>
      </w:r>
      <w:r w:rsidRPr="00467B95">
        <w:rPr>
          <w:rFonts w:ascii="Times New Roman" w:hAnsi="Times New Roman"/>
          <w:sz w:val="28"/>
          <w:szCs w:val="28"/>
        </w:rPr>
        <w:t>.112].</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Важно отметить, что для суда мнение работников органов опеки относительно проживания и воспитания детей окажется определяющим. Основной задачей становится защита интересов и прав несовершеннолетних детей [6 </w:t>
      </w:r>
      <w:r w:rsidRPr="00467B95">
        <w:rPr>
          <w:rFonts w:ascii="Times New Roman" w:hAnsi="Times New Roman"/>
          <w:sz w:val="28"/>
          <w:szCs w:val="28"/>
          <w:lang w:val="en-US"/>
        </w:rPr>
        <w:t>c</w:t>
      </w:r>
      <w:r w:rsidRPr="00467B95">
        <w:rPr>
          <w:rFonts w:ascii="Times New Roman" w:hAnsi="Times New Roman"/>
          <w:sz w:val="28"/>
          <w:szCs w:val="28"/>
        </w:rPr>
        <w:t>.89].</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Исполнение решений суда по делам, связанным с воспитанием детей, производится добровольно или принудительно — через судебных приставов-исполнителей по правилам исполнительного производства в порядке, установленном законом. Возбуждение исполнительного производства по исполнительным документам производится по месту жительства родителя, обязанного исполнить решение, или по месту нахождения ребенка. Заявление о возбуждении исполнительного производства, а также исполнительный документ передаются судебному приставу-исполнителю в течение трех дней с момента их поступления в подразделение судебных приставов. Судебный пристав-исполнитель обязан в трехдневный срок со дня поступления к нему исполнительного документа вынести постановление о возбуждении исполнительного производства либо об отказе в возбуждении исполнительно­го производства. Если исполнительный документ подлежит немедленному исполнению, то он после поступления в подразделение судебных приставов немедленно передается судебному приставу-исполнителю, чьи полномочия распространяются на территорию, где должно быть произведено исполнение, а в случае его отсутствия — другому </w:t>
      </w:r>
      <w:r w:rsidRPr="00467B95">
        <w:rPr>
          <w:rFonts w:ascii="Times New Roman" w:hAnsi="Times New Roman"/>
          <w:sz w:val="28"/>
          <w:szCs w:val="28"/>
        </w:rPr>
        <w:lastRenderedPageBreak/>
        <w:t xml:space="preserve">судебному приставу-исполнителю [7 </w:t>
      </w:r>
      <w:r w:rsidRPr="00467B95">
        <w:rPr>
          <w:rFonts w:ascii="Times New Roman" w:hAnsi="Times New Roman"/>
          <w:sz w:val="28"/>
          <w:szCs w:val="28"/>
          <w:lang w:val="en-US"/>
        </w:rPr>
        <w:t>c</w:t>
      </w:r>
      <w:r w:rsidRPr="00467B95">
        <w:rPr>
          <w:rFonts w:ascii="Times New Roman" w:hAnsi="Times New Roman"/>
          <w:sz w:val="28"/>
          <w:szCs w:val="28"/>
        </w:rPr>
        <w:t>.144].</w:t>
      </w:r>
    </w:p>
    <w:p w:rsidR="00F8234A" w:rsidRPr="00467B95" w:rsidRDefault="00F8234A"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Список использованных источников</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1 Федеральный закон «Об исполнительном производстве» от 02.10.2007 № 229-ФЗ (ред. от 06.03.2019). [Электронный ресурс] // Консультант плюс. – Режим доступа: http://www.consultant.ru/document/cons_doc_LAW_71450/</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Конституция Российской Федерации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 [Электронный ресурс] // Консультант плюс. – Режим доступа: </w:t>
      </w:r>
      <w:hyperlink r:id="rId182" w:history="1">
        <w:r w:rsidRPr="00467B95">
          <w:rPr>
            <w:rFonts w:ascii="Times New Roman" w:hAnsi="Times New Roman"/>
            <w:sz w:val="28"/>
            <w:szCs w:val="28"/>
          </w:rPr>
          <w:t>http://www.consultant.ru/document/cons_doc_LAW_28399/</w:t>
        </w:r>
      </w:hyperlink>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3 Семейный кодекс Российской Федерации от 29.12.1995 N 223-ФЗ (ред. от 18.03.2019). [Электронный ресурс] // Консультант плюс. – Режим доступа: </w:t>
      </w:r>
      <w:hyperlink r:id="rId183" w:history="1">
        <w:r w:rsidRPr="00467B95">
          <w:rPr>
            <w:rFonts w:ascii="Times New Roman" w:hAnsi="Times New Roman"/>
            <w:sz w:val="28"/>
            <w:szCs w:val="28"/>
          </w:rPr>
          <w:t>http://www.consultant.ru/document/cons_doc_LAW_46936/</w:t>
        </w:r>
      </w:hyperlink>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Федеральный закон от 24.04.2008 N 48-ФЗ (ред. от 03.08.2018) "Об опеке и попечительстве". [Электронный ресурс] // Консультант плюс. – Режим доступа: http://www.consultant.ru/document/cons_doc_LAW_76459/</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Гуреев В.А., Гущин В.В. Исполнительное производство. - М.: Юрайт, 2016. - 560 с.</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Гущин В.В. Сущность и содержание исполнительного производства по российскому законодательству // Законы России: опыт, анализ, практика. - 2015. - № 5. - С. 13 - 17.</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7 Мамыкин, А.С. Исполнительное производство / А.С. Мамыкин. - М.: Книга по Требованию, 2016. - 418 c.</w:t>
      </w:r>
    </w:p>
    <w:p w:rsidR="00F8234A" w:rsidRPr="00467B95" w:rsidRDefault="00F8234A" w:rsidP="005A3DF4">
      <w:pPr>
        <w:widowControl w:val="0"/>
        <w:spacing w:after="0" w:line="240" w:lineRule="auto"/>
        <w:ind w:firstLine="709"/>
        <w:jc w:val="both"/>
        <w:rPr>
          <w:rFonts w:ascii="Times New Roman" w:hAnsi="Times New Roman"/>
          <w:sz w:val="28"/>
          <w:szCs w:val="28"/>
        </w:rPr>
      </w:pPr>
    </w:p>
    <w:p w:rsidR="004C5C86" w:rsidRPr="008B668A" w:rsidRDefault="004C5C86" w:rsidP="005A3DF4">
      <w:pPr>
        <w:widowControl w:val="0"/>
        <w:spacing w:after="0" w:line="240" w:lineRule="auto"/>
        <w:ind w:firstLine="709"/>
        <w:jc w:val="center"/>
        <w:rPr>
          <w:rFonts w:ascii="Times New Roman" w:hAnsi="Times New Roman"/>
          <w:b/>
          <w:sz w:val="28"/>
          <w:szCs w:val="28"/>
        </w:rPr>
      </w:pPr>
      <w:r w:rsidRPr="008B668A">
        <w:rPr>
          <w:rFonts w:ascii="Times New Roman" w:hAnsi="Times New Roman"/>
          <w:b/>
          <w:sz w:val="28"/>
          <w:szCs w:val="28"/>
        </w:rPr>
        <w:t>Уголовно-правовая характеристика личности киберпреступника</w:t>
      </w:r>
    </w:p>
    <w:p w:rsidR="004C5C86" w:rsidRPr="008B668A" w:rsidRDefault="004C5C86" w:rsidP="005A3DF4">
      <w:pPr>
        <w:widowControl w:val="0"/>
        <w:spacing w:after="0" w:line="240" w:lineRule="auto"/>
        <w:ind w:firstLine="709"/>
        <w:jc w:val="center"/>
        <w:rPr>
          <w:rFonts w:ascii="Times New Roman" w:hAnsi="Times New Roman"/>
          <w:b/>
          <w:sz w:val="28"/>
          <w:szCs w:val="28"/>
        </w:rPr>
      </w:pPr>
    </w:p>
    <w:p w:rsidR="004C5C86" w:rsidRPr="008B668A" w:rsidRDefault="004C5C86" w:rsidP="005A3DF4">
      <w:pPr>
        <w:widowControl w:val="0"/>
        <w:spacing w:after="0" w:line="240" w:lineRule="auto"/>
        <w:ind w:firstLine="709"/>
        <w:jc w:val="center"/>
        <w:rPr>
          <w:rFonts w:ascii="Times New Roman" w:hAnsi="Times New Roman"/>
          <w:i/>
          <w:sz w:val="28"/>
          <w:szCs w:val="28"/>
        </w:rPr>
      </w:pPr>
      <w:r w:rsidRPr="008B668A">
        <w:rPr>
          <w:rFonts w:ascii="Times New Roman" w:hAnsi="Times New Roman"/>
          <w:sz w:val="28"/>
          <w:szCs w:val="28"/>
        </w:rPr>
        <w:tab/>
      </w:r>
      <w:r w:rsidRPr="008B668A">
        <w:rPr>
          <w:rFonts w:ascii="Times New Roman" w:hAnsi="Times New Roman"/>
          <w:i/>
          <w:sz w:val="28"/>
          <w:szCs w:val="28"/>
        </w:rPr>
        <w:t>Чебунин Никита Алексеевич</w:t>
      </w:r>
    </w:p>
    <w:p w:rsidR="004C5C86" w:rsidRPr="008B668A" w:rsidRDefault="004C5C86" w:rsidP="005A3DF4">
      <w:pPr>
        <w:widowControl w:val="0"/>
        <w:spacing w:after="0" w:line="240" w:lineRule="auto"/>
        <w:ind w:firstLine="709"/>
        <w:jc w:val="center"/>
        <w:rPr>
          <w:rFonts w:ascii="Times New Roman" w:hAnsi="Times New Roman"/>
          <w:sz w:val="28"/>
          <w:szCs w:val="28"/>
        </w:rPr>
      </w:pPr>
      <w:r w:rsidRPr="008B668A">
        <w:rPr>
          <w:rFonts w:ascii="Times New Roman" w:hAnsi="Times New Roman"/>
          <w:sz w:val="28"/>
          <w:szCs w:val="28"/>
        </w:rPr>
        <w:t>Студент группы БПЮП-15-01 Института права Владивостокского государственного университета экономики и сервиса</w:t>
      </w:r>
    </w:p>
    <w:p w:rsidR="004C5C86" w:rsidRPr="00467B95" w:rsidRDefault="004C5C86" w:rsidP="005A3DF4">
      <w:pPr>
        <w:widowControl w:val="0"/>
        <w:tabs>
          <w:tab w:val="left" w:pos="4050"/>
        </w:tabs>
        <w:spacing w:after="0" w:line="240" w:lineRule="auto"/>
        <w:ind w:firstLine="709"/>
        <w:jc w:val="both"/>
        <w:rPr>
          <w:rFonts w:ascii="Times New Roman" w:hAnsi="Times New Roman"/>
          <w:sz w:val="28"/>
          <w:szCs w:val="28"/>
        </w:rPr>
      </w:pPr>
    </w:p>
    <w:p w:rsidR="004C5C86" w:rsidRPr="0045405F" w:rsidRDefault="004C5C86" w:rsidP="005A3DF4">
      <w:pPr>
        <w:widowControl w:val="0"/>
        <w:spacing w:after="0" w:line="240" w:lineRule="auto"/>
        <w:ind w:firstLine="709"/>
        <w:jc w:val="both"/>
        <w:rPr>
          <w:rFonts w:ascii="Times New Roman" w:hAnsi="Times New Roman"/>
          <w:i/>
          <w:sz w:val="28"/>
          <w:szCs w:val="28"/>
        </w:rPr>
      </w:pPr>
      <w:r w:rsidRPr="0045405F">
        <w:rPr>
          <w:rFonts w:ascii="Times New Roman" w:hAnsi="Times New Roman"/>
          <w:i/>
          <w:sz w:val="28"/>
          <w:szCs w:val="28"/>
        </w:rPr>
        <w:t xml:space="preserve">В статье проводится исследование данных о личности киберпреступника, полученных в результате анализа статистических данных о лицах, привлеченных к ответственности по факту совершения преступлений в сфере компьютерной информации. Автором составлен криминологический портрет типичного компьютерного преступника. </w:t>
      </w:r>
    </w:p>
    <w:p w:rsidR="004C5C86" w:rsidRPr="004C5C86" w:rsidRDefault="004C5C86" w:rsidP="005A3DF4">
      <w:pPr>
        <w:widowControl w:val="0"/>
        <w:spacing w:after="0" w:line="240" w:lineRule="auto"/>
        <w:ind w:firstLine="709"/>
        <w:jc w:val="both"/>
        <w:rPr>
          <w:rFonts w:ascii="Times New Roman" w:hAnsi="Times New Roman"/>
          <w:b/>
          <w:i/>
          <w:sz w:val="28"/>
          <w:szCs w:val="28"/>
        </w:rPr>
      </w:pPr>
    </w:p>
    <w:p w:rsidR="004C5C86" w:rsidRPr="0045405F" w:rsidRDefault="004C5C86" w:rsidP="005A3DF4">
      <w:pPr>
        <w:widowControl w:val="0"/>
        <w:spacing w:after="0" w:line="240" w:lineRule="auto"/>
        <w:ind w:firstLine="709"/>
        <w:jc w:val="both"/>
        <w:rPr>
          <w:rFonts w:ascii="Times New Roman" w:hAnsi="Times New Roman"/>
          <w:i/>
          <w:sz w:val="28"/>
          <w:szCs w:val="28"/>
        </w:rPr>
      </w:pPr>
      <w:r w:rsidRPr="0045405F">
        <w:rPr>
          <w:rFonts w:ascii="Times New Roman" w:hAnsi="Times New Roman"/>
          <w:i/>
          <w:sz w:val="28"/>
          <w:szCs w:val="28"/>
        </w:rPr>
        <w:t>Ключевые слова: компьютерная преступность, личность преступника, портрет преступника.</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 сегодняшний день, получили значительное развитие преступления, связанные с использованием информационно-компьютерных технологий (далее – ИКТ). Бурный рост количества преступлений и способов их совершения в рассматриваемой сфере обуславливается: во-первых </w:t>
      </w:r>
      <w:r w:rsidRPr="00467B95">
        <w:rPr>
          <w:rFonts w:ascii="Times New Roman" w:hAnsi="Times New Roman"/>
          <w:sz w:val="28"/>
          <w:szCs w:val="28"/>
        </w:rPr>
        <w:lastRenderedPageBreak/>
        <w:t>нарастающим уровнем информатизации общества, в связи с чем данные преступления становятся все более доступными для совершения; во-вторых, отсутствием надлежащего уровня регулирования отношений в информационной среде. Известный российский криминолог В. С. Овчинский в своём выступлении указал на мировую тенденцию виртуализации преступности, уровень виктимизации в результате киберпреступности существенно превышает уровень виктимизации формирующийся в результате «обычных форм» преступности.</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Ввиду стремительного развития преступной деятельности с использованием ИКТ, существующие научные изыскания в данном направлении являются явно недостаточными для формирования комплексного подхода к решению проблемы роста числа преступлений с использованием ИКТ. </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Технический прогресс преподносит новые способы совершения традиционных преступлений и создает абсолютно новые виды социальных отношений, в которых возникают ранее недоступные виды преступной деятельности. Каждый год ущерб, наносимый киберпреступлениями, растет.</w:t>
      </w:r>
      <w:r w:rsidRPr="00467B95">
        <w:rPr>
          <w:rStyle w:val="af0"/>
          <w:rFonts w:ascii="Times New Roman" w:hAnsi="Times New Roman"/>
          <w:sz w:val="28"/>
          <w:szCs w:val="28"/>
        </w:rPr>
        <w:footnoteRef/>
      </w:r>
      <w:r w:rsidRPr="00467B95">
        <w:rPr>
          <w:rFonts w:ascii="Times New Roman" w:hAnsi="Times New Roman"/>
          <w:sz w:val="28"/>
          <w:szCs w:val="28"/>
        </w:rPr>
        <w:t xml:space="preserve"> При этом ведущаяся в данном направлении работа правоохранительных органов направлена главным образом на нейтрализацию крупных организованных сетей преступной деятельности. Однако, такой подход не способен изменить глобальную ситуацию с ростом числа киберпреступлений. Ведущаяся сегодня законодательная деятельность в сфере регулирования отношений складывающихся при эксплуатации информационных технологий, существенно уступает потребностям правоохранительных органов для осуществления надлежащего контроля за соблюдением прав и законных интересов граждан в сфере информационных технологий. Отсутствие надлежащего законодательного регулирования, высокая анонимность совершения указанных преступлений</w:t>
      </w:r>
      <w:r w:rsidRPr="00467B95">
        <w:rPr>
          <w:rStyle w:val="af0"/>
          <w:rFonts w:ascii="Times New Roman" w:hAnsi="Times New Roman"/>
          <w:sz w:val="28"/>
          <w:szCs w:val="28"/>
        </w:rPr>
        <w:footnoteRef/>
      </w:r>
      <w:r w:rsidRPr="00467B95">
        <w:rPr>
          <w:rFonts w:ascii="Times New Roman" w:hAnsi="Times New Roman"/>
          <w:sz w:val="28"/>
          <w:szCs w:val="28"/>
        </w:rPr>
        <w:t xml:space="preserve"> и острый дефицит квалифицированных сотрудников</w:t>
      </w:r>
      <w:r w:rsidRPr="00467B95">
        <w:rPr>
          <w:rStyle w:val="af0"/>
          <w:rFonts w:ascii="Times New Roman" w:hAnsi="Times New Roman"/>
          <w:sz w:val="28"/>
          <w:szCs w:val="28"/>
        </w:rPr>
        <w:footnoteRef/>
      </w:r>
      <w:r w:rsidRPr="00467B95">
        <w:rPr>
          <w:rFonts w:ascii="Times New Roman" w:hAnsi="Times New Roman"/>
          <w:sz w:val="28"/>
          <w:szCs w:val="28"/>
        </w:rPr>
        <w:t xml:space="preserve"> позволяет сделать вывод, что число киберпреступлений в ближайшие годы будет только увеличиваться, соответственно будет расти и ущерб от незаконной деятельности в сфере информационных технологий.</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Изучение особенностей преступников, осужденных за преступления в сфере компьютерной информации (киберпреступников), требует их обособления в отдельную классификационную группу и определения места данной группы в учении о личности преступника.</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связи с изложенным, не остаётся сомнений в необходимости детального исследования существующей практики привлечения лиц, совершающих преступления в сфере компьютерной информации, к уголовной ответственности. С этой целью в данной работе осуществлен анализ судебной статистики и практики для выделения отличительных черт личности преступника, совершающего преступления в сфере компьютерной информации. Формирование представления о личности киберпреступника способствует развитию политики противодействия данному виду преступлений. </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xml:space="preserve">Личность киберпреступника необходимо раасматривать как совокупность социально значимых свойств личности, образовавшихся в процессе взаимодействия с другими людьми и обусловливающих ее преступное поведение. Рассматривая сводные статистические сведения о состоянии судимости в России за 1 полугодие 2018 года, можно выявить следующие характеристики лица, совершающего указанные преступления </w:t>
      </w:r>
      <w:r w:rsidRPr="00467B95">
        <w:rPr>
          <w:rStyle w:val="af0"/>
          <w:rFonts w:ascii="Times New Roman" w:hAnsi="Times New Roman"/>
          <w:sz w:val="28"/>
          <w:szCs w:val="28"/>
        </w:rPr>
        <w:footnoteRef/>
      </w:r>
      <w:r w:rsidRPr="00467B95">
        <w:rPr>
          <w:rFonts w:ascii="Times New Roman" w:hAnsi="Times New Roman"/>
          <w:sz w:val="28"/>
          <w:szCs w:val="28"/>
        </w:rPr>
        <w:t>.</w:t>
      </w:r>
    </w:p>
    <w:p w:rsidR="004C5C86" w:rsidRPr="00467B95" w:rsidRDefault="004C5C86" w:rsidP="007F4EC1">
      <w:pPr>
        <w:pStyle w:val="a7"/>
        <w:widowControl w:val="0"/>
        <w:numPr>
          <w:ilvl w:val="0"/>
          <w:numId w:val="43"/>
        </w:numPr>
        <w:spacing w:after="0" w:line="240" w:lineRule="auto"/>
        <w:ind w:left="0" w:firstLine="709"/>
        <w:jc w:val="both"/>
        <w:rPr>
          <w:rFonts w:ascii="Times New Roman" w:hAnsi="Times New Roman" w:cs="Times New Roman"/>
          <w:sz w:val="28"/>
          <w:szCs w:val="28"/>
        </w:rPr>
      </w:pPr>
      <w:r w:rsidRPr="00467B95">
        <w:rPr>
          <w:rFonts w:ascii="Times New Roman" w:hAnsi="Times New Roman" w:cs="Times New Roman"/>
          <w:sz w:val="28"/>
          <w:szCs w:val="28"/>
        </w:rPr>
        <w:t>Возраст лица совершившего преступление (см. диаграмму № 1)</w:t>
      </w:r>
      <w:r w:rsidRPr="00467B95">
        <w:rPr>
          <w:rStyle w:val="af0"/>
          <w:rFonts w:ascii="Times New Roman" w:hAnsi="Times New Roman" w:cs="Times New Roman"/>
          <w:sz w:val="28"/>
          <w:szCs w:val="28"/>
        </w:rPr>
        <w:t xml:space="preserve"> </w:t>
      </w:r>
      <w:r w:rsidRPr="00467B95">
        <w:rPr>
          <w:rStyle w:val="af0"/>
          <w:rFonts w:ascii="Times New Roman" w:hAnsi="Times New Roman" w:cs="Times New Roman"/>
          <w:sz w:val="28"/>
          <w:szCs w:val="28"/>
        </w:rPr>
        <w:footnoteRef/>
      </w:r>
      <w:r w:rsidRPr="00467B95">
        <w:rPr>
          <w:rFonts w:ascii="Times New Roman" w:hAnsi="Times New Roman" w:cs="Times New Roman"/>
          <w:sz w:val="28"/>
          <w:szCs w:val="28"/>
        </w:rPr>
        <w:t>:</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noProof/>
          <w:sz w:val="28"/>
          <w:szCs w:val="28"/>
          <w:lang w:eastAsia="ru-RU"/>
        </w:rPr>
        <w:drawing>
          <wp:inline distT="0" distB="0" distL="0" distR="0">
            <wp:extent cx="4360929" cy="2147777"/>
            <wp:effectExtent l="19050" t="0" r="1521" b="0"/>
            <wp:docPr id="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4368582" cy="2151546"/>
                    </a:xfrm>
                    <a:prstGeom prst="rect">
                      <a:avLst/>
                    </a:prstGeom>
                    <a:noFill/>
                  </pic:spPr>
                </pic:pic>
              </a:graphicData>
            </a:graphic>
          </wp:inline>
        </w:drawing>
      </w:r>
      <w:r w:rsidRPr="00467B95">
        <w:rPr>
          <w:rFonts w:ascii="Times New Roman" w:hAnsi="Times New Roman"/>
          <w:sz w:val="28"/>
          <w:szCs w:val="28"/>
        </w:rPr>
        <w:br w:type="textWrapping" w:clear="all"/>
        <w:t>Диаграмма № 1. Возраст лиц, привлекаемых к уголовной ответственности (%).</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Как видно из представленной диаграммы, преступления в сфере информационно-компьютерной технологий в основном совершаются в возрастном диапазоне от 18 до 49 лет. При этом интерес представляет следующая закономерность. В возрастных категориях от 14 до 17 лет и старше 50 лет наблюдается минимальное количество лиц, совершающих указанный вид преступлений. Данное обстоятельство можно объяснить тем, что лица молодого и пожилого возраста не обладают достаточной компьютерной грамотностью для создания вредоносного программного обеспечения. А с увеличение возраста молодого населения, квалификация лиц, осуществляющих деятельность с использованием ИКТ возрастает, что в совокупности с перспективой быстрого и легкого заработка часто подталкивает к совершению преступления. Любопытно, что по мере увеличения возраста лиц совершивших преступления по ст. 272 и ст. 273 УК РФ увеличивается разрыв количества привлекаемых лиц. Наблюдается прямая зависимость увеличения количества преступлений связанных с созданием, использованием и распространением вредоносных компьютерных программ и уменьшением количества преступлений связанных с неправомерным доступом к компьютерной информации. Данную закономерность можно связать с тем, что возрастная группа от 18 до 24 лет представляет собой социальный слой, который сформировался в тесной взаимосвязи с развитием ИКТ и в процессе активной информатизации общества, что в совокупности с отсутствием надлежащего регулирования породило у широкого круга лиц восприятие действительности, при котором </w:t>
      </w:r>
      <w:r w:rsidRPr="00467B95">
        <w:rPr>
          <w:rFonts w:ascii="Times New Roman" w:hAnsi="Times New Roman"/>
          <w:sz w:val="28"/>
          <w:szCs w:val="28"/>
        </w:rPr>
        <w:lastRenderedPageBreak/>
        <w:t>совершаемые в сети Интернет действия остаются безнаказанными, а возможность получения легкого заработка возрастает.</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2. Согласно проведенному анализу статистических данных о составе осужденных лиц можно сделать вывод о том, что в среднем доля женщин среди преступников, совершивших преступления в сфере компьютерной информации, составляет 11,1 %, что свидетельствует о низкой криминальной активности женщин и гендерной предрасположенности мужчин к совершению рассматриваемых деяний (см. диаграмму № 2).</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noProof/>
          <w:sz w:val="28"/>
          <w:szCs w:val="28"/>
          <w:lang w:eastAsia="ru-RU"/>
        </w:rPr>
        <w:drawing>
          <wp:inline distT="0" distB="0" distL="0" distR="0">
            <wp:extent cx="4392664" cy="1988289"/>
            <wp:effectExtent l="19050" t="0" r="26936" b="0"/>
            <wp:docPr id="4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5"/>
              </a:graphicData>
            </a:graphic>
          </wp:inline>
        </w:drawing>
      </w:r>
    </w:p>
    <w:p w:rsidR="004C5C86" w:rsidRPr="00467B95" w:rsidRDefault="004C5C86" w:rsidP="005A3DF4">
      <w:pPr>
        <w:widowControl w:val="0"/>
        <w:spacing w:after="0" w:line="240" w:lineRule="auto"/>
        <w:ind w:firstLine="709"/>
        <w:jc w:val="center"/>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Диаграмма № 2. Пол лиц, привлекаемых к уголовной ответственности (%).</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3. При характеристике личности преступника, совершающего киберпреступления, различные авторы уделяют особое внимание высокому интеллектуальному уровню и профессионализму преступников, которые совершают преступления в рассматриваемой сфере (см. диаграмму № 3).</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noProof/>
          <w:sz w:val="28"/>
          <w:szCs w:val="28"/>
          <w:lang w:eastAsia="ru-RU"/>
        </w:rPr>
        <w:drawing>
          <wp:inline distT="0" distB="0" distL="0" distR="0">
            <wp:extent cx="4845892" cy="2020186"/>
            <wp:effectExtent l="19050" t="0" r="11858" b="0"/>
            <wp:docPr id="45"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6"/>
              </a:graphicData>
            </a:graphic>
          </wp:inline>
        </w:drawing>
      </w:r>
    </w:p>
    <w:p w:rsidR="004C5C86" w:rsidRPr="00467B95" w:rsidRDefault="004C5C86" w:rsidP="005A3DF4">
      <w:pPr>
        <w:widowControl w:val="0"/>
        <w:spacing w:after="0" w:line="240" w:lineRule="auto"/>
        <w:ind w:firstLine="709"/>
        <w:jc w:val="center"/>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Диаграмма № 3. Уровень образования лиц, привлекаемых к уголовной ответственности (%).</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Согласно представленным данным, уровень образования лиц, совершающих преступления в сфере компьютерной информации находится </w:t>
      </w:r>
      <w:r w:rsidRPr="00467B95">
        <w:rPr>
          <w:rFonts w:ascii="Times New Roman" w:hAnsi="Times New Roman"/>
          <w:sz w:val="28"/>
          <w:szCs w:val="28"/>
        </w:rPr>
        <w:lastRenderedPageBreak/>
        <w:t xml:space="preserve">на довольно высоком уровне. Так, число лиц, имеющих высшее профессиональное образование составляет более трети от общего числа осужденных лиц. Наличие высокого уровня образования у преступников в сфере компьютерной информации, обуславливается требованием наличия специальных знаний для совершения киберпреступлений. Столь высокий уровень образования киберпреступников объясняется, по нашему мнению, тем, что для совершения преступлений в сфере компьютерной информации преступник должен обладать определенной квалификацией, в том числе хорошим знанием основ программирования, быть уверенным пользователем ПК, хорошо разбираться в технике, обладать навыками системного администратора и другими специальными познаниями. Кроме того, в связи с высокими требованиями к знаниям для совершения наиболее выгодных, с материальной точки зрения, преступлений, преступное сообщество в рассматриваемой сфере имеет чёткую градацию по направлениям совершения киберпреступлений. При этом, если с уменьшением уровня образования падает количество преступлений, связанных с незаконным доступом к компьютерной информации, то количество преступлений, связанных с незаконным созданием, использованием и распространением вредоносных компьютерных программ сохраняется примерно на одном уровне. Подобную статистику можно обосновать легкодоступностью вредоносного программного обеспечения. На сегодняшний день, наряду с широким перечнем программ, используемых для обхода предусмотренных систем защиты получают распространение специализированные дистрибутивы (комплект программного обеспечения), предназначенные для проведения тестов на безопасность, которые используются преступниками для обхода существующих систем защиты. </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4. При рассмотрении социального положения лиц, совершающих преступления в сфере компьютерной информации можно выявить следующие закономерности (см. диаграмму № 4):</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noProof/>
          <w:sz w:val="28"/>
          <w:szCs w:val="28"/>
          <w:lang w:eastAsia="ru-RU"/>
        </w:rPr>
        <w:drawing>
          <wp:inline distT="0" distB="0" distL="0" distR="0">
            <wp:extent cx="5034266" cy="2062716"/>
            <wp:effectExtent l="19050" t="0" r="13984" b="0"/>
            <wp:docPr id="46"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7"/>
              </a:graphicData>
            </a:graphic>
          </wp:inline>
        </w:drawing>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Диаграмма № 4. Социальное положение лиц, привлекаемых к уголовной ответственности (%).</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Как видно из представленной диаграммы, около половины осужденных за совершение компьютерных преступлений лиц не имеют постоянного источника доходов. Данное обстоятельство обуславливается тем, что лица, осуществляющие компьютерные преступления, не заинтересованы в социализации для совершения уголовно наказуемых деяний, а доходы, получаемые от незаконной деятельности существенно превышают возможности легального заработка специалистов в ИКТ.</w:t>
      </w: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5. Немаловажное значение при изучении личности лица совершившего преступление имеют сведения о ранее совершенных им преступных деяний. Исходя из статистических данных доля лиц ранее привлекавшихся к уголовной ответственности составляет 11%, из которых 3,1% имеют уже снятую или погашенную судимость, а 7,9% совершили преступление в период, когда судимость еще не была снята и погашена. Таким образом, можно сделать вывод, что 9 из 10 преступлений совершаются лицами, ранее не привлекавшимися к уголовной ответственности (см. диаграмму № 5), это свидетельствует о низкой криминализации указанной категории преступников и необходимости применения особых мер профилактики совершения преступлений в сфере компьютерной информации.</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noProof/>
          <w:sz w:val="28"/>
          <w:szCs w:val="28"/>
          <w:lang w:eastAsia="ru-RU"/>
        </w:rPr>
        <w:drawing>
          <wp:inline distT="0" distB="0" distL="0" distR="0">
            <wp:extent cx="4750996" cy="2083982"/>
            <wp:effectExtent l="19050" t="0" r="11504" b="0"/>
            <wp:docPr id="47"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8"/>
              </a:graphicData>
            </a:graphic>
          </wp:inline>
        </w:drawing>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Диаграмма № 5. Наличие судимости у лиц, привлекаемых к уголовной ответственности (%).</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6. Интересным, по мнению авторов, представляется вопрос о соучастии в рассматриваемых деяниях. Самостоятельно, не прибегая к помощи других лиц и используя лишь свои умения преступления совершило 88,5 %, а группой лиц всего 11,5 %. Что касается организованной преступной группы, то эта форма соучастия в совершении преступления слабо выражена (чуть более 3%), что говорит об индивидуализме компьютерных преступников (см. диаграмму 6).</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noProof/>
          <w:sz w:val="28"/>
          <w:szCs w:val="28"/>
          <w:lang w:eastAsia="ru-RU"/>
        </w:rPr>
        <w:lastRenderedPageBreak/>
        <w:drawing>
          <wp:inline distT="0" distB="0" distL="0" distR="0">
            <wp:extent cx="4585320" cy="2126511"/>
            <wp:effectExtent l="19050" t="0" r="24780" b="7089"/>
            <wp:docPr id="48"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9"/>
              </a:graphicData>
            </a:graphic>
          </wp:inline>
        </w:drawing>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Диаграмма № 6. Совершение преступление в сфере компьютерной безопасности в соучастии (%).</w:t>
      </w:r>
    </w:p>
    <w:p w:rsidR="004C5C86" w:rsidRPr="00467B95" w:rsidRDefault="004C5C86" w:rsidP="005A3DF4">
      <w:pPr>
        <w:widowControl w:val="0"/>
        <w:spacing w:after="0" w:line="240" w:lineRule="auto"/>
        <w:ind w:firstLine="709"/>
        <w:jc w:val="both"/>
        <w:rPr>
          <w:rFonts w:ascii="Times New Roman" w:hAnsi="Times New Roman"/>
          <w:sz w:val="28"/>
          <w:szCs w:val="28"/>
        </w:rPr>
      </w:pPr>
    </w:p>
    <w:p w:rsidR="004C5C86" w:rsidRPr="00467B95" w:rsidRDefault="004C5C86"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Учитывая изложенное, на сегодняшний день наиболее типичным образом киберпреступника является мужчина, в возрасте от 18 до 50 лет, имеющий как минимум среднее общее образование, и обладающее специальными знаниями в области ИКТ, ранее несудимый и совершивший указанное преступление единолично. Кроме того, указанные лица в большинстве случаев не имеют постоянного источника доходов, что способствует формированию направленности преступлений в сфере компьютерной информации на извлечение прибыли.</w:t>
      </w:r>
    </w:p>
    <w:p w:rsidR="004C5C86" w:rsidRDefault="004C5C86"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eastAsia="ru-RU"/>
        </w:rPr>
      </w:pPr>
      <w:r w:rsidRPr="00467B95">
        <w:rPr>
          <w:rFonts w:ascii="Times New Roman" w:eastAsia="Times New Roman" w:hAnsi="Times New Roman"/>
          <w:b/>
          <w:kern w:val="36"/>
          <w:sz w:val="28"/>
          <w:szCs w:val="28"/>
          <w:lang w:eastAsia="ru-RU"/>
        </w:rPr>
        <w:t>Развитие исполнительного производства в современный период</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Шинкоренко Екатерина Викторовна</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eastAsia="ru-RU"/>
        </w:rPr>
      </w:pPr>
      <w:r w:rsidRPr="00467B95">
        <w:rPr>
          <w:rFonts w:ascii="Times New Roman" w:eastAsia="Times New Roman" w:hAnsi="Times New Roman"/>
          <w:kern w:val="36"/>
          <w:sz w:val="28"/>
          <w:szCs w:val="28"/>
          <w:lang w:eastAsia="ru-RU"/>
        </w:rPr>
        <w:t>БЮП-15-03 группы, 4 курса Институт права</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Владивостокский государственный университет экономики и сервиса</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eastAsia="ru-RU"/>
        </w:rPr>
      </w:pPr>
      <w:r w:rsidRPr="00467B95">
        <w:rPr>
          <w:rFonts w:ascii="Times New Roman" w:eastAsia="Times New Roman" w:hAnsi="Times New Roman"/>
          <w:i/>
          <w:kern w:val="36"/>
          <w:sz w:val="28"/>
          <w:szCs w:val="28"/>
          <w:lang w:eastAsia="ru-RU"/>
        </w:rPr>
        <w:t>Россия. Владивосток</w:t>
      </w: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F8234A" w:rsidRPr="00467B95" w:rsidRDefault="00F8234A"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 xml:space="preserve">В настоящее время существует проблема эффективности исполнительного производства. Серьезность иных проблем определяет необходимость принимать комплексные меры, которые не могут ограничиваться совершенствованием законодательства вообще и законом об исполнительном производстве в частности. </w:t>
      </w:r>
    </w:p>
    <w:p w:rsidR="00CA2F7C" w:rsidRPr="00CE3E72" w:rsidRDefault="00CA2F7C"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r w:rsidRPr="00CA2F7C">
        <w:rPr>
          <w:rFonts w:ascii="Times New Roman" w:eastAsia="Times New Roman" w:hAnsi="Times New Roman"/>
          <w:i/>
          <w:kern w:val="36"/>
          <w:sz w:val="28"/>
          <w:szCs w:val="28"/>
          <w:lang w:eastAsia="ru-RU"/>
        </w:rPr>
        <w:t>Ключевые слова и словосочетания:</w:t>
      </w:r>
      <w:r w:rsidRPr="00467B95">
        <w:rPr>
          <w:rFonts w:ascii="Times New Roman" w:eastAsia="Times New Roman" w:hAnsi="Times New Roman"/>
          <w:i/>
          <w:kern w:val="36"/>
          <w:sz w:val="28"/>
          <w:szCs w:val="28"/>
          <w:lang w:eastAsia="ru-RU"/>
        </w:rPr>
        <w:t xml:space="preserve"> исполнительное производство, Федеральная служба судебных приставов, должник, законодательство, кодификация, комплексные меры.</w:t>
      </w: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eastAsia="ru-RU"/>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r w:rsidRPr="00467B95">
        <w:rPr>
          <w:rStyle w:val="tlid-translation"/>
          <w:rFonts w:ascii="Times New Roman" w:hAnsi="Times New Roman"/>
          <w:b/>
          <w:sz w:val="28"/>
          <w:szCs w:val="28"/>
          <w:lang w:val="en-US"/>
        </w:rPr>
        <w:t>The development of enforcement proceedings in the modern period</w:t>
      </w:r>
    </w:p>
    <w:p w:rsidR="00CA2F7C" w:rsidRDefault="00CA2F7C"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Shinkorenko Ekaterina Viktorovna</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kern w:val="36"/>
          <w:sz w:val="28"/>
          <w:szCs w:val="28"/>
          <w:lang w:val="en-US" w:eastAsia="ru-RU"/>
        </w:rPr>
      </w:pPr>
      <w:r w:rsidRPr="00467B95">
        <w:rPr>
          <w:rFonts w:ascii="Times New Roman" w:eastAsia="Times New Roman" w:hAnsi="Times New Roman"/>
          <w:kern w:val="36"/>
          <w:sz w:val="28"/>
          <w:szCs w:val="28"/>
          <w:lang w:val="en-US" w:eastAsia="ru-RU"/>
        </w:rPr>
        <w:t>BIP-15-03 group, 4 course, Institute of law</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lastRenderedPageBreak/>
        <w:t>Vladivostok State University of Economics and Service</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i/>
          <w:kern w:val="36"/>
          <w:sz w:val="28"/>
          <w:szCs w:val="28"/>
          <w:lang w:val="en-US" w:eastAsia="ru-RU"/>
        </w:rPr>
      </w:pPr>
      <w:r w:rsidRPr="00467B95">
        <w:rPr>
          <w:rFonts w:ascii="Times New Roman" w:eastAsia="Times New Roman" w:hAnsi="Times New Roman"/>
          <w:i/>
          <w:kern w:val="36"/>
          <w:sz w:val="28"/>
          <w:szCs w:val="28"/>
          <w:lang w:val="en-US" w:eastAsia="ru-RU"/>
        </w:rPr>
        <w:t>Vladivostok, Russia</w:t>
      </w:r>
    </w:p>
    <w:p w:rsidR="00F8234A" w:rsidRPr="00467B95" w:rsidRDefault="00F8234A" w:rsidP="005A3DF4">
      <w:pPr>
        <w:widowControl w:val="0"/>
        <w:shd w:val="clear" w:color="auto" w:fill="FFFFFF"/>
        <w:spacing w:after="0" w:line="240" w:lineRule="auto"/>
        <w:ind w:firstLine="709"/>
        <w:contextualSpacing/>
        <w:jc w:val="center"/>
        <w:rPr>
          <w:rFonts w:ascii="Times New Roman" w:eastAsia="Times New Roman" w:hAnsi="Times New Roman"/>
          <w:b/>
          <w:kern w:val="36"/>
          <w:sz w:val="28"/>
          <w:szCs w:val="28"/>
          <w:lang w:val="en-US" w:eastAsia="ru-RU"/>
        </w:rPr>
      </w:pPr>
    </w:p>
    <w:p w:rsidR="00F8234A" w:rsidRPr="00467B95" w:rsidRDefault="00F8234A" w:rsidP="005A3DF4">
      <w:pPr>
        <w:widowControl w:val="0"/>
        <w:shd w:val="clear" w:color="auto" w:fill="FFFFFF"/>
        <w:spacing w:after="0" w:line="240" w:lineRule="auto"/>
        <w:ind w:firstLine="709"/>
        <w:contextualSpacing/>
        <w:jc w:val="both"/>
        <w:rPr>
          <w:rStyle w:val="tlid-translation"/>
          <w:rFonts w:ascii="Times New Roman" w:hAnsi="Times New Roman"/>
          <w:i/>
          <w:sz w:val="28"/>
          <w:szCs w:val="28"/>
          <w:lang w:val="en-US"/>
        </w:rPr>
      </w:pPr>
      <w:r w:rsidRPr="00467B95">
        <w:rPr>
          <w:rStyle w:val="tlid-translation"/>
          <w:rFonts w:ascii="Times New Roman" w:hAnsi="Times New Roman"/>
          <w:i/>
          <w:sz w:val="28"/>
          <w:szCs w:val="28"/>
          <w:lang w:val="en-US"/>
        </w:rPr>
        <w:t>Currently, there is a problem of the effectiveness of enforcement proceedings. The seriousness of other problems determines the need to take comprehensive measures that can not be limited to the improvement of legislation in general and the law on enforcement proceedings in particular.</w:t>
      </w:r>
    </w:p>
    <w:p w:rsidR="00CA2F7C" w:rsidRDefault="00CA2F7C" w:rsidP="005A3DF4">
      <w:pPr>
        <w:widowControl w:val="0"/>
        <w:shd w:val="clear" w:color="auto" w:fill="FFFFFF"/>
        <w:spacing w:after="0" w:line="240" w:lineRule="auto"/>
        <w:ind w:firstLine="709"/>
        <w:contextualSpacing/>
        <w:jc w:val="both"/>
        <w:rPr>
          <w:rFonts w:ascii="Times New Roman" w:eastAsia="Times New Roman" w:hAnsi="Times New Roman"/>
          <w:b/>
          <w:i/>
          <w:kern w:val="36"/>
          <w:sz w:val="28"/>
          <w:szCs w:val="28"/>
          <w:lang w:val="en-US" w:eastAsia="ru-RU"/>
        </w:rPr>
      </w:pP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i/>
          <w:kern w:val="36"/>
          <w:sz w:val="28"/>
          <w:szCs w:val="28"/>
          <w:lang w:val="en-US" w:eastAsia="ru-RU"/>
        </w:rPr>
      </w:pPr>
      <w:r w:rsidRPr="00CA2F7C">
        <w:rPr>
          <w:rFonts w:ascii="Times New Roman" w:eastAsia="Times New Roman" w:hAnsi="Times New Roman"/>
          <w:i/>
          <w:kern w:val="36"/>
          <w:sz w:val="28"/>
          <w:szCs w:val="28"/>
          <w:lang w:val="en-US" w:eastAsia="ru-RU"/>
        </w:rPr>
        <w:t>Keywords and phrases:</w:t>
      </w:r>
      <w:r w:rsidRPr="00467B95">
        <w:rPr>
          <w:rFonts w:ascii="Times New Roman" w:eastAsia="Times New Roman" w:hAnsi="Times New Roman"/>
          <w:i/>
          <w:kern w:val="36"/>
          <w:sz w:val="28"/>
          <w:szCs w:val="28"/>
          <w:lang w:val="en-US" w:eastAsia="ru-RU"/>
        </w:rPr>
        <w:t xml:space="preserve"> </w:t>
      </w:r>
      <w:r w:rsidRPr="00467B95">
        <w:rPr>
          <w:rStyle w:val="tlid-translation"/>
          <w:rFonts w:ascii="Times New Roman" w:hAnsi="Times New Roman"/>
          <w:i/>
          <w:sz w:val="28"/>
          <w:szCs w:val="28"/>
          <w:lang w:val="en-US"/>
        </w:rPr>
        <w:t>enforcement proceedings, Federal bailiff service, debtor, legislation, codification, comprehensive measures.</w:t>
      </w:r>
    </w:p>
    <w:p w:rsidR="00F8234A" w:rsidRPr="00467B95" w:rsidRDefault="00F8234A" w:rsidP="005A3DF4">
      <w:pPr>
        <w:widowControl w:val="0"/>
        <w:shd w:val="clear" w:color="auto" w:fill="FFFFFF"/>
        <w:spacing w:after="0" w:line="240" w:lineRule="auto"/>
        <w:ind w:firstLine="709"/>
        <w:contextualSpacing/>
        <w:jc w:val="both"/>
        <w:rPr>
          <w:rFonts w:ascii="Times New Roman" w:eastAsia="Times New Roman" w:hAnsi="Times New Roman"/>
          <w:kern w:val="36"/>
          <w:sz w:val="28"/>
          <w:szCs w:val="28"/>
          <w:lang w:val="en-US" w:eastAsia="ru-RU"/>
        </w:rPr>
      </w:pP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shd w:val="clear" w:color="auto" w:fill="FFFFFF"/>
        </w:rPr>
        <w:t>Радикальные экономические перемены в государстве в конце XX века побудили пересмотреть систему судопроизводства. С принятием в 1997 году законов «О судебных приставах» и «Об исполнительном производстве», началось формирование службы судебных приставов. Сейчас, Федеральная служба судебных приставов, стала частью единой системы министерства юстиции и является ведомством, которое охватывает все регионы РФ и обеспечивает исполнительное производство.</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Федеральная служба судебных приставов – федеральный орган исполнительной власти, занимающий важное место во всей системе федеральных органов исполнительной власти. К тому же данный орган отвечает за исполнение судебных актов и актов иных органов, а также обеспечивает порядок и охрану в судах судебной системы Российской Федерации. ФССП является правопреемником Департамента судебных приставов Минюста России. Служба создана в соответствии с Указом Президента РФ от 09.03.2004 г. № 314 «О системе и структуре федеральных органов исполнительной власти»[1], от некогда существовавшего Департамента судебных приставов, упраздненного в 1998 году.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Основные задачи ФССП - принудительное исполнение судебных актов в сроки, установленные законодательством, обеспечение установленного порядка деятельности судов, управление территориальными органами ФССП России.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Непосредственное осуществление функций по принудительному исполнению возложено на законодательном уровне на судебных приставов - исполнителе и судебных приставов по обеспечению установленного порядка деятельности судов.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Судебный пристав - исполнитель в своей деятельности руководствуется Конституцией Российской Федерации[2], Федеральным законом «Об исполнительном производстве»[3], Федеральным законом «О судебных приставах»[4], а так же Федеральным законом «О государственной гражданской службе»[5].</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Необходимо отнести ФССП России к правоохранительным органам это в значительной степени расширит круг применения мер воздействия в отношении лиц, уклоняющихся от исполнения судебных решений. При этом в </w:t>
      </w:r>
      <w:r w:rsidRPr="00467B95">
        <w:rPr>
          <w:rFonts w:ascii="Times New Roman" w:hAnsi="Times New Roman"/>
          <w:sz w:val="28"/>
          <w:szCs w:val="28"/>
        </w:rPr>
        <w:lastRenderedPageBreak/>
        <w:t>рамках нового статуса сотрудники должны получить дополнительные социальные гарантии. Служба судебных приставов-исполнителей должна оставаться государственной и выступать в качестве единственного органа принудительного исполнения.</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настоящее время существует проблема эффективности исполнительного производства. Некоторые исследователи связывают это с «раздутым» законодательством, регулирующим исполнительное производство, с его пробельностью и отсутствием кодифицированного нормативного правового акта. Правовая природа норм, регулирующих исполнительное производство, носит комплексный характер.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Правосудие эффективно только тогда, когда решения судов не только своевременно выносятся, но и исполняются в установленные законом сроки. Защита нарушенных прав не может быть признана эффективной, если судебные акты не исполняются в установленные сроки. На этот случай законодателем должны быть предусмотрены эффективные механизмы принудительного исполнения судебных актов.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государстве эффективное и своевременное исполнение судебных решений является показателем успешного функционирования судебной системы, а также государственных органов в целом. Без реального исполнения судебных решений на практике невозможно осуществить защиту нарушенных прав. Безупречное с юридической точки зрения судебное решение сводит на нет его не эффективное исполнение, поскольку таким решением не гарантируется ни быстрое ни полное восстановление нарушенных прав, ни происходит предупреждение противоправного поведения в будущем для иных лиц.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настоящее время отсутствуют реальные гарантии исполнения судебных решений. Стоит отметить, что недостаточная эффективность исполнительного производства обусловлена множеством факторов - как объективных, так и субъективных: высокая загруженность судебных приставов- исполнителей, отсутствие должного материального и технического оснащения, низкое денежное довольствие, отсутствие автоматизации работы между судебными приставами и иными государственными органами, в том числе надлежащего электронного документооборота. Все это препятствует эффективному исполнению решений суда, что в свою очередь ставит под сомнение осуществимость основных конституционных прав и свобод граждан.</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Современная  система  принудительного исполнения, установленная  российским законодательством,  функционирует неэффективно. Большая часть исполнительных листов возвращается взыскателям в связи с тем, что у должника отсутствует имущество, за счет которого было бы возможно удовлетворение интересов взыскателя в полном объеме. Бумажная волокита, которая имеет место быть в территориальных органах Федеральной службы судебных приставов с каждым годом увеличивается, происходит ущемление прав взыскателей на восстановление нарушенных прав[6, С.49]. </w:t>
      </w:r>
    </w:p>
    <w:p w:rsidR="00F8234A" w:rsidRPr="00467B95" w:rsidRDefault="00F8234A" w:rsidP="005A3DF4">
      <w:pPr>
        <w:widowControl w:val="0"/>
        <w:tabs>
          <w:tab w:val="left" w:pos="720"/>
        </w:tabs>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ab/>
        <w:t xml:space="preserve">Решение проблемы эффективного исполнения решений судов органами принудительного исполнения очень важно, поскольку позволяет судить об эффективности судебной власти в государстве и уважение к закону рядовых граждан и юридических лиц. </w:t>
      </w:r>
    </w:p>
    <w:p w:rsidR="00F8234A" w:rsidRPr="00467B95" w:rsidRDefault="00F8234A" w:rsidP="005A3DF4">
      <w:pPr>
        <w:widowControl w:val="0"/>
        <w:tabs>
          <w:tab w:val="left" w:pos="720"/>
        </w:tabs>
        <w:spacing w:after="0" w:line="240" w:lineRule="auto"/>
        <w:ind w:firstLine="709"/>
        <w:jc w:val="both"/>
        <w:rPr>
          <w:rFonts w:ascii="Times New Roman" w:hAnsi="Times New Roman"/>
          <w:sz w:val="28"/>
          <w:szCs w:val="28"/>
        </w:rPr>
      </w:pPr>
      <w:r w:rsidRPr="00467B95">
        <w:rPr>
          <w:rFonts w:ascii="Times New Roman" w:hAnsi="Times New Roman"/>
          <w:sz w:val="28"/>
          <w:szCs w:val="28"/>
        </w:rPr>
        <w:tab/>
        <w:t xml:space="preserve">Без надлежащей работы органов принудительного исполнения по исполнению судебных актов решение суда превращается в обыкновенную бумагу, которая декларативно провозглашает, что права физического или юридического лица были нарушены, но не гарантирует, что эти права будут восстановлены.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Наиболее полно и точно практические проблемы, существующие в рассматриваемой сфере, сформулированы в Долгосрочной программе повышения эффективности исполнения судебных решений (2011 - 2020 годы), подготовленной Минюстом 16.02.2011 [7].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Все факторы, отрицательно влияющие на исполнительное производство, поделены на общесоциальные, структурные и экономические. Так, к общесоциальным факторам Минюст отнес следующие: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 правовой нигилизм, определяющий низкий уровень добровольного исполнения судебных актов и, как следствие, высокую загруженность судебных приставов;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коррупция;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3) несовершенство материального и процессуального законодательства;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4) недостаточный уровень взаимодействия между органами государственной власти, а также уровень их информатизации.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Среди структурных проблем развития системы были названы: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1) недостаточный уровень квалификации судебных приставов;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2) низкий профессиональный уровень лиц, ответственных за непосредственное исполнение судебных актов;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3) негативный имидж ФССП России;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4)дублирование функций ФССП России с функциями других органов государственной власти;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5) неурегулированность рынка коллекторских услуг и некоторые другие. Что касается экономических проблем, то акцентируется внимание на величине взимаемых штрафов за неисполнение требований, указанных в исполнительных документах; на том, что система реализации арестованного имущества не способствует реализации имущества по его рыночной стоимости и многие другие.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 времени разработки вышеуказанного проекта прошло около восьми лет, и распространение информационных технологий повлияло на решение проблем межведомственного взаимодействия и информатизации исполнительного производства. Кроме того, за эти годы вносились многочисленные поправки в Федеральный закон «Об исполнительном производстве», устраняющие некоторые пробелы законодательства.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Между тем серьезность иных проблем определяет необходимость принимать комплексные меры, которые не могут ограничиваться </w:t>
      </w:r>
      <w:r w:rsidRPr="00467B95">
        <w:rPr>
          <w:rFonts w:ascii="Times New Roman" w:hAnsi="Times New Roman"/>
          <w:sz w:val="28"/>
          <w:szCs w:val="28"/>
        </w:rPr>
        <w:lastRenderedPageBreak/>
        <w:t xml:space="preserve">совершенствованием законодательства вообще и законом об исполнительном производстве в частности. </w:t>
      </w:r>
    </w:p>
    <w:p w:rsidR="00F8234A" w:rsidRPr="00467B95" w:rsidRDefault="00F8234A" w:rsidP="005A3DF4">
      <w:pPr>
        <w:widowControl w:val="0"/>
        <w:tabs>
          <w:tab w:val="left" w:pos="720"/>
          <w:tab w:val="left" w:pos="915"/>
        </w:tabs>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Разрозненность законодательства, отсутствие единого кодифицированного акта сказываются на эффективности реализации прав и обязанностей субъектов исполнительно права. Кодификация, в дальнейшем не только сможет решить сложившиеся в отрасли проблемы, но и качественно развить ее. В подавляющем большинстве стран кодификация исполнительного законодательства не проводится. </w:t>
      </w:r>
    </w:p>
    <w:p w:rsidR="00F8234A" w:rsidRPr="00467B95" w:rsidRDefault="00F8234A" w:rsidP="005A3DF4">
      <w:pPr>
        <w:widowControl w:val="0"/>
        <w:tabs>
          <w:tab w:val="left" w:pos="720"/>
          <w:tab w:val="left" w:pos="915"/>
        </w:tabs>
        <w:spacing w:after="0" w:line="240" w:lineRule="auto"/>
        <w:ind w:firstLine="709"/>
        <w:jc w:val="both"/>
        <w:rPr>
          <w:rFonts w:ascii="Times New Roman" w:hAnsi="Times New Roman"/>
          <w:sz w:val="28"/>
          <w:szCs w:val="28"/>
        </w:rPr>
      </w:pPr>
      <w:r w:rsidRPr="00467B95">
        <w:rPr>
          <w:rFonts w:ascii="Times New Roman" w:hAnsi="Times New Roman"/>
          <w:sz w:val="28"/>
          <w:szCs w:val="28"/>
        </w:rPr>
        <w:tab/>
        <w:t xml:space="preserve">У Российской Федерации имеется достаточно опыта в проведении кодификации законодательства, принято большое количество кодексов. Однако качество этих законодательных актов невысоко. Все это свидетельствует о низком уровне юридической техники. В настоящее время выявлено несколько проблем кодификации законодательства об исполнительном производстве. </w:t>
      </w:r>
    </w:p>
    <w:p w:rsidR="00F8234A" w:rsidRPr="00467B95" w:rsidRDefault="00F8234A" w:rsidP="005A3DF4">
      <w:pPr>
        <w:widowControl w:val="0"/>
        <w:tabs>
          <w:tab w:val="left" w:pos="720"/>
          <w:tab w:val="left" w:pos="915"/>
        </w:tabs>
        <w:spacing w:after="0" w:line="240" w:lineRule="auto"/>
        <w:ind w:firstLine="709"/>
        <w:jc w:val="both"/>
        <w:rPr>
          <w:rFonts w:ascii="Times New Roman" w:hAnsi="Times New Roman"/>
          <w:sz w:val="28"/>
          <w:szCs w:val="28"/>
        </w:rPr>
      </w:pPr>
      <w:r w:rsidRPr="00467B95">
        <w:rPr>
          <w:rFonts w:ascii="Times New Roman" w:hAnsi="Times New Roman"/>
          <w:sz w:val="28"/>
          <w:szCs w:val="28"/>
        </w:rPr>
        <w:tab/>
        <w:t xml:space="preserve">Неэффективность работы законодателя в направлении кодификации исполнительного производства. В российском законодательстве большое количество разрозненных нормативных актов, в которых часто нарушена логика. Более того, иногда они противоречат друг другу. Тем не менее законодатель принимает новые акты, не задумываясь о структурном преобразовании старых законов приведении их к общему знаменателю. </w:t>
      </w:r>
    </w:p>
    <w:p w:rsidR="00F8234A" w:rsidRPr="00467B95" w:rsidRDefault="00F8234A" w:rsidP="005A3DF4">
      <w:pPr>
        <w:widowControl w:val="0"/>
        <w:tabs>
          <w:tab w:val="left" w:pos="720"/>
          <w:tab w:val="left" w:pos="915"/>
        </w:tabs>
        <w:spacing w:after="0" w:line="240" w:lineRule="auto"/>
        <w:ind w:firstLine="709"/>
        <w:jc w:val="both"/>
        <w:rPr>
          <w:rFonts w:ascii="Times New Roman" w:hAnsi="Times New Roman"/>
          <w:sz w:val="28"/>
          <w:szCs w:val="28"/>
        </w:rPr>
      </w:pPr>
      <w:r w:rsidRPr="00467B95">
        <w:rPr>
          <w:rFonts w:ascii="Times New Roman" w:hAnsi="Times New Roman"/>
          <w:sz w:val="28"/>
          <w:szCs w:val="28"/>
        </w:rPr>
        <w:tab/>
        <w:t xml:space="preserve">Отсутствие правовой регламентации и методики процесса кодификации. Эта проблема не может не сказаться на процессе кодификации. Нет какого-либо акта, регламентирующего круг полномочий субъектов, условия осуществления и процесса кодификации. </w:t>
      </w:r>
    </w:p>
    <w:p w:rsidR="00F8234A" w:rsidRPr="00467B95" w:rsidRDefault="00F8234A" w:rsidP="005A3DF4">
      <w:pPr>
        <w:widowControl w:val="0"/>
        <w:tabs>
          <w:tab w:val="left" w:pos="720"/>
          <w:tab w:val="left" w:pos="915"/>
        </w:tabs>
        <w:spacing w:after="0" w:line="240" w:lineRule="auto"/>
        <w:ind w:firstLine="709"/>
        <w:jc w:val="both"/>
        <w:rPr>
          <w:rFonts w:ascii="Times New Roman" w:hAnsi="Times New Roman"/>
          <w:sz w:val="28"/>
          <w:szCs w:val="28"/>
        </w:rPr>
      </w:pPr>
      <w:r w:rsidRPr="00467B95">
        <w:rPr>
          <w:rFonts w:ascii="Times New Roman" w:hAnsi="Times New Roman"/>
          <w:sz w:val="28"/>
          <w:szCs w:val="28"/>
        </w:rPr>
        <w:tab/>
        <w:t xml:space="preserve">Эффективность принудительного исполнения прямо связана с совершенством юридической техники. Имеется прямая зависимость между уровнем юридической техники и степенью эффективности действия норм. Исполнительное право — молодая отрасль права в Российской Федерации. Но за непродолжительный период времени законодатель смог «раздуть» регулирование исполнительного производства. </w:t>
      </w:r>
    </w:p>
    <w:p w:rsidR="00F8234A" w:rsidRPr="00467B95" w:rsidRDefault="00F8234A" w:rsidP="005A3DF4">
      <w:pPr>
        <w:widowControl w:val="0"/>
        <w:tabs>
          <w:tab w:val="left" w:pos="720"/>
        </w:tabs>
        <w:spacing w:after="0" w:line="240" w:lineRule="auto"/>
        <w:ind w:firstLine="709"/>
        <w:jc w:val="both"/>
        <w:rPr>
          <w:rFonts w:ascii="Times New Roman" w:hAnsi="Times New Roman"/>
          <w:sz w:val="28"/>
          <w:szCs w:val="28"/>
        </w:rPr>
      </w:pPr>
      <w:r w:rsidRPr="00467B95">
        <w:rPr>
          <w:rFonts w:ascii="Times New Roman" w:hAnsi="Times New Roman"/>
          <w:sz w:val="28"/>
          <w:szCs w:val="28"/>
        </w:rPr>
        <w:tab/>
        <w:t xml:space="preserve">Несистемность и противоречивость не может не сказываться на главной цели — эффективном исполнении. Для выхода из системного кризиса необходимо, во-первых, разработать на федеральном уровне правила, критерии и методы, способные стать нормативной базой для такого процесса, как кодификация. </w:t>
      </w:r>
    </w:p>
    <w:p w:rsidR="00F8234A" w:rsidRPr="00467B95" w:rsidRDefault="00F8234A" w:rsidP="005A3DF4">
      <w:pPr>
        <w:widowControl w:val="0"/>
        <w:tabs>
          <w:tab w:val="left" w:pos="720"/>
        </w:tabs>
        <w:spacing w:after="0" w:line="240" w:lineRule="auto"/>
        <w:ind w:firstLine="709"/>
        <w:jc w:val="both"/>
        <w:rPr>
          <w:rFonts w:ascii="Times New Roman" w:hAnsi="Times New Roman"/>
          <w:sz w:val="28"/>
          <w:szCs w:val="28"/>
        </w:rPr>
      </w:pPr>
      <w:r w:rsidRPr="00467B95">
        <w:rPr>
          <w:rFonts w:ascii="Times New Roman" w:hAnsi="Times New Roman"/>
          <w:sz w:val="28"/>
          <w:szCs w:val="28"/>
        </w:rPr>
        <w:tab/>
        <w:t>Необходимо определить, в каком направлении будет происходить этот процесс. В настоящее время нет единого понимания природы исполнительного права. С принятием кодифицированного акта — Исполнительного кодекса РФ в системе законодательства, регулирующей принудительное исполнение, должны произойти положительные изменения. Именно с принятием Исполнительного кодекса РФ должен произойти рывок в улучшении количественных и качественных показателей исполнительного производства.</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Предусмотренная законодательством возможность реализации </w:t>
      </w:r>
      <w:r w:rsidRPr="00467B95">
        <w:rPr>
          <w:rFonts w:ascii="Times New Roman" w:hAnsi="Times New Roman"/>
          <w:sz w:val="28"/>
          <w:szCs w:val="28"/>
        </w:rPr>
        <w:lastRenderedPageBreak/>
        <w:t xml:space="preserve">имущества должника фактически предусматривает различные способы реализации данного имущества, но при этом установленные пределы для стоимости реализуемого имущества на данный момент не вполне соответствуют с положением дел на сегодняшний день. Поэтому, необходимо привести нормы законодательства в соответствии с современной действительностью. </w:t>
      </w:r>
    </w:p>
    <w:p w:rsidR="00F8234A" w:rsidRPr="00467B95" w:rsidRDefault="00F8234A"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Очевидно, что следует увеличить данные ценовые критерии по отношению к реализации имущества должника путем внесения изменения в ст. 87 ФЗ №229-ФЗ «Об исполнительном производстве», повысив стоимость имущества, которое должник вправе самостоятельно реализовать до полумиллиона рублей, обозначив четкие ценовые рамки при реализации имущества должником самостоятельно и на торгах.</w:t>
      </w:r>
    </w:p>
    <w:p w:rsidR="008B668A" w:rsidRPr="008B668A" w:rsidRDefault="008B668A" w:rsidP="005A3DF4">
      <w:pPr>
        <w:widowControl w:val="0"/>
        <w:spacing w:after="0" w:line="240" w:lineRule="auto"/>
        <w:ind w:firstLine="709"/>
        <w:contextualSpacing/>
        <w:jc w:val="center"/>
        <w:rPr>
          <w:rFonts w:ascii="Times New Roman" w:eastAsia="Times New Roman" w:hAnsi="Times New Roman"/>
          <w:sz w:val="28"/>
          <w:szCs w:val="28"/>
          <w:lang w:eastAsia="ru-RU"/>
        </w:rPr>
      </w:pPr>
      <w:r w:rsidRPr="008B668A">
        <w:rPr>
          <w:rFonts w:ascii="Times New Roman" w:eastAsia="Times New Roman" w:hAnsi="Times New Roman"/>
          <w:sz w:val="28"/>
          <w:szCs w:val="28"/>
          <w:lang w:eastAsia="ru-RU"/>
        </w:rPr>
        <w:t>Список использованных источников</w:t>
      </w:r>
    </w:p>
    <w:p w:rsidR="00F8234A" w:rsidRPr="008B668A" w:rsidRDefault="00F8234A" w:rsidP="007F4EC1">
      <w:pPr>
        <w:widowControl w:val="0"/>
        <w:numPr>
          <w:ilvl w:val="0"/>
          <w:numId w:val="35"/>
        </w:numPr>
        <w:tabs>
          <w:tab w:val="num" w:pos="-180"/>
          <w:tab w:val="left" w:pos="1080"/>
        </w:tabs>
        <w:spacing w:after="0" w:line="240" w:lineRule="auto"/>
        <w:ind w:left="0" w:firstLine="709"/>
        <w:jc w:val="both"/>
        <w:rPr>
          <w:rFonts w:ascii="Times New Roman" w:hAnsi="Times New Roman"/>
          <w:sz w:val="28"/>
          <w:szCs w:val="28"/>
        </w:rPr>
      </w:pPr>
      <w:r w:rsidRPr="008B668A">
        <w:rPr>
          <w:rFonts w:ascii="Times New Roman" w:hAnsi="Times New Roman"/>
          <w:sz w:val="28"/>
          <w:szCs w:val="28"/>
        </w:rPr>
        <w:t xml:space="preserve">О системе и структуре федеральных органов исполнительной власти: Указ Президента РФ от 09.03.2004 № 314 (ред. от 12.04.2019) [Электронный ресурс]  //  СПС «КонсультантПлюс». – Режим доступа: </w:t>
      </w:r>
      <w:hyperlink r:id="rId190" w:anchor="1a0rfw6x317" w:history="1">
        <w:r w:rsidRPr="008B668A">
          <w:rPr>
            <w:rStyle w:val="a8"/>
            <w:rFonts w:ascii="Times New Roman" w:hAnsi="Times New Roman"/>
            <w:color w:val="auto"/>
            <w:sz w:val="28"/>
            <w:szCs w:val="28"/>
            <w:u w:val="none"/>
          </w:rPr>
          <w:t>http://www.consultant.ru/cons/cgi/online.cgi?req=doc&amp;ts=8384431407383331929368866&amp;cacheid=B829D476A9C65CFC812D1F767D753D61&amp;mode=splus&amp;base=LAW&amp;n=322450&amp;rnd=0.7666540104751058#1a0rfw6x317</w:t>
        </w:r>
      </w:hyperlink>
      <w:r w:rsidRPr="008B668A">
        <w:rPr>
          <w:rFonts w:ascii="Times New Roman" w:hAnsi="Times New Roman"/>
          <w:sz w:val="28"/>
          <w:szCs w:val="28"/>
        </w:rPr>
        <w:t>.</w:t>
      </w:r>
    </w:p>
    <w:p w:rsidR="00F8234A" w:rsidRPr="008B668A" w:rsidRDefault="00F8234A" w:rsidP="007F4EC1">
      <w:pPr>
        <w:widowControl w:val="0"/>
        <w:numPr>
          <w:ilvl w:val="0"/>
          <w:numId w:val="35"/>
        </w:numPr>
        <w:tabs>
          <w:tab w:val="num" w:pos="-180"/>
          <w:tab w:val="left" w:pos="1080"/>
        </w:tabs>
        <w:spacing w:after="0" w:line="240" w:lineRule="auto"/>
        <w:ind w:left="0" w:firstLine="709"/>
        <w:jc w:val="both"/>
        <w:rPr>
          <w:rFonts w:ascii="Times New Roman" w:hAnsi="Times New Roman"/>
          <w:sz w:val="28"/>
          <w:szCs w:val="28"/>
        </w:rPr>
      </w:pPr>
      <w:r w:rsidRPr="008B668A">
        <w:rPr>
          <w:rFonts w:ascii="Times New Roman" w:hAnsi="Times New Roman"/>
          <w:sz w:val="28"/>
          <w:szCs w:val="28"/>
        </w:rPr>
        <w:t xml:space="preserve">Конституция Российской Федерации: принята всенародным голосованием 12.12.1993 г. (с учетом поправок, внесенных Законами РФ о поправках к Конституции РФ от 30.12.2008 № 6-ФКЗ, от 30.12.2008 № 7-ФКЗ, от 05.02.2014 № 2-ФКЗ, от 21.07.2014 № 11-ФКЗ) [Электронный ресурс] // СПС «Консультант плюс». – Режим доступа: </w:t>
      </w:r>
      <w:hyperlink r:id="rId191" w:history="1">
        <w:r w:rsidRPr="008B668A">
          <w:rPr>
            <w:rStyle w:val="a8"/>
            <w:rFonts w:ascii="Times New Roman" w:hAnsi="Times New Roman"/>
            <w:color w:val="auto"/>
            <w:sz w:val="28"/>
            <w:szCs w:val="28"/>
            <w:u w:val="none"/>
          </w:rPr>
          <w:t>http://www.consultant.ru/document/cons_doc_LAW_28399/</w:t>
        </w:r>
      </w:hyperlink>
      <w:r w:rsidRPr="008B668A">
        <w:rPr>
          <w:rFonts w:ascii="Times New Roman" w:hAnsi="Times New Roman"/>
          <w:sz w:val="28"/>
          <w:szCs w:val="28"/>
        </w:rPr>
        <w:t>.</w:t>
      </w:r>
    </w:p>
    <w:p w:rsidR="00F8234A" w:rsidRPr="008B668A" w:rsidRDefault="00F8234A" w:rsidP="007F4EC1">
      <w:pPr>
        <w:widowControl w:val="0"/>
        <w:numPr>
          <w:ilvl w:val="0"/>
          <w:numId w:val="35"/>
        </w:numPr>
        <w:tabs>
          <w:tab w:val="num" w:pos="-180"/>
          <w:tab w:val="left" w:pos="1080"/>
        </w:tabs>
        <w:spacing w:after="0" w:line="240" w:lineRule="auto"/>
        <w:ind w:left="0" w:firstLine="709"/>
        <w:jc w:val="both"/>
        <w:rPr>
          <w:rFonts w:ascii="Times New Roman" w:hAnsi="Times New Roman"/>
          <w:sz w:val="28"/>
          <w:szCs w:val="28"/>
        </w:rPr>
      </w:pPr>
      <w:r w:rsidRPr="008B668A">
        <w:rPr>
          <w:rFonts w:ascii="Times New Roman" w:hAnsi="Times New Roman"/>
          <w:sz w:val="28"/>
          <w:szCs w:val="28"/>
        </w:rPr>
        <w:t>Об исполнительном производстве: Федеральный закон от 02.10.2007 № 229-ФЗ (ред. от 06.03.2019) [Электронный ресурс] // СПС «КонсультантПлюс». – Режим доступа: http://www.consultant.ru/document/cons_doc_LAW_71450/.</w:t>
      </w:r>
    </w:p>
    <w:p w:rsidR="00F8234A" w:rsidRPr="008B668A" w:rsidRDefault="00F8234A" w:rsidP="007F4EC1">
      <w:pPr>
        <w:widowControl w:val="0"/>
        <w:numPr>
          <w:ilvl w:val="0"/>
          <w:numId w:val="35"/>
        </w:numPr>
        <w:tabs>
          <w:tab w:val="num" w:pos="-180"/>
          <w:tab w:val="left" w:pos="1080"/>
        </w:tabs>
        <w:spacing w:after="0" w:line="240" w:lineRule="auto"/>
        <w:ind w:left="0" w:firstLine="709"/>
        <w:jc w:val="both"/>
        <w:rPr>
          <w:rFonts w:ascii="Times New Roman" w:hAnsi="Times New Roman"/>
          <w:sz w:val="28"/>
          <w:szCs w:val="28"/>
        </w:rPr>
      </w:pPr>
      <w:r w:rsidRPr="008B668A">
        <w:rPr>
          <w:rFonts w:ascii="Times New Roman" w:hAnsi="Times New Roman"/>
          <w:sz w:val="28"/>
          <w:szCs w:val="28"/>
        </w:rPr>
        <w:t>О судебных приставах: Федеральный закон от 21.07.1997 № 118-ФЗ (ред. от 01.05.2019) // [Электронный ресурс] // СПС «КонсультантПлюс». – Режим доступа: http://www.consultant.ru/document/cons_doc_LAW_15281/.</w:t>
      </w:r>
    </w:p>
    <w:p w:rsidR="00F8234A" w:rsidRPr="008B668A" w:rsidRDefault="00F8234A" w:rsidP="007F4EC1">
      <w:pPr>
        <w:widowControl w:val="0"/>
        <w:numPr>
          <w:ilvl w:val="0"/>
          <w:numId w:val="35"/>
        </w:numPr>
        <w:tabs>
          <w:tab w:val="num" w:pos="-180"/>
          <w:tab w:val="left" w:pos="1080"/>
        </w:tabs>
        <w:spacing w:after="0" w:line="240" w:lineRule="auto"/>
        <w:ind w:left="0" w:firstLine="709"/>
        <w:jc w:val="both"/>
        <w:rPr>
          <w:rFonts w:ascii="Times New Roman" w:hAnsi="Times New Roman"/>
          <w:sz w:val="28"/>
          <w:szCs w:val="28"/>
        </w:rPr>
      </w:pPr>
      <w:r w:rsidRPr="008B668A">
        <w:rPr>
          <w:rFonts w:ascii="Times New Roman" w:hAnsi="Times New Roman"/>
          <w:sz w:val="28"/>
          <w:szCs w:val="28"/>
        </w:rPr>
        <w:t>О государственной гражданской службе Российской Федерации: Федеральный закон от 27.07.2004  № 79-ФЗ (ред. от 11.12.2018) [Электронный ресурс] // СПС «Консультант плюс». – Режим доступа: http://www.consultant.ru/document/cons_doc_LAW_48601/.</w:t>
      </w:r>
    </w:p>
    <w:p w:rsidR="00F8234A" w:rsidRPr="008B668A" w:rsidRDefault="00F8234A" w:rsidP="007F4EC1">
      <w:pPr>
        <w:widowControl w:val="0"/>
        <w:numPr>
          <w:ilvl w:val="0"/>
          <w:numId w:val="35"/>
        </w:numPr>
        <w:tabs>
          <w:tab w:val="num" w:pos="567"/>
          <w:tab w:val="left" w:pos="1080"/>
        </w:tabs>
        <w:spacing w:after="0" w:line="240" w:lineRule="auto"/>
        <w:ind w:left="0" w:firstLine="709"/>
        <w:jc w:val="both"/>
        <w:rPr>
          <w:rFonts w:ascii="Times New Roman" w:hAnsi="Times New Roman"/>
          <w:sz w:val="28"/>
          <w:szCs w:val="28"/>
        </w:rPr>
      </w:pPr>
      <w:r w:rsidRPr="008B668A">
        <w:rPr>
          <w:rFonts w:ascii="Times New Roman" w:hAnsi="Times New Roman"/>
          <w:iCs/>
          <w:sz w:val="28"/>
          <w:szCs w:val="28"/>
        </w:rPr>
        <w:t xml:space="preserve">Жаглина М.Е. </w:t>
      </w:r>
      <w:r w:rsidRPr="008B668A">
        <w:rPr>
          <w:rFonts w:ascii="Times New Roman" w:hAnsi="Times New Roman"/>
          <w:bCs/>
          <w:sz w:val="28"/>
          <w:szCs w:val="28"/>
        </w:rPr>
        <w:t>Исполнительное производство на современном этапе: состояние и развитие / М. Е. Жаглина</w:t>
      </w:r>
      <w:r w:rsidRPr="008B668A">
        <w:rPr>
          <w:rFonts w:ascii="Times New Roman" w:hAnsi="Times New Roman"/>
          <w:sz w:val="28"/>
          <w:szCs w:val="28"/>
        </w:rPr>
        <w:t xml:space="preserve"> // Вестник Воронежского института МВД России. - 2014. - № 4. - С. 49.</w:t>
      </w:r>
    </w:p>
    <w:p w:rsidR="00F8234A" w:rsidRPr="008B668A" w:rsidRDefault="00F8234A" w:rsidP="007F4EC1">
      <w:pPr>
        <w:widowControl w:val="0"/>
        <w:numPr>
          <w:ilvl w:val="0"/>
          <w:numId w:val="35"/>
        </w:numPr>
        <w:tabs>
          <w:tab w:val="num" w:pos="567"/>
          <w:tab w:val="left" w:pos="1080"/>
        </w:tabs>
        <w:spacing w:after="0" w:line="240" w:lineRule="auto"/>
        <w:ind w:left="0" w:firstLine="709"/>
        <w:jc w:val="both"/>
        <w:rPr>
          <w:rFonts w:ascii="Times New Roman" w:hAnsi="Times New Roman"/>
          <w:sz w:val="28"/>
          <w:szCs w:val="28"/>
        </w:rPr>
      </w:pPr>
      <w:r w:rsidRPr="008B668A">
        <w:rPr>
          <w:rFonts w:ascii="Times New Roman" w:hAnsi="Times New Roman"/>
          <w:sz w:val="28"/>
          <w:szCs w:val="28"/>
        </w:rPr>
        <w:t>Долгосрочная программа повышения эффективности исполнения судебных решений, 2011-2020 годы  // Практика исполнительного производства. - 2011. - № 1-2. -    С. 16-47.</w:t>
      </w:r>
    </w:p>
    <w:p w:rsidR="003D1A6E" w:rsidRPr="008B668A" w:rsidRDefault="003D1A6E" w:rsidP="005A3DF4">
      <w:pPr>
        <w:widowControl w:val="0"/>
        <w:tabs>
          <w:tab w:val="left" w:pos="1134"/>
        </w:tabs>
        <w:spacing w:after="0" w:line="240" w:lineRule="auto"/>
        <w:ind w:firstLine="709"/>
        <w:jc w:val="both"/>
        <w:rPr>
          <w:rFonts w:ascii="Times New Roman" w:hAnsi="Times New Roman"/>
          <w:sz w:val="28"/>
          <w:szCs w:val="28"/>
        </w:rPr>
      </w:pPr>
    </w:p>
    <w:p w:rsidR="00AE76D6" w:rsidRDefault="00AE76D6" w:rsidP="005A3DF4">
      <w:pPr>
        <w:widowControl w:val="0"/>
        <w:spacing w:after="0" w:line="240" w:lineRule="auto"/>
        <w:ind w:left="360"/>
        <w:jc w:val="center"/>
        <w:rPr>
          <w:rFonts w:ascii="Times New Roman" w:hAnsi="Times New Roman"/>
          <w:b/>
          <w:sz w:val="28"/>
          <w:szCs w:val="28"/>
        </w:rPr>
      </w:pPr>
    </w:p>
    <w:p w:rsidR="00F8234A" w:rsidRPr="000E6564" w:rsidRDefault="00F8234A" w:rsidP="005A3DF4">
      <w:pPr>
        <w:widowControl w:val="0"/>
        <w:spacing w:after="0" w:line="240" w:lineRule="auto"/>
        <w:ind w:left="360"/>
        <w:jc w:val="center"/>
        <w:rPr>
          <w:rFonts w:ascii="Times New Roman" w:hAnsi="Times New Roman"/>
          <w:b/>
          <w:sz w:val="28"/>
          <w:szCs w:val="28"/>
        </w:rPr>
      </w:pPr>
      <w:r w:rsidRPr="000E6564">
        <w:rPr>
          <w:rFonts w:ascii="Times New Roman" w:hAnsi="Times New Roman"/>
          <w:b/>
          <w:sz w:val="28"/>
          <w:szCs w:val="28"/>
        </w:rPr>
        <w:lastRenderedPageBreak/>
        <w:t>Роль и место Административного права в правовой системе Российской Федерации</w:t>
      </w:r>
    </w:p>
    <w:p w:rsidR="000E6564" w:rsidRPr="009A1B7E" w:rsidRDefault="000E6564" w:rsidP="005A3DF4">
      <w:pPr>
        <w:widowControl w:val="0"/>
        <w:spacing w:after="0" w:line="240" w:lineRule="auto"/>
        <w:ind w:left="360"/>
        <w:jc w:val="center"/>
        <w:rPr>
          <w:rFonts w:ascii="Times New Roman" w:hAnsi="Times New Roman"/>
          <w:sz w:val="28"/>
          <w:szCs w:val="28"/>
        </w:rPr>
      </w:pPr>
    </w:p>
    <w:p w:rsidR="00F8234A" w:rsidRPr="000E6564" w:rsidRDefault="00F8234A" w:rsidP="005A3DF4">
      <w:pPr>
        <w:widowControl w:val="0"/>
        <w:spacing w:after="0" w:line="240" w:lineRule="auto"/>
        <w:ind w:left="360"/>
        <w:jc w:val="center"/>
        <w:rPr>
          <w:rFonts w:ascii="Times New Roman" w:hAnsi="Times New Roman"/>
          <w:sz w:val="28"/>
          <w:szCs w:val="28"/>
        </w:rPr>
      </w:pPr>
      <w:r w:rsidRPr="000E6564">
        <w:rPr>
          <w:rFonts w:ascii="Times New Roman" w:hAnsi="Times New Roman"/>
          <w:sz w:val="28"/>
          <w:szCs w:val="28"/>
        </w:rPr>
        <w:t>Фукс Елена Владимировна</w:t>
      </w:r>
    </w:p>
    <w:p w:rsidR="00F8234A" w:rsidRPr="000E6564" w:rsidRDefault="00F8234A" w:rsidP="005A3DF4">
      <w:pPr>
        <w:widowControl w:val="0"/>
        <w:spacing w:after="0" w:line="240" w:lineRule="auto"/>
        <w:ind w:left="360"/>
        <w:jc w:val="center"/>
        <w:rPr>
          <w:rFonts w:ascii="Times New Roman" w:hAnsi="Times New Roman"/>
          <w:sz w:val="28"/>
          <w:szCs w:val="28"/>
        </w:rPr>
      </w:pPr>
      <w:r w:rsidRPr="000E6564">
        <w:rPr>
          <w:rFonts w:ascii="Times New Roman" w:hAnsi="Times New Roman"/>
          <w:sz w:val="28"/>
          <w:szCs w:val="28"/>
        </w:rPr>
        <w:t>студент 4 курса, кафедра уголовно-правовых дисциплин, Институт права</w:t>
      </w:r>
    </w:p>
    <w:p w:rsidR="00F8234A" w:rsidRPr="000E6564" w:rsidRDefault="00F8234A" w:rsidP="005A3DF4">
      <w:pPr>
        <w:widowControl w:val="0"/>
        <w:spacing w:after="0" w:line="240" w:lineRule="auto"/>
        <w:ind w:left="360"/>
        <w:jc w:val="center"/>
        <w:rPr>
          <w:rFonts w:ascii="Times New Roman" w:hAnsi="Times New Roman"/>
          <w:sz w:val="28"/>
          <w:szCs w:val="28"/>
        </w:rPr>
      </w:pPr>
      <w:r w:rsidRPr="000E6564">
        <w:rPr>
          <w:rFonts w:ascii="Times New Roman" w:hAnsi="Times New Roman"/>
          <w:sz w:val="28"/>
          <w:szCs w:val="28"/>
        </w:rPr>
        <w:t>Владивостокский государственный университет экономики и сервиса</w:t>
      </w:r>
    </w:p>
    <w:p w:rsidR="00F8234A" w:rsidRPr="000E6564" w:rsidRDefault="00F8234A" w:rsidP="005A3DF4">
      <w:pPr>
        <w:widowControl w:val="0"/>
        <w:spacing w:after="0" w:line="240" w:lineRule="auto"/>
        <w:ind w:left="360"/>
        <w:jc w:val="center"/>
        <w:rPr>
          <w:rFonts w:ascii="Times New Roman" w:hAnsi="Times New Roman"/>
          <w:sz w:val="28"/>
          <w:szCs w:val="28"/>
        </w:rPr>
      </w:pPr>
      <w:r w:rsidRPr="000E6564">
        <w:rPr>
          <w:rFonts w:ascii="Times New Roman" w:hAnsi="Times New Roman"/>
          <w:sz w:val="28"/>
          <w:szCs w:val="28"/>
        </w:rPr>
        <w:t>Россия,  Владивосток</w:t>
      </w:r>
    </w:p>
    <w:p w:rsidR="00F8234A" w:rsidRPr="00467B95" w:rsidRDefault="00F8234A" w:rsidP="005A3DF4">
      <w:pPr>
        <w:pStyle w:val="a7"/>
        <w:widowControl w:val="0"/>
        <w:spacing w:after="0" w:line="240" w:lineRule="auto"/>
        <w:ind w:left="709"/>
        <w:rPr>
          <w:rFonts w:ascii="Times New Roman" w:hAnsi="Times New Roman" w:cs="Times New Roman"/>
          <w:sz w:val="28"/>
          <w:szCs w:val="28"/>
        </w:rPr>
      </w:pPr>
    </w:p>
    <w:p w:rsidR="00F8234A" w:rsidRPr="000E6564" w:rsidRDefault="00F8234A" w:rsidP="005A3DF4">
      <w:pPr>
        <w:widowControl w:val="0"/>
        <w:spacing w:after="0" w:line="240" w:lineRule="auto"/>
        <w:ind w:firstLine="709"/>
        <w:jc w:val="both"/>
        <w:rPr>
          <w:rStyle w:val="blk"/>
          <w:rFonts w:ascii="Times New Roman" w:hAnsi="Times New Roman"/>
          <w:i/>
          <w:sz w:val="28"/>
          <w:szCs w:val="28"/>
        </w:rPr>
      </w:pPr>
      <w:r w:rsidRPr="000E6564">
        <w:rPr>
          <w:rStyle w:val="blk"/>
          <w:rFonts w:ascii="Times New Roman" w:hAnsi="Times New Roman"/>
          <w:i/>
          <w:sz w:val="28"/>
          <w:szCs w:val="28"/>
        </w:rPr>
        <w:t xml:space="preserve">В данной статье рассмотрена проблема </w:t>
      </w:r>
      <w:r w:rsidRPr="000E6564">
        <w:rPr>
          <w:rFonts w:ascii="Times New Roman" w:hAnsi="Times New Roman"/>
          <w:i/>
          <w:sz w:val="28"/>
          <w:szCs w:val="28"/>
        </w:rPr>
        <w:t>до сих пор не сформулированного единообразного подхода к правопониманию сущности административного права, в частности, не разрешены до конца вопросы, касающиеся определения его предмета, значения как регулятора общественных отношений, отмечается тенденция расширения использования такого метода правового регулирования предмета административного права как дозволение, выражающее в установлении прав (компетенций) субъектов административных правоотношений. По-прежнему спорным в отечественной правовой доктрине остается вопрос о возможности отнесения к источникам российского административного права судебных прецедентов.</w:t>
      </w:r>
    </w:p>
    <w:p w:rsidR="00F8234A" w:rsidRPr="000E6564" w:rsidRDefault="00F8234A" w:rsidP="005A3DF4">
      <w:pPr>
        <w:widowControl w:val="0"/>
        <w:spacing w:after="0" w:line="240" w:lineRule="auto"/>
        <w:ind w:firstLine="709"/>
        <w:jc w:val="both"/>
        <w:rPr>
          <w:rStyle w:val="blk"/>
          <w:rFonts w:ascii="Times New Roman" w:hAnsi="Times New Roman"/>
          <w:i/>
          <w:sz w:val="28"/>
          <w:szCs w:val="28"/>
        </w:rPr>
      </w:pPr>
      <w:r w:rsidRPr="000E6564">
        <w:rPr>
          <w:rStyle w:val="blk"/>
          <w:rFonts w:ascii="Times New Roman" w:hAnsi="Times New Roman"/>
          <w:i/>
          <w:sz w:val="28"/>
          <w:szCs w:val="28"/>
        </w:rPr>
        <w:t>Автор</w:t>
      </w:r>
      <w:r w:rsidRPr="000E6564">
        <w:rPr>
          <w:rFonts w:ascii="Times New Roman" w:hAnsi="Times New Roman"/>
          <w:i/>
          <w:sz w:val="28"/>
          <w:szCs w:val="28"/>
        </w:rPr>
        <w:t xml:space="preserve"> изучить понятие, предмет, метод российского административного права; рассмотрел источники российского административного права; определил место административного права в правовой системе Российской Федерации, а также его взаимодействие с другими отраслями российского права;  исследовать значение российского административного права как регулятора общественных отношений и </w:t>
      </w:r>
      <w:r w:rsidRPr="000E6564">
        <w:rPr>
          <w:rStyle w:val="blk"/>
          <w:rFonts w:ascii="Times New Roman" w:hAnsi="Times New Roman"/>
          <w:i/>
          <w:sz w:val="28"/>
          <w:szCs w:val="28"/>
        </w:rPr>
        <w:t xml:space="preserve">указал на существующие проблемы в данной области. </w:t>
      </w:r>
    </w:p>
    <w:p w:rsidR="00F8234A" w:rsidRPr="000E6564" w:rsidRDefault="00F8234A" w:rsidP="005A3DF4">
      <w:pPr>
        <w:widowControl w:val="0"/>
        <w:spacing w:after="0" w:line="240" w:lineRule="auto"/>
        <w:ind w:firstLine="709"/>
        <w:jc w:val="both"/>
        <w:rPr>
          <w:rFonts w:ascii="Times New Roman" w:hAnsi="Times New Roman"/>
          <w:i/>
          <w:color w:val="000000"/>
          <w:sz w:val="28"/>
          <w:szCs w:val="28"/>
        </w:rPr>
      </w:pPr>
      <w:r w:rsidRPr="000E6564">
        <w:rPr>
          <w:rFonts w:ascii="Times New Roman" w:hAnsi="Times New Roman"/>
          <w:i/>
          <w:color w:val="000000"/>
          <w:sz w:val="28"/>
          <w:szCs w:val="28"/>
        </w:rPr>
        <w:t>Ключевые слова и словосочетания: административное право, источники права, предмет, метод административного права, функции административного права.</w:t>
      </w:r>
    </w:p>
    <w:p w:rsidR="00F8234A" w:rsidRPr="000E6564" w:rsidRDefault="00F8234A" w:rsidP="005A3DF4">
      <w:pPr>
        <w:widowControl w:val="0"/>
        <w:spacing w:after="0" w:line="240" w:lineRule="auto"/>
        <w:ind w:firstLine="709"/>
        <w:jc w:val="both"/>
        <w:rPr>
          <w:rFonts w:ascii="Times New Roman" w:hAnsi="Times New Roman"/>
          <w:sz w:val="28"/>
          <w:szCs w:val="28"/>
        </w:rPr>
      </w:pPr>
    </w:p>
    <w:p w:rsidR="00F8234A" w:rsidRPr="000E6564" w:rsidRDefault="00F8234A" w:rsidP="005A3DF4">
      <w:pPr>
        <w:widowControl w:val="0"/>
        <w:spacing w:after="0" w:line="240" w:lineRule="auto"/>
        <w:ind w:firstLine="709"/>
        <w:jc w:val="center"/>
        <w:rPr>
          <w:rFonts w:ascii="Times New Roman" w:hAnsi="Times New Roman"/>
          <w:b/>
          <w:sz w:val="28"/>
          <w:szCs w:val="28"/>
          <w:lang w:val="en-US"/>
        </w:rPr>
      </w:pPr>
      <w:r w:rsidRPr="000E6564">
        <w:rPr>
          <w:rFonts w:ascii="Times New Roman" w:hAnsi="Times New Roman"/>
          <w:b/>
          <w:sz w:val="28"/>
          <w:szCs w:val="28"/>
          <w:lang w:val="en-US"/>
        </w:rPr>
        <w:t>Role and the place of Administrative law in a legal system Russian</w:t>
      </w:r>
    </w:p>
    <w:p w:rsidR="000E6564" w:rsidRDefault="000E6564" w:rsidP="005A3DF4">
      <w:pPr>
        <w:widowControl w:val="0"/>
        <w:spacing w:after="0" w:line="240" w:lineRule="auto"/>
        <w:ind w:firstLine="709"/>
        <w:jc w:val="center"/>
        <w:rPr>
          <w:rFonts w:ascii="Times New Roman" w:hAnsi="Times New Roman"/>
          <w:sz w:val="28"/>
          <w:szCs w:val="28"/>
          <w:lang w:val="en-US"/>
        </w:rPr>
      </w:pPr>
    </w:p>
    <w:p w:rsidR="00F8234A" w:rsidRPr="000E6564" w:rsidRDefault="00F8234A" w:rsidP="005A3DF4">
      <w:pPr>
        <w:widowControl w:val="0"/>
        <w:spacing w:after="0" w:line="240" w:lineRule="auto"/>
        <w:ind w:firstLine="709"/>
        <w:jc w:val="center"/>
        <w:rPr>
          <w:rFonts w:ascii="Times New Roman" w:hAnsi="Times New Roman"/>
          <w:sz w:val="28"/>
          <w:szCs w:val="28"/>
          <w:lang w:val="en-US"/>
        </w:rPr>
      </w:pPr>
      <w:r w:rsidRPr="000E6564">
        <w:rPr>
          <w:rFonts w:ascii="Times New Roman" w:hAnsi="Times New Roman"/>
          <w:sz w:val="28"/>
          <w:szCs w:val="28"/>
          <w:lang w:val="en-US"/>
        </w:rPr>
        <w:t>Fuchs Elena Vladimirovna,</w:t>
      </w:r>
    </w:p>
    <w:p w:rsidR="00F8234A" w:rsidRPr="000E6564" w:rsidRDefault="00F8234A" w:rsidP="005A3DF4">
      <w:pPr>
        <w:widowControl w:val="0"/>
        <w:spacing w:after="0" w:line="240" w:lineRule="auto"/>
        <w:ind w:firstLine="709"/>
        <w:jc w:val="center"/>
        <w:rPr>
          <w:rFonts w:ascii="Times New Roman" w:hAnsi="Times New Roman"/>
          <w:sz w:val="28"/>
          <w:szCs w:val="28"/>
          <w:lang w:val="en-US"/>
        </w:rPr>
      </w:pPr>
      <w:r w:rsidRPr="000E6564">
        <w:rPr>
          <w:rFonts w:ascii="Times New Roman" w:hAnsi="Times New Roman"/>
          <w:sz w:val="28"/>
          <w:szCs w:val="28"/>
          <w:lang w:val="en-US"/>
        </w:rPr>
        <w:t>student of the fourth year, Chair of criminal-law academic subjects, Institute of Law</w:t>
      </w:r>
    </w:p>
    <w:p w:rsidR="00F8234A" w:rsidRPr="000E6564" w:rsidRDefault="00F8234A" w:rsidP="005A3DF4">
      <w:pPr>
        <w:widowControl w:val="0"/>
        <w:shd w:val="clear" w:color="auto" w:fill="FFFFFF"/>
        <w:spacing w:after="0" w:line="240" w:lineRule="auto"/>
        <w:ind w:firstLine="709"/>
        <w:jc w:val="center"/>
        <w:rPr>
          <w:rFonts w:ascii="Times New Roman" w:hAnsi="Times New Roman"/>
          <w:kern w:val="2"/>
          <w:sz w:val="28"/>
          <w:szCs w:val="28"/>
          <w:lang w:val="en-US"/>
        </w:rPr>
      </w:pPr>
      <w:r w:rsidRPr="000E6564">
        <w:rPr>
          <w:rFonts w:ascii="Times New Roman" w:hAnsi="Times New Roman"/>
          <w:kern w:val="2"/>
          <w:sz w:val="28"/>
          <w:szCs w:val="28"/>
          <w:lang w:val="en-US"/>
        </w:rPr>
        <w:t>Vladivostok State University of Economics and Service</w:t>
      </w:r>
    </w:p>
    <w:p w:rsidR="00F8234A" w:rsidRPr="000E6564" w:rsidRDefault="00F8234A" w:rsidP="005A3DF4">
      <w:pPr>
        <w:widowControl w:val="0"/>
        <w:shd w:val="clear" w:color="auto" w:fill="FFFFFF"/>
        <w:spacing w:after="0" w:line="240" w:lineRule="auto"/>
        <w:ind w:firstLine="709"/>
        <w:jc w:val="center"/>
        <w:rPr>
          <w:rFonts w:ascii="Times New Roman" w:hAnsi="Times New Roman"/>
          <w:kern w:val="2"/>
          <w:sz w:val="28"/>
          <w:szCs w:val="28"/>
          <w:lang w:val="en-US"/>
        </w:rPr>
      </w:pPr>
      <w:r w:rsidRPr="000E6564">
        <w:rPr>
          <w:rFonts w:ascii="Times New Roman" w:hAnsi="Times New Roman"/>
          <w:kern w:val="2"/>
          <w:sz w:val="28"/>
          <w:szCs w:val="28"/>
          <w:lang w:val="en-US"/>
        </w:rPr>
        <w:t>Vladivostok, Russia</w:t>
      </w:r>
    </w:p>
    <w:p w:rsidR="00F8234A" w:rsidRPr="000E6564" w:rsidRDefault="00F8234A" w:rsidP="005A3DF4">
      <w:pPr>
        <w:widowControl w:val="0"/>
        <w:spacing w:after="0" w:line="240" w:lineRule="auto"/>
        <w:ind w:firstLine="709"/>
        <w:jc w:val="center"/>
        <w:rPr>
          <w:rFonts w:ascii="Times New Roman" w:hAnsi="Times New Roman"/>
          <w:color w:val="000000"/>
          <w:sz w:val="28"/>
          <w:szCs w:val="28"/>
          <w:lang w:val="en-US"/>
        </w:rPr>
      </w:pPr>
    </w:p>
    <w:p w:rsidR="00F8234A" w:rsidRPr="000E6564" w:rsidRDefault="00F8234A" w:rsidP="005A3DF4">
      <w:pPr>
        <w:widowControl w:val="0"/>
        <w:spacing w:after="0" w:line="240" w:lineRule="auto"/>
        <w:ind w:firstLine="709"/>
        <w:jc w:val="both"/>
        <w:rPr>
          <w:rFonts w:ascii="Times New Roman" w:hAnsi="Times New Roman"/>
          <w:i/>
          <w:sz w:val="28"/>
          <w:szCs w:val="28"/>
          <w:lang w:val="en-US"/>
        </w:rPr>
      </w:pPr>
      <w:r w:rsidRPr="000E6564">
        <w:rPr>
          <w:rFonts w:ascii="Times New Roman" w:hAnsi="Times New Roman"/>
          <w:i/>
          <w:sz w:val="28"/>
          <w:szCs w:val="28"/>
          <w:lang w:val="en-US"/>
        </w:rPr>
        <w:t xml:space="preserve">In this article the problem of still not formulated uniform approach to right understanding of essence of administrative law is considered, in particular, the questions concerning definition of its subject, value as the regulator of the public relations are not resolved up to the end the trend of expansion of use of such method of legal regulation of a subject of administrative law as the permission expressing in establishment of the rights (competences) of subjects of </w:t>
      </w:r>
      <w:r w:rsidRPr="000E6564">
        <w:rPr>
          <w:rFonts w:ascii="Times New Roman" w:hAnsi="Times New Roman"/>
          <w:i/>
          <w:sz w:val="28"/>
          <w:szCs w:val="28"/>
          <w:lang w:val="en-US"/>
        </w:rPr>
        <w:lastRenderedPageBreak/>
        <w:t>administrative legal relationship is noted. Still disputable in the domestic legal doctrine is a question of a possibility of reference to sources of the Russian administrative law of judicial precedents.</w:t>
      </w:r>
    </w:p>
    <w:p w:rsidR="00F8234A" w:rsidRPr="000E6564" w:rsidRDefault="00F8234A" w:rsidP="005A3DF4">
      <w:pPr>
        <w:widowControl w:val="0"/>
        <w:spacing w:after="0" w:line="240" w:lineRule="auto"/>
        <w:ind w:firstLine="709"/>
        <w:jc w:val="both"/>
        <w:rPr>
          <w:rFonts w:ascii="Times New Roman" w:hAnsi="Times New Roman"/>
          <w:i/>
          <w:sz w:val="28"/>
          <w:szCs w:val="28"/>
          <w:lang w:val="en-US"/>
        </w:rPr>
      </w:pPr>
      <w:r w:rsidRPr="000E6564">
        <w:rPr>
          <w:rFonts w:ascii="Times New Roman" w:hAnsi="Times New Roman"/>
          <w:i/>
          <w:sz w:val="28"/>
          <w:szCs w:val="28"/>
          <w:lang w:val="en-US"/>
        </w:rPr>
        <w:t xml:space="preserve">The author to study a concept, a subject, a method of the Russian administrative law; considered sources of the Russian administrative law; defined the place of administrative law in the legal system of the Russian Federation and also its interaction with other industries of Russian law; to investigate value of the Russian administrative law as regulator of the public relations and pointed to the existing problems in the field. </w:t>
      </w:r>
    </w:p>
    <w:p w:rsidR="000E6564" w:rsidRDefault="000E6564" w:rsidP="005A3DF4">
      <w:pPr>
        <w:widowControl w:val="0"/>
        <w:spacing w:after="0" w:line="240" w:lineRule="auto"/>
        <w:ind w:firstLine="709"/>
        <w:jc w:val="both"/>
        <w:rPr>
          <w:rFonts w:ascii="Times New Roman" w:hAnsi="Times New Roman"/>
          <w:i/>
          <w:sz w:val="28"/>
          <w:szCs w:val="28"/>
          <w:lang w:val="en-US"/>
        </w:rPr>
      </w:pPr>
    </w:p>
    <w:p w:rsidR="00F8234A" w:rsidRPr="000E6564" w:rsidRDefault="00F8234A" w:rsidP="005A3DF4">
      <w:pPr>
        <w:widowControl w:val="0"/>
        <w:spacing w:after="0" w:line="240" w:lineRule="auto"/>
        <w:ind w:firstLine="709"/>
        <w:jc w:val="both"/>
        <w:rPr>
          <w:rFonts w:ascii="Times New Roman" w:hAnsi="Times New Roman"/>
          <w:i/>
          <w:sz w:val="28"/>
          <w:szCs w:val="28"/>
          <w:lang w:val="en-US"/>
        </w:rPr>
      </w:pPr>
      <w:r w:rsidRPr="000E6564">
        <w:rPr>
          <w:rFonts w:ascii="Times New Roman" w:hAnsi="Times New Roman"/>
          <w:i/>
          <w:sz w:val="28"/>
          <w:szCs w:val="28"/>
          <w:lang w:val="en-US"/>
        </w:rPr>
        <w:t>Keywords: administrative law, sources of law, subject, method of administrative law, function of administrative law.</w:t>
      </w:r>
    </w:p>
    <w:p w:rsidR="00F8234A" w:rsidRPr="000E6564" w:rsidRDefault="00F8234A" w:rsidP="005A3DF4">
      <w:pPr>
        <w:widowControl w:val="0"/>
        <w:spacing w:after="0" w:line="240" w:lineRule="auto"/>
        <w:ind w:firstLine="709"/>
        <w:jc w:val="both"/>
        <w:rPr>
          <w:rFonts w:ascii="Times New Roman" w:hAnsi="Times New Roman"/>
          <w:b/>
          <w:sz w:val="28"/>
          <w:szCs w:val="28"/>
          <w:lang w:val="en-US"/>
        </w:rPr>
      </w:pP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В настоящее время российское административное право представляет собой специфический инструмент, направленный на урегулирование разнообразных общественных отношений, возникающих в государственно-управленческой сфере жизнедеятельности российского общества и государства. Административное право в сущности своей призвано обеспечить осуществление властных полномочий государства во взаимоотношениях с организациями и частными лицами, что делает его одной из наиболее важных и значимых отраслей российского права.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Кроме того, в отечественной правовой доктрине до сих пор не сформулировано единообразного подхода к правопониманию сущности административного права, в частности, не разрешены до конца вопросы, касающиеся определения его предмета, значения как регулятора общественных отношений, в связи, с чем научно-практическое исследование его специфики как отрасли российского права приобретает особую ценность, является актуальным и необходимым на сегодняшний день.</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Однако, несмотря на существование в науке на сегодняшний день значительного количества научных работ, посвященных выбранной теме исследования, детально разработанного, комплексного научного труда, посвященного исследованию административного права как отрасли российского права, не имеется.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Ряд отечественных ученых, в частности, Бахрах Д. Н., Российский Б. В., Старилов Ю.Н. в своих научных трудах указывают, что предметом административного права России следует считать «совокупность общественных отношений, возникающих при обеспечении публичной администрацией конституционных прав и обязанностей граждан, иных отношений, связанных с ее деятельностью, а также при осуществлении административного судопроизводства» [1, </w:t>
      </w:r>
      <w:r w:rsidRPr="000E6564">
        <w:rPr>
          <w:rFonts w:ascii="Times New Roman" w:hAnsi="Times New Roman"/>
          <w:sz w:val="28"/>
          <w:szCs w:val="28"/>
          <w:lang w:val="en-US"/>
        </w:rPr>
        <w:t>c</w:t>
      </w:r>
      <w:r w:rsidRPr="000E6564">
        <w:rPr>
          <w:rFonts w:ascii="Times New Roman" w:hAnsi="Times New Roman"/>
          <w:sz w:val="28"/>
          <w:szCs w:val="28"/>
        </w:rPr>
        <w:t>. 63]. Исходя их предложенного ими определения выделяются три группы общественных отношений, непосредственно входящих в предмет российского административного права:</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А) внутриаппаратные отношения. К их числу относятся организационные отношения, складывающиеся в государственных органах, в </w:t>
      </w:r>
      <w:r w:rsidRPr="000E6564">
        <w:rPr>
          <w:rFonts w:ascii="Times New Roman" w:hAnsi="Times New Roman"/>
          <w:sz w:val="28"/>
          <w:szCs w:val="28"/>
        </w:rPr>
        <w:lastRenderedPageBreak/>
        <w:t>том числе по взаимодействию их структурных подразделений, а также по определению форм и методов внутриаппаратной работы.</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Б) внеаппаратные отношения. К их числу относятся общественные отношение, выходящие за пределы внутреннего аппарата государственных органов, то есть по их взаимодействию с другими органами государственной власти и органами местного самоуправления, организациями, физическими лицами.</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В) отношения, которые возникают при реализации функций административного судопроизводства. К их числу относятся общественные отношения, которые складываются при рассмотрении судами административных дел в порядке, регламентируемом процессуальными нормами административного права [1, </w:t>
      </w:r>
      <w:r w:rsidRPr="000E6564">
        <w:rPr>
          <w:rFonts w:ascii="Times New Roman" w:hAnsi="Times New Roman"/>
          <w:sz w:val="28"/>
          <w:szCs w:val="28"/>
          <w:lang w:val="en-US"/>
        </w:rPr>
        <w:t>c</w:t>
      </w:r>
      <w:r w:rsidRPr="000E6564">
        <w:rPr>
          <w:rFonts w:ascii="Times New Roman" w:hAnsi="Times New Roman"/>
          <w:sz w:val="28"/>
          <w:szCs w:val="28"/>
        </w:rPr>
        <w:t>. 67].</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Вторая же группа отечественных ученых в области административного права, в частности Воронов А. М., Гоголев А. М. [2, </w:t>
      </w:r>
      <w:r w:rsidRPr="000E6564">
        <w:rPr>
          <w:rFonts w:ascii="Times New Roman" w:hAnsi="Times New Roman"/>
          <w:sz w:val="28"/>
          <w:szCs w:val="28"/>
          <w:lang w:val="en-US"/>
        </w:rPr>
        <w:t>c</w:t>
      </w:r>
      <w:r w:rsidRPr="000E6564">
        <w:rPr>
          <w:rFonts w:ascii="Times New Roman" w:hAnsi="Times New Roman"/>
          <w:sz w:val="28"/>
          <w:szCs w:val="28"/>
        </w:rPr>
        <w:t xml:space="preserve">. 125] в своих научных трудах указывают, что к предмету данной отрасли российского права следует относить только те общественные отношения, которые непосредственно складываются в процессе реализации государственными органами функций исполнительной власти.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Указанная позиция, на наш взгляд, представляется необоснованной, поскольку заведомое сужение предмета административного права, путем включения в него только общественных отношений, складывающихся в процессе реализации исполнительно-распорядительных полномочий органами государственной власти, приведет к фактической неурегулированности ряда общественных отношений, в том числе, по взаимодействию государственных власти с организациями и физическими лицами, а также по отправлению административного судопроизвосдтва, тем самым, обедняя значимость и важность российского административного права, в целом.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Административное право представляет собой отрасль российского права, выражающуюся в упорядоченной системе юридических норм, регулирующих организацию государственных органов, порядок их взаимодействия с организациями и физическими лицами в ходе реализации функций исполнительной власти по управления делами государства. В предмет правового регулирования административного права входят общественные отношения, возникающие при обеспечении публичной администрацией конституционных прав и обязанностей граждан, иных отношений, связанных с ее деятельностью, а также при осуществлении административного судопроизводства. Сужение предмета российского административного права путем включения в него только тех общественных отношений, которые складываются в рамках реализации государственными органами своих властных исполнительно-распорядительных функций по управлению государством недопустим и приводит к обесцениванию регулятивной роли самого административного права.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Другим немаловажным критерием, отличающим административное </w:t>
      </w:r>
      <w:r w:rsidRPr="000E6564">
        <w:rPr>
          <w:rFonts w:ascii="Times New Roman" w:hAnsi="Times New Roman"/>
          <w:sz w:val="28"/>
          <w:szCs w:val="28"/>
        </w:rPr>
        <w:lastRenderedPageBreak/>
        <w:t xml:space="preserve">право от всех иных отраслей российского права, является метод правового регулирования, под которым традиционно в отечественной правовой доктрине принято понимать совокупность приемов и способов правового воздействия на общественные отношения, выступающие предметом рассматриваемой отрасли права [3, </w:t>
      </w:r>
      <w:r w:rsidRPr="000E6564">
        <w:rPr>
          <w:rFonts w:ascii="Times New Roman" w:hAnsi="Times New Roman"/>
          <w:sz w:val="28"/>
          <w:szCs w:val="28"/>
          <w:lang w:val="en-US"/>
        </w:rPr>
        <w:t>c</w:t>
      </w:r>
      <w:r w:rsidRPr="000E6564">
        <w:rPr>
          <w:rFonts w:ascii="Times New Roman" w:hAnsi="Times New Roman"/>
          <w:sz w:val="28"/>
          <w:szCs w:val="28"/>
        </w:rPr>
        <w:t>. 9].</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Как уже было отмечено ранее, административное право как отрасль российского права характеризуется подчиненным характером взаимодействия субъектов правоотношений, являющихся предметом правового регулирования административного права, что, в свою очередь, обуславливает специфику его метода.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Так, основной метод правового регулирования административного права – императивный метод, выражающийся в установлении обязанностей и запретов в отношении определенного законом круга субъектов.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При этом, на сегодняшний день отмечаете тенденция расширения использования такого метода правового регулирования предмета административного права как дозволение, выражающее в установлении прав (компетенций) субъектов административных правоотношений [4, с.19].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Источники российского административного права представлены совокупностью нормативных правовых актов (законов, подзаконных актов), содержащихся административно-правовые нормы, регулирующие общественные отношения, входящие в предмет правового регулирования административного права.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Отечественный ученый Мирошник С. В., исследуя источники административного права в своих научных трудах, разделяет их на две основных группы:</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А) нормативные правовые акты российских органов публичной власти;</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Б) правовые акты, принятые с участием российских органов публичной власти либо без их участия [5, </w:t>
      </w:r>
      <w:r w:rsidRPr="000E6564">
        <w:rPr>
          <w:rFonts w:ascii="Times New Roman" w:hAnsi="Times New Roman"/>
          <w:sz w:val="28"/>
          <w:szCs w:val="28"/>
          <w:lang w:val="en-US"/>
        </w:rPr>
        <w:t>c</w:t>
      </w:r>
      <w:r w:rsidRPr="000E6564">
        <w:rPr>
          <w:rFonts w:ascii="Times New Roman" w:hAnsi="Times New Roman"/>
          <w:sz w:val="28"/>
          <w:szCs w:val="28"/>
        </w:rPr>
        <w:t>. 207]. Очевидным представляется тот факт, что в правоприменительной практике преобладает именно первый вид источников административного права, и это  Конституция РФ; федеральные конституционные законы, федеральный законы, законы субъектов Российской Федерации; подзаконные акты, к числу которых относятся указы Президента РФ, постановления Правительства РФ, нормативно-правовые акты федеральных органов исполнительной власти, органов исполнительной власти субъектов РФ, органов местного самоуправления; соглашения, заключенные между федеральными и региональными органами исполнительной власти о передаче друг другу части полномочий.</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Ко второму же виду источников административного права, относятся общепризнанные принципы международного права, а также международные договоры, ратифицированные Российской Федерацией; Локальные нормативные акты руководителей государственных корпораций, концернов, объединений, предприятий и учреждений, которые ограничивают свое действие рамками данного учреждения или предприятия.</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По-прежнему спорным в отечественной правовой доктрине остается </w:t>
      </w:r>
      <w:r w:rsidRPr="000E6564">
        <w:rPr>
          <w:rFonts w:ascii="Times New Roman" w:hAnsi="Times New Roman"/>
          <w:sz w:val="28"/>
          <w:szCs w:val="28"/>
        </w:rPr>
        <w:lastRenderedPageBreak/>
        <w:t xml:space="preserve">вопрос о возможности отнесения к источникам российского административного права актов правосудия: традиционно в России судебные прецеденты не считаются официально признанными источниками права. [6, </w:t>
      </w:r>
      <w:r w:rsidRPr="000E6564">
        <w:rPr>
          <w:rFonts w:ascii="Times New Roman" w:hAnsi="Times New Roman"/>
          <w:sz w:val="28"/>
          <w:szCs w:val="28"/>
          <w:lang w:val="en-US"/>
        </w:rPr>
        <w:t>c</w:t>
      </w:r>
      <w:r w:rsidRPr="000E6564">
        <w:rPr>
          <w:rFonts w:ascii="Times New Roman" w:hAnsi="Times New Roman"/>
          <w:sz w:val="28"/>
          <w:szCs w:val="28"/>
        </w:rPr>
        <w:t>. 109].  Однако, ряд ученых, практикующие юристы полагают, что российские суды осуществляют административное нормотворчество двумя основными способами: путем судебного нормоконтроля и за счет создания судебных прецедентов. [6, c. 110].</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Административное право занимает важнейшее место в правовой системе Российской Федерации, являясь отраслью российского права, регулирующей наиболее важные общественные отношения, складывающиеся в сфере реализации исполнительно-распорядительных функций государственных органов в ходе управления делами государства и их взаимодействия с иными органами государственной и муниципальной власти, организациями и физическими лицами. Административное право в процессе оказания регулятивного воздействия на указанный спектр общественных отношений, тесно взаимодействует с иными отраслями российского права, в частности, с конституционным правом, уголовным правом, гражданским правом, трудовым правом.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В особенности наиболее тесная связь прослеживается во взаимодействии административного права с отраслями публичного российского права, что обусловлено тем, что ранее административное право входило в состав государственного права, и только в середине </w:t>
      </w:r>
      <w:r w:rsidRPr="000E6564">
        <w:rPr>
          <w:rFonts w:ascii="Times New Roman" w:hAnsi="Times New Roman"/>
          <w:sz w:val="28"/>
          <w:szCs w:val="28"/>
          <w:lang w:val="en-US"/>
        </w:rPr>
        <w:t>XIX</w:t>
      </w:r>
      <w:r w:rsidRPr="000E6564">
        <w:rPr>
          <w:rFonts w:ascii="Times New Roman" w:hAnsi="Times New Roman"/>
          <w:sz w:val="28"/>
          <w:szCs w:val="28"/>
        </w:rPr>
        <w:t xml:space="preserve"> века в отечественной правовой доктрине стали выделять в самостоятельную отрасль российского права [7, </w:t>
      </w:r>
      <w:r w:rsidRPr="000E6564">
        <w:rPr>
          <w:rFonts w:ascii="Times New Roman" w:hAnsi="Times New Roman"/>
          <w:sz w:val="28"/>
          <w:szCs w:val="28"/>
          <w:lang w:val="en-US"/>
        </w:rPr>
        <w:t>c</w:t>
      </w:r>
      <w:r w:rsidRPr="000E6564">
        <w:rPr>
          <w:rFonts w:ascii="Times New Roman" w:hAnsi="Times New Roman"/>
          <w:sz w:val="28"/>
          <w:szCs w:val="28"/>
        </w:rPr>
        <w:t>. 508].</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На сегодняшний день в российской правовой доктрине идет дискуссия о том, стоит ли считать административное право материнской отраслью право по отношению к таким самостоятельным отраслям российского права как таможенное право, налоговое право, финансовое право, экологическое право или же они являются подотраслями административного права. Как и по мнению большинства ученых, данные отрасли российского права являются самостоятельными, выступая дочерними по отношению к административному праву, берут свое начало из него, поскольку они имеют самостоятельные специфические предметы правового регулирования  [8, </w:t>
      </w:r>
      <w:r w:rsidRPr="000E6564">
        <w:rPr>
          <w:rFonts w:ascii="Times New Roman" w:hAnsi="Times New Roman"/>
          <w:sz w:val="28"/>
          <w:szCs w:val="28"/>
          <w:lang w:val="en-US"/>
        </w:rPr>
        <w:t>c</w:t>
      </w:r>
      <w:r w:rsidRPr="000E6564">
        <w:rPr>
          <w:rFonts w:ascii="Times New Roman" w:hAnsi="Times New Roman"/>
          <w:sz w:val="28"/>
          <w:szCs w:val="28"/>
        </w:rPr>
        <w:t xml:space="preserve">. 490]..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Значение административного права заключается, в первую очередь, в реализации им важных функций регулятора общественных отношений, к которым традиционно относят: регулятивную, охранительную и обеспечительную.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Потенциал регулятивной функции административного права наиболее полно реализуется посредством таких ее подвидов, как организационная, исполнительная, разрешительная, нормотворческая (правоустановительная), контрольно-надзорная.</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При реализации охранительной функции административного права может быть использовано административное принуждение, а также </w:t>
      </w:r>
      <w:r w:rsidRPr="000E6564">
        <w:rPr>
          <w:rFonts w:ascii="Times New Roman" w:hAnsi="Times New Roman"/>
          <w:sz w:val="28"/>
          <w:szCs w:val="28"/>
        </w:rPr>
        <w:lastRenderedPageBreak/>
        <w:t xml:space="preserve">применены меры юридической ответственности, восстановительные санкции.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Реализация обеспечительной функции основывается на содержащихся в ГПК РФ и АПК РФ процессуальных механизмах и производствах, а также на определенных правовыми актами административных процедурах осуществления государственных функций, взаимодействия государственных органов, урегулирования административно-правовых споров.</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Помимо прочего, в настоящее время выделяют такую функцию российского административного права как воспитательная функция, суть которой сводится к оказанию воспитательного и идеологического воздействия на сознание людей, на которых распространяется действий норм административного права, что, в свою очередь побуждает их к правомерному поведению в сфере государственного управления.</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Данная функция реализуется за счет поощрительных норм и норм административного права, регламентирующего возможность применения к правонарушителям мер юридической (административной) ответственности за совершение ими противоправных действий.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На наш взгляд, реализуемая административным правом воспитательная функция играет наиболее важное значение в формировании правовой грамотности, правовой культуры, правосознания, правового воспитания населения Российской Федерации, что должно, как следствие, способствовать сокращению числа административных правонарушений, ответственность за совершение которых установлена Кодексом об административных правонарушениях Российской Федерации. </w:t>
      </w:r>
    </w:p>
    <w:p w:rsidR="00CC181D" w:rsidRPr="00467B95" w:rsidRDefault="00CC181D" w:rsidP="005A3DF4">
      <w:pPr>
        <w:widowControl w:val="0"/>
        <w:spacing w:after="0" w:line="240" w:lineRule="auto"/>
        <w:ind w:firstLine="709"/>
        <w:contextualSpacing/>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Список использованных источников</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1 Бахрах Д. Н., Российский Б. В., Старилов Ю. Н. Административное право России: учебник. / Д. Н. Бахрах, Б. В. Российский, Ю. Н. Старилов. - М.: Норма, 2015. - 800 с.</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2 Воронов А. М., Гоголев А. М. К предмету административного права современной России. / А. М. Воронов, А.М. Гоголев. // Финансы: Теория и Практика. - 2017. - №1. - С. 125-130.</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3 Ромашов Р. А. Общетеоретические аспекты восприятия предмета, метода и структуры административного права. / Р. А. Ромашов. // Вестник Санкт-Петербургского университета МВД России. - 2007. - № 2. - С. 9-14.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4 Канунникова Н. Г. К вопросу о методах административного права. / Н. Г. Канунникова . // Административное право и процесс. - 2013. - № 1. - С. 19-21.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5 Мирошник С. В. К вопросу об источниках административного права. / С. В. Мирошник. // Пробелы в российском законодательстве. Юридический журнал. - 2012. - № 6. - С. 207-210. </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6 Осинцев Д. В., Соболев О.В. Источники административного права. / Д. В. Осинцев, О. В. Соболев. // Вестник Южно-Уральского государственного университета. Серия: Право. - 2016. - № 4. - С. 109-115.</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 xml:space="preserve">7 Цвырко Е. В. Место административного права в правовой системе России. / Е. В. Цвырко. // Современные научные исследования и разработки. - </w:t>
      </w:r>
      <w:r w:rsidRPr="000E6564">
        <w:rPr>
          <w:rFonts w:ascii="Times New Roman" w:hAnsi="Times New Roman"/>
          <w:sz w:val="28"/>
          <w:szCs w:val="28"/>
        </w:rPr>
        <w:lastRenderedPageBreak/>
        <w:t>2017. - № 9 (17). - С. 508-510.</w:t>
      </w:r>
    </w:p>
    <w:p w:rsidR="00F8234A" w:rsidRPr="000E6564" w:rsidRDefault="00F8234A" w:rsidP="005A3DF4">
      <w:pPr>
        <w:widowControl w:val="0"/>
        <w:spacing w:after="0" w:line="240" w:lineRule="auto"/>
        <w:ind w:firstLine="709"/>
        <w:jc w:val="both"/>
        <w:rPr>
          <w:rFonts w:ascii="Times New Roman" w:hAnsi="Times New Roman"/>
          <w:sz w:val="28"/>
          <w:szCs w:val="28"/>
        </w:rPr>
      </w:pPr>
      <w:r w:rsidRPr="000E6564">
        <w:rPr>
          <w:rFonts w:ascii="Times New Roman" w:hAnsi="Times New Roman"/>
          <w:sz w:val="28"/>
          <w:szCs w:val="28"/>
        </w:rPr>
        <w:t>8 Петрова А. А. Соотношение административного права с другими отраслями права / А. А. Петрова. // Молодой ученый. - 2014. - №20. - С. 490-493.</w:t>
      </w:r>
    </w:p>
    <w:p w:rsidR="00F8234A" w:rsidRPr="00467B95" w:rsidRDefault="00F8234A" w:rsidP="005A3DF4">
      <w:pPr>
        <w:pStyle w:val="af1"/>
        <w:widowControl w:val="0"/>
        <w:ind w:firstLine="709"/>
        <w:jc w:val="both"/>
        <w:rPr>
          <w:rFonts w:ascii="Times New Roman" w:hAnsi="Times New Roman" w:cs="Times New Roman"/>
          <w:sz w:val="28"/>
          <w:szCs w:val="28"/>
        </w:rPr>
      </w:pPr>
    </w:p>
    <w:p w:rsidR="001755D4" w:rsidRPr="00467B95" w:rsidRDefault="001755D4" w:rsidP="005A3DF4">
      <w:pPr>
        <w:widowControl w:val="0"/>
        <w:spacing w:after="0" w:line="240" w:lineRule="auto"/>
        <w:ind w:firstLine="709"/>
        <w:jc w:val="center"/>
        <w:rPr>
          <w:rFonts w:ascii="Times New Roman" w:hAnsi="Times New Roman"/>
          <w:b/>
          <w:sz w:val="28"/>
          <w:szCs w:val="28"/>
        </w:rPr>
      </w:pPr>
      <w:r w:rsidRPr="00467B95">
        <w:rPr>
          <w:rFonts w:ascii="Times New Roman" w:hAnsi="Times New Roman"/>
          <w:b/>
          <w:sz w:val="28"/>
          <w:szCs w:val="28"/>
        </w:rPr>
        <w:t>Регламент арбитражного суда</w:t>
      </w:r>
    </w:p>
    <w:p w:rsidR="001755D4" w:rsidRPr="001755D4" w:rsidRDefault="001755D4" w:rsidP="005A3DF4">
      <w:pPr>
        <w:widowControl w:val="0"/>
        <w:spacing w:after="0" w:line="240" w:lineRule="auto"/>
        <w:ind w:firstLine="709"/>
        <w:jc w:val="center"/>
        <w:rPr>
          <w:rFonts w:ascii="Times New Roman" w:hAnsi="Times New Roman"/>
          <w:sz w:val="28"/>
          <w:szCs w:val="28"/>
        </w:rPr>
      </w:pPr>
    </w:p>
    <w:p w:rsidR="001755D4" w:rsidRPr="00467B95" w:rsidRDefault="001755D4"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Ячмень Варвара Александровна,</w:t>
      </w:r>
    </w:p>
    <w:p w:rsidR="001755D4" w:rsidRPr="00467B95" w:rsidRDefault="001755D4"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бакалавр</w:t>
      </w:r>
    </w:p>
    <w:p w:rsidR="001755D4" w:rsidRPr="00467B95" w:rsidRDefault="001755D4"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Владивостокский государственный университет экономики и сервиса</w:t>
      </w:r>
    </w:p>
    <w:p w:rsidR="001755D4" w:rsidRPr="00467B95" w:rsidRDefault="001755D4"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Россия, Владивосток</w:t>
      </w:r>
    </w:p>
    <w:p w:rsidR="001755D4" w:rsidRPr="00467B95" w:rsidRDefault="001755D4"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lang w:val="pt-BR"/>
        </w:rPr>
        <w:t xml:space="preserve">E-mail: bupvgues@mail.com; </w:t>
      </w:r>
      <w:r w:rsidRPr="00467B95">
        <w:rPr>
          <w:rFonts w:ascii="Times New Roman" w:hAnsi="Times New Roman"/>
          <w:sz w:val="28"/>
          <w:szCs w:val="28"/>
        </w:rPr>
        <w:t>тел</w:t>
      </w:r>
      <w:r w:rsidRPr="00467B95">
        <w:rPr>
          <w:rFonts w:ascii="Times New Roman" w:hAnsi="Times New Roman"/>
          <w:sz w:val="28"/>
          <w:szCs w:val="28"/>
          <w:lang w:val="pt-BR"/>
        </w:rPr>
        <w:t>.: +79149661650</w:t>
      </w:r>
    </w:p>
    <w:p w:rsidR="001755D4" w:rsidRPr="00467B95" w:rsidRDefault="001755D4" w:rsidP="005A3DF4">
      <w:pPr>
        <w:widowControl w:val="0"/>
        <w:spacing w:after="0" w:line="240" w:lineRule="auto"/>
        <w:ind w:firstLine="709"/>
        <w:jc w:val="center"/>
        <w:rPr>
          <w:rFonts w:ascii="Times New Roman" w:hAnsi="Times New Roman"/>
          <w:sz w:val="28"/>
          <w:szCs w:val="28"/>
        </w:rPr>
      </w:pPr>
      <w:r w:rsidRPr="00467B95">
        <w:rPr>
          <w:rFonts w:ascii="Times New Roman" w:hAnsi="Times New Roman"/>
          <w:sz w:val="28"/>
          <w:szCs w:val="28"/>
        </w:rPr>
        <w:t>ул. Арсеньева, 9/13, г. Владивосток, Приморский край, Россия, 690091</w:t>
      </w:r>
    </w:p>
    <w:p w:rsidR="001755D4" w:rsidRPr="001755D4" w:rsidRDefault="001755D4" w:rsidP="005A3DF4">
      <w:pPr>
        <w:widowControl w:val="0"/>
        <w:spacing w:after="0" w:line="240" w:lineRule="auto"/>
        <w:ind w:firstLine="709"/>
        <w:jc w:val="both"/>
        <w:rPr>
          <w:rFonts w:ascii="Times New Roman" w:hAnsi="Times New Roman"/>
          <w:i/>
          <w:sz w:val="28"/>
          <w:szCs w:val="28"/>
        </w:rPr>
      </w:pPr>
    </w:p>
    <w:p w:rsidR="001755D4" w:rsidRPr="00467B95" w:rsidRDefault="001755D4" w:rsidP="005A3DF4">
      <w:pPr>
        <w:widowControl w:val="0"/>
        <w:spacing w:after="0" w:line="240" w:lineRule="auto"/>
        <w:ind w:firstLine="709"/>
        <w:jc w:val="both"/>
        <w:rPr>
          <w:rFonts w:ascii="Times New Roman" w:hAnsi="Times New Roman"/>
          <w:i/>
          <w:sz w:val="28"/>
          <w:szCs w:val="28"/>
        </w:rPr>
      </w:pPr>
      <w:r w:rsidRPr="00467B95">
        <w:rPr>
          <w:rFonts w:ascii="Times New Roman" w:hAnsi="Times New Roman"/>
          <w:i/>
          <w:sz w:val="28"/>
          <w:szCs w:val="28"/>
        </w:rPr>
        <w:t>Данная статья посвящена исследованию на тему «Регламент Арбитражного суда». Цель исследования состоит в комплексном и взаимосвязанном анализе правового регулирования деятельности арбитражных судов в РФ.</w:t>
      </w:r>
    </w:p>
    <w:p w:rsidR="001755D4" w:rsidRPr="001755D4" w:rsidRDefault="001755D4" w:rsidP="005A3DF4">
      <w:pPr>
        <w:widowControl w:val="0"/>
        <w:spacing w:after="0" w:line="240" w:lineRule="auto"/>
        <w:ind w:firstLine="709"/>
        <w:jc w:val="both"/>
        <w:rPr>
          <w:rFonts w:ascii="Times New Roman" w:hAnsi="Times New Roman"/>
          <w:b/>
          <w:i/>
          <w:sz w:val="28"/>
          <w:szCs w:val="28"/>
        </w:rPr>
      </w:pPr>
    </w:p>
    <w:p w:rsidR="001755D4" w:rsidRPr="00467B95" w:rsidRDefault="001755D4" w:rsidP="005A3DF4">
      <w:pPr>
        <w:widowControl w:val="0"/>
        <w:spacing w:after="0" w:line="240" w:lineRule="auto"/>
        <w:ind w:firstLine="709"/>
        <w:jc w:val="both"/>
        <w:rPr>
          <w:rFonts w:ascii="Times New Roman" w:hAnsi="Times New Roman"/>
          <w:i/>
          <w:sz w:val="28"/>
          <w:szCs w:val="28"/>
        </w:rPr>
      </w:pPr>
      <w:r w:rsidRPr="00E03CA0">
        <w:rPr>
          <w:rFonts w:ascii="Times New Roman" w:hAnsi="Times New Roman"/>
          <w:i/>
          <w:sz w:val="28"/>
          <w:szCs w:val="28"/>
        </w:rPr>
        <w:t>Ключевые слова и словосочетания:</w:t>
      </w:r>
      <w:r w:rsidRPr="00467B95">
        <w:rPr>
          <w:rFonts w:ascii="Times New Roman" w:hAnsi="Times New Roman"/>
          <w:b/>
          <w:i/>
          <w:sz w:val="28"/>
          <w:szCs w:val="28"/>
        </w:rPr>
        <w:t xml:space="preserve"> </w:t>
      </w:r>
      <w:r w:rsidRPr="00467B95">
        <w:rPr>
          <w:rFonts w:ascii="Times New Roman" w:hAnsi="Times New Roman"/>
          <w:i/>
          <w:sz w:val="28"/>
          <w:szCs w:val="28"/>
        </w:rPr>
        <w:t>регламент арбитражного суда, судебная власть, арбитражный суд</w:t>
      </w:r>
    </w:p>
    <w:p w:rsidR="001755D4" w:rsidRPr="001755D4" w:rsidRDefault="001755D4" w:rsidP="005A3DF4">
      <w:pPr>
        <w:widowControl w:val="0"/>
        <w:spacing w:after="0" w:line="240" w:lineRule="auto"/>
        <w:ind w:firstLine="709"/>
        <w:jc w:val="center"/>
        <w:rPr>
          <w:rFonts w:ascii="Times New Roman" w:hAnsi="Times New Roman"/>
          <w:b/>
          <w:sz w:val="28"/>
          <w:szCs w:val="28"/>
        </w:rPr>
      </w:pPr>
    </w:p>
    <w:p w:rsidR="001755D4" w:rsidRPr="00467B95" w:rsidRDefault="001755D4" w:rsidP="005A3DF4">
      <w:pPr>
        <w:widowControl w:val="0"/>
        <w:spacing w:after="0" w:line="240" w:lineRule="auto"/>
        <w:ind w:firstLine="709"/>
        <w:jc w:val="center"/>
        <w:rPr>
          <w:rFonts w:ascii="Times New Roman" w:hAnsi="Times New Roman"/>
          <w:b/>
          <w:sz w:val="28"/>
          <w:szCs w:val="28"/>
          <w:lang w:val="en-US"/>
        </w:rPr>
      </w:pPr>
      <w:r w:rsidRPr="00467B95">
        <w:rPr>
          <w:rFonts w:ascii="Times New Roman" w:hAnsi="Times New Roman"/>
          <w:b/>
          <w:sz w:val="28"/>
          <w:szCs w:val="28"/>
          <w:lang w:val="en-US"/>
        </w:rPr>
        <w:t>Rules of procedure for arbitration proceedings</w:t>
      </w:r>
    </w:p>
    <w:p w:rsidR="001755D4" w:rsidRDefault="001755D4" w:rsidP="005A3DF4">
      <w:pPr>
        <w:widowControl w:val="0"/>
        <w:spacing w:after="0" w:line="240" w:lineRule="auto"/>
        <w:ind w:firstLine="709"/>
        <w:jc w:val="both"/>
        <w:rPr>
          <w:rFonts w:ascii="Times New Roman" w:hAnsi="Times New Roman"/>
          <w:i/>
          <w:sz w:val="28"/>
          <w:szCs w:val="28"/>
          <w:lang w:val="en-US"/>
        </w:rPr>
      </w:pPr>
    </w:p>
    <w:p w:rsidR="001755D4" w:rsidRPr="00467B95" w:rsidRDefault="001755D4" w:rsidP="005A3DF4">
      <w:pPr>
        <w:widowControl w:val="0"/>
        <w:spacing w:after="0" w:line="240" w:lineRule="auto"/>
        <w:ind w:firstLine="709"/>
        <w:jc w:val="both"/>
        <w:rPr>
          <w:rFonts w:ascii="Times New Roman" w:hAnsi="Times New Roman"/>
          <w:i/>
          <w:sz w:val="28"/>
          <w:szCs w:val="28"/>
          <w:lang w:val="en-US"/>
        </w:rPr>
      </w:pPr>
      <w:r w:rsidRPr="00467B95">
        <w:rPr>
          <w:rFonts w:ascii="Times New Roman" w:hAnsi="Times New Roman"/>
          <w:i/>
          <w:sz w:val="28"/>
          <w:szCs w:val="28"/>
          <w:lang w:val="en-US"/>
        </w:rPr>
        <w:t>This article is devoted to a study on the “Rules of the Arbitration Court”. The purpose of the study is a comprehensive and interrelated analysis of the legal regulation of the activities of arbitration courts in the Russian Federation.</w:t>
      </w:r>
    </w:p>
    <w:p w:rsidR="001755D4" w:rsidRDefault="001755D4" w:rsidP="005A3DF4">
      <w:pPr>
        <w:widowControl w:val="0"/>
        <w:spacing w:after="0" w:line="240" w:lineRule="auto"/>
        <w:ind w:firstLine="709"/>
        <w:jc w:val="both"/>
        <w:rPr>
          <w:rFonts w:ascii="Times New Roman" w:hAnsi="Times New Roman"/>
          <w:b/>
          <w:i/>
          <w:sz w:val="28"/>
          <w:szCs w:val="28"/>
          <w:lang w:val="en-US"/>
        </w:rPr>
      </w:pPr>
    </w:p>
    <w:p w:rsidR="001755D4" w:rsidRPr="00467B95" w:rsidRDefault="001755D4" w:rsidP="005A3DF4">
      <w:pPr>
        <w:widowControl w:val="0"/>
        <w:spacing w:after="0" w:line="240" w:lineRule="auto"/>
        <w:ind w:firstLine="709"/>
        <w:jc w:val="both"/>
        <w:rPr>
          <w:rFonts w:ascii="Times New Roman" w:hAnsi="Times New Roman"/>
          <w:i/>
          <w:sz w:val="28"/>
          <w:szCs w:val="28"/>
          <w:lang w:val="en-US"/>
        </w:rPr>
      </w:pPr>
      <w:r w:rsidRPr="00E03CA0">
        <w:rPr>
          <w:rFonts w:ascii="Times New Roman" w:hAnsi="Times New Roman"/>
          <w:i/>
          <w:sz w:val="28"/>
          <w:szCs w:val="28"/>
          <w:lang w:val="en-US"/>
        </w:rPr>
        <w:t>Keywords:</w:t>
      </w:r>
      <w:r w:rsidRPr="00467B95">
        <w:rPr>
          <w:rFonts w:ascii="Times New Roman" w:hAnsi="Times New Roman"/>
          <w:i/>
          <w:sz w:val="28"/>
          <w:szCs w:val="28"/>
          <w:lang w:val="en-US"/>
        </w:rPr>
        <w:t xml:space="preserve"> rules of procedure for arbitration proceedings, judicial authority, arbitration court</w:t>
      </w:r>
    </w:p>
    <w:p w:rsidR="001755D4" w:rsidRDefault="001755D4" w:rsidP="005A3DF4">
      <w:pPr>
        <w:widowControl w:val="0"/>
        <w:spacing w:after="0" w:line="240" w:lineRule="auto"/>
        <w:ind w:firstLine="709"/>
        <w:jc w:val="both"/>
        <w:rPr>
          <w:rFonts w:ascii="Times New Roman" w:hAnsi="Times New Roman"/>
          <w:sz w:val="28"/>
          <w:szCs w:val="28"/>
          <w:lang w:val="en-US"/>
        </w:rPr>
      </w:pP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История возникновения арбитражных судов в России имеет глубокие корни. Первое упоминание об особых органах, предназначенных для разрешения коммерческих (торговых) споров встречается в Уставной грамоте Новгородского князя Всеволода Мстиславовича, датированной 1135 годом («особые суды для торгового сословия») [1, с. 168-172]. В 1667 году Ново-Торговым уставом были учреждены «особые таможенные суды» [2, с. 29-43].</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Особую роль в отделении коммерческих судов от судов общей юрисдикции сыграл Петр I. Так в 1699 году создается Бурмистрская палата; в 1711 году образуется Сенат, который стал высшей апелляционной инстанцией по торговым делам; в 1719 году создана Коммерц-Коллегия, ведавшая торговыми и вексельными делами. В 1727 году был утвержден Устав суда таможенного, на основе которого действовали суды, рассматривавшие спорные торговые дела. Однако во многих городах </w:t>
      </w:r>
      <w:r w:rsidRPr="00467B95">
        <w:rPr>
          <w:rFonts w:ascii="Times New Roman" w:hAnsi="Times New Roman"/>
          <w:sz w:val="28"/>
          <w:szCs w:val="28"/>
        </w:rPr>
        <w:lastRenderedPageBreak/>
        <w:t>коммерческие споры продолжали рассматриваться по правилам общего судопроизводства [3, с. 190].</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Далее указом сената от 1 апреля </w:t>
      </w:r>
      <w:smartTag w:uri="urn:schemas-microsoft-com:office:smarttags" w:element="metricconverter">
        <w:smartTagPr>
          <w:attr w:name="ProductID" w:val="2002 г"/>
        </w:smartTagPr>
        <w:r w:rsidRPr="00467B95">
          <w:rPr>
            <w:rFonts w:ascii="Times New Roman" w:hAnsi="Times New Roman"/>
            <w:sz w:val="28"/>
            <w:szCs w:val="28"/>
          </w:rPr>
          <w:t>1819 г</w:t>
        </w:r>
      </w:smartTag>
      <w:r w:rsidRPr="00467B95">
        <w:rPr>
          <w:rFonts w:ascii="Times New Roman" w:hAnsi="Times New Roman"/>
          <w:sz w:val="28"/>
          <w:szCs w:val="28"/>
        </w:rPr>
        <w:t xml:space="preserve">. был создан коммерческий суд в городе Рени для Бессарабской области. Указом от 27 октября </w:t>
      </w:r>
      <w:smartTag w:uri="urn:schemas-microsoft-com:office:smarttags" w:element="metricconverter">
        <w:smartTagPr>
          <w:attr w:name="ProductID" w:val="2002 г"/>
        </w:smartTagPr>
        <w:r w:rsidRPr="00467B95">
          <w:rPr>
            <w:rFonts w:ascii="Times New Roman" w:hAnsi="Times New Roman"/>
            <w:sz w:val="28"/>
            <w:szCs w:val="28"/>
          </w:rPr>
          <w:t>1819 г</w:t>
        </w:r>
      </w:smartTag>
      <w:r w:rsidRPr="00467B95">
        <w:rPr>
          <w:rFonts w:ascii="Times New Roman" w:hAnsi="Times New Roman"/>
          <w:sz w:val="28"/>
          <w:szCs w:val="28"/>
        </w:rPr>
        <w:t>. - создан коммерческий суд в Феодосии. Указом от 23 января 1920 года - коммерческий суд в Архангельске. На этом создание новых коммерческих судов, по образцу Одесского, на территории Российской империи прекратилось. Достаточно долгое время к одному из внутренних городов страны данный опыт не был применений, что, как считает В.С. Балух, указывал на обслуживание этими судами. Преимущественно проблем, возникавших в портовых городах и которые были связаны с особенностями внешней торговли [3, с. 35].</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этом довольно быстро выяснилось несовершенство регламента устава коммерческого суда, выданного для Одессы в 1808 году и примененного к другим коммерческим судам. Однако некоторое время любые изменения или дополнения в регламент, не допускались.</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Несмотря на это, правительство и сенат продолжали работать над регламентом и  значительно улучшили процедуру рассмотрения коммерческих дел. В связи, с чем коммерческие суды приобрели популярность и доверия в купечества и местного торгового «люда». К тому же, принимать дополнительные специализированные нормативные акты все-таки приходилось - слишком разными и специфическими были условия деятельности коммерческих судов. Учитывая это, и на государственном уровне поняли необходимость, во-первых, в серьезном совершенствовании действующего для коммерческих судов законодательства и, во-вторых, в его систематизации и уточнении для каждого коммерческого суда отдельно.</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Для решения назревших проблем начался процесс принятия и реализации на местах различных дополнительных нормативных актов, в том числе и индивидуального характера, то есть таких, которые распространяли свое влияние исключительно на конкретный суд. Такой подход сохранился и в дальнейшем вплоть до прекращения функционирования коммерческих судов.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Современный этап развития экономического правосудия начался, можно сказать, с 4 июля </w:t>
      </w:r>
      <w:smartTag w:uri="urn:schemas-microsoft-com:office:smarttags" w:element="metricconverter">
        <w:smartTagPr>
          <w:attr w:name="ProductID" w:val="2002 г"/>
        </w:smartTagPr>
        <w:r w:rsidRPr="00467B95">
          <w:rPr>
            <w:rFonts w:ascii="Times New Roman" w:hAnsi="Times New Roman"/>
            <w:sz w:val="28"/>
            <w:szCs w:val="28"/>
          </w:rPr>
          <w:t>1991 г</w:t>
        </w:r>
      </w:smartTag>
      <w:r w:rsidRPr="00467B95">
        <w:rPr>
          <w:rFonts w:ascii="Times New Roman" w:hAnsi="Times New Roman"/>
          <w:sz w:val="28"/>
          <w:szCs w:val="28"/>
        </w:rPr>
        <w:t xml:space="preserve">., когда Верховным Советом РСФСР был принят Закон РСФСР «Об арбитражном суде» (введен в действие с 1 октября </w:t>
      </w:r>
      <w:smartTag w:uri="urn:schemas-microsoft-com:office:smarttags" w:element="metricconverter">
        <w:smartTagPr>
          <w:attr w:name="ProductID" w:val="2002 г"/>
        </w:smartTagPr>
        <w:r w:rsidRPr="00467B95">
          <w:rPr>
            <w:rFonts w:ascii="Times New Roman" w:hAnsi="Times New Roman"/>
            <w:sz w:val="28"/>
            <w:szCs w:val="28"/>
          </w:rPr>
          <w:t>1991 г</w:t>
        </w:r>
      </w:smartTag>
      <w:r w:rsidRPr="00467B95">
        <w:rPr>
          <w:rFonts w:ascii="Times New Roman" w:hAnsi="Times New Roman"/>
          <w:sz w:val="28"/>
          <w:szCs w:val="28"/>
        </w:rPr>
        <w:t xml:space="preserve">.), которым были упразднены ведомственные арбитражи. 3 марта </w:t>
      </w:r>
      <w:smartTag w:uri="urn:schemas-microsoft-com:office:smarttags" w:element="metricconverter">
        <w:smartTagPr>
          <w:attr w:name="ProductID" w:val="2002 г"/>
        </w:smartTagPr>
        <w:r w:rsidRPr="00467B95">
          <w:rPr>
            <w:rFonts w:ascii="Times New Roman" w:hAnsi="Times New Roman"/>
            <w:sz w:val="28"/>
            <w:szCs w:val="28"/>
          </w:rPr>
          <w:t>1992 г</w:t>
        </w:r>
      </w:smartTag>
      <w:r w:rsidRPr="00467B95">
        <w:rPr>
          <w:rFonts w:ascii="Times New Roman" w:hAnsi="Times New Roman"/>
          <w:sz w:val="28"/>
          <w:szCs w:val="28"/>
        </w:rPr>
        <w:t xml:space="preserve">. был принят первый Арбитражный процессуальный кодекс Российской Федерации, вступивший в силу 15 апреля </w:t>
      </w:r>
      <w:smartTag w:uri="urn:schemas-microsoft-com:office:smarttags" w:element="metricconverter">
        <w:smartTagPr>
          <w:attr w:name="ProductID" w:val="2002 г"/>
        </w:smartTagPr>
        <w:r w:rsidRPr="00467B95">
          <w:rPr>
            <w:rFonts w:ascii="Times New Roman" w:hAnsi="Times New Roman"/>
            <w:sz w:val="28"/>
            <w:szCs w:val="28"/>
          </w:rPr>
          <w:t>1992 г</w:t>
        </w:r>
      </w:smartTag>
      <w:r w:rsidRPr="00467B95">
        <w:rPr>
          <w:rFonts w:ascii="Times New Roman" w:hAnsi="Times New Roman"/>
          <w:sz w:val="28"/>
          <w:szCs w:val="28"/>
        </w:rPr>
        <w:t>. (далее – АПК РФ).</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мае 1991 года, был впервые принят Закон СССР «О Высшем арбитражном суде СССР», который положил начало формированию системы арбитражных судов. Сначала они были созданы на основе (материальной и кадровой) советской системы государственного арбитража с учетом опыта, в том числе зарубежного [4].</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Потребность в формировании подобного государственного органа была </w:t>
      </w:r>
      <w:r w:rsidRPr="00467B95">
        <w:rPr>
          <w:rFonts w:ascii="Times New Roman" w:hAnsi="Times New Roman"/>
          <w:sz w:val="28"/>
          <w:szCs w:val="28"/>
        </w:rPr>
        <w:lastRenderedPageBreak/>
        <w:t>продиктована экономическими, политическими, социальными причинами, а также мировым опытом разрешения коммерческих и торговых дел [5, с. 8].</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России система арбитражных судов не так обусловлена административно-территориальным делением, как суды общей юрисдикции, что служит достижению независимости от органов власти различных уровней.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этом арбитражные суды изначально были отнесены к судам федерального уровня, как это вытекало из предмета их деятельности, характера и масштаба споров, субъектами которых зачастую являются стороны, действующие в разных субъектах РФ.</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Историческое развитие системы арбитражных судов в нашей стране можно условно разделить на этапы, которые совпадают с принятием Арбитражных процессуальных кодексов РФ.</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Такой нормативно-правовой акт как закон РСФСР </w:t>
      </w:r>
      <w:smartTag w:uri="urn:schemas-microsoft-com:office:smarttags" w:element="metricconverter">
        <w:smartTagPr>
          <w:attr w:name="ProductID" w:val="2002 г"/>
        </w:smartTagPr>
        <w:r w:rsidRPr="00467B95">
          <w:rPr>
            <w:rFonts w:ascii="Times New Roman" w:hAnsi="Times New Roman"/>
            <w:sz w:val="28"/>
            <w:szCs w:val="28"/>
          </w:rPr>
          <w:t>1991 г</w:t>
        </w:r>
      </w:smartTag>
      <w:r w:rsidRPr="00467B95">
        <w:rPr>
          <w:rFonts w:ascii="Times New Roman" w:hAnsi="Times New Roman"/>
          <w:sz w:val="28"/>
          <w:szCs w:val="28"/>
        </w:rPr>
        <w:t xml:space="preserve">. установил в своих положениях основные задачи арбитражного суда.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 числу задач была причислена: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защита прав и интересов предприятий и граждан, которые находятся под защитой системы права;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также важной задачей является полное и справедливое использование норм законодательства;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организация поддержки правовыми средствами соблюдения системы права, а также укреплению легальности в финансовых  правоотношениях.</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Отметим, что изначально система арбитражных судов в нашей стране была состоящей из двух звеньев (первое звено это Высший Арбитражный Суд РФ, второе звено представлено системой арбитражных судов субъектов РФ) и в дальнейшем была трансформирована в состоящую из трех звеньев (первая, кассационная и надзорная инстанции).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Вступление в юридическую силу Конституции Российской Федерации в 1993 году потребовало внесения достаточного большого количества изменений в нормативные акты, регламентирующие строение системы арбитражных судов.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дальнейшем важную роль сыграло принятие ФКЗ «Об арбитражных судах в Российской Федерации», а также утверждение текста новой редакции Арбитражного процессуального кодекса.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Отметим, что в результате введения новых нормативных актов и созданием федеральных арбитражных судов округов существовавшая система арбитражных судов значительно подверглась изменениям. Так, из двухзвенной система арбитражных судов стала состоять из трех звеньев, а в дальнейшем она изменилась в четырехинстанционную (так как была создана апелляционная инстанция).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Президент России утвердил текст третьего Арбитражного процессуального кодекса 24 июля </w:t>
      </w:r>
      <w:smartTag w:uri="urn:schemas-microsoft-com:office:smarttags" w:element="metricconverter">
        <w:smartTagPr>
          <w:attr w:name="ProductID" w:val="2002 г"/>
        </w:smartTagPr>
        <w:r w:rsidRPr="00467B95">
          <w:rPr>
            <w:rFonts w:ascii="Times New Roman" w:hAnsi="Times New Roman"/>
            <w:sz w:val="28"/>
            <w:szCs w:val="28"/>
          </w:rPr>
          <w:t>2002 г</w:t>
        </w:r>
      </w:smartTag>
      <w:r w:rsidRPr="00467B95">
        <w:rPr>
          <w:rFonts w:ascii="Times New Roman" w:hAnsi="Times New Roman"/>
          <w:sz w:val="28"/>
          <w:szCs w:val="28"/>
        </w:rPr>
        <w:t xml:space="preserve">. Данный кодекс можно причислить к одному из наиболее удачных нормативных актов подобного рода. АПК РФ во многих положениях усовершенствовал и более подробно регламентирует </w:t>
      </w:r>
      <w:r w:rsidRPr="00467B95">
        <w:rPr>
          <w:rFonts w:ascii="Times New Roman" w:hAnsi="Times New Roman"/>
          <w:sz w:val="28"/>
          <w:szCs w:val="28"/>
        </w:rPr>
        <w:lastRenderedPageBreak/>
        <w:t>процедуру проведения судебного процесса, а также сделал более четкой защиту сторон предпринимательских отношений.</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появление системы арбитражных судов в России было обусловлено появлением в российской экономике частноправовых регуляторов и стимулов, частной собственности, развитием частной инициативы и многоукладной экономики, а также неизбежно последовавшим за этими процессами увеличением общего количества субъектов предпринимательства.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определенном этапе развития нашей страны появилась объективная необходимость в создании судебной системы, специально предназначенной для рассмотрения экономических споров. Такой системой стали арбитражные суды.</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Теперь перейдем к рассмотрению акта, регламентирующего деятельность арбитражных судов – самому непосредственно Регламенту.</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Арбитражные регламенты и правила постоянно действующих арбитражных учреждений содержат организационные и процедурные нормы, применяемые третейскими судами при рассмотрении и разрешении конкретных дел. В России среди наиболее известных и качественных актов подобного рода можно назвать регламенты и правила арбитража Международного коммерческого арбитражного суда (МКАС) и Морской арбитражной комиссии (МАК) при Торгово-промышленной палате РФ. Применительно к проведению арбитража ad hoc особое значение имеет Арбитражный регламент ЮНСИТРАЛ, нередко используемый сторонами разбирательства в качестве инструмента регулирования всей процедуры.</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условиях высокого уровня диспозитивности и неопределенности многих правил арбитража судебная практика выступает в качестве важного источника регулирования третейского разбирательства, восполняя имеющиеся законодательные пробелы. Особое значение здесь имеют обзоры судебной практики по соответствующим категориям дел [6, 7], постановления Верховного Суда РФ и отдельных нижестоящих судов по конкретным делам.</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Значительная часть изменений в процессуальное законодательство вводилась в рамках проведенной реформы в связи с расширением функций содействия и контроля судов в отношении арбитража.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конце 2018 года в Закон «Об арбитраже» [8] были внесены некоторые важные изменения [9], которые также применяются к международным коммерческим арбитражным разбирательствам в России. Изменения вступили в силу 29 марта 2019 года. В соответствии с изменениями были упрощены правила получения лицензии арбитражными учреждениями для администрирования арбитража в России и процедура арбитража некоторых видов корпоративных споров.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Таким образом, лицензия выдается Министерством юстиции, а не Правительством России, как ранее. Также появилась большая определенность в отношении процесса подачи заявки. Изменения определяют список документов, которые необходимо представить иностранному арбитражному </w:t>
      </w:r>
      <w:r w:rsidRPr="00467B95">
        <w:rPr>
          <w:rFonts w:ascii="Times New Roman" w:hAnsi="Times New Roman"/>
          <w:sz w:val="28"/>
          <w:szCs w:val="28"/>
        </w:rPr>
        <w:lastRenderedPageBreak/>
        <w:t>учреждению с заявкой на получение лицензии.</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Среди этих документов: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заявление с подробным описанием истории и деятельности учреждения;</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выписка из реестра или аналогичный документ, подтверждающий правовой статус учреждения или его учредителя;</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Правила управления корпоративными спорами (если организация хочет урегулировать российские корпоративные споры, требующие знание специальных правил). Если иностранное арбитражное учреждение намеревается разрешать российские внутренние споры, оно должно будет обеспечить присутствие в России для таких целей (филиал учреждения или его учредительная организация). Существенное изменение было внесено в отношении арбитражности корпоративных споров.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После арбитражной реформы 2016 года споры по акционерным соглашениям разрешались только при условии, что:</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Все акционеры компании и сама компания являются сторонами арбитражного соглашения;</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Арбитраж управляется «лицензированным» арбитражным учреждением;</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Арбитраж осуществляется в соответствии со специальными правилами по управлению корпоративными спорами (что означает, что информация о споре должна публиковаться на веб-сайте арбитражного учреждения);</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нахождения в России.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 29 марта 2019 года требования пунктов 1 и 3 будут отменены [10].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Дальнейшие изменения в о внутреннем арбитраже касаются арбитражности споров, возникающих из или в связи с контрактами, заключенными в соответствии с Законом о закупках государственными юридическими лицами [11] которые были предметом нескольких судебных дел в 2018 году [12]. Такие споры, находящиеся в России, должны разрешаться лицензированным арбитражным учреждением. Среди недавних событий, связанных с арбитражем, можно отметить вынесение Верховным судом России 26 декабря 2018 года решения по пересмотру дела в суде [13].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Обзоре выражается позиция Верховного суда относительно применения соответствующих правовых норм к спорам, связанным с арбитражными спорами.</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 ключевым моментам обзора относятся следующие: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Отстаивание применимости стандартных арбитражных оговорок, рекомендованных арбитражными учреждениями;</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Действуют альтернативные положения по разрешению споров (т.е. позволяющие истцу выбирать между судом или третейским судом);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 Асимметричные положения об урегулировании споров (то есть, позволяющие только одной стороне выбирать между судами) недействительны, поскольку каждая сторона должна иметь одинаковый </w:t>
      </w:r>
      <w:r w:rsidRPr="00467B95">
        <w:rPr>
          <w:rFonts w:ascii="Times New Roman" w:hAnsi="Times New Roman"/>
          <w:sz w:val="28"/>
          <w:szCs w:val="28"/>
        </w:rPr>
        <w:lastRenderedPageBreak/>
        <w:t>объем прав для передачи спора в разрешение спора судом или третейским судом;</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Любые ограничения арбитражности гражданско-правовых споров должны быть прямо предусмотрены в законе и не определены другими способами;</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Если кредитор подает иск на основании решения в ходе процедуры банкротства, другие кредиторы имеют право на возражение против этого по тем же основаниям, которые предусмотрены законом для отказа в исполнении решения суда.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Что касается основ публичной политики, Верховный суд установил, что публично-правовая цель процедур банкротства заключается в обеспечении баланса прав и законных интересов всех кредиторов. Следовательно, создание частно-правового спора, разрешенного арбитражным судом с целью включения необоснованной задолженности в реестр требований кредиторов с целью повлиять на дело о банкротстве, должно рассматриваться как нарушение государственной политики.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Обязательные нормы, регулирующие международное арбитражное разбирательство можно найти в международных договорах, в которых участвует Россия, таких как Нью-Йоркская конвенция (1958 г.) и Европейская конвенция о международном коммерческом арбитраже (1961 г.). Эти нормы применяются напрямую и имеют приоритет перед национальными законами в случае конфликта.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Не арбитражные споры в основном определяются в АПК (в отношении коммерческих споров) и в ГПК (в отношении частных некоммерческих споров).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Категорически не подлежащие арбитражу категории споров в рамках АПК с поправками, внесенными в законодательство о реформе (статья 33), включают:</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о несостоятельности;</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возникающие из-за отказа должностных лиц от регистрации юридического лица в государственном реестре юридических лиц;</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в области интеллектуальной собственности с участием организаций, ответственных за коллективное управление авторским правом и смежными правами, или относящиеся к исключительной компетенции Суда по интеллектуальным правам в силу их публичного характера;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возникающие из административных и других публично-правовых вопросов;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коллективные действия (однако, в принципе, коллективные действия в корпоративных спорах могут быть разрешены арбитражем);</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приватизационные споры;</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касающиеся государственных закупок (с оговоркой, что в будущем споры о государственных закупках могут стать арбитражными при условии, что соответствующее арбитражное учреждение будет назначено для таких споров отдельным федеральным законом);</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споры о компенсации за ущерб окружающей среде;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некоторые корпоративные споры (пункт 2 статьи 225 АПК):</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о созыве общих собраний акционеров;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возникающие в результате нотариального удостоверения сделок с участием в российских компаний с ограниченной ответственностью;</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оспаривание действий, постановлений и действий (или бездействия) государственных и муниципальных органов, частных лиц, выполняющих публично-правовые функции, и государственных должностных лиц;</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касающиеся обязательных тендерных предложений и процедур в соответствии с Федеральным законом № 208-ФЗ об акционерных обществах от 26 декабря 1995 года; а также: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споры по поводу исключения участников из юридических лиц.</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Кроме того, некоторые виды профессиональных спортивных споров не подлежат рассмотрению в соответствии с российским законодательством о спорте. Законодатель также определяет ряд частных споров, которые не могут быть разрешены, в том числе семейные и трудовые споры, а также споры о компенсации за телесные повреждения.</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Законодательство о реформе арбитража предусматривает, что корпоративные споры могут передаваться только в арбитраж, а арбитражные оговорки могут быть вынесены только в отношении таких споров после 1 февраля 2017 года. Предыдущие арбитражные изменения в отношении таких споров считаются неисполнимыми, но законодательство о реформе не указывает, относится ли это только к арбитражным изменениям, введенным после 1 сентября 2016 г. [14]</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Российские суды придерживаются ограничительного подхода в отношении арбитража споров с участием публичных элементов. Недавно российские суды установили, что любой спор по контракту, заключенному в общественных целях и оплаченному из государственного бюджета, не подлежит арбитражу.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Арбитражный суд может принять решение о своей собственной юрисдикции.  Если суд выносит решение по предварительному вопросу о юрисдикции, а решение подтверждает юрисдикцию, любая из сторон может обратиться в вышестоящий суд с просьбой оспорить это решение. </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Следуя подходу Нью-Йоркской конвенции и основываясь на статье 148 АПК, российские суды должны прекратить производство по делу («оставить иск без рассмотрения») и передать стороны в арбитраж при условии, что ответчик возражает против юрисдикция суда и ссылается на арбитражное соглашение до его первого представления по существу. Исключение составляют случаи, когда суд считает, что арбитражное соглашение недействительно, не действует или не может быть исполнено. В таких ситуациях судебное разбирательство будет продолжено.</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Так, Верховный суд Российской Федерации постановил, что финансовые проблемы истца не могут служить оправданием для несоблюдения арбитражного соглашения. Компания подала иск в </w:t>
      </w:r>
      <w:r w:rsidRPr="00467B95">
        <w:rPr>
          <w:rFonts w:ascii="Times New Roman" w:hAnsi="Times New Roman"/>
          <w:sz w:val="28"/>
          <w:szCs w:val="28"/>
        </w:rPr>
        <w:lastRenderedPageBreak/>
        <w:t>государственный суд, несмотря на соглашение в договоре о передаче всех споров в арбитражный суд, ссылаясь на свою неспособность оплатить арбитражный сбор. Верховный суд поддержал нижестоящий суд, который отклонил иск на основании статьи 148 АПК РФ.</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соответствии с российским законодательством срок давности для начала арбитража является скорее материальным, чем процессуальным, и определяется в материальном, а не процессуальном законодательстве.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отношении ограничений существует особый выбор нормы права (статья 1208 Гражданского кодекса Российской Федерации, которая предусматривает, что право, применимое к материальным отношениям сторон, также будет применяться к ограничениям, в результате чего даже в Российских арбитражах и судебных разбирательствах, иностранные сроки давности могут применяться.</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Что касается сроков давности в российском материальном праве, то общеприменимый срок исковой давности составляет три года, начиная с даты, когда заявитель знал или должен был знать о нарушении его прав и личности соответствующего ответчика. В любом случае срок давности не может превышать 10 лет с момента нарушения (статьи 196 и 200 Гражданского кодекса).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Эти общие правила адаптированы в отношении определенных видов претензий (например, специальные сроки исковой давности в отношении претензий о признании сделок недействительными в соответствии со статьей 181 Гражданского кодекса). Существуют также определенные виды претензий, к которым ограничения не применяются, в том числе, что наиболее важно, претензии владельцев собственности о прекращении нарушения их прав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Российское законодательство не содержит каких-либо специальных правовых норм, касающихся формирования, действительности или законности арбитражных соглашений, оставляя этот вопрос открытым для толкования арбитражными судами и судами.</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При определении действительности иностранных арбитражных соглашений при отсутствии прямого выбора сторон российские суды, скорее всего, будут применять закон о месте арбитража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Стороны могут свободно договариваться о процедуре арбитража (в том числе путем применения согласованных арбитражных правил) при условии соблюдения применимых обязательных требований. При отсутствии соглашения сторон о процедуре арбитражный суд может установить арбитражную процедуру, если сочтет это целесообразным, при условии соблюдения применимых обязательных правил.</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международном арбитраже есть несколько обязательных шагов, которые необходимо предпринять. Одним из необходимых шагов является представление заявителем в течение периода времени, согласованного сторонами или определенного арбитражным судом, изложения фактов и обстоятельств, на которых основывается его претензия, а также </w:t>
      </w:r>
      <w:r w:rsidRPr="00467B95">
        <w:rPr>
          <w:rFonts w:ascii="Times New Roman" w:hAnsi="Times New Roman"/>
          <w:sz w:val="28"/>
          <w:szCs w:val="28"/>
        </w:rPr>
        <w:lastRenderedPageBreak/>
        <w:t>запрашиваемой помощи. Ответчик должен представить в течение применимого срока свою защиту в отношении доводов заявителя, если стороны не договорились об ином. Стороны могут представить вместе со своими заявлениями все документы, которые они считают уместными, или добавить ссылку на документы или другие доказательства, которые они намерены представить. Если истец не может представить соответствующее исковое заявление без уважительной причины, суд должен прекратить разбирательство.</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Каждая сторона обязана предоставить свои представления и доказательства другой стороне, а также арбитражному суду.</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Арбитры (заседающие в качестве единоличных арбитров или в составе судебной коллегии) имеют широкий спектр процессуальных полномочий; например, власть [14]:</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принимать решения по вызовам (статья 13);</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подать в отставку в тех случаях, когда они не могут действовать (статья 14);</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правило о юрисдикции (в отдельном решении по предварительному вопросу или в решении по существу дела (статья 16));</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определить временные меры, которые они считают целесообразными, а также меры безопасности в отношении таких мер (статья 17);</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проводить арбитраж таким образом, который они сочтут целесообразным (с учетом любого соглашения сторон и применимых обязательных процессуальных норм (статья 19));</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принимает решение о месте арбитража, если стороны не договорились о месте или механизме его определения (статья 20);</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определить место проведения слушания, отличное от места арбитража (если это не противоречит соглашению сторон (статья 20);</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определить язык (и) арбитража, если стороны не смогли договориться, и распорядиться о переводе документов, представленных сторонами (статья 22);</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устанавливать сроки для процедурных представлений сторон (если стороны не договорились о разных сроках) и разрешать сторонам изменять или сокращать свои заявления (если суд не сочтет это неуместным) (статья 23);</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решает, проводить ли устные слушания или выносить постановление только на основании документов (при условии какого-либо соглашения между сторонами и применимыми процессуальными правилами) (статья 24);</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прекратить разбирательство из-за непредставления подробностей иска (статья 25) и в случае, если суд считает, что продолжение разбирательства стало ненужным или невозможным (статья 32);</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назначить одного или нескольких экспертов для представления в суд и обязать стороны предоставлять таким экспертам соответствующую информацию и / или доступ к товарам и имуществу, подлежащему проверке (статья 26);</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 только в рамках институционального арбитража, запросить помощь у компетентного российского суда для получения доказательств или разрешить стороне запросить такую судебную помощь напрямую (статья 27); а также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определить применимое право на основе выбора правовых норм, которые суд считает целесообразными (статья 28).</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 арбитров также распространяется ряд юридических обязанностей, в том числе: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незамедлительно раскрывать любые обстоятельства, которые могут вызвать обоснованные сомнения в отношении их беспристрастности и независимости (статья 12);</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одинаково относиться к сторонам и обеспечивать им возможность в полной мере изложить свои доводы (статья 18);</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разрешить спор в соответствии с применимым законодательством и с должным учетом контракта сторон и обычаев торговли (статья 28);</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прекращает разбирательство после урегулирования и (по запросу и при отсутствии возражений со стороны суда) выносит решение на согласованных условиях (статья 30);</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прекращает производство по делу, когда истец отзывает иск (если ответчик не возражает против прекращения, и суд не признает его заинтересованность в окончательном решении) (статья 31);</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выдать окончательное обоснованное решение в письменном виде, которое соответствует требованиям законодательства, изложенным в статье 31 ICAL; а также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вносить исправления или давать пояснения к решению по обоснованной просьбе одной из сторон (суд также может вносить такие исправления самостоятельно) (статья 33).</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Председатель может быть уполномочен его коллегами по арбитражу или сторонами для решения процедурных вопросов в одностороннем порядке. Вопросы существа всегда должны решаться большинством голосов, если стороны не договорились об ином (статья 29).</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Российские суды не исполняют приказы о предварительном освобождении и временных мерах, вынесенные иностранными арбитражными судами. Только окончательные решения по существу подлежат исполнению [15].</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Что касается временного судебного разбирательства, предоставленного российскими арбитражными судами, то позиция, по сути, такая же. В отличие от окончательных арбитражных решений, они не могут исполняться через государственную судебную систему.</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Основное правило доказывания заключается в том, что каждая сторона должна доказать свою правоту. Приемлемость, актуальность и вес доказательств должны решаться арбитражным судом при отсутствии какого-либо конкретного соглашения между сторонами по этим вопросам.</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Суд может приказать стороне раскрыть доказательства, но в российском законодательстве нет механизма, чтобы заставить суд раскрывать </w:t>
      </w:r>
      <w:r w:rsidRPr="00467B95">
        <w:rPr>
          <w:rFonts w:ascii="Times New Roman" w:hAnsi="Times New Roman"/>
          <w:sz w:val="28"/>
          <w:szCs w:val="28"/>
        </w:rPr>
        <w:lastRenderedPageBreak/>
        <w:t>такое действие. Кроме того, у суда нет правовых оснований для вынесения распоряжения о раскрытии информации третьими сторонами, а у суда нет механизма принуждения третьих сторон к раскрытию информации. Дополнительные варианты раскрытия могут быть доступны через государственные суды. Арбитражный суд не вправе требовать присутствия свидетелей.</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соответствии со статьей 150 АПК, российский арбитражный суд прекращает с ущербом любое разбирательство, если тот же вопрос был решен в обязательном арбитражном решении, вынесенном в ходе разбирательства между теми же сторонами и на тех же основаниях (если суд не отменил решение или отказался выдать исполнительный лист).</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Помимо этого исключительного эффекта, российские процессуальные кодексы прямо не придают какого-либо иного значения выводам в арбитражном решении, хотя стороны могут утверждать, что сторонам в арбитраже запрещается отрицать в последующем судебном или арбитражном разбирательстве их собственные заявления и / или факты, которые были окончательно установлены в арбитраже.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целях рационализации судебной практики Президиум Высшего Арбитражного Суда издал Информационное письмо № 156 от 26 февраля 2013 года по вопросам государственной политики. Высший Арбитражный Суд пояснил, что считает государственную политику лишь теми фундаментальными нормами права, которые являются обязательными и универсальными, имеют социальное и общественное значение и составляют основу экономической, политической и правовой системы государства.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Российское законодательство не предписывает средства правовой защиты, которые могут назначать арбитражные суды. Однако могут быть предоставлены только гражданско-правовые средства правовой защиты.</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Штраф, несомненно, является одним из средств правовой защиты, который может быть присужден судами. Этот вопрос будет рассмотрен подробнее далее в работе.</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Наиболее важным последним событием является российское законодательство о реформе арбитража, которое вступило в силу 1 сентября 2016 года. Реформа имела глубокие последствия для пользователей и институтов арбитража. В настоящее время в России существует всего пять арбитражных институтов для коммерческого арбитража, но их количество со временем может возрасти. В настоящий момент вряд ли будет какая-либо дальнейшая существенная реформа в арбитражном поле в России.</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Российские арбитражные институты, получившие государственное разрешение, разработали новые арбитражные правила на основе законодательства о реформе. К ним относятся «обычные» арбитражные правила и специальные правила корпоративного арбитража. МКАС принял ряд отдельных правил, регулирующих арбитражи по конкретным типам споров: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Арбитражный регламент международного коммерческого арбитража;</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lastRenderedPageBreak/>
        <w:t>Арбитражный регламент для внутренних споров;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Арбитражный регламент по корпоративным спорам;</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Арбитражный регламент спортивных споров.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Новые арбитражные правила вступили в силу 1 февраля 2017 года или ранее. Новые правила были также приняты Морской арбитражной комиссией. Кроме того, были приняты новые или обновленные версии документов, регулирующие их организационную структуру, административные вопросы и размер арбитражных сборов.</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В ходе проведения исследования были сделаны следующие выводы:</w:t>
      </w:r>
    </w:p>
    <w:p w:rsidR="001755D4" w:rsidRPr="00467B95"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Позиция по многим вопросам, связанным с арбитражем, в российском законодательстве существенно изменилась с российским законодательством о реформе арбитража (двумя федеральными законами), принятым в декабре 2015 года. </w:t>
      </w:r>
    </w:p>
    <w:p w:rsidR="001755D4" w:rsidRPr="00F34A4F" w:rsidRDefault="001755D4" w:rsidP="005A3DF4">
      <w:pPr>
        <w:widowControl w:val="0"/>
        <w:spacing w:after="0" w:line="240" w:lineRule="auto"/>
        <w:ind w:firstLine="709"/>
        <w:jc w:val="both"/>
        <w:rPr>
          <w:rFonts w:ascii="Times New Roman" w:hAnsi="Times New Roman"/>
          <w:sz w:val="28"/>
          <w:szCs w:val="28"/>
        </w:rPr>
      </w:pPr>
      <w:r w:rsidRPr="00467B95">
        <w:rPr>
          <w:rFonts w:ascii="Times New Roman" w:hAnsi="Times New Roman"/>
          <w:sz w:val="28"/>
          <w:szCs w:val="28"/>
        </w:rPr>
        <w:t xml:space="preserve">В результате анализа нововведений, предложенных Верховным Судом РФ, можно сделать вывод о том, что наше законодательство эволюционирует. Другими словами, происходит </w:t>
      </w:r>
      <w:r w:rsidRPr="00F34A4F">
        <w:rPr>
          <w:rFonts w:ascii="Times New Roman" w:hAnsi="Times New Roman"/>
          <w:sz w:val="28"/>
          <w:szCs w:val="28"/>
        </w:rPr>
        <w:t>сближение арбитражно-процессуального и гражданско-процессуального законодательства. Конечно, для унификации двух процессуальных кодексов следует использовать по правовой сущности материал, содержащийся в АПК РФ.</w:t>
      </w:r>
    </w:p>
    <w:p w:rsidR="001755D4" w:rsidRPr="00F34A4F" w:rsidRDefault="001755D4" w:rsidP="005A3DF4">
      <w:pPr>
        <w:widowControl w:val="0"/>
        <w:spacing w:after="0" w:line="240" w:lineRule="auto"/>
        <w:ind w:firstLine="709"/>
        <w:jc w:val="both"/>
        <w:rPr>
          <w:rFonts w:ascii="Times New Roman" w:hAnsi="Times New Roman"/>
          <w:sz w:val="28"/>
          <w:szCs w:val="28"/>
        </w:rPr>
      </w:pPr>
      <w:r w:rsidRPr="00F34A4F">
        <w:rPr>
          <w:rFonts w:ascii="Times New Roman" w:hAnsi="Times New Roman"/>
          <w:sz w:val="28"/>
          <w:szCs w:val="28"/>
        </w:rPr>
        <w:t>В настоящее время существуют разночтения между нормами ГПК РФ и АПК РФ, но следует отметить, что преобразования, которые вступят в силу, еще больше сотрут границу между гражданским и арбитражным судопроизводством.</w:t>
      </w:r>
    </w:p>
    <w:p w:rsidR="001755D4" w:rsidRPr="00F34A4F" w:rsidRDefault="001755D4" w:rsidP="005A3DF4">
      <w:pPr>
        <w:widowControl w:val="0"/>
        <w:spacing w:after="0" w:line="240" w:lineRule="auto"/>
        <w:ind w:firstLine="709"/>
        <w:contextualSpacing/>
        <w:jc w:val="center"/>
        <w:rPr>
          <w:rFonts w:ascii="Times New Roman" w:eastAsia="Times New Roman" w:hAnsi="Times New Roman"/>
          <w:sz w:val="28"/>
          <w:szCs w:val="28"/>
          <w:lang w:eastAsia="ru-RU"/>
        </w:rPr>
      </w:pPr>
      <w:r w:rsidRPr="00F34A4F">
        <w:rPr>
          <w:rFonts w:ascii="Times New Roman" w:eastAsia="Times New Roman" w:hAnsi="Times New Roman"/>
          <w:sz w:val="28"/>
          <w:szCs w:val="28"/>
          <w:lang w:eastAsia="ru-RU"/>
        </w:rPr>
        <w:t>Список использованных источников</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1</w:t>
      </w:r>
      <w:r w:rsidRPr="00F34A4F">
        <w:rPr>
          <w:rFonts w:ascii="Times New Roman" w:hAnsi="Times New Roman"/>
          <w:sz w:val="28"/>
          <w:szCs w:val="28"/>
        </w:rPr>
        <w:tab/>
        <w:t>Лебедев В.И. Хрестоматия по истории СССР. Том 1. С древнейших времён до конца XVII века / В.И. Лебедев, М.Н. Тихомиров, В.Е. Сыроечковский; 4-е изд., испр. и доп. - М.: Государственное учебно-педагогическое издательство Минпросвещения РСФСР, 1951. - 545 с.</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2</w:t>
      </w:r>
      <w:r w:rsidRPr="00F34A4F">
        <w:rPr>
          <w:rFonts w:ascii="Times New Roman" w:hAnsi="Times New Roman"/>
          <w:sz w:val="28"/>
          <w:szCs w:val="28"/>
        </w:rPr>
        <w:tab/>
        <w:t>Восканян В. Ново-торговый устав и договор с Армянской торговой компанией 1667 года [Электронный ресурс] / В. Восканян // Известия АН Армянской ССР. - 1947. - №. 6. - С. 29-43. - Режим доступа: http://basss.asj-oa.am/247/1/1947-6(29).pdf.</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3</w:t>
      </w:r>
      <w:r w:rsidRPr="00F34A4F">
        <w:rPr>
          <w:rFonts w:ascii="Times New Roman" w:hAnsi="Times New Roman"/>
          <w:sz w:val="28"/>
          <w:szCs w:val="28"/>
        </w:rPr>
        <w:tab/>
        <w:t>Чуманова В.В. Развитие института местного самоуправления в России в XVI-начале XVIII века / В. Чуманова // Ответственный редактор. - 2015. - С. 190.</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4</w:t>
      </w:r>
      <w:r w:rsidRPr="00F34A4F">
        <w:rPr>
          <w:rFonts w:ascii="Times New Roman" w:hAnsi="Times New Roman"/>
          <w:sz w:val="28"/>
          <w:szCs w:val="28"/>
        </w:rPr>
        <w:tab/>
        <w:t>Балух В. С. Одесский арбитражный суд: два века истории / В. С. Балух, А. А. Сурилов. - О.: Юридическая литература, 2001. -327 с.</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5</w:t>
      </w:r>
      <w:r w:rsidRPr="00F34A4F">
        <w:rPr>
          <w:rFonts w:ascii="Times New Roman" w:hAnsi="Times New Roman"/>
          <w:sz w:val="28"/>
          <w:szCs w:val="28"/>
        </w:rPr>
        <w:tab/>
        <w:t xml:space="preserve">Мелехин А.В. Судебная власть Российской Федерации: курс лекций [Электронный ресурс] / А.В. Мелехин // СПС «КонсультантПлюс». - 2012. - Режим доступа: </w:t>
      </w:r>
      <w:hyperlink r:id="rId192" w:history="1">
        <w:r w:rsidR="00F34A4F" w:rsidRPr="00F34A4F">
          <w:rPr>
            <w:rStyle w:val="a8"/>
            <w:rFonts w:ascii="Times New Roman" w:hAnsi="Times New Roman"/>
            <w:color w:val="auto"/>
            <w:sz w:val="28"/>
            <w:szCs w:val="28"/>
            <w:u w:val="none"/>
          </w:rPr>
          <w:t>http://www.consultant.ru/edu/student/download_books/</w:t>
        </w:r>
      </w:hyperlink>
      <w:r w:rsidR="00F34A4F" w:rsidRPr="00F34A4F">
        <w:rPr>
          <w:rFonts w:ascii="Times New Roman" w:hAnsi="Times New Roman"/>
          <w:sz w:val="28"/>
          <w:szCs w:val="28"/>
        </w:rPr>
        <w:t xml:space="preserve"> </w:t>
      </w:r>
      <w:r w:rsidRPr="00F34A4F">
        <w:rPr>
          <w:rFonts w:ascii="Times New Roman" w:hAnsi="Times New Roman"/>
          <w:sz w:val="28"/>
          <w:szCs w:val="28"/>
        </w:rPr>
        <w:t>book/melekhin_av_sudebnaja_vlast_rossijskoj_federacii/.</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6</w:t>
      </w:r>
      <w:r w:rsidRPr="00F34A4F">
        <w:rPr>
          <w:rFonts w:ascii="Times New Roman" w:hAnsi="Times New Roman"/>
          <w:sz w:val="28"/>
          <w:szCs w:val="28"/>
        </w:rPr>
        <w:tab/>
        <w:t>Яковлев В.Ф. Арбитражным судам 10 лет / В.Ф. Яковлев // Вестник Высшего Арбитражного Суда Российской Федерации. Специальное приложение. - 2002. - № 5. - С. 8.</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lastRenderedPageBreak/>
        <w:t>7</w:t>
      </w:r>
      <w:r w:rsidRPr="00F34A4F">
        <w:rPr>
          <w:rFonts w:ascii="Times New Roman" w:hAnsi="Times New Roman"/>
          <w:sz w:val="28"/>
          <w:szCs w:val="28"/>
        </w:rPr>
        <w:tab/>
        <w:t xml:space="preserve">Обзор практики рассмотрения арбитражными судами дел о признании и приведении в исполнение решений иностранных судов, об оспаривании решений третейских судов и о выдаче исполнительных листов на принудительное исполнение решений третейских судов: информационное письмо Президиума ВАС РФ от 22.12.2005 № 96 [Электронный ресурс] // СПС «КонсультантПлюс». - Режим доступа: </w:t>
      </w:r>
      <w:hyperlink w:history="1">
        <w:r w:rsidR="00F34A4F" w:rsidRPr="00F34A4F">
          <w:rPr>
            <w:rStyle w:val="a8"/>
            <w:rFonts w:ascii="Times New Roman" w:hAnsi="Times New Roman"/>
            <w:color w:val="auto"/>
            <w:sz w:val="28"/>
            <w:szCs w:val="28"/>
            <w:u w:val="none"/>
          </w:rPr>
          <w:t>http://www.consultant.ru /document/</w:t>
        </w:r>
      </w:hyperlink>
      <w:r w:rsidR="00F34A4F" w:rsidRPr="00F34A4F">
        <w:rPr>
          <w:rFonts w:ascii="Times New Roman" w:hAnsi="Times New Roman"/>
          <w:sz w:val="28"/>
          <w:szCs w:val="28"/>
        </w:rPr>
        <w:t xml:space="preserve"> </w:t>
      </w:r>
      <w:r w:rsidRPr="00F34A4F">
        <w:rPr>
          <w:rFonts w:ascii="Times New Roman" w:hAnsi="Times New Roman"/>
          <w:sz w:val="28"/>
          <w:szCs w:val="28"/>
        </w:rPr>
        <w:t>cons_doc_LAW_58054/.</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8</w:t>
      </w:r>
      <w:r w:rsidRPr="00F34A4F">
        <w:rPr>
          <w:rFonts w:ascii="Times New Roman" w:hAnsi="Times New Roman"/>
          <w:sz w:val="28"/>
          <w:szCs w:val="28"/>
        </w:rPr>
        <w:tab/>
        <w:t>Обзор практики рассмотрения арбитражными судами дел о применении оговорки о публичном порядке как основания отказа в признании и приведении в исполнение иностранных судебных и арбитражных решений: информационное письмо Президиума ВАС РФ от 26.02.2013 № 156 [Электронный ресурс] // СПС «КонсультантПлюс». - Режим доступа: http://www.consultant.ru/document/cons_doc_LAW_144311/.</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9</w:t>
      </w:r>
      <w:r w:rsidRPr="00F34A4F">
        <w:rPr>
          <w:rFonts w:ascii="Times New Roman" w:hAnsi="Times New Roman"/>
          <w:sz w:val="28"/>
          <w:szCs w:val="28"/>
        </w:rPr>
        <w:tab/>
        <w:t>Об арбитраже (третейском разбирательстве) в Российской Федерации: федеральный закон от 29.12.2015 № 382-ФЗ (ред. от 27.12.2018) [Электронный ресурс] // СПС «КонсультантПлюс». - Режим доступа: http://www.consultant.ru/document/cons_doc_LAW_191301/.</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10</w:t>
      </w:r>
      <w:r w:rsidRPr="00F34A4F">
        <w:rPr>
          <w:rFonts w:ascii="Times New Roman" w:hAnsi="Times New Roman"/>
          <w:sz w:val="28"/>
          <w:szCs w:val="28"/>
        </w:rPr>
        <w:tab/>
        <w:t>О внесении изменений в Федеральный закон «Об арбитраже (третейском разбирательстве) в Российской Федерации» и Федеральный закон «О рекламе»: федеральный закон от 27.12.2018 № 531-ФЗ [Электронный ресурс] // СПС «КонсультантПлюс». - Режим доступа: http://www.consultant.ru/document/cons_doc_LAW_314652/</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11</w:t>
      </w:r>
      <w:r w:rsidRPr="00F34A4F">
        <w:rPr>
          <w:rFonts w:ascii="Times New Roman" w:hAnsi="Times New Roman"/>
          <w:sz w:val="28"/>
          <w:szCs w:val="28"/>
        </w:rPr>
        <w:tab/>
        <w:t>О закупках товаров, работ, услуг отдельными видами юридических лиц: федеральный закон от 18.07.2011 № 223-ФЗ (ред. от 28.11.2018) [Электронный ресурс] // СПС «КонсультантПлюс». - Режим доступа: http://www.consultant.ru/document/cons_doc_LAW_116964/.</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12</w:t>
      </w:r>
      <w:r w:rsidRPr="00F34A4F">
        <w:rPr>
          <w:rFonts w:ascii="Times New Roman" w:hAnsi="Times New Roman"/>
          <w:sz w:val="28"/>
          <w:szCs w:val="28"/>
        </w:rPr>
        <w:tab/>
        <w:t xml:space="preserve">Определение Верховного Суда РФ от 12.04.2018 N 305-ЭС17-22547 по делу № А40-79471/2017 О приостановлении производства по кассационной жалобе [Электронный ресурс] // СПС «КонсультантПлюс». - Режим доступа: </w:t>
      </w:r>
      <w:hyperlink r:id="rId193" w:history="1">
        <w:r w:rsidR="00F34A4F" w:rsidRPr="00F34A4F">
          <w:rPr>
            <w:rStyle w:val="a8"/>
            <w:rFonts w:ascii="Times New Roman" w:hAnsi="Times New Roman"/>
            <w:color w:val="auto"/>
            <w:sz w:val="28"/>
            <w:szCs w:val="28"/>
            <w:u w:val="none"/>
          </w:rPr>
          <w:t>http://www.consultant.ru/cons/cgi/online.cgi?req</w:t>
        </w:r>
      </w:hyperlink>
      <w:r w:rsidRPr="00F34A4F">
        <w:rPr>
          <w:rFonts w:ascii="Times New Roman" w:hAnsi="Times New Roman"/>
          <w:sz w:val="28"/>
          <w:szCs w:val="28"/>
        </w:rPr>
        <w:t>=</w:t>
      </w:r>
      <w:r w:rsidR="00F34A4F" w:rsidRPr="00F34A4F">
        <w:rPr>
          <w:rFonts w:ascii="Times New Roman" w:hAnsi="Times New Roman"/>
          <w:sz w:val="28"/>
          <w:szCs w:val="28"/>
        </w:rPr>
        <w:t xml:space="preserve"> </w:t>
      </w:r>
      <w:r w:rsidRPr="00F34A4F">
        <w:rPr>
          <w:rFonts w:ascii="Times New Roman" w:hAnsi="Times New Roman"/>
          <w:sz w:val="28"/>
          <w:szCs w:val="28"/>
        </w:rPr>
        <w:t>doc&amp;base=ARB002&amp;n=526204.</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13</w:t>
      </w:r>
      <w:r w:rsidRPr="00F34A4F">
        <w:rPr>
          <w:rFonts w:ascii="Times New Roman" w:hAnsi="Times New Roman"/>
          <w:sz w:val="28"/>
          <w:szCs w:val="28"/>
        </w:rPr>
        <w:tab/>
        <w:t xml:space="preserve">Обзор судебной практики в связи с выполнением функций помощи и контроля в отношении арбитражных судов, утвержденный Президиумом Верховного суда 26 декабря 2018 года [Электронный ресурс] // СПС «КонсультантПлюс» —— Режим доступа: </w:t>
      </w:r>
      <w:hyperlink r:id="rId194" w:history="1">
        <w:r w:rsidR="00F34A4F" w:rsidRPr="00F34A4F">
          <w:rPr>
            <w:rStyle w:val="a8"/>
            <w:rFonts w:ascii="Times New Roman" w:hAnsi="Times New Roman"/>
            <w:color w:val="auto"/>
            <w:sz w:val="28"/>
            <w:szCs w:val="28"/>
            <w:u w:val="none"/>
          </w:rPr>
          <w:t>http://www.consultant.ru/</w:t>
        </w:r>
      </w:hyperlink>
      <w:r w:rsidR="00F34A4F" w:rsidRPr="00F34A4F">
        <w:rPr>
          <w:rFonts w:ascii="Times New Roman" w:hAnsi="Times New Roman"/>
          <w:sz w:val="28"/>
          <w:szCs w:val="28"/>
        </w:rPr>
        <w:t xml:space="preserve"> </w:t>
      </w:r>
      <w:r w:rsidRPr="00F34A4F">
        <w:rPr>
          <w:rFonts w:ascii="Times New Roman" w:hAnsi="Times New Roman"/>
          <w:sz w:val="28"/>
          <w:szCs w:val="28"/>
        </w:rPr>
        <w:t>document/cons_doc_LAW_314742/</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14</w:t>
      </w:r>
      <w:r w:rsidRPr="00F34A4F">
        <w:rPr>
          <w:rFonts w:ascii="Times New Roman" w:hAnsi="Times New Roman"/>
          <w:sz w:val="28"/>
          <w:szCs w:val="28"/>
        </w:rPr>
        <w:tab/>
        <w:t>Феоктистов А.В. Перспективы развития Российской судебной системы [Электронный ресурс] / А.В. Феоктистов, М.П. Феоктистова // Наука. Общество. Государство. 2018. №2 — 158-163 с. —— Режим доступа: https://elibrary.ru/item.asp?id=35594010</w:t>
      </w:r>
    </w:p>
    <w:p w:rsidR="001755D4" w:rsidRPr="00F34A4F" w:rsidRDefault="001755D4" w:rsidP="00F34A4F">
      <w:pPr>
        <w:widowControl w:val="0"/>
        <w:tabs>
          <w:tab w:val="left" w:pos="1134"/>
        </w:tabs>
        <w:spacing w:after="0" w:line="240" w:lineRule="auto"/>
        <w:ind w:firstLine="709"/>
        <w:jc w:val="both"/>
        <w:rPr>
          <w:rFonts w:ascii="Times New Roman" w:hAnsi="Times New Roman"/>
          <w:sz w:val="28"/>
          <w:szCs w:val="28"/>
        </w:rPr>
      </w:pPr>
      <w:r w:rsidRPr="00F34A4F">
        <w:rPr>
          <w:rFonts w:ascii="Times New Roman" w:hAnsi="Times New Roman"/>
          <w:sz w:val="28"/>
          <w:szCs w:val="28"/>
        </w:rPr>
        <w:t>15</w:t>
      </w:r>
      <w:r w:rsidRPr="00F34A4F">
        <w:rPr>
          <w:rFonts w:ascii="Times New Roman" w:hAnsi="Times New Roman"/>
          <w:sz w:val="28"/>
          <w:szCs w:val="28"/>
        </w:rPr>
        <w:tab/>
        <w:t xml:space="preserve">Решение Президиума Высшего Арбитражного Суда № 6547/10 от 5 октября 2010 года - [Электронный ресурс] // Официальный сайт Собрания законодательства Российской Федерации — Режим доступа: </w:t>
      </w:r>
      <w:hyperlink r:id="rId195" w:history="1">
        <w:r w:rsidR="00D1277B" w:rsidRPr="00F34A4F">
          <w:rPr>
            <w:rStyle w:val="a8"/>
            <w:rFonts w:ascii="Times New Roman" w:hAnsi="Times New Roman"/>
            <w:color w:val="auto"/>
            <w:sz w:val="28"/>
            <w:szCs w:val="28"/>
            <w:u w:val="none"/>
          </w:rPr>
          <w:t>http://www.szrf.ru/szrf/doc.phtml?nb=107&amp;issid=1072011001000&amp;docid=31</w:t>
        </w:r>
      </w:hyperlink>
    </w:p>
    <w:p w:rsidR="00D1277B" w:rsidRPr="00D1277B" w:rsidRDefault="00D1277B" w:rsidP="00D1277B">
      <w:pPr>
        <w:widowControl w:val="0"/>
        <w:tabs>
          <w:tab w:val="left" w:pos="1134"/>
        </w:tabs>
        <w:spacing w:after="0" w:line="240" w:lineRule="auto"/>
        <w:jc w:val="both"/>
        <w:rPr>
          <w:rFonts w:ascii="Times New Roman" w:hAnsi="Times New Roman"/>
          <w:b/>
          <w:sz w:val="28"/>
          <w:szCs w:val="28"/>
        </w:rPr>
      </w:pPr>
      <w:r w:rsidRPr="00D1277B">
        <w:rPr>
          <w:rFonts w:ascii="Times New Roman" w:hAnsi="Times New Roman"/>
          <w:b/>
          <w:sz w:val="28"/>
          <w:szCs w:val="28"/>
        </w:rPr>
        <w:lastRenderedPageBreak/>
        <w:t>СОБЛЮДЕНИЕ ПРАВ ЧЕЛОВЕКА В ПРИМОРСКОМ КРАЕ</w:t>
      </w:r>
    </w:p>
    <w:p w:rsidR="00D1277B" w:rsidRPr="00D1277B" w:rsidRDefault="00D1277B" w:rsidP="00D1277B">
      <w:pPr>
        <w:widowControl w:val="0"/>
        <w:tabs>
          <w:tab w:val="left" w:pos="1134"/>
        </w:tabs>
        <w:spacing w:after="0" w:line="240" w:lineRule="auto"/>
        <w:jc w:val="both"/>
        <w:rPr>
          <w:rFonts w:ascii="Times New Roman" w:hAnsi="Times New Roman"/>
          <w:b/>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r w:rsidRPr="00D1277B">
        <w:rPr>
          <w:rFonts w:ascii="Times New Roman" w:hAnsi="Times New Roman"/>
          <w:sz w:val="28"/>
          <w:szCs w:val="28"/>
        </w:rPr>
        <w:t>Уполномоченный по правам человека в Приморском крае</w:t>
      </w: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b/>
          <w:sz w:val="28"/>
          <w:szCs w:val="28"/>
        </w:rPr>
      </w:pPr>
      <w:r w:rsidRPr="00D1277B">
        <w:rPr>
          <w:rFonts w:ascii="Times New Roman" w:hAnsi="Times New Roman"/>
          <w:b/>
          <w:sz w:val="28"/>
          <w:szCs w:val="28"/>
        </w:rPr>
        <w:t xml:space="preserve">Проблемы правового регулирования договора </w:t>
      </w:r>
    </w:p>
    <w:p w:rsidR="00D1277B" w:rsidRPr="00D1277B" w:rsidRDefault="00D1277B" w:rsidP="00D1277B">
      <w:pPr>
        <w:spacing w:after="0" w:line="360" w:lineRule="auto"/>
        <w:jc w:val="center"/>
        <w:rPr>
          <w:rFonts w:ascii="Times New Roman" w:hAnsi="Times New Roman"/>
          <w:b/>
          <w:sz w:val="28"/>
          <w:szCs w:val="28"/>
        </w:rPr>
      </w:pPr>
      <w:r w:rsidRPr="00D1277B">
        <w:rPr>
          <w:rFonts w:ascii="Times New Roman" w:hAnsi="Times New Roman"/>
          <w:b/>
          <w:sz w:val="28"/>
          <w:szCs w:val="28"/>
        </w:rPr>
        <w:t>коммерческого найма жилого помещения</w:t>
      </w: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jc w:val="center"/>
        <w:rPr>
          <w:rFonts w:ascii="Times New Roman" w:hAnsi="Times New Roman"/>
          <w:sz w:val="28"/>
          <w:szCs w:val="28"/>
        </w:rPr>
      </w:pPr>
      <w:r w:rsidRPr="00D1277B">
        <w:rPr>
          <w:rFonts w:ascii="Times New Roman" w:hAnsi="Times New Roman"/>
          <w:sz w:val="28"/>
          <w:szCs w:val="28"/>
        </w:rPr>
        <w:t>Конкурсная работа</w:t>
      </w:r>
    </w:p>
    <w:p w:rsidR="00D1277B" w:rsidRPr="00D1277B" w:rsidRDefault="00D1277B" w:rsidP="00D1277B">
      <w:pPr>
        <w:spacing w:after="0" w:line="360" w:lineRule="auto"/>
        <w:jc w:val="center"/>
        <w:rPr>
          <w:rFonts w:ascii="Times New Roman" w:hAnsi="Times New Roman"/>
          <w:sz w:val="28"/>
          <w:szCs w:val="28"/>
        </w:rPr>
      </w:pPr>
    </w:p>
    <w:p w:rsidR="00D1277B" w:rsidRPr="00D1277B" w:rsidRDefault="00D1277B" w:rsidP="00D1277B">
      <w:pPr>
        <w:spacing w:after="0" w:line="360" w:lineRule="auto"/>
        <w:jc w:val="center"/>
        <w:rPr>
          <w:rFonts w:ascii="Times New Roman" w:hAnsi="Times New Roman"/>
          <w:sz w:val="28"/>
          <w:szCs w:val="28"/>
        </w:rPr>
      </w:pPr>
      <w:r w:rsidRPr="00D1277B">
        <w:rPr>
          <w:rFonts w:ascii="Times New Roman" w:hAnsi="Times New Roman"/>
          <w:b/>
          <w:sz w:val="28"/>
          <w:szCs w:val="28"/>
        </w:rPr>
        <w:t>Бурцевой Светланы Сергеевны</w:t>
      </w:r>
      <w:r w:rsidRPr="00D1277B">
        <w:rPr>
          <w:rFonts w:ascii="Times New Roman" w:hAnsi="Times New Roman"/>
          <w:sz w:val="28"/>
          <w:szCs w:val="28"/>
        </w:rPr>
        <w:br/>
        <w:t xml:space="preserve">студентки 4 курса направления «Юриспруденция» Юридической школы Дальневосточного федерального университета  </w:t>
      </w: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rPr>
          <w:rFonts w:ascii="Times New Roman" w:hAnsi="Times New Roman"/>
          <w:sz w:val="24"/>
        </w:rPr>
      </w:pPr>
    </w:p>
    <w:p w:rsidR="00D1277B" w:rsidRPr="00D1277B" w:rsidRDefault="00D1277B" w:rsidP="00D1277B">
      <w:pPr>
        <w:spacing w:after="0" w:line="360" w:lineRule="auto"/>
        <w:jc w:val="center"/>
        <w:rPr>
          <w:rFonts w:ascii="Times New Roman" w:hAnsi="Times New Roman"/>
          <w:sz w:val="28"/>
          <w:szCs w:val="28"/>
        </w:rPr>
      </w:pPr>
      <w:r w:rsidRPr="00D1277B">
        <w:rPr>
          <w:rFonts w:ascii="Times New Roman" w:hAnsi="Times New Roman"/>
          <w:sz w:val="28"/>
          <w:szCs w:val="28"/>
        </w:rPr>
        <w:t>Владивосток, 2018</w:t>
      </w:r>
    </w:p>
    <w:p w:rsidR="00D1277B" w:rsidRPr="00D1277B" w:rsidRDefault="00D1277B" w:rsidP="00D1277B">
      <w:pPr>
        <w:spacing w:after="0" w:line="360" w:lineRule="auto"/>
        <w:jc w:val="center"/>
        <w:rPr>
          <w:rFonts w:ascii="Times New Roman" w:hAnsi="Times New Roman"/>
          <w:b/>
          <w:sz w:val="28"/>
          <w:szCs w:val="28"/>
        </w:rPr>
      </w:pPr>
      <w:r w:rsidRPr="00D1277B">
        <w:rPr>
          <w:rFonts w:ascii="Times New Roman" w:hAnsi="Times New Roman"/>
          <w:b/>
          <w:sz w:val="28"/>
          <w:szCs w:val="28"/>
        </w:rPr>
        <w:lastRenderedPageBreak/>
        <w:t>ОГЛАВЛЕНИЕ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Введение………………………………………………………………………….3</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Раздел 1. </w:t>
      </w:r>
      <w:bookmarkStart w:id="32" w:name="_Hlk529174895"/>
      <w:r w:rsidRPr="00D1277B">
        <w:rPr>
          <w:rFonts w:ascii="Times New Roman" w:hAnsi="Times New Roman"/>
          <w:sz w:val="28"/>
          <w:szCs w:val="28"/>
        </w:rPr>
        <w:t>Общие положения правового регулирования договора коммерческого найма жилого помещения…………………………………….5</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Раздел 2. Субъекты правоотношения по договору коммерческого найма жилого помещения ……...…………………………………………………...…..11</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Раздел 3. </w:t>
      </w:r>
      <w:bookmarkStart w:id="33" w:name="_Hlk529904714"/>
      <w:r w:rsidRPr="00D1277B">
        <w:rPr>
          <w:rFonts w:ascii="Times New Roman" w:hAnsi="Times New Roman"/>
          <w:sz w:val="28"/>
          <w:szCs w:val="28"/>
        </w:rPr>
        <w:t>Иные проблемы правового регулирования договора коммерческого найма жилого помещения</w:t>
      </w:r>
      <w:bookmarkEnd w:id="32"/>
      <w:bookmarkEnd w:id="33"/>
      <w:r w:rsidRPr="00D1277B">
        <w:rPr>
          <w:rFonts w:ascii="Times New Roman" w:hAnsi="Times New Roman"/>
          <w:sz w:val="28"/>
          <w:szCs w:val="28"/>
        </w:rPr>
        <w:t>……………………………………………………….16</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Заключение………………………………………….…………………………...21</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Список использованной литературы………………………………………….25</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after="0" w:line="360" w:lineRule="auto"/>
        <w:rPr>
          <w:rFonts w:ascii="Times New Roman" w:hAnsi="Times New Roman"/>
          <w:sz w:val="28"/>
          <w:szCs w:val="28"/>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D1277B">
      <w:pPr>
        <w:spacing w:line="254" w:lineRule="auto"/>
        <w:rPr>
          <w:rFonts w:ascii="Times New Roman" w:hAnsi="Times New Roman"/>
          <w:sz w:val="24"/>
        </w:rPr>
      </w:pPr>
    </w:p>
    <w:p w:rsidR="00D1277B" w:rsidRPr="00D1277B" w:rsidRDefault="00D1277B" w:rsidP="00274173">
      <w:pPr>
        <w:spacing w:after="120" w:line="240" w:lineRule="auto"/>
        <w:jc w:val="center"/>
        <w:rPr>
          <w:rFonts w:ascii="Times New Roman" w:hAnsi="Times New Roman"/>
          <w:b/>
          <w:sz w:val="28"/>
          <w:szCs w:val="28"/>
        </w:rPr>
      </w:pPr>
      <w:r w:rsidRPr="00D1277B">
        <w:rPr>
          <w:rFonts w:ascii="Times New Roman" w:hAnsi="Times New Roman"/>
          <w:b/>
          <w:sz w:val="28"/>
          <w:szCs w:val="28"/>
        </w:rPr>
        <w:lastRenderedPageBreak/>
        <w:t>Введение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r>
      <w:r w:rsidRPr="00D1277B">
        <w:rPr>
          <w:rFonts w:ascii="Times New Roman" w:hAnsi="Times New Roman"/>
          <w:b/>
          <w:sz w:val="28"/>
          <w:szCs w:val="28"/>
        </w:rPr>
        <w:t>Актуальность темы исследования</w:t>
      </w:r>
      <w:r w:rsidRPr="00D1277B">
        <w:rPr>
          <w:rFonts w:ascii="Times New Roman" w:hAnsi="Times New Roman"/>
          <w:sz w:val="28"/>
          <w:szCs w:val="28"/>
        </w:rPr>
        <w:t>. На сегодняшний день право на жилище является неотъемлемым правом каждого человека. Во Всеобщей декларации прав человека (ч. 1 ст. 25)</w:t>
      </w:r>
      <w:r w:rsidRPr="00D1277B">
        <w:rPr>
          <w:rFonts w:ascii="Times New Roman" w:hAnsi="Times New Roman"/>
          <w:sz w:val="28"/>
          <w:szCs w:val="28"/>
          <w:vertAlign w:val="superscript"/>
        </w:rPr>
        <w:footnoteReference w:id="1"/>
      </w:r>
      <w:r w:rsidRPr="00D1277B">
        <w:rPr>
          <w:rFonts w:ascii="Times New Roman" w:hAnsi="Times New Roman"/>
          <w:sz w:val="28"/>
          <w:szCs w:val="28"/>
        </w:rPr>
        <w:t xml:space="preserve"> и Международном пакте об экономических, социальных и культурных правах (ч. 1 ст. 11)</w:t>
      </w:r>
      <w:r w:rsidRPr="00D1277B">
        <w:rPr>
          <w:rFonts w:ascii="Times New Roman" w:hAnsi="Times New Roman"/>
          <w:sz w:val="28"/>
          <w:szCs w:val="28"/>
          <w:vertAlign w:val="superscript"/>
        </w:rPr>
        <w:footnoteReference w:id="2"/>
      </w:r>
      <w:r w:rsidRPr="00D1277B">
        <w:rPr>
          <w:rFonts w:ascii="Times New Roman" w:hAnsi="Times New Roman"/>
          <w:sz w:val="28"/>
          <w:szCs w:val="28"/>
        </w:rPr>
        <w:t xml:space="preserve"> определяется, что право на жилище, наряду с правом на достаточное питание и одежду, является одним из факторов обеспечения достаточного жизненного уровня.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Вместе с тем, большая часть граждан, проживающих на территории Российской Федерации, не имеют возможности приобрести жилое помещение в собственность из-за отсутствия достаточного дохода, при этом доход граждан превышает установленный в законе субъекта РФ порог дохода, необходимый для признания их малоимущими в целях получения жилья по договору социального найма. В связи с этим договор коммерческого найма жилого помещения является одной из важнейших договорных конструкций, позволяющей реализовать конституционное право на жилище (ст. 40 Конституции РФ</w:t>
      </w:r>
      <w:r w:rsidRPr="00D1277B">
        <w:rPr>
          <w:rFonts w:ascii="Times New Roman" w:hAnsi="Times New Roman"/>
          <w:sz w:val="28"/>
          <w:szCs w:val="28"/>
          <w:vertAlign w:val="superscript"/>
        </w:rPr>
        <w:footnoteReference w:id="3"/>
      </w:r>
      <w:r w:rsidRPr="00D1277B">
        <w:rPr>
          <w:rFonts w:ascii="Times New Roman" w:hAnsi="Times New Roman"/>
          <w:sz w:val="28"/>
          <w:szCs w:val="28"/>
        </w:rPr>
        <w:t>) и тем самым снять социальную напряженность в обществе.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b/>
          <w:sz w:val="28"/>
          <w:szCs w:val="28"/>
        </w:rPr>
        <w:t>Цели и задачи исследования</w:t>
      </w:r>
      <w:r w:rsidRPr="00D1277B">
        <w:rPr>
          <w:rFonts w:ascii="Times New Roman" w:hAnsi="Times New Roman"/>
          <w:sz w:val="28"/>
          <w:szCs w:val="28"/>
        </w:rPr>
        <w:t>.</w:t>
      </w:r>
      <w:r w:rsidRPr="00D1277B">
        <w:rPr>
          <w:rFonts w:ascii="Times New Roman" w:hAnsi="Times New Roman"/>
          <w:b/>
          <w:sz w:val="28"/>
          <w:szCs w:val="28"/>
        </w:rPr>
        <w:t xml:space="preserve"> </w:t>
      </w:r>
      <w:r w:rsidRPr="00D1277B">
        <w:rPr>
          <w:rFonts w:ascii="Times New Roman" w:hAnsi="Times New Roman"/>
          <w:sz w:val="28"/>
          <w:szCs w:val="28"/>
        </w:rPr>
        <w:t>Целью исследования является комплексное изучение и выявление проблем правового регулирования договора коммерческого найма жилого помещения, выработка возможных способов их решения, разработка рекомендаций по модернизации законодательства и правоприменительной практики.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Для достижения цели исследования необходимо решить следующие задачи: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 Раскрыть общие положения правового регулирования договора коммерческого найма жилого помещения, выявить существующие недостатки;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 Определить круг субъектов правоотношений по договору коммерческого найма жилого помещения и их правовой статус;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 Выявление иных проблем правового регулирования договора коммерческого найма жилого помещения.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b/>
          <w:sz w:val="28"/>
          <w:szCs w:val="28"/>
        </w:rPr>
        <w:t>Степень разработанности темы</w:t>
      </w:r>
      <w:r w:rsidRPr="00D1277B">
        <w:rPr>
          <w:rFonts w:ascii="Times New Roman" w:hAnsi="Times New Roman"/>
          <w:sz w:val="28"/>
          <w:szCs w:val="28"/>
        </w:rPr>
        <w:t>. В теоретических и научно-практических исследованиях в области правового регулирования договора коммерческого найма жилого помещения широко освещаются общие вопросы, а именно: понятие и признаки договора коммерческого найма жилого помещения, история его возникновения, круг субъектов данного договора, особенности его заключения, изменения и расторжения. Исследователи-правоведы не оставляют без внимания вопрос места и роли данной договорной конструкции. Можно прийти к выводу, что данная тема имеет высокую степень разработанности.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 xml:space="preserve"> </w:t>
      </w:r>
      <w:r w:rsidRPr="00D1277B">
        <w:rPr>
          <w:rFonts w:ascii="Times New Roman" w:hAnsi="Times New Roman"/>
          <w:b/>
          <w:sz w:val="28"/>
          <w:szCs w:val="28"/>
        </w:rPr>
        <w:t>Апробация результатов исследования</w:t>
      </w:r>
      <w:r w:rsidRPr="00D1277B">
        <w:rPr>
          <w:rFonts w:ascii="Times New Roman" w:hAnsi="Times New Roman"/>
          <w:sz w:val="28"/>
          <w:szCs w:val="28"/>
        </w:rPr>
        <w:t>. Основные положения исследовательской работы докладывались и обсуждались на семинаре по теме «Договор коммерческого найма жилого помещения» (ноябрь 2017 года, ДВФУ), круглом столе по жилищному праву по теме «Актуальные проблемы жилищного права» (7 декабря 2017 года, ДВФУ). Автором была опубликована статья по теме «Правовые проблемы, связанные с договором коммерческого найма жилого помещения» в журнале «Перспективы науки» (рецензируется Высшей аттестационной комиссией)</w:t>
      </w:r>
      <w:r w:rsidRPr="00D1277B">
        <w:rPr>
          <w:rFonts w:ascii="Times New Roman" w:hAnsi="Times New Roman"/>
          <w:sz w:val="28"/>
          <w:szCs w:val="28"/>
          <w:vertAlign w:val="superscript"/>
        </w:rPr>
        <w:footnoteReference w:id="4"/>
      </w:r>
      <w:r w:rsidRPr="00D1277B">
        <w:rPr>
          <w:rFonts w:ascii="Times New Roman" w:hAnsi="Times New Roman"/>
          <w:sz w:val="28"/>
          <w:szCs w:val="28"/>
        </w:rPr>
        <w:t>. В 2019 году предстоит защита выпускной квалификационной работы по теме «Правовые проблемы договора коммерческого найма жилого помещения».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w:t>
      </w:r>
      <w:r w:rsidRPr="00D1277B">
        <w:rPr>
          <w:rFonts w:ascii="Times New Roman" w:hAnsi="Times New Roman"/>
          <w:b/>
          <w:sz w:val="28"/>
          <w:szCs w:val="28"/>
        </w:rPr>
        <w:t>Структура исследования</w:t>
      </w:r>
      <w:r w:rsidRPr="00D1277B">
        <w:rPr>
          <w:rFonts w:ascii="Times New Roman" w:hAnsi="Times New Roman"/>
          <w:sz w:val="28"/>
          <w:szCs w:val="28"/>
        </w:rPr>
        <w:t xml:space="preserve"> определена постановленными целями и задачами. Работа состоит из введения, трех разделов, заключения и списка использованной литературы.</w:t>
      </w:r>
    </w:p>
    <w:p w:rsidR="00D1277B" w:rsidRPr="00D1277B" w:rsidRDefault="00D1277B" w:rsidP="00706580">
      <w:pPr>
        <w:spacing w:before="360" w:after="240" w:line="240" w:lineRule="auto"/>
        <w:jc w:val="center"/>
        <w:rPr>
          <w:rFonts w:ascii="Times New Roman" w:hAnsi="Times New Roman"/>
          <w:b/>
          <w:sz w:val="24"/>
        </w:rPr>
      </w:pPr>
      <w:bookmarkStart w:id="36" w:name="_Hlk530031821"/>
      <w:r w:rsidRPr="00D1277B">
        <w:rPr>
          <w:rFonts w:ascii="Times New Roman" w:hAnsi="Times New Roman"/>
          <w:b/>
          <w:sz w:val="28"/>
          <w:szCs w:val="28"/>
        </w:rPr>
        <w:t>Раздел 1. Общие положения правового регулирования договора коммерческого найма жилого помещения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4"/>
        </w:rPr>
        <w:tab/>
      </w:r>
      <w:r w:rsidRPr="00D1277B">
        <w:rPr>
          <w:rFonts w:ascii="Times New Roman" w:hAnsi="Times New Roman"/>
          <w:sz w:val="28"/>
          <w:szCs w:val="28"/>
        </w:rPr>
        <w:t>Договор коммерческого найма жилого помещения является сравнительно новым институтом российского права. Регулирование отношений по передаче собственниками жилых помещений за плату во владение и пользование неоднократно претерпевало существенные изменения. До 6 июля 1991 года к данным отношениям применялись нормы, регулирующие договор найма жилого помещения. Впоследствии были внесены изменения</w:t>
      </w:r>
      <w:r w:rsidRPr="00D1277B">
        <w:rPr>
          <w:vertAlign w:val="superscript"/>
        </w:rPr>
        <w:footnoteReference w:id="5"/>
      </w:r>
      <w:r w:rsidRPr="00D1277B">
        <w:rPr>
          <w:rFonts w:ascii="Times New Roman" w:hAnsi="Times New Roman"/>
          <w:sz w:val="28"/>
          <w:szCs w:val="28"/>
        </w:rPr>
        <w:t>, согласно которым срочное возмездное владение и пользование жилым помещением гражданами именовалось договором аренды</w:t>
      </w:r>
      <w:r w:rsidRPr="00D1277B">
        <w:rPr>
          <w:vertAlign w:val="superscript"/>
        </w:rPr>
        <w:footnoteReference w:id="6"/>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Прежнее наименование договора было восстановлено 1 марта 1996 года, то есть в связи со вступлением в силу части второй Гражданского кодекса Российской Федерации</w:t>
      </w:r>
      <w:r w:rsidRPr="00D1277B">
        <w:rPr>
          <w:vertAlign w:val="superscript"/>
        </w:rPr>
        <w:footnoteReference w:id="7"/>
      </w:r>
      <w:r w:rsidRPr="00D1277B">
        <w:rPr>
          <w:rFonts w:ascii="Times New Roman" w:hAnsi="Times New Roman"/>
          <w:sz w:val="28"/>
          <w:szCs w:val="28"/>
        </w:rPr>
        <w:t>. Положения о договоре коммерческого найма жилого помещения содержатся в главе 35 ГК РФ. Принятый закон, с одной стороны, разграничил коммерческий наем от социального, а с другой - договор коммерческого найма от договора аренды, и изменил не только форму, но и содержание данных отношений.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ab/>
        <w:t>Легальное определение договора коммерческого найма жилого помещения содержится в ч. 1 ст. 671 ГК РФ, согласно которой по договору найма жилого помещения одна сторона - собственник жилого помещения или управомоченное им лицо (наймодатель) - обязуется предоставить другой стороне (нанимателю) жилое помещение за плату во владение и пользование для проживания в нем.</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Данное понятие не лишено недостатков, поэтому ученые-правоведы предлагают свои дефиниции договора. Кириченко О.В. считает, что понятие договора коммерческого найма следует изложить в следующей редакции: «По договору коммерческого найма жилого помещения одна сторона – собственник жилого помещения или управомоченное им лицо (наймодатель) – обязуется предоставить другой стороне – гражданину (нанимателю) пригодное для постоянного проживания жилое помещение за плату во владение и пользование на определенный договором срок для проживания в нем, а другая сторона – гражданин (наниматель) – обязуется использовать жилое помещение по назначению, своевременно вносить плату за жилое помещение, выполнять иные условия договора коммерческого найма и требования законодательства»</w:t>
      </w:r>
      <w:r w:rsidRPr="00D1277B">
        <w:rPr>
          <w:vertAlign w:val="superscript"/>
        </w:rPr>
        <w:footnoteReference w:id="8"/>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Формакидов Д.А. обращает внимание на то, что не следует ограничивать фигуру наймодателя исключительно собственником жилого помещения или управомоченным им лицом. В качестве примера наймодателя по коммерческому найму он приводит ст. 128 Жилищного кодекса Российской Федерации, в соответствии с которой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r w:rsidRPr="00D1277B">
        <w:rPr>
          <w:vertAlign w:val="superscript"/>
        </w:rPr>
        <w:footnoteReference w:id="9"/>
      </w:r>
      <w:r w:rsidRPr="00D1277B">
        <w:rPr>
          <w:rFonts w:ascii="Times New Roman" w:hAnsi="Times New Roman"/>
          <w:sz w:val="28"/>
          <w:szCs w:val="28"/>
        </w:rPr>
        <w:t>. Ученый полагает, что хотя к этим отношениям применяются правила ЖК РФ о поднайме жилья, находящегося на праве социального найма, рассматриваемая категория является обычным договором коммерческого найма, в связи с чем указание на личность наймодателя следовало бы исключить</w:t>
      </w:r>
      <w:r w:rsidRPr="00D1277B">
        <w:rPr>
          <w:vertAlign w:val="superscript"/>
        </w:rPr>
        <w:footnoteReference w:id="10"/>
      </w:r>
      <w:r w:rsidRPr="00D1277B">
        <w:rPr>
          <w:rFonts w:ascii="Times New Roman" w:hAnsi="Times New Roman"/>
          <w:sz w:val="28"/>
          <w:szCs w:val="28"/>
        </w:rPr>
        <w:t xml:space="preserve">.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Однако с данным замечанием нельзя согласиться. Как указывает сам автор, сдача внаем жилого помещения в доме жилищного кооператива осуществляется по правилам, предусмотренным статьями 76-79 ЖК РФ. Таким образом, для отношений, возникающих в связи со сдачей внаем части жилого помещения или жилого помещения членом жилищного кооператива, уже определено правовое регулирование и природа данных правоотношений, </w:t>
      </w:r>
      <w:r w:rsidRPr="00D1277B">
        <w:rPr>
          <w:rFonts w:ascii="Times New Roman" w:hAnsi="Times New Roman"/>
          <w:sz w:val="28"/>
          <w:szCs w:val="28"/>
        </w:rPr>
        <w:lastRenderedPageBreak/>
        <w:t>а правила о договоре коммерческого найма жилого помещения, установленные в ГК РФ, в рассматриваемом случае применяться не будут.</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На наш взгляд, наиболее удачное определение предлагают Вишневская И.С., Селиванова Е.С.: «Договор коммерческого найма - соглашение, по которому наймодатель обязуется передать нанимателю жилое помещение на определенный срок, без ограничения размеров за договорную плату во владение и пользование для проживания в нем, а наниматель обязуется использовать его в соответствии с назначением, своевременно выполнять возложенные на него договором обязанности».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целом, настоящая правовая регламентация договора коммерческого найма вызывает ряд вопросов в теории и на практике.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Так, глава 35 ГК РФ обозначена как «Наем жилого помещения», а нормы данной главы не содержат термина «коммерческий наем жилого помещения»</w:t>
      </w:r>
      <w:r w:rsidRPr="00D1277B">
        <w:rPr>
          <w:vertAlign w:val="superscript"/>
        </w:rPr>
        <w:footnoteReference w:id="11"/>
      </w:r>
      <w:r w:rsidRPr="00D1277B">
        <w:rPr>
          <w:rFonts w:ascii="Times New Roman" w:hAnsi="Times New Roman"/>
          <w:sz w:val="28"/>
          <w:szCs w:val="28"/>
        </w:rPr>
        <w:t>. Существующий подход законодателя привел к отсутствию единства мнений в юридической науке о структуре данной главы (имеет ли она общие положения о договорах, объектом которых является жилое помещение, или специальные применительно к разновидностям договоров найма) и месте договора коммерческого найма в системе договоров о жилищном найме.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На наш взгляд, в главе 35 действующего ГК РФ отсутствуют общие положения о найме жилья. Практически все нормы данной главы посвящены регулированию договора коммерческого найма жилого помещения. Исключением является статья 672 «</w:t>
      </w:r>
      <w:r w:rsidRPr="00D1277B">
        <w:rPr>
          <w:rFonts w:ascii="Times New Roman" w:hAnsi="Times New Roman"/>
          <w:bCs/>
          <w:sz w:val="28"/>
          <w:szCs w:val="28"/>
        </w:rPr>
        <w:t>Договор найма жилого помещения в жилищном фонде социального использования»</w:t>
      </w:r>
      <w:r w:rsidRPr="00D1277B">
        <w:rPr>
          <w:rFonts w:ascii="Times New Roman" w:hAnsi="Times New Roman"/>
          <w:sz w:val="28"/>
          <w:szCs w:val="28"/>
        </w:rPr>
        <w:t xml:space="preserve">, наименование и структура которой с точки зрения юридической техники несовершенны.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связи с принятием Федерального закона от 21.07.2014 N 217-ФЗ</w:t>
      </w:r>
      <w:r w:rsidRPr="00D1277B">
        <w:rPr>
          <w:vertAlign w:val="superscript"/>
        </w:rPr>
        <w:footnoteReference w:id="12"/>
      </w:r>
      <w:r w:rsidRPr="00D1277B">
        <w:rPr>
          <w:rFonts w:ascii="Times New Roman" w:hAnsi="Times New Roman"/>
          <w:sz w:val="28"/>
          <w:szCs w:val="28"/>
        </w:rPr>
        <w:t xml:space="preserve"> статья 672 ГК РФ была дополнена нормами о договоре найма жилого помещения жилищного фонда социального использования. Следовательно, с 2014 года рассматриваемая статья содержит основные положения о двух договорных конструкциях в жилищной сфере – о договоре социального найма и договоре найма жилого помещения жилищного фонда социального использования. Однако наименование статьи указывает на один договор, что не является правильным с точки зрения логики. Мы полагаем, что слово «договор» целесообразно изменить на «договоры», что отвечало бы содержанию статьи.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Кроме того, возвращаясь к регулированию коммерческого найма, следует отметить, что представляется рациональным введение в законодательный оборот термина «коммерческий наем» по следующим причинам:</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ab/>
        <w:t>1. Данный термин полностью отвечает гражданско-правовой природе договора. Основной целью договора коммерческого найма является удовлетворение потребности граждан в жилье на возмездных началах, что предусматривает извлечение собственником прибыли</w:t>
      </w:r>
      <w:r w:rsidRPr="00D1277B">
        <w:rPr>
          <w:vertAlign w:val="superscript"/>
        </w:rPr>
        <w:footnoteReference w:id="13"/>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2. Данное понятие содержится в различных правовых актах. Так, на уровне РФ термин «коммерческий наем» употребляется в ряде подзаконных нормативно-правовых актах</w:t>
      </w:r>
      <w:r w:rsidRPr="00D1277B">
        <w:rPr>
          <w:vertAlign w:val="superscript"/>
        </w:rPr>
        <w:footnoteReference w:id="14"/>
      </w:r>
      <w:r w:rsidRPr="00D1277B">
        <w:rPr>
          <w:rFonts w:ascii="Times New Roman" w:hAnsi="Times New Roman"/>
          <w:sz w:val="28"/>
          <w:szCs w:val="28"/>
        </w:rPr>
        <w:t>: приказе Минрегиона РФ от 28.12.2010 N 802 «Об утверждении Методических рекомендаций по разработке региональных программ развития жилищного строительства» (п. 7.10)</w:t>
      </w:r>
      <w:r w:rsidRPr="00D1277B">
        <w:rPr>
          <w:vertAlign w:val="superscript"/>
        </w:rPr>
        <w:footnoteReference w:id="15"/>
      </w:r>
      <w:r w:rsidRPr="00D1277B">
        <w:rPr>
          <w:rFonts w:ascii="Times New Roman" w:hAnsi="Times New Roman"/>
          <w:sz w:val="28"/>
          <w:szCs w:val="28"/>
        </w:rPr>
        <w:t>, приказе Госстроя РФ от 26.03.1999 N 74 «Об утверждении «Рекомендаций по определению численности работников Службы заказчика (организации по управлению жилищным Фондом)» (абз. 5 п. 2.4)</w:t>
      </w:r>
      <w:r w:rsidRPr="00D1277B">
        <w:rPr>
          <w:vertAlign w:val="superscript"/>
        </w:rPr>
        <w:footnoteReference w:id="16"/>
      </w:r>
      <w:r w:rsidRPr="00D1277B">
        <w:rPr>
          <w:rFonts w:ascii="Times New Roman" w:hAnsi="Times New Roman"/>
          <w:sz w:val="28"/>
          <w:szCs w:val="28"/>
        </w:rPr>
        <w:t xml:space="preserve"> и др.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Примечательно, что в Приморском крае законодательная и исполнительная власть обходят стороной данный термин, заменяя его договором найма жилого помещения жилищного фонда коммерческого использования</w:t>
      </w:r>
      <w:r w:rsidRPr="00D1277B">
        <w:rPr>
          <w:vertAlign w:val="superscript"/>
        </w:rPr>
        <w:footnoteReference w:id="17"/>
      </w:r>
      <w:r w:rsidRPr="00D1277B">
        <w:rPr>
          <w:rFonts w:ascii="Times New Roman" w:hAnsi="Times New Roman"/>
          <w:sz w:val="28"/>
          <w:szCs w:val="28"/>
        </w:rPr>
        <w:t xml:space="preserve">. Скорее всего, это вызвано отсутствием применения словосочетания «коммерческий наем» на законодательном уровне РФ.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Вместе с тем, в этом плане противоположно правовое регулирование в некоторых муниципальных образованиях, находящихся на территории Приморского края. Органами местного самоуправления активно применяется вышеуказанный термин в своих правовых актах (например, </w:t>
      </w:r>
      <w:bookmarkStart w:id="44" w:name="_Hlk530006600"/>
      <w:r w:rsidRPr="00D1277B">
        <w:rPr>
          <w:rFonts w:ascii="Times New Roman" w:hAnsi="Times New Roman"/>
          <w:sz w:val="28"/>
          <w:szCs w:val="28"/>
        </w:rPr>
        <w:t>решение Думы Артемовского городского округа от 20.07.2017 N 854 «Об утверждении Положения о коммерческом найме жилых помещений жилищного фонда коммерческого использования, находящихся в муниципальной собственности Артемовского городского округа»</w:t>
      </w:r>
      <w:r w:rsidRPr="00D1277B">
        <w:rPr>
          <w:vertAlign w:val="superscript"/>
        </w:rPr>
        <w:footnoteReference w:id="18"/>
      </w:r>
      <w:r w:rsidRPr="00D1277B">
        <w:rPr>
          <w:rFonts w:ascii="Times New Roman" w:hAnsi="Times New Roman"/>
          <w:sz w:val="28"/>
          <w:szCs w:val="28"/>
        </w:rPr>
        <w:t xml:space="preserve">, постановление Администрации Дальнегорского городского округа от 09.02.2015 № 76-па «Об утверждении Положения о коммерческом найме жилых помещений жилищного фонда </w:t>
      </w:r>
      <w:r w:rsidRPr="00D1277B">
        <w:rPr>
          <w:rFonts w:ascii="Times New Roman" w:hAnsi="Times New Roman"/>
          <w:sz w:val="28"/>
          <w:szCs w:val="28"/>
        </w:rPr>
        <w:lastRenderedPageBreak/>
        <w:t>коммерческого использования,  находящихся в муниципальной собственности Дальнегорского городского округа»</w:t>
      </w:r>
      <w:r w:rsidRPr="00D1277B">
        <w:rPr>
          <w:vertAlign w:val="superscript"/>
        </w:rPr>
        <w:footnoteReference w:id="19"/>
      </w:r>
      <w:r w:rsidRPr="00D1277B">
        <w:rPr>
          <w:rFonts w:ascii="Times New Roman" w:hAnsi="Times New Roman"/>
          <w:sz w:val="28"/>
          <w:szCs w:val="28"/>
        </w:rPr>
        <w:t xml:space="preserve"> </w:t>
      </w:r>
      <w:bookmarkEnd w:id="44"/>
      <w:r w:rsidRPr="00D1277B">
        <w:rPr>
          <w:rFonts w:ascii="Times New Roman" w:hAnsi="Times New Roman"/>
          <w:sz w:val="28"/>
          <w:szCs w:val="28"/>
        </w:rPr>
        <w:t>и др.).</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3. Данное понятие нашло широкое применение в практической деятельности судебных органов всех инстанций (</w:t>
      </w:r>
      <w:bookmarkStart w:id="45" w:name="_Hlk530006619"/>
      <w:r w:rsidRPr="00D1277B">
        <w:rPr>
          <w:rFonts w:ascii="Times New Roman" w:hAnsi="Times New Roman"/>
          <w:sz w:val="28"/>
          <w:szCs w:val="28"/>
        </w:rPr>
        <w:t>Определение Конституционного Суда РФ от 28.06.2018 N 1525-О «Об отказе в принятии к рассмотрению жалобы гражданки Худаниной Натальи Владимировны на нарушение ее конституционных прав статьей 671 и пунктом 3 статьи 678 Гражданского кодекса Российской Федерации»</w:t>
      </w:r>
      <w:r w:rsidRPr="00D1277B">
        <w:rPr>
          <w:vertAlign w:val="superscript"/>
        </w:rPr>
        <w:footnoteReference w:id="20"/>
      </w:r>
      <w:r w:rsidRPr="00D1277B">
        <w:rPr>
          <w:rFonts w:ascii="Times New Roman" w:hAnsi="Times New Roman"/>
          <w:sz w:val="28"/>
          <w:szCs w:val="28"/>
        </w:rPr>
        <w:t>, Определение Верховного Суда РФ от 06.04.2018 N 305-ЭС17-14210 по делу N А40-113740/2016</w:t>
      </w:r>
      <w:bookmarkEnd w:id="45"/>
      <w:r w:rsidRPr="00D1277B">
        <w:rPr>
          <w:rFonts w:ascii="Times New Roman" w:hAnsi="Times New Roman"/>
          <w:sz w:val="28"/>
          <w:szCs w:val="28"/>
          <w:vertAlign w:val="superscript"/>
        </w:rPr>
        <w:footnoteReference w:id="21"/>
      </w:r>
      <w:r w:rsidRPr="00D1277B">
        <w:rPr>
          <w:rFonts w:ascii="Times New Roman" w:hAnsi="Times New Roman"/>
          <w:sz w:val="28"/>
          <w:szCs w:val="28"/>
        </w:rPr>
        <w:t xml:space="preserve"> и т.д.).</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Таким образом, введение данного термина позволило бы законодателю напрямую разграничить два основных вида найма – социального и коммерческого. Кроме того, это позволило бы снять противоречия между терминологией, используемой в законе (в рассматриваемом случае – в ГК РФ) и в нижестоящих правовых актах, а также в судебной практике.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Наконец, в рамках данного раздела следует затронуть еще одну проблему – это невозможность субсидиарного применения норм других правовых институтов, в частности, договора аренды. Так, в главе 35 ГК РФ не предусмотрены многие права и обязанности сторон, либо, если они указаны, то не предусмотрен механизм их реализации и меры ответственности, применяемые к нарушителю, при этом регулирование договора коммерческого найма схоже с регулированием арендных отношений. Безусловно, статья 6 ГК РФ, предусматривающая возможность применения гражданского законодательства, регулирующего сходные отношения, к отношениям, не урегулированным законодательством или соглашением сторон (аналогия закона)</w:t>
      </w:r>
      <w:r w:rsidRPr="00D1277B">
        <w:rPr>
          <w:vertAlign w:val="superscript"/>
        </w:rPr>
        <w:footnoteReference w:id="22"/>
      </w:r>
      <w:r w:rsidRPr="00D1277B">
        <w:rPr>
          <w:rFonts w:ascii="Times New Roman" w:hAnsi="Times New Roman"/>
          <w:sz w:val="28"/>
          <w:szCs w:val="28"/>
        </w:rPr>
        <w:t>, является выходом из данного положения на сегодняшний день, однако полагаем, что правильнее было бы указать в ст. 671 ГК РФ, что к договору коммерческого найма жилого помещения применяются соответственно правила об аренде (§ 1 главы 34), если это не противоречит правилам главы 35 и существу найма</w:t>
      </w:r>
      <w:r w:rsidRPr="00D1277B">
        <w:rPr>
          <w:vertAlign w:val="superscript"/>
        </w:rPr>
        <w:footnoteReference w:id="23"/>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sz w:val="28"/>
          <w:szCs w:val="28"/>
        </w:rPr>
        <w:tab/>
      </w:r>
      <w:r w:rsidRPr="00D1277B">
        <w:rPr>
          <w:rFonts w:ascii="Times New Roman" w:hAnsi="Times New Roman"/>
          <w:color w:val="000000"/>
          <w:sz w:val="28"/>
          <w:szCs w:val="28"/>
        </w:rPr>
        <w:t xml:space="preserve">Таким образом, рассмотрев общие положения правового регулирования договора коммерческого найма жилого помещения, следует отметить, что глава 35 ГК РФ нуждается в некоторых изменениях, а именно: введение </w:t>
      </w:r>
      <w:r w:rsidRPr="00D1277B">
        <w:rPr>
          <w:rFonts w:ascii="Times New Roman" w:hAnsi="Times New Roman"/>
          <w:color w:val="000000"/>
          <w:sz w:val="28"/>
          <w:szCs w:val="28"/>
        </w:rPr>
        <w:lastRenderedPageBreak/>
        <w:t xml:space="preserve">термина «договор коммерческого найма жилого помещения», исправление наименования статьи 672 ГК РФ </w:t>
      </w:r>
      <w:r w:rsidRPr="00D1277B">
        <w:rPr>
          <w:rFonts w:ascii="Times New Roman" w:hAnsi="Times New Roman"/>
          <w:sz w:val="28"/>
          <w:szCs w:val="28"/>
        </w:rPr>
        <w:t>«</w:t>
      </w:r>
      <w:r w:rsidRPr="00D1277B">
        <w:rPr>
          <w:rFonts w:ascii="Times New Roman" w:hAnsi="Times New Roman"/>
          <w:bCs/>
          <w:sz w:val="28"/>
          <w:szCs w:val="28"/>
        </w:rPr>
        <w:t xml:space="preserve">Договор найма жилого помещения в жилищном фонде социального использования», а также закрепление возможности применения к договору коммерческого найма непротиворечащих природе договора правил об аренде. </w:t>
      </w:r>
    </w:p>
    <w:p w:rsidR="00D1277B" w:rsidRPr="00D1277B" w:rsidRDefault="00D1277B" w:rsidP="00160B4B">
      <w:pPr>
        <w:spacing w:before="360" w:after="240" w:line="240" w:lineRule="auto"/>
        <w:jc w:val="center"/>
        <w:rPr>
          <w:rFonts w:ascii="Times New Roman" w:hAnsi="Times New Roman"/>
          <w:b/>
          <w:sz w:val="28"/>
          <w:szCs w:val="28"/>
        </w:rPr>
      </w:pPr>
      <w:r w:rsidRPr="00D1277B">
        <w:rPr>
          <w:rFonts w:ascii="Times New Roman" w:hAnsi="Times New Roman"/>
          <w:b/>
          <w:sz w:val="28"/>
          <w:szCs w:val="28"/>
        </w:rPr>
        <w:t>Раздел 2. Субъекты правоотношения по договору коммерческого найма жилого помещения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4"/>
        </w:rPr>
        <w:tab/>
      </w:r>
      <w:r w:rsidRPr="00D1277B">
        <w:rPr>
          <w:rFonts w:ascii="Times New Roman" w:hAnsi="Times New Roman"/>
          <w:sz w:val="28"/>
          <w:szCs w:val="28"/>
        </w:rPr>
        <w:t>Сторонами договора коммерческого найма жилого помещения являются наймодатель и наниматель. Кроме того, к числу иных субъектов рассматриваемого правоотношения следует отнести постоянно проживающих совместно с нанимателем граждан и временных жильцов. В рамках данного раздела нами будут рассмотрены актуальные проблемы, связанные с существующей на сегодняшний день регламентацией прав и обязанностей субъектов правоотношения, ответственности за свои действия и других положений.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Одной из таких насущных проблем, которую не раз поднимали многие правоведы (Безик Н.В., Кириченко О.В., Максименко А.В., Чечулина И.В., Шевцов Р.М. и др.), является условие совершеннолетия нанимателя при заключении договора коммерческого найма, а также при замене нанимателя одним из граждан, постоянно проживающих с ним. Данный вывод проистекает из ч. 1 ст. 686 ГК РФ, в соответствии с которой</w:t>
      </w:r>
      <w:r w:rsidRPr="00D1277B">
        <w:rPr>
          <w:rFonts w:ascii="Times New Roman" w:hAnsi="Times New Roman"/>
          <w:sz w:val="24"/>
        </w:rPr>
        <w:t xml:space="preserve"> </w:t>
      </w:r>
      <w:r w:rsidRPr="00D1277B">
        <w:rPr>
          <w:rFonts w:ascii="Times New Roman" w:hAnsi="Times New Roman"/>
          <w:sz w:val="28"/>
          <w:szCs w:val="28"/>
        </w:rPr>
        <w:t xml:space="preserve">по требованию нанимателя и других граждан, постоянно с ним проживающих, и с согласия наймодателя наниматель в договоре найма жилого помещения может быть заменен одним из совершеннолетних граждан, постоянно проживающих с нанимателем.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4"/>
        </w:rPr>
        <w:tab/>
      </w:r>
      <w:r w:rsidRPr="00D1277B">
        <w:rPr>
          <w:rFonts w:ascii="Times New Roman" w:hAnsi="Times New Roman"/>
          <w:sz w:val="28"/>
          <w:szCs w:val="28"/>
        </w:rPr>
        <w:t>Указанную формулировку нельзя признать удачной, поскольку возможность участия граждан в сделках определяется объемом их дееспособности. По общему правилу полная дееспособность гражданина возникает в полном объеме с наступлением совершеннолетия, то есть по достижению восемнадцатилетнего возраста (ч. 1 ст. 21 ГК РФ). Из этого правила есть исключения: вступление в брак до достижения совершеннолетия в определенных случаях (ч. 2 ст. 21 ГК РФ) и эмансипация (ст. 27 ГК РФ).</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Таким образом, анализ ст. 686 ГК РФ позволяет сделать вывод, что ч. 1 данной статьи необоснованно ограничивает возможный круг нанимателей по договору коммерческого найма жилого помещения исключительно совершеннолетними гражданами, в то время как ч. 2, регламентирующая порядок замены нанимателя в случае его смерти или выбытия из жилого помещения, впрочем, как и остальные статьи главы 35 ГК РФ, никаких ограничений не содержит. В связи с этим полагаем, что правотворцу следовало бы заменить слова «одним из совершеннолетних граждан» на слова «одним из дееспособных граждан»</w:t>
      </w:r>
      <w:r w:rsidRPr="00D1277B">
        <w:rPr>
          <w:vertAlign w:val="superscript"/>
        </w:rPr>
        <w:footnoteReference w:id="24"/>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Отдельного внимания заслуживает рассмотрение фигуры наймодателя. Мыскин А.В. справедливо отмечает, что на практике достаточно часто возникает вопрос, должен ли наймодатель (если им является физическое лицо) быть зарегистрирован в качестве индивидуального предпринимателя, поскольку лицо, сдавая жилое помещение внаем, регулярно получает прибыль в виде наемной платы (а в жизни такие суммы достигают весьма неплохих размеров)</w:t>
      </w:r>
      <w:r w:rsidRPr="00D1277B">
        <w:rPr>
          <w:vertAlign w:val="superscript"/>
        </w:rPr>
        <w:footnoteReference w:id="25"/>
      </w:r>
      <w:r w:rsidRPr="00D1277B">
        <w:rPr>
          <w:rFonts w:ascii="Times New Roman" w:hAnsi="Times New Roman"/>
          <w:sz w:val="28"/>
          <w:szCs w:val="28"/>
        </w:rPr>
        <w:t>. Ответ на данный вопрос находится в п. 2 Постановления Пленума Верховного Суда РФ от 18.11.2004 N 23 «О судебной практике по делам о незаконном предпринимательстве»: в тех случаях, когда не зарегистрированное в качестве индивидуального предпринимателя лицо приобрело для личных нужд жилое помещение или иное недвижимое имущество либо получило его по наследству или по договору дарения, но в связи с отсутствием необходимости в использовании этого имущества временно сдало его в аренду или внаем и в результате такой гражданско-правовой сделки получило доход (в том числе в крупном или особо крупном размере), содеянное им не влечет уголовной ответственности за незаконное предпринимательство. Если указанное лицо уклоняется от уплаты налогов или сборов с полученного дохода, в его действиях при наличии к тому оснований содержатся признаки состава преступления, предусмотренного статьей 198 УК РФ</w:t>
      </w:r>
      <w:r w:rsidRPr="00D1277B">
        <w:rPr>
          <w:vertAlign w:val="superscript"/>
        </w:rPr>
        <w:footnoteReference w:id="26"/>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В целом, анализ судебной практики показывает, что налоговые органы редко обращаются в суды о взыскании задолженности по НДФЛ. Так, в базе судебных и нормативных актов РФ «СудАкт» по Приморскому краю было найдено лишь одно решение, предметом рассмотрения которого было взыскание задолженности по НДФЛ с дохода от сдачи в наем квартиры</w:t>
      </w:r>
      <w:r w:rsidRPr="00D1277B">
        <w:rPr>
          <w:vertAlign w:val="superscript"/>
        </w:rPr>
        <w:footnoteReference w:id="27"/>
      </w:r>
      <w:r w:rsidRPr="00D1277B">
        <w:rPr>
          <w:rFonts w:ascii="Times New Roman" w:hAnsi="Times New Roman"/>
          <w:sz w:val="28"/>
          <w:szCs w:val="28"/>
        </w:rPr>
        <w:t>. Полагаем, что это связано с тем, что на сегодняшний день абсолютное большинство людей, сдающих в наем жилье напрямую или через агентства, налоги не платят, хотя должны.</w:t>
      </w:r>
      <w:r w:rsidRPr="00D1277B">
        <w:rPr>
          <w:rFonts w:ascii="Times New Roman" w:hAnsi="Times New Roman"/>
          <w:sz w:val="24"/>
        </w:rPr>
        <w:t xml:space="preserve"> </w:t>
      </w:r>
      <w:r w:rsidRPr="00D1277B">
        <w:rPr>
          <w:rFonts w:ascii="Times New Roman" w:hAnsi="Times New Roman"/>
          <w:sz w:val="28"/>
          <w:szCs w:val="28"/>
        </w:rPr>
        <w:t>«Некоторые наймодатели и не знают, что надо платить налог. Другие и заплатили бы, да не хотят суетиться, бумажки заполнять, в очередях стоять. А третьи понимают: меньше заплатишь – больше получишь», - разъясняет ситуацию Президент НП Саморегулируемая организация «Гильдия Риэлторов Приморского края» Ольга Тимошина</w:t>
      </w:r>
      <w:r w:rsidRPr="00D1277B">
        <w:rPr>
          <w:vertAlign w:val="superscript"/>
        </w:rPr>
        <w:footnoteReference w:id="28"/>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 xml:space="preserve">С другой стороны, возникает вопрос: как налоговые органы узнают о возмездной сдаче в наем квартир физическими лицами, особенно если они заключают договор коммерческого найма непосредственно с нанимателями, не прибегая к помощи агентств? Информацию о сдаче квартиры как прямую, так и косвенную (например, о частной смене квартирантов, большом </w:t>
      </w:r>
      <w:r w:rsidRPr="00D1277B">
        <w:rPr>
          <w:rFonts w:ascii="Times New Roman" w:hAnsi="Times New Roman"/>
          <w:sz w:val="28"/>
          <w:szCs w:val="28"/>
        </w:rPr>
        <w:lastRenderedPageBreak/>
        <w:t xml:space="preserve">количестве жильцов, о нахождении на праве собственности двух и более квартир) они могут получить от Росреестра, управляющих компаний, товариществ собственников жилья, коммунальных служб, полиции и самих соседей. Однако на основании подобной информации доказать факт сдачи в наем жилого помещения и получения дохода на практике вызывает большие сложности. В частности, отсутствие письменной формы договора коммерческого найма, его подмена договором безвозмездного пользования или получение оплаты «на руки» без расписок препятствует подтверждению факта сдачи в коммерческий наем жилья. Данные «уловки» позволяют наймодателям – физическим лицам не соблюдать обязанность по уплате налога.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Рассматриваемая проблема существует на протяжении долгого времени, однако механизм выявления нелегального найма квартир был разработан в середине 2018 года, что следует из средств массовой информации. В рамках его осуществления предполагается анализировать крупнейшие интернет-ресурсы, на которых предлагаются квартиры в наем, и сопоставлять эти данные со статистикой об уплате налогов.</w:t>
      </w:r>
      <w:r w:rsidRPr="00D1277B">
        <w:rPr>
          <w:rFonts w:ascii="Times New Roman" w:hAnsi="Times New Roman"/>
          <w:sz w:val="24"/>
        </w:rPr>
        <w:t xml:space="preserve"> </w:t>
      </w:r>
      <w:r w:rsidRPr="00D1277B">
        <w:rPr>
          <w:rFonts w:ascii="Times New Roman" w:hAnsi="Times New Roman"/>
          <w:sz w:val="28"/>
          <w:szCs w:val="28"/>
        </w:rPr>
        <w:t>После такого анализа данные о тех квартирах, которые, возможно, нелегально сдаются в наем, планировалось передавать в налоговую службу для проверки</w:t>
      </w:r>
      <w:r w:rsidRPr="00D1277B">
        <w:rPr>
          <w:vertAlign w:val="superscript"/>
        </w:rPr>
        <w:footnoteReference w:id="29"/>
      </w:r>
      <w:r w:rsidRPr="00D1277B">
        <w:rPr>
          <w:rFonts w:ascii="Times New Roman" w:hAnsi="Times New Roman"/>
          <w:sz w:val="28"/>
          <w:szCs w:val="28"/>
        </w:rPr>
        <w:t>. На данный момент практика выявления правонарушителей с помощью больших данных (</w:t>
      </w:r>
      <w:r w:rsidRPr="00D1277B">
        <w:rPr>
          <w:rFonts w:ascii="Times New Roman" w:hAnsi="Times New Roman"/>
          <w:sz w:val="28"/>
          <w:szCs w:val="28"/>
          <w:lang w:val="en-US"/>
        </w:rPr>
        <w:t>Big</w:t>
      </w:r>
      <w:r w:rsidRPr="00D1277B">
        <w:rPr>
          <w:rFonts w:ascii="Times New Roman" w:hAnsi="Times New Roman"/>
          <w:sz w:val="28"/>
          <w:szCs w:val="28"/>
        </w:rPr>
        <w:t xml:space="preserve"> </w:t>
      </w:r>
      <w:r w:rsidRPr="00D1277B">
        <w:rPr>
          <w:rFonts w:ascii="Times New Roman" w:hAnsi="Times New Roman"/>
          <w:sz w:val="28"/>
          <w:szCs w:val="28"/>
          <w:lang w:val="en-US"/>
        </w:rPr>
        <w:t>Data</w:t>
      </w:r>
      <w:r w:rsidRPr="00D1277B">
        <w:rPr>
          <w:rFonts w:ascii="Times New Roman" w:hAnsi="Times New Roman"/>
          <w:sz w:val="28"/>
          <w:szCs w:val="28"/>
        </w:rPr>
        <w:t>) существует только в Москве, поэтому о результатах применения такого механизма выявления наймодателей – физических лиц, не уплачивающих налог, говорить пока рано.</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Кроме того, имеет свои недостатки правовое положение постоянно проживающих с нанимателем граждан, регламентируемое статьей 677 ГК РФ. Согласно ч. 2 данной статьи граждане, постоянно проживающие совместно с нанимателем, имеют равные с ним права по пользованию жилым помещением. Вместе с тем, ответственность за их действия, нарушающие условия договора, перед наймодателем несет наниматель (ч. 3 ст. 677 ГК РФ). В рамках данного договора такой подход признается правильным, поскольку наниматель сам выбирает, с кем ему жить. Вдобавок, наниматель, возместивший вред за действия постоянно проживающего с ним гражданина, имеет право взыскать с него убытки в регрессном порядке.</w:t>
      </w:r>
    </w:p>
    <w:p w:rsidR="00D1277B" w:rsidRPr="00D1277B" w:rsidRDefault="00D1277B" w:rsidP="00F5557C">
      <w:pPr>
        <w:spacing w:after="0" w:line="240" w:lineRule="auto"/>
        <w:ind w:firstLine="708"/>
        <w:jc w:val="both"/>
        <w:rPr>
          <w:rFonts w:ascii="Times New Roman" w:hAnsi="Times New Roman"/>
          <w:sz w:val="28"/>
          <w:szCs w:val="28"/>
        </w:rPr>
      </w:pPr>
      <w:r w:rsidRPr="00D1277B">
        <w:rPr>
          <w:rFonts w:ascii="Times New Roman" w:hAnsi="Times New Roman"/>
          <w:sz w:val="28"/>
          <w:szCs w:val="28"/>
        </w:rPr>
        <w:t xml:space="preserve">Однако далее обращает на себя внимание часть 4 вышеуказанной статьи: граждане, постоянно проживающие вместе с нанимателем, могут, известив наймодателя, заключить с нанимателем договор о том, что все граждане, постоянно проживающие в жилом помещении, несут совместно с нанимателем солидарную ответственность перед наймодателем. В этом случае такие граждане являются сонанимателями. По смыслу данной нормы согласие наймодателя не требуется, что ухудшает его правовое положение, так как изменение субъектного состава нанимателей в сторону увеличения влечет за собой увеличение числа лиц, которые могут требовать от </w:t>
      </w:r>
      <w:r w:rsidRPr="00D1277B">
        <w:rPr>
          <w:rFonts w:ascii="Times New Roman" w:hAnsi="Times New Roman"/>
          <w:sz w:val="28"/>
          <w:szCs w:val="28"/>
        </w:rPr>
        <w:lastRenderedPageBreak/>
        <w:t>наймодателя соблюдения их прав, например, преимущественного права на заключение договора на новый срок. Представляется, что такой недостаток правовой регламентации может быть устранен в случае внесения изменений в данную норму в части, касающейся получения согласия наймодателя на изменение количества лиц со стороны нанимателя.</w:t>
      </w:r>
    </w:p>
    <w:p w:rsidR="00D1277B" w:rsidRPr="00D1277B" w:rsidRDefault="00D1277B" w:rsidP="00F5557C">
      <w:pPr>
        <w:spacing w:after="0" w:line="240" w:lineRule="auto"/>
        <w:ind w:firstLine="708"/>
        <w:jc w:val="both"/>
        <w:rPr>
          <w:rFonts w:ascii="Times New Roman" w:hAnsi="Times New Roman"/>
          <w:sz w:val="28"/>
          <w:szCs w:val="28"/>
        </w:rPr>
      </w:pPr>
      <w:r w:rsidRPr="00D1277B">
        <w:rPr>
          <w:rFonts w:ascii="Times New Roman" w:hAnsi="Times New Roman"/>
          <w:sz w:val="28"/>
          <w:szCs w:val="28"/>
        </w:rPr>
        <w:t>Наконец, особый интерес вызывает установленный в ГК РФ срок проживания временных жильцов, который не может превышать шесть месяцев (ст. 680). Фактически временные жильцы могут проживать до одного года, до двух лет, а то и больше. Примером тому является дело, рассматриваемое Октябрьским районным судом Приморского края, по иску Щербаковой О.Н. о выселении временного жильца Перевалова А.Д. из жилого помещения. Из материалов дела следует, что ответчик проживал с 2009 года по 2013 год в жилом помещении истицы</w:t>
      </w:r>
      <w:r w:rsidRPr="00D1277B">
        <w:rPr>
          <w:vertAlign w:val="superscript"/>
        </w:rPr>
        <w:footnoteReference w:id="30"/>
      </w:r>
      <w:r w:rsidRPr="00D1277B">
        <w:rPr>
          <w:rFonts w:ascii="Times New Roman" w:hAnsi="Times New Roman"/>
          <w:sz w:val="28"/>
          <w:szCs w:val="28"/>
        </w:rPr>
        <w:t>. Между тем, норма о сроке проживания временных жильцов установлена императивно, и, следовательно, если данный срок превысил 6 месяцев, то это следует квалифицировать как нарушение требований гражданского законодательства об условиях проживания временных жильцов.</w:t>
      </w:r>
    </w:p>
    <w:p w:rsidR="00D1277B" w:rsidRPr="00D1277B" w:rsidRDefault="00D1277B" w:rsidP="00F5557C">
      <w:pPr>
        <w:spacing w:after="0" w:line="240" w:lineRule="auto"/>
        <w:ind w:firstLine="708"/>
        <w:jc w:val="both"/>
        <w:rPr>
          <w:rFonts w:ascii="Times New Roman" w:hAnsi="Times New Roman"/>
          <w:sz w:val="28"/>
          <w:szCs w:val="28"/>
        </w:rPr>
      </w:pPr>
      <w:r w:rsidRPr="00D1277B">
        <w:rPr>
          <w:rFonts w:ascii="Times New Roman" w:hAnsi="Times New Roman"/>
          <w:sz w:val="28"/>
          <w:szCs w:val="28"/>
        </w:rPr>
        <w:t>С такой позицией законодателя трудно согласиться. Думается, что необходимо внести изменения в абз. 1 ст. 680 ГК РФ, добавив «если иное не предусмотрено соглашением сторон».</w:t>
      </w:r>
    </w:p>
    <w:p w:rsidR="00D1277B" w:rsidRPr="00D1277B" w:rsidRDefault="00D1277B" w:rsidP="00F5557C">
      <w:pPr>
        <w:spacing w:after="0" w:line="240" w:lineRule="auto"/>
        <w:ind w:firstLine="708"/>
        <w:jc w:val="both"/>
        <w:rPr>
          <w:rFonts w:ascii="Times New Roman" w:hAnsi="Times New Roman"/>
          <w:sz w:val="28"/>
          <w:szCs w:val="28"/>
        </w:rPr>
      </w:pPr>
      <w:r w:rsidRPr="00D1277B">
        <w:rPr>
          <w:rFonts w:ascii="Times New Roman" w:hAnsi="Times New Roman"/>
          <w:sz w:val="28"/>
          <w:szCs w:val="28"/>
        </w:rPr>
        <w:t xml:space="preserve">В заключение данного раздела отметим, что анализ норм гражданского законодательства в части правового статуса субъектов правоотношений по договору коммерческого найма жилого помещения показывает, что требуется их тщательная доработка и совершенствование для устранения имеющихся коллизий. </w:t>
      </w:r>
    </w:p>
    <w:p w:rsidR="00D1277B" w:rsidRPr="00D1277B" w:rsidRDefault="00D1277B" w:rsidP="00F5557C">
      <w:pPr>
        <w:spacing w:before="360" w:after="240" w:line="240" w:lineRule="auto"/>
        <w:jc w:val="center"/>
        <w:rPr>
          <w:rFonts w:ascii="Times New Roman" w:hAnsi="Times New Roman"/>
          <w:b/>
          <w:sz w:val="28"/>
          <w:szCs w:val="28"/>
        </w:rPr>
      </w:pPr>
      <w:r w:rsidRPr="00D1277B">
        <w:rPr>
          <w:rFonts w:ascii="Times New Roman" w:hAnsi="Times New Roman"/>
          <w:b/>
          <w:sz w:val="28"/>
          <w:szCs w:val="28"/>
        </w:rPr>
        <w:t>Раздел 3. Иные проблемы правового регулирования договора коммерческого найма жилого помещения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В рамках данного раздела нами будут рассмотрены иные актуальные проблемы договора коммерческого найма, не затронутые в предыдущих разделах.</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Во-первых, в силу ч. 1 ст. 673 ГК РФ объектом договора найма жилого помещения может быть изолированное жилое помещение, пригодное для постоянного проживания (квартира, жилой дом, часть квартиры или жилого дома). Следовательно, нельзя сдавать в наем нежилые помещения, вспомогательные помещения, часть комнаты, койко-место и другие объекты</w:t>
      </w:r>
      <w:r w:rsidRPr="00D1277B">
        <w:rPr>
          <w:vertAlign w:val="superscript"/>
        </w:rPr>
        <w:footnoteReference w:id="31"/>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 xml:space="preserve">Вместе с тем, российская судебная практика знает немало примеров несоблюдения вышеуказанного положения. В частности, заключение договора коммерческого найма с гражданами, объектом которого является </w:t>
      </w:r>
      <w:r w:rsidRPr="00D1277B">
        <w:rPr>
          <w:rFonts w:ascii="Times New Roman" w:hAnsi="Times New Roman"/>
          <w:sz w:val="28"/>
          <w:szCs w:val="28"/>
        </w:rPr>
        <w:lastRenderedPageBreak/>
        <w:t>койко-место, является весьма распространенной практикой.</w:t>
      </w:r>
      <w:r w:rsidRPr="00D1277B">
        <w:rPr>
          <w:rFonts w:ascii="Times New Roman" w:hAnsi="Times New Roman"/>
          <w:sz w:val="24"/>
        </w:rPr>
        <w:t xml:space="preserve"> </w:t>
      </w:r>
      <w:r w:rsidRPr="00D1277B">
        <w:rPr>
          <w:rFonts w:ascii="Times New Roman" w:hAnsi="Times New Roman"/>
          <w:sz w:val="28"/>
          <w:szCs w:val="28"/>
        </w:rPr>
        <w:t>Так, в соответствии с решением Ленинского районного суда г. Нижнего Тагила от 18.05.2012 № 2-413/2012 между ООО «Технологический центр «Кворум» и Антроповым А.В. заключен договор коммерческого найма койко-места в определенной комнате в конкретном доме</w:t>
      </w:r>
      <w:r w:rsidRPr="00D1277B">
        <w:rPr>
          <w:vertAlign w:val="superscript"/>
        </w:rPr>
        <w:footnoteReference w:id="32"/>
      </w:r>
      <w:r w:rsidRPr="00D1277B">
        <w:rPr>
          <w:rFonts w:ascii="Times New Roman" w:hAnsi="Times New Roman"/>
          <w:sz w:val="28"/>
          <w:szCs w:val="28"/>
        </w:rPr>
        <w:t>; согласно решению Нижневартовского городского суда Ханты-Мансийского автономного округа от 02.11.2016 № 2-9553/2016 по договору коммерческого найма истец Кривова Н.А. передала во временное пользование ответчикам Лукину С.В. и Ризвонову Н.М. койко-место с правом регистрации по месту жительства</w:t>
      </w:r>
      <w:r w:rsidRPr="00D1277B">
        <w:rPr>
          <w:vertAlign w:val="superscript"/>
        </w:rPr>
        <w:footnoteReference w:id="33"/>
      </w:r>
      <w:r w:rsidRPr="00D1277B">
        <w:rPr>
          <w:rFonts w:ascii="Times New Roman" w:hAnsi="Times New Roman"/>
          <w:sz w:val="28"/>
          <w:szCs w:val="28"/>
        </w:rPr>
        <w:t>; по смыслу апелляционного определения судебной коллегии</w:t>
      </w:r>
      <w:r w:rsidRPr="00D1277B">
        <w:rPr>
          <w:rFonts w:ascii="Times New Roman" w:hAnsi="Times New Roman"/>
          <w:sz w:val="24"/>
        </w:rPr>
        <w:t xml:space="preserve"> </w:t>
      </w:r>
      <w:r w:rsidRPr="00D1277B">
        <w:rPr>
          <w:rFonts w:ascii="Times New Roman" w:hAnsi="Times New Roman"/>
          <w:sz w:val="28"/>
          <w:szCs w:val="28"/>
        </w:rPr>
        <w:t>по гражданским делам Рязанского областного суда от 24.07.2013 № 33-1524/2013 между ЗАО и Зубец Е.В. был заключен договор коммерческого найма сроком на пять лет, согласно которому ответчице было предоставлено для проживания койко-место в квартире</w:t>
      </w:r>
      <w:r w:rsidRPr="00D1277B">
        <w:rPr>
          <w:vertAlign w:val="superscript"/>
        </w:rPr>
        <w:footnoteReference w:id="34"/>
      </w:r>
      <w:r w:rsidRPr="00D1277B">
        <w:rPr>
          <w:rFonts w:ascii="Times New Roman" w:hAnsi="Times New Roman"/>
          <w:sz w:val="28"/>
          <w:szCs w:val="28"/>
        </w:rPr>
        <w:t xml:space="preserve"> и другие примеры.</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 xml:space="preserve">С одной стороны, подобная практика явно демонстрирует нарушение законодательства, но с другой стороны, из-за отсутствия достаточных средств к существованию некоторые граждане не могут себе позволить снять даже комнату в квартире, в связи с чем вынуждены обходиться койко-местом.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Во-вторых, абз. 1 ст. 678 ГК РФ императивно устанавливает лишь одно назначение жилого помещения – это его использование только для проживания. При этом ч. 2 ст. 17 ЖК РФ допускает использование жилого помещения для осуществления профессиональной деятельности (например, научной, творческой, адвокатской и др.)  или индивидуальной предпринимательской деятельности проживающими в нем на законных основаниях гражданами, но при условии, если это не нарушает права и законные интересы других граждан, а также требования, которым должно отвечать жилое помещение</w:t>
      </w:r>
      <w:r w:rsidRPr="00D1277B">
        <w:rPr>
          <w:vertAlign w:val="superscript"/>
        </w:rPr>
        <w:footnoteReference w:id="35"/>
      </w:r>
      <w:r w:rsidRPr="00D1277B">
        <w:rPr>
          <w:rFonts w:ascii="Times New Roman" w:hAnsi="Times New Roman"/>
          <w:sz w:val="28"/>
          <w:szCs w:val="28"/>
        </w:rPr>
        <w:t xml:space="preserve">. Данные положения безусловно противоречат друг другу. Нельзя не согласиться с Кириченко О.В., которая считает, что даже если наниматель желает заниматься в снимаемом жилом помещении профессиональной или индивидуальной предпринимательской деятельностью, а наймодатель не возражает (а возможно, и заинтересован в этом, так как сможет получить больший доход), стороны договора </w:t>
      </w:r>
      <w:r w:rsidRPr="00D1277B">
        <w:rPr>
          <w:rFonts w:ascii="Times New Roman" w:hAnsi="Times New Roman"/>
          <w:sz w:val="28"/>
          <w:szCs w:val="28"/>
        </w:rPr>
        <w:lastRenderedPageBreak/>
        <w:t>коммерческого найма не смогут включить подобное условие в свой договор ввиду установленного в ГК РФ императивного запрета</w:t>
      </w:r>
      <w:r w:rsidRPr="00D1277B">
        <w:rPr>
          <w:vertAlign w:val="superscript"/>
        </w:rPr>
        <w:footnoteReference w:id="36"/>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Такое положение дел ухудшает правовое положение нанимателя жилого помещения и постоянно проживающих с ним граждан по договору коммерческого найма, поскольку ЖК РФ позволяет нанимателям по договору социального найма осуществлять профессиональную и иную не запрещенную законом деятельность, а также противоречит правовой природе рассматриваемого договора. В целях устранения указанного противоречия предлагаем изложить абз. 1 ст. 678 ГК РФ в следующей редакции: «Наниматель обязан использовать жилое помещение в соответствии с его назначением и пределами использования, установленными в жилищном законодательстве, обеспечивать сохранность жилого помещения и поддерживать его в надлежащем состоянии».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В-третьих, большой интерес вызывает вопрос о размере предоставляемой жилой площади нанимателям по договору коммерческого найма. Так, в ГК РФ не устанавливается необходимость соблюдения нормы общей площади жилого помещения на одного человека при заключении договора коммерческого найма. И это соответствует принципу свободы договора, так как граждане сами решают вопросы о размере жилого помещения, в котором они желают проживать, а также это во многом зависит от финансового положения нанимателя. Однако при вселении граждан, которые будут постоянно проживать с нанимателем, или при сдаче нанимателем жилого помещения в поднаем закон обязан соблюдать требования законодательства о норме площади на одного человека (абз. 2 ст. 679 и ч. 2 ст. 685 ГК РФ)</w:t>
      </w:r>
      <w:r w:rsidRPr="00D1277B">
        <w:rPr>
          <w:vertAlign w:val="superscript"/>
        </w:rPr>
        <w:footnoteReference w:id="37"/>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На практике возможны ситуации, когда при заключении договора коммерческого найма в жилое помещение площадью 25 м</w:t>
      </w:r>
      <w:r w:rsidRPr="00D1277B">
        <w:rPr>
          <w:rFonts w:ascii="Times New Roman" w:hAnsi="Times New Roman"/>
          <w:sz w:val="28"/>
          <w:szCs w:val="28"/>
          <w:vertAlign w:val="superscript"/>
        </w:rPr>
        <w:t>2</w:t>
      </w:r>
      <w:r w:rsidRPr="00D1277B">
        <w:rPr>
          <w:rFonts w:ascii="Times New Roman" w:hAnsi="Times New Roman"/>
          <w:sz w:val="28"/>
          <w:szCs w:val="28"/>
        </w:rPr>
        <w:t xml:space="preserve"> вселяется пять граждан. Норма общей площади жилого помещения на одного человека уже не соблюдена. И это не противоречит закону. Однако наниматель не сможет вселить в жилое помещение, например, своего супруга, не проживающего с ним, т.к. такое вселение не соответствует норме площади</w:t>
      </w:r>
      <w:r w:rsidRPr="00D1277B">
        <w:rPr>
          <w:vertAlign w:val="superscript"/>
        </w:rPr>
        <w:footnoteReference w:id="38"/>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Скорее всего, положения о необходимости соблюдения нормы общей площади жилого помещения при передаче помещения в поднаем или вселения граждан установлены для защиты интересов нанимателя и постоянно проживающих с ним граждан. Наниматель и проживающие с ним граждане по данному договору должны быть обеспечены жильем, отвечающим всем установленным санитарно-гигиеническим, пожарным, техническим правилам и нормам, иным требованиям законодательства</w:t>
      </w:r>
      <w:r w:rsidRPr="00D1277B">
        <w:rPr>
          <w:vertAlign w:val="superscript"/>
        </w:rPr>
        <w:footnoteReference w:id="39"/>
      </w:r>
      <w:r w:rsidRPr="00D1277B">
        <w:rPr>
          <w:rFonts w:ascii="Times New Roman" w:hAnsi="Times New Roman"/>
          <w:sz w:val="28"/>
          <w:szCs w:val="28"/>
        </w:rPr>
        <w:t xml:space="preserve">. Но в целом, по договору коммерческого найма, исходя из принципа свободы </w:t>
      </w:r>
      <w:r w:rsidRPr="00D1277B">
        <w:rPr>
          <w:rFonts w:ascii="Times New Roman" w:hAnsi="Times New Roman"/>
          <w:sz w:val="28"/>
          <w:szCs w:val="28"/>
        </w:rPr>
        <w:lastRenderedPageBreak/>
        <w:t>договора, нецелесообразно запрещать нанимателю вселять третьих лиц, когда он сам желает этого, даже если вселение происходит с нарушением нормы площади жилого помещения. Полагаем, что абз. 2 ст. 679 ГК РФ целесообразно исключить.</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Наконец, последний весьма спорный вопрос, который следует затронуть в данном разделе – это срок исследуемой договорной конструкции. Диспозиция статьи 683 ГК РФ знает две разновидности срока: краткосрочный (на срок до одного года) и долгосрочный (на срок до пяти лет). Деление договоров коммерческого найма на краткосрочный и долгосрочный связано с установлением различного правового регулирования для каждого из них в части объема прав нанимателя и постоянно проживающих граждан.</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 мнению некоторых ученых, установление максимального срока действия данного договора является весьма сомнительным законодательным решением</w:t>
      </w:r>
      <w:r w:rsidRPr="00D1277B">
        <w:rPr>
          <w:vertAlign w:val="superscript"/>
        </w:rPr>
        <w:footnoteReference w:id="40"/>
      </w:r>
      <w:r w:rsidRPr="00D1277B">
        <w:rPr>
          <w:rFonts w:ascii="Times New Roman" w:hAnsi="Times New Roman"/>
          <w:sz w:val="28"/>
          <w:szCs w:val="28"/>
        </w:rPr>
        <w:t xml:space="preserve">. Указанное обстоятельство подтверждается практикой Конституционного Суда РФ. Так, в 2012 году органом конституционного контроля было вынесено </w:t>
      </w:r>
      <w:bookmarkStart w:id="52" w:name="_Hlk530006937"/>
      <w:r w:rsidRPr="00D1277B">
        <w:rPr>
          <w:rFonts w:ascii="Times New Roman" w:hAnsi="Times New Roman"/>
          <w:sz w:val="28"/>
          <w:szCs w:val="28"/>
        </w:rPr>
        <w:t>Определение «Об отказе в принятии к рассмотрению жалобы гражданина Денисова Вадима Сергеевича на нарушение его конституционных прав пунктом 1 статьи 683 и статьей 684 Гражданского кодекса Российской Федерации»</w:t>
      </w:r>
      <w:bookmarkEnd w:id="52"/>
      <w:r w:rsidRPr="00D1277B">
        <w:rPr>
          <w:rFonts w:ascii="Times New Roman" w:hAnsi="Times New Roman"/>
          <w:sz w:val="28"/>
          <w:szCs w:val="28"/>
        </w:rPr>
        <w:t>. Однако Конституционный Суд РФ пояснил, что оспариваемые заявителем нормы ГК РФ направлены на защиту как нанимателя, так и наймодателя жилого помещения и сами по себе не могут рассматриваться как нарушающие конституционные права и свободы заявителя</w:t>
      </w:r>
      <w:r w:rsidRPr="00D1277B">
        <w:rPr>
          <w:vertAlign w:val="superscript"/>
        </w:rPr>
        <w:footnoteReference w:id="41"/>
      </w:r>
      <w:r w:rsidRPr="00D1277B">
        <w:rPr>
          <w:rFonts w:ascii="Times New Roman" w:hAnsi="Times New Roman"/>
          <w:sz w:val="28"/>
          <w:szCs w:val="28"/>
        </w:rPr>
        <w:t xml:space="preserve">.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Немалую роль в оказании помощи гражданам в решении вопроса о продлении срока договора коммерческого найма играют Уполномоченные по правам человека. Они имеют различные полномочия, способствующие защите прав человека, в частности, направление обращений в компетентные органы, поручение проверки компетентному субъекту власти, обращение в суды и др.</w:t>
      </w:r>
      <w:r w:rsidRPr="00D1277B">
        <w:rPr>
          <w:vertAlign w:val="superscript"/>
        </w:rPr>
        <w:footnoteReference w:id="42"/>
      </w:r>
      <w:r w:rsidRPr="00D1277B">
        <w:rPr>
          <w:rFonts w:ascii="Times New Roman" w:hAnsi="Times New Roman"/>
          <w:sz w:val="28"/>
          <w:szCs w:val="28"/>
        </w:rPr>
        <w:t xml:space="preserve">.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Например, Уполномоченным по правам человека в Архангельской области была оказана помощь в продлении договора коммерческого найма жилого помещения жительнице города Архангельска, являющейся инвалидом </w:t>
      </w:r>
      <w:r w:rsidRPr="00D1277B">
        <w:rPr>
          <w:rFonts w:ascii="Times New Roman" w:hAnsi="Times New Roman"/>
          <w:sz w:val="28"/>
          <w:szCs w:val="28"/>
          <w:lang w:val="en-US"/>
        </w:rPr>
        <w:t>I</w:t>
      </w:r>
      <w:r w:rsidRPr="00D1277B">
        <w:rPr>
          <w:rFonts w:ascii="Times New Roman" w:hAnsi="Times New Roman"/>
          <w:sz w:val="28"/>
          <w:szCs w:val="28"/>
        </w:rPr>
        <w:t xml:space="preserve"> группы, имеющей статус малоимущей и самостоятельно воспитывающей несовершеннолетнего ребенка. С заявительницей был заключен договор краткосрочного найма, по истечении которого она обязана была освободить его как не имеющая преимущественного права на заключение договора на новый срок (ст. 684 ГК РФ). Учитывая сложность ситуации заявительницы, Уполномоченным были направлены соответствующие обращения в </w:t>
      </w:r>
      <w:r w:rsidRPr="00D1277B">
        <w:rPr>
          <w:rFonts w:ascii="Times New Roman" w:hAnsi="Times New Roman"/>
          <w:sz w:val="28"/>
          <w:szCs w:val="28"/>
        </w:rPr>
        <w:lastRenderedPageBreak/>
        <w:t>различные органы с просьбой принять всевозможные меры по наиболее полному обеспечению ее жилищных прав и прав ее ребенка. По результатам рассмотрения обращения Уполномоченного и.о. директора техникума предоставлена информация о продлении договора коммерческого найма с заявительницей</w:t>
      </w:r>
      <w:r w:rsidRPr="00D1277B">
        <w:rPr>
          <w:vertAlign w:val="superscript"/>
        </w:rPr>
        <w:footnoteReference w:id="43"/>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Аналогичный вопрос был решен Уполномоченным по правам человека в Челябинской области. Уполномоченный в целях недопущения нарушений жилищных прав семьи заявителя обратился в комитет по управлению имуществом и земельным отношениям г. Челябинска с просьбой незамедлительно рассмотреть вопрос о продлении срока действия договора найма жилого помещения муниципального жилищного фонда коммерческого использования, заключенного с заявителем. В результате рассмотрения обращения договор был перезаключен на пятилетний срок</w:t>
      </w:r>
      <w:r w:rsidRPr="00D1277B">
        <w:rPr>
          <w:vertAlign w:val="superscript"/>
        </w:rPr>
        <w:footnoteReference w:id="44"/>
      </w:r>
      <w:r w:rsidRPr="00D1277B">
        <w:rPr>
          <w:rFonts w:ascii="Times New Roman" w:hAnsi="Times New Roman"/>
          <w:sz w:val="28"/>
          <w:szCs w:val="28"/>
        </w:rPr>
        <w:t>.</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Таким образом, деятельность Уполномоченных по правам человека, обладающих специфическими функциями, имеет важное значение в решении острого для многих граждан вопроса – жилищного.</w:t>
      </w:r>
      <w:bookmarkEnd w:id="36"/>
    </w:p>
    <w:p w:rsidR="00D1277B" w:rsidRPr="00D1277B" w:rsidRDefault="00D1277B" w:rsidP="00104594">
      <w:pPr>
        <w:spacing w:before="360" w:after="240" w:line="240" w:lineRule="auto"/>
        <w:jc w:val="center"/>
        <w:rPr>
          <w:rFonts w:ascii="Times New Roman" w:hAnsi="Times New Roman"/>
          <w:b/>
          <w:sz w:val="28"/>
          <w:szCs w:val="28"/>
        </w:rPr>
      </w:pPr>
      <w:r w:rsidRPr="00D1277B">
        <w:rPr>
          <w:rFonts w:ascii="Times New Roman" w:hAnsi="Times New Roman"/>
          <w:b/>
          <w:sz w:val="28"/>
          <w:szCs w:val="28"/>
        </w:rPr>
        <w:t>Заключение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Отношения коммерческого найма жилых помещений получили широкое распространение на практике. Это вызвано разными социально-экономическими причинами, в частности, постоянно возрастающие цены на жилье, низкие доходы граждан и др. Однако несмотря на актуальность и значимость данных отношений, их правовое регулирование остается недостаточным и нуждается в серьезной доработке.</w:t>
      </w:r>
    </w:p>
    <w:p w:rsidR="00D1277B" w:rsidRPr="00D1277B" w:rsidRDefault="00D1277B" w:rsidP="00D1277B">
      <w:pPr>
        <w:spacing w:after="0" w:line="240" w:lineRule="auto"/>
        <w:jc w:val="both"/>
        <w:rPr>
          <w:rFonts w:ascii="Times New Roman" w:hAnsi="Times New Roman"/>
          <w:sz w:val="28"/>
        </w:rPr>
      </w:pPr>
      <w:r w:rsidRPr="00D1277B">
        <w:rPr>
          <w:rFonts w:ascii="Times New Roman" w:hAnsi="Times New Roman"/>
          <w:sz w:val="28"/>
          <w:szCs w:val="28"/>
        </w:rPr>
        <w:tab/>
      </w:r>
      <w:r w:rsidRPr="00D1277B">
        <w:rPr>
          <w:rFonts w:ascii="Times New Roman" w:hAnsi="Times New Roman"/>
          <w:sz w:val="28"/>
        </w:rPr>
        <w:t>На основании проведенного исследования нам удалось раскрыть все поставленные нами задачи. Остановимся лишь на выявленных нами проблемах правового регулирования и предлагаемых способах их решения.</w:t>
      </w:r>
    </w:p>
    <w:p w:rsidR="00D1277B" w:rsidRPr="00D1277B" w:rsidRDefault="00D1277B" w:rsidP="00D1277B">
      <w:pPr>
        <w:spacing w:after="0" w:line="240" w:lineRule="auto"/>
        <w:jc w:val="both"/>
        <w:rPr>
          <w:rFonts w:ascii="Times New Roman" w:hAnsi="Times New Roman"/>
          <w:sz w:val="28"/>
        </w:rPr>
      </w:pPr>
      <w:r w:rsidRPr="00D1277B">
        <w:rPr>
          <w:rFonts w:ascii="Times New Roman" w:hAnsi="Times New Roman"/>
          <w:sz w:val="28"/>
        </w:rPr>
        <w:t>Первая задача заключалась в раскрытии общих положений правового регулирования договора коммерческого найма. В рамках данной задачи были выявлены следующие недостатки правового регулирования: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1. Отсутствие в гл. 35 ГК РФ термина «коммерческий наем», что вызвало путаницу в науке о структуре данной главы (имеет ли она общие положения о договорах, объектом которых является жилое помещение, или специальные применительно к разновидностям договоров найма) и месте договора коммерческого найма в системе договоров о жилищном найме. Предлагаем закрепить данную дефиницию в ГК РФ в силу того, понятие «коммерческий наем» широко применяется в нормативных правовых актах различного уровня и в судебной практике, что отвечает правовой природе рассматриваемого договора;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ab/>
        <w:t>2. Наименование ст. 672 ГК РФ «Договор найма жилого помещения в жилищном фонде социального использования» следует изложить во множественном числе («договоры»), поскольку указанная статья закрепляет общие положения о двух договорных конструкциях – договоре социального найма и договоре найма жилого помещения жилищного фонда социального использования;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3. Невозможность субсидиарного применения к договору коммерческого найма общих положений об аренде. Считаем необходимым указать в ст. 671 ГК РФ, что к договору коммерческого найма жилого помещения применяются соответственно правила об аренде (§ 1 главы 34), если это не противоречит правилам главы 35 и существу найма.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Исходя из второй задачи, нам следовало определить круг субъектов правоотношений по договору коммерческого найма жилого помещения и их правовой статус. В рамках данного раздела мы обозначили следующие проблемы правового характера: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ab/>
        <w:t>1. Установление условия совершеннолетия нанимателя при заключении договора коммерческого найма, а также при замене нанимателя одним из граждан, постоянно проживающих с ним (ст. 686 ГК РФ), что необоснованно ограничивает дееспособность лиц, вступивших в брак до достижения восемнадцатилетнего возраста, и несовершеннолетних, объявленных полностью дееспособными (эмансипация). В связи с этим полагаем, что в ст. 686 ГК РФ законодателю следовало бы заменить слова «одним из совершеннолетних граждан» на слова «одним из дееспособных граждан»;</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 Существующий порядок приобретения статуса сонанимателя постоянно проживающими с нанимателем гражданами (ч. 4 ст. 677 ГК РФ). При заключении договора о солидарной ответственности перед наймодателем граждане, постоянно проживающие вместе с нанимателем, должны только извещать, но не согласовывать заключение данного договора с нанимателем, что, на наш взгляд, ухудшает правовое положение наймодателя.  Представляется, что такой недостаток правовой регламентации может быть устранен в случае внесения изменений в данную норму в части, касающейся получения согласия наймодателя на изменение количества лиц со стороны нанимателя;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 Императивное установление срока проживания временных жильцов – не более шести месяцев (ст. 680 ГК РФ), что вызывает коллизии между правовой регламентацией и практикой. В связи с этим полагаем целесообразным внести изменения в абз. 1 указанной статьи, добавив «если иное не предусмотрено соглашением сторон».</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Отдельное внимание автором уделено проблеме неуплаты налогов наймодателями от сдачи жилья в коммерческий наем, существующей на протяжении долгого времени, которая нуждается в срочном решении.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Наконец, третья задача – это выявление иных проблем правового регулирования договора коммерческого найма жилого помещения, к числу которых следует отнести следующие: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1. Возникающие противоречия между правовой регламентацией и практикой по поводу объекта договоров. Из российской судебной практики нами были приведены примеры заключения договоров коммерческого найма в отношении неустановленных в ГК РФ объектов, в частности, койко-место. Полагаем, что это связано с отсутствием у некоторых граждан достаточных средств к существованию, вследствие чего они не могут себе позволить снять даже комнату в квартире;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 Императивное установление одного назначения жилого помещения как объекта договора – только для проживания граждан (абз. 1 ст. 678 ГК РФ), что вступает в противоречие с ч. 2 ст. 17 ЖК РФ (использование жилого помещения для осуществления профессиональной деятельности или индивидуальной предпринимательской деятельности). В целях устранения указанного противоречия предлагаем изложить абз. 1 ст. 678 ГК РФ в следующей редакции: «Наниматель обязан использовать жилое помещение в соответствии с его назначением и пределами использования, установленными в жилищном законодательстве, обеспечивать сохранность жилого помещения и поддерживать его в надлежащем состоянии».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 Необходимость соблюдения нормы общей площади при вселении постоянно проживающих граждан (абз. 2 ст. 679 ГК РФ). В связи с тем, что данный договор носит прежде всего гражданско-правовой характер, и, следовательно, на него распространяется принцип свободы договора, полагаем, что абз. 2 ст. 679 ГК РФ целесообразно исключить.</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Кроме того, в последнем разделе отмечается роль Уполномоченного по правам человека в РФ и субъектах РФ в оказании помощи гражданам в решении вопроса о продлении срока договора коммерческого найма. Приведены несколько случаев оказания такой помощи.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исходя из раскрытых задач, можно утверждать о достижении цели исследовательской работы.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Сегодня договор коммерческого найма жилого помещения – один из самых распространенных способов решения жилищных проблем граждан. Однако в связи с существованием проблем правового регулирования данный институт требует детальной доработки и внесения необходимых изменений в нормативные акты.</w:t>
      </w:r>
    </w:p>
    <w:p w:rsidR="00D1277B" w:rsidRPr="00D1277B" w:rsidRDefault="00D1277B" w:rsidP="00104594">
      <w:pPr>
        <w:spacing w:before="360" w:after="0" w:line="240" w:lineRule="auto"/>
        <w:jc w:val="center"/>
        <w:rPr>
          <w:rFonts w:ascii="Times New Roman" w:hAnsi="Times New Roman"/>
          <w:b/>
          <w:sz w:val="28"/>
        </w:rPr>
      </w:pPr>
      <w:bookmarkStart w:id="53" w:name="_Hlk530052499"/>
      <w:r w:rsidRPr="00D1277B">
        <w:rPr>
          <w:rFonts w:ascii="Times New Roman" w:hAnsi="Times New Roman"/>
          <w:b/>
          <w:sz w:val="28"/>
        </w:rPr>
        <w:t>Список использованных источников</w:t>
      </w:r>
    </w:p>
    <w:p w:rsidR="00D1277B" w:rsidRPr="00D1277B" w:rsidRDefault="00D1277B" w:rsidP="00D1277B">
      <w:pPr>
        <w:spacing w:after="0" w:line="240" w:lineRule="auto"/>
        <w:jc w:val="center"/>
        <w:rPr>
          <w:rFonts w:ascii="Times New Roman" w:hAnsi="Times New Roman"/>
          <w:b/>
          <w:sz w:val="28"/>
        </w:rPr>
      </w:pPr>
    </w:p>
    <w:p w:rsidR="00D1277B" w:rsidRPr="00D1277B" w:rsidRDefault="00D1277B" w:rsidP="00D1277B">
      <w:pPr>
        <w:spacing w:after="0" w:line="240" w:lineRule="auto"/>
        <w:jc w:val="center"/>
        <w:rPr>
          <w:rFonts w:ascii="Times New Roman" w:hAnsi="Times New Roman"/>
          <w:b/>
          <w:sz w:val="28"/>
        </w:rPr>
      </w:pPr>
      <w:r w:rsidRPr="00D1277B">
        <w:rPr>
          <w:rFonts w:ascii="Times New Roman" w:hAnsi="Times New Roman"/>
          <w:b/>
          <w:sz w:val="28"/>
        </w:rPr>
        <w:t>1. Нормативно-правовые акты и другие официальные документы:</w:t>
      </w:r>
    </w:p>
    <w:p w:rsidR="00D1277B" w:rsidRPr="00D1277B" w:rsidRDefault="00D1277B" w:rsidP="00D1277B">
      <w:pPr>
        <w:spacing w:after="0" w:line="240" w:lineRule="auto"/>
        <w:rPr>
          <w:rFonts w:ascii="Times New Roman" w:hAnsi="Times New Roman"/>
          <w:sz w:val="28"/>
          <w:szCs w:val="28"/>
        </w:rPr>
      </w:pP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1.1. Конституция Российской Федерации (принята всенародным голосованием 12.12.1993) // Собрание законодательства РФ. 2014. N 31. Ст. 4398. (ред. от 21.07.2014).</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1.2. Всеобщая декларация прав человека: принята Генеральной Ассамблеей ООН 10.12.1948 // Российская газета. 1995. N 67.</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 xml:space="preserve">1.3. </w:t>
      </w:r>
      <w:r w:rsidRPr="00D1277B">
        <w:rPr>
          <w:rFonts w:ascii="Times New Roman" w:hAnsi="Times New Roman"/>
          <w:bCs/>
          <w:sz w:val="28"/>
          <w:szCs w:val="28"/>
        </w:rPr>
        <w:t>Международный пакт об экономических, социальных и культурных правах: принят 16.12.1966 Резолюцией 2200 (XXI) на 1496-ом пленарном заседании Генеральной Ассамблеи ООН //</w:t>
      </w:r>
      <w:r w:rsidRPr="00D1277B">
        <w:rPr>
          <w:rFonts w:ascii="Times New Roman" w:hAnsi="Times New Roman"/>
          <w:sz w:val="28"/>
          <w:szCs w:val="28"/>
        </w:rPr>
        <w:t xml:space="preserve"> </w:t>
      </w:r>
      <w:r w:rsidRPr="00D1277B">
        <w:rPr>
          <w:rFonts w:ascii="Times New Roman" w:hAnsi="Times New Roman"/>
          <w:bCs/>
          <w:sz w:val="28"/>
          <w:szCs w:val="28"/>
        </w:rPr>
        <w:t>Ведомости Верховного Совета СССР. 1976. N 17. Ст. 291.</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1.4. Об Уполномоченном по правам человека в Российской Федерации: федер. конст. закон от 26.02.1997 N 1-ФКЗ // Собрание законодательства РФ. 1997. N 9. Ст. 1011; 2016, N 5. Ст. 552. (ред. от 31.01.2016).</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1.5. Гражданский кодекс Российской Федерации (часть первая): федер. закон от 30.11.1994 N 51-ФЗ // Собрание законодательства РФ. 1994. N 32. Ст. 3301; 2018. N 32 (часть II). Ст. 5132. (ред. от 03.08.2018).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1.6. Гражданский кодекс Российской Федерации (часть вторая): федер. закон от 26.01.1996 N 14-ФЗ // Собрание законодательства РФ. 1996. N 5. Ст. 410; 2017. N 31 (часть I). Ст. 4808. (ред. от 29.07.2018).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1.7. Жилищный кодекс Российской Федерации: федер. закон от 29.12.2004 N 188-ФЗ // Собрание законодательства РФ. 2005. N 1 (часть I). Ст. 14; 2018, N 32 (часть II). Ст. 5134. (ред. от 03.08.2018).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1.8. 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 федер. закон от 21.07.2014 N 217-ФЗ // Собрание законодательства РФ. 2014. N 30 (часть I). Ст. 4218; 2016. N 27 (часть II). Ст. 4294. (ред. от 03.07.2016).</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1.9. Об утверждении Методических рекомендаций по разработке региональных программ развития жилищного строительства: приказ Минрегиона РФ от 28.12.2010 N 802 // Нормирование в строительстве и ЖКХ. 2011. N 2. (ред. от 21.11.2011).</w:t>
      </w:r>
    </w:p>
    <w:p w:rsidR="00D1277B" w:rsidRPr="00D1277B" w:rsidRDefault="00D1277B" w:rsidP="00D1277B">
      <w:pPr>
        <w:spacing w:after="0" w:line="240" w:lineRule="auto"/>
        <w:jc w:val="both"/>
        <w:rPr>
          <w:rFonts w:ascii="Times New Roman" w:hAnsi="Times New Roman"/>
          <w:bCs/>
          <w:sz w:val="28"/>
          <w:szCs w:val="28"/>
        </w:rPr>
      </w:pPr>
      <w:r w:rsidRPr="00D1277B">
        <w:rPr>
          <w:rFonts w:ascii="Times New Roman" w:hAnsi="Times New Roman"/>
          <w:sz w:val="28"/>
          <w:szCs w:val="28"/>
        </w:rPr>
        <w:t xml:space="preserve">1.10. </w:t>
      </w:r>
      <w:r w:rsidRPr="00D1277B">
        <w:rPr>
          <w:rFonts w:ascii="Times New Roman" w:hAnsi="Times New Roman"/>
          <w:bCs/>
          <w:sz w:val="28"/>
          <w:szCs w:val="28"/>
        </w:rPr>
        <w:t xml:space="preserve">Об утверждении Рекомендаций по определению численности работников Службы заказчика (организации по управлению жилищным Фондом): приказ Госстроя РФ от 26.03.1999 N 74 // Бюллетень строительной техники. 1999. N 6. </w:t>
      </w:r>
    </w:p>
    <w:p w:rsidR="00D1277B" w:rsidRPr="00D1277B" w:rsidRDefault="00D1277B" w:rsidP="00D1277B">
      <w:pPr>
        <w:spacing w:after="0" w:line="240" w:lineRule="auto"/>
        <w:jc w:val="both"/>
        <w:rPr>
          <w:rFonts w:ascii="Times New Roman" w:hAnsi="Times New Roman"/>
          <w:bCs/>
          <w:sz w:val="28"/>
          <w:szCs w:val="28"/>
        </w:rPr>
      </w:pPr>
      <w:r w:rsidRPr="00D1277B">
        <w:rPr>
          <w:rFonts w:ascii="Times New Roman" w:hAnsi="Times New Roman"/>
          <w:sz w:val="28"/>
          <w:szCs w:val="28"/>
        </w:rPr>
        <w:t xml:space="preserve">1.11. </w:t>
      </w:r>
      <w:r w:rsidRPr="00D1277B">
        <w:rPr>
          <w:rFonts w:ascii="Times New Roman" w:hAnsi="Times New Roman"/>
          <w:bCs/>
          <w:sz w:val="28"/>
          <w:szCs w:val="28"/>
        </w:rPr>
        <w:t xml:space="preserve">О жилищном фонде Приморского края коммерческого использования: закон Приморского края от 06.07.2012 </w:t>
      </w:r>
      <w:r w:rsidRPr="00D1277B">
        <w:rPr>
          <w:rFonts w:ascii="Times New Roman" w:hAnsi="Times New Roman"/>
          <w:bCs/>
          <w:sz w:val="28"/>
          <w:szCs w:val="28"/>
          <w:lang w:val="en-US"/>
        </w:rPr>
        <w:t>N</w:t>
      </w:r>
      <w:r w:rsidRPr="00D1277B">
        <w:rPr>
          <w:rFonts w:ascii="Times New Roman" w:hAnsi="Times New Roman"/>
          <w:bCs/>
          <w:sz w:val="28"/>
          <w:szCs w:val="28"/>
        </w:rPr>
        <w:t xml:space="preserve"> 63-КЗ // Приморская газета. 2012. </w:t>
      </w:r>
      <w:r w:rsidRPr="00D1277B">
        <w:rPr>
          <w:rFonts w:ascii="Times New Roman" w:hAnsi="Times New Roman"/>
          <w:bCs/>
          <w:sz w:val="28"/>
          <w:szCs w:val="28"/>
          <w:lang w:val="en-US"/>
        </w:rPr>
        <w:t>N</w:t>
      </w:r>
      <w:r w:rsidRPr="00D1277B">
        <w:rPr>
          <w:rFonts w:ascii="Times New Roman" w:hAnsi="Times New Roman"/>
          <w:bCs/>
          <w:sz w:val="28"/>
          <w:szCs w:val="28"/>
        </w:rPr>
        <w:t xml:space="preserve"> 59; Официальный интернет-портал правовой информации (</w:t>
      </w:r>
      <w:r w:rsidRPr="00D1277B">
        <w:rPr>
          <w:rFonts w:ascii="Times New Roman" w:hAnsi="Times New Roman"/>
          <w:bCs/>
          <w:sz w:val="28"/>
          <w:szCs w:val="28"/>
          <w:lang w:val="en-US"/>
        </w:rPr>
        <w:t>http</w:t>
      </w:r>
      <w:r w:rsidRPr="00D1277B">
        <w:rPr>
          <w:rFonts w:ascii="Times New Roman" w:hAnsi="Times New Roman"/>
          <w:bCs/>
          <w:sz w:val="28"/>
          <w:szCs w:val="28"/>
        </w:rPr>
        <w:t>://</w:t>
      </w:r>
      <w:r w:rsidRPr="00D1277B">
        <w:rPr>
          <w:rFonts w:ascii="Times New Roman" w:hAnsi="Times New Roman"/>
          <w:bCs/>
          <w:sz w:val="28"/>
          <w:szCs w:val="28"/>
          <w:lang w:val="en-US"/>
        </w:rPr>
        <w:t>www</w:t>
      </w:r>
      <w:r w:rsidRPr="00D1277B">
        <w:rPr>
          <w:rFonts w:ascii="Times New Roman" w:hAnsi="Times New Roman"/>
          <w:bCs/>
          <w:sz w:val="28"/>
          <w:szCs w:val="28"/>
        </w:rPr>
        <w:t>.</w:t>
      </w:r>
      <w:r w:rsidRPr="00D1277B">
        <w:rPr>
          <w:rFonts w:ascii="Times New Roman" w:hAnsi="Times New Roman"/>
          <w:bCs/>
          <w:sz w:val="28"/>
          <w:szCs w:val="28"/>
          <w:lang w:val="en-US"/>
        </w:rPr>
        <w:t>pravo</w:t>
      </w:r>
      <w:r w:rsidRPr="00D1277B">
        <w:rPr>
          <w:rFonts w:ascii="Times New Roman" w:hAnsi="Times New Roman"/>
          <w:bCs/>
          <w:sz w:val="28"/>
          <w:szCs w:val="28"/>
        </w:rPr>
        <w:t>.</w:t>
      </w:r>
      <w:r w:rsidRPr="00D1277B">
        <w:rPr>
          <w:rFonts w:ascii="Times New Roman" w:hAnsi="Times New Roman"/>
          <w:bCs/>
          <w:sz w:val="28"/>
          <w:szCs w:val="28"/>
          <w:lang w:val="en-US"/>
        </w:rPr>
        <w:t>gov</w:t>
      </w:r>
      <w:r w:rsidRPr="00D1277B">
        <w:rPr>
          <w:rFonts w:ascii="Times New Roman" w:hAnsi="Times New Roman"/>
          <w:bCs/>
          <w:sz w:val="28"/>
          <w:szCs w:val="28"/>
        </w:rPr>
        <w:t>.</w:t>
      </w:r>
      <w:r w:rsidRPr="00D1277B">
        <w:rPr>
          <w:rFonts w:ascii="Times New Roman" w:hAnsi="Times New Roman"/>
          <w:bCs/>
          <w:sz w:val="28"/>
          <w:szCs w:val="28"/>
          <w:lang w:val="en-US"/>
        </w:rPr>
        <w:t>ru</w:t>
      </w:r>
      <w:r w:rsidRPr="00D1277B">
        <w:rPr>
          <w:rFonts w:ascii="Times New Roman" w:hAnsi="Times New Roman"/>
          <w:bCs/>
          <w:sz w:val="28"/>
          <w:szCs w:val="28"/>
        </w:rPr>
        <w:t>), дата публикации: 06.07.2017. (ред. от 05.07.2017).</w:t>
      </w:r>
    </w:p>
    <w:p w:rsidR="00D1277B" w:rsidRPr="00D1277B" w:rsidRDefault="00D1277B" w:rsidP="00D1277B">
      <w:pPr>
        <w:spacing w:after="0" w:line="240" w:lineRule="auto"/>
        <w:jc w:val="both"/>
        <w:rPr>
          <w:rFonts w:ascii="Times New Roman" w:hAnsi="Times New Roman"/>
          <w:bCs/>
          <w:sz w:val="28"/>
          <w:szCs w:val="28"/>
        </w:rPr>
      </w:pPr>
      <w:r w:rsidRPr="00D1277B">
        <w:rPr>
          <w:rFonts w:ascii="Times New Roman" w:hAnsi="Times New Roman"/>
          <w:sz w:val="28"/>
          <w:szCs w:val="28"/>
        </w:rPr>
        <w:t xml:space="preserve">1.12. </w:t>
      </w:r>
      <w:r w:rsidRPr="00D1277B">
        <w:rPr>
          <w:rFonts w:ascii="Times New Roman" w:hAnsi="Times New Roman"/>
          <w:bCs/>
          <w:sz w:val="28"/>
          <w:szCs w:val="28"/>
        </w:rPr>
        <w:t xml:space="preserve">Об утверждении Методики определения размера платы за наем жилого помещения жилищного фонда Приморского края коммерческого использования: постановление Администрации Приморского края от 17.09.2012 </w:t>
      </w:r>
      <w:r w:rsidRPr="00D1277B">
        <w:rPr>
          <w:rFonts w:ascii="Times New Roman" w:hAnsi="Times New Roman"/>
          <w:bCs/>
          <w:sz w:val="28"/>
          <w:szCs w:val="28"/>
          <w:lang w:val="en-US"/>
        </w:rPr>
        <w:t>N</w:t>
      </w:r>
      <w:r w:rsidRPr="00D1277B">
        <w:rPr>
          <w:rFonts w:ascii="Times New Roman" w:hAnsi="Times New Roman"/>
          <w:bCs/>
          <w:sz w:val="28"/>
          <w:szCs w:val="28"/>
        </w:rPr>
        <w:t xml:space="preserve"> 258-па // Приморская газета. 2012. </w:t>
      </w:r>
      <w:r w:rsidRPr="00D1277B">
        <w:rPr>
          <w:rFonts w:ascii="Times New Roman" w:hAnsi="Times New Roman"/>
          <w:bCs/>
          <w:sz w:val="28"/>
          <w:szCs w:val="28"/>
          <w:lang w:val="en-US"/>
        </w:rPr>
        <w:t>N</w:t>
      </w:r>
      <w:r w:rsidRPr="00D1277B">
        <w:rPr>
          <w:rFonts w:ascii="Times New Roman" w:hAnsi="Times New Roman"/>
          <w:bCs/>
          <w:sz w:val="28"/>
          <w:szCs w:val="28"/>
        </w:rPr>
        <w:t xml:space="preserve"> 83. (ред. от 28.05.2013).</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1.13. Об утверждении Положения о коммерческом найме жилых помещений жилищного фонда коммерческого использования, находящихся в муниципальной собственности Артемовского городского округа: решение Думы Артемовского городского округа от 20.07.2017 N 854 // Выбор. 2017. N 55 (12124); 2017. N 63 (12132). (ред. от 17.08.2017).</w:t>
      </w:r>
    </w:p>
    <w:p w:rsidR="00D1277B" w:rsidRPr="00D1277B" w:rsidRDefault="00D1277B" w:rsidP="00D1277B">
      <w:pPr>
        <w:spacing w:after="0" w:line="240" w:lineRule="auto"/>
        <w:jc w:val="both"/>
        <w:rPr>
          <w:rFonts w:ascii="Times New Roman" w:hAnsi="Times New Roman"/>
          <w:bCs/>
          <w:sz w:val="28"/>
          <w:szCs w:val="28"/>
        </w:rPr>
      </w:pPr>
      <w:r w:rsidRPr="00D1277B">
        <w:rPr>
          <w:rFonts w:ascii="Times New Roman" w:hAnsi="Times New Roman"/>
          <w:sz w:val="28"/>
          <w:szCs w:val="28"/>
        </w:rPr>
        <w:lastRenderedPageBreak/>
        <w:t xml:space="preserve">1.14. </w:t>
      </w:r>
      <w:r w:rsidRPr="00D1277B">
        <w:rPr>
          <w:rFonts w:ascii="Times New Roman" w:hAnsi="Times New Roman"/>
          <w:bCs/>
          <w:sz w:val="28"/>
          <w:szCs w:val="28"/>
        </w:rPr>
        <w:t>Об утверждении Положения о коммерческом найме жилых помещений жилищного фонда коммерческого использования, находящихся в муниципальной собственности Дальнегорского городского округа:</w:t>
      </w:r>
      <w:r w:rsidRPr="00D1277B">
        <w:rPr>
          <w:rFonts w:ascii="Times New Roman" w:hAnsi="Times New Roman"/>
          <w:sz w:val="28"/>
          <w:szCs w:val="28"/>
        </w:rPr>
        <w:t xml:space="preserve"> </w:t>
      </w:r>
      <w:r w:rsidRPr="00D1277B">
        <w:rPr>
          <w:rFonts w:ascii="Times New Roman" w:hAnsi="Times New Roman"/>
          <w:bCs/>
          <w:sz w:val="28"/>
          <w:szCs w:val="28"/>
        </w:rPr>
        <w:t xml:space="preserve">постановление Администрации Дальнегорского городского округа от 09.02.2015 </w:t>
      </w:r>
      <w:r w:rsidRPr="00D1277B">
        <w:rPr>
          <w:rFonts w:ascii="Times New Roman" w:hAnsi="Times New Roman"/>
          <w:bCs/>
          <w:sz w:val="28"/>
          <w:szCs w:val="28"/>
          <w:lang w:val="en-US"/>
        </w:rPr>
        <w:t>N</w:t>
      </w:r>
      <w:r w:rsidRPr="00D1277B">
        <w:rPr>
          <w:rFonts w:ascii="Times New Roman" w:hAnsi="Times New Roman"/>
          <w:bCs/>
          <w:sz w:val="28"/>
          <w:szCs w:val="28"/>
        </w:rPr>
        <w:t xml:space="preserve"> 76-па // Документ опубликован не был. </w:t>
      </w:r>
      <w:r w:rsidRPr="00D1277B">
        <w:rPr>
          <w:rFonts w:ascii="Times New Roman" w:hAnsi="Times New Roman"/>
          <w:bCs/>
          <w:sz w:val="28"/>
          <w:szCs w:val="28"/>
          <w:lang w:val="en-US"/>
        </w:rPr>
        <w:t>URL</w:t>
      </w:r>
      <w:r w:rsidRPr="00D1277B">
        <w:rPr>
          <w:rFonts w:ascii="Times New Roman" w:hAnsi="Times New Roman"/>
          <w:bCs/>
          <w:sz w:val="28"/>
          <w:szCs w:val="28"/>
        </w:rPr>
        <w:t>: http://dalnegorsk-mo.ru (дата обращения: 05.11.2018).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1.15. Жилищный кодекс РСФСР: закон РСФСР, утв. Верховным Советом РСФСР 24.06.1983 // Ведомости ВС РСФСР. 1983. </w:t>
      </w:r>
      <w:r w:rsidRPr="00D1277B">
        <w:rPr>
          <w:rFonts w:ascii="Times New Roman" w:hAnsi="Times New Roman"/>
          <w:sz w:val="28"/>
          <w:szCs w:val="28"/>
          <w:lang w:val="en-US"/>
        </w:rPr>
        <w:t>N</w:t>
      </w:r>
      <w:r w:rsidRPr="00D1277B">
        <w:rPr>
          <w:rFonts w:ascii="Times New Roman" w:hAnsi="Times New Roman"/>
          <w:sz w:val="28"/>
          <w:szCs w:val="28"/>
        </w:rPr>
        <w:t xml:space="preserve"> 26. Ст. 883; Собрание законодательства РФ. 2004. N 30. Ст. 3089. (ред. от 29.12.2004). (утратил силу).</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1.16. О внесении изменений и дополнений в Жилищный кодекс РСФСР: закон РСФСР от 06.07.1991 </w:t>
      </w:r>
      <w:r w:rsidRPr="00D1277B">
        <w:rPr>
          <w:rFonts w:ascii="Times New Roman" w:hAnsi="Times New Roman"/>
          <w:sz w:val="28"/>
          <w:szCs w:val="28"/>
          <w:lang w:val="en-US"/>
        </w:rPr>
        <w:t>N</w:t>
      </w:r>
      <w:r w:rsidRPr="00D1277B">
        <w:rPr>
          <w:rFonts w:ascii="Times New Roman" w:hAnsi="Times New Roman"/>
          <w:sz w:val="28"/>
          <w:szCs w:val="28"/>
        </w:rPr>
        <w:t xml:space="preserve"> 1552-1 // Ведомости СНД и ВС РФ. 1991. </w:t>
      </w:r>
      <w:r w:rsidRPr="00D1277B">
        <w:rPr>
          <w:rFonts w:ascii="Times New Roman" w:hAnsi="Times New Roman"/>
          <w:sz w:val="28"/>
          <w:szCs w:val="28"/>
          <w:lang w:val="en-US"/>
        </w:rPr>
        <w:t>N</w:t>
      </w:r>
      <w:r w:rsidRPr="00D1277B">
        <w:rPr>
          <w:rFonts w:ascii="Times New Roman" w:hAnsi="Times New Roman"/>
          <w:sz w:val="28"/>
          <w:szCs w:val="28"/>
        </w:rPr>
        <w:t xml:space="preserve"> 28. Ст. 963. (утратил силу).</w:t>
      </w:r>
    </w:p>
    <w:p w:rsidR="00D1277B" w:rsidRPr="00D1277B" w:rsidRDefault="00D1277B" w:rsidP="00D1277B">
      <w:pPr>
        <w:spacing w:after="0" w:line="240" w:lineRule="auto"/>
        <w:jc w:val="both"/>
        <w:rPr>
          <w:rFonts w:ascii="Times New Roman" w:hAnsi="Times New Roman"/>
          <w:bCs/>
          <w:sz w:val="28"/>
          <w:szCs w:val="28"/>
        </w:rPr>
      </w:pPr>
      <w:r w:rsidRPr="00D1277B">
        <w:rPr>
          <w:rFonts w:ascii="Times New Roman" w:hAnsi="Times New Roman"/>
          <w:sz w:val="28"/>
          <w:szCs w:val="28"/>
        </w:rPr>
        <w:t xml:space="preserve">1.17. </w:t>
      </w:r>
      <w:r w:rsidRPr="00D1277B">
        <w:rPr>
          <w:rFonts w:ascii="Times New Roman" w:hAnsi="Times New Roman"/>
          <w:bCs/>
          <w:sz w:val="28"/>
          <w:szCs w:val="28"/>
        </w:rPr>
        <w:t>Об основах федеральной жилищной политики: закон РФ от 24.12.1992 N 4218-1 // Ведомости СНД и ВС РФ. 1993. N 3. Ст. 99; Собрание законодательства РФ. 2004. N 35. Ст. 3607. (ред. от 22.08.2004). (утратил силу).</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240" w:lineRule="auto"/>
        <w:jc w:val="center"/>
        <w:rPr>
          <w:rFonts w:ascii="Times New Roman" w:hAnsi="Times New Roman"/>
          <w:b/>
          <w:sz w:val="28"/>
        </w:rPr>
      </w:pPr>
      <w:r w:rsidRPr="00D1277B">
        <w:rPr>
          <w:rFonts w:ascii="Times New Roman" w:hAnsi="Times New Roman"/>
          <w:b/>
          <w:sz w:val="28"/>
        </w:rPr>
        <w:t>2. Специальная литература:</w:t>
      </w:r>
    </w:p>
    <w:p w:rsidR="00D1277B" w:rsidRPr="00D1277B" w:rsidRDefault="00D1277B" w:rsidP="00D1277B">
      <w:pPr>
        <w:spacing w:after="0" w:line="240" w:lineRule="auto"/>
        <w:jc w:val="center"/>
        <w:rPr>
          <w:rFonts w:ascii="Times New Roman" w:hAnsi="Times New Roman"/>
          <w:b/>
          <w:sz w:val="28"/>
        </w:rPr>
      </w:pP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2.1. Безик, Н.В. К вопросу о совершенствовании правового регулирования коммерческого найма жилого помещения / Н.В. Безик // Сибирский юридический вестник. 2015. № 1. С. 57-67.</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2.2. Белов, В.А. Жилое помещение и обязательственные отношения: моногр. / В.А. Белов. М.: Юстицинформ, 2018. 160 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2.3. Бурцева, С.С. Правовые проблемы, связанные с договором коммерческого найма жилого помещения / С.С. Бурцева // Перспективы науки. 2018. № 5 (104). С. 65-67.</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2.4. Гражданское право: учебник. В 2 т. / под ред. Б.М. Гонгало. Т. 2. 2-е изд., перераб. и доп. М.: Статут, 2017. 543 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2.5. Как инспекторы найдут тех, кто не платит налоги за сдачу квартиры [Электронный ресурс]. URL: https://primamedia.ru/news/725555/ (дата обращения: 08.11.2018).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2.6. Кириченко, О.В. Договор коммерческого найма жилого помещения как один из основных способов удовлетворения жилищных потребностей граждан: автореф. дис… к.ю.н. / О.В. Кириченко. Краснодар, 2010. 27 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2.7. Кириченко, О.В. К вопросу о целевой направленности использования жилого помещения, представленного по договору коммерческого найма / О.В. Кириченко // Семейное и жилищное право. 2011. № 5. С. 43-44.</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2.8. Кириченко, О.В. Субъектный состав договора коммерческого найма жилого помещения / О.В. Кириченко // Современное право. 2012. № 5. С. 99-104.</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2.9. Мыскин, А.В. Собственник и социальный наниматель жилого помещения: сравнительный анализ гражданского и жилищно-правового статуса: моногр. / А.В. Мыскин. М.: Статут, 2017. 399 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2.10. Пресс-релиз Управления Росреестра по Приморскому краю от 06.02.2015 «Государственная регистрация найма жилого помещения – новый порядок согласно изменениям в законодательстве» // Документ опубликован не был. Доступ из СПС «КонсультантПлюс».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2.11. Садовникова, Е.В. Правовая характеристика договора коммерческого найма жилого помещения / Е.В. Садовникова // Право и экономика. 2010. № 1. С. 22-29.</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2.12. Сдавать квартиру и не платить за это налоги во Владивостоке станет опасно [Электронный ресурс]. </w:t>
      </w:r>
      <w:r w:rsidRPr="00D1277B">
        <w:rPr>
          <w:rFonts w:ascii="Times New Roman" w:hAnsi="Times New Roman"/>
          <w:sz w:val="28"/>
          <w:szCs w:val="28"/>
          <w:lang w:val="en-US"/>
        </w:rPr>
        <w:t>URL</w:t>
      </w:r>
      <w:r w:rsidRPr="00D1277B">
        <w:rPr>
          <w:rFonts w:ascii="Times New Roman" w:hAnsi="Times New Roman"/>
          <w:sz w:val="28"/>
          <w:szCs w:val="28"/>
        </w:rPr>
        <w:t>: https://www.newsvl.ru/vlad/2013/12/06/118746/ (дата обращения: 06.11.2018).</w:t>
      </w:r>
    </w:p>
    <w:p w:rsidR="00D1277B" w:rsidRPr="007C6CC9"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2.13. Словарь Ожегова: толковый словарь русского языка [Электронный ресурс]. </w:t>
      </w:r>
      <w:r w:rsidRPr="00D1277B">
        <w:rPr>
          <w:rFonts w:ascii="Times New Roman" w:hAnsi="Times New Roman"/>
          <w:sz w:val="28"/>
          <w:szCs w:val="28"/>
          <w:lang w:val="en-US"/>
        </w:rPr>
        <w:t>URL</w:t>
      </w:r>
      <w:r w:rsidRPr="00D1277B">
        <w:rPr>
          <w:rFonts w:ascii="Times New Roman" w:hAnsi="Times New Roman"/>
          <w:sz w:val="28"/>
          <w:szCs w:val="28"/>
        </w:rPr>
        <w:t>: http://www.ozhegov.com/words/12847.shtml (дата обращения: 06.11.2018).</w:t>
      </w:r>
    </w:p>
    <w:p w:rsidR="00D1277B" w:rsidRPr="007C6CC9" w:rsidRDefault="00D1277B" w:rsidP="00D1277B">
      <w:pPr>
        <w:spacing w:after="0" w:line="240" w:lineRule="auto"/>
        <w:jc w:val="both"/>
        <w:rPr>
          <w:rFonts w:ascii="Times New Roman" w:hAnsi="Times New Roman"/>
          <w:sz w:val="28"/>
          <w:szCs w:val="28"/>
        </w:rPr>
      </w:pPr>
      <w:r w:rsidRPr="007C6CC9">
        <w:rPr>
          <w:rFonts w:ascii="Times New Roman" w:hAnsi="Times New Roman"/>
          <w:sz w:val="28"/>
          <w:szCs w:val="28"/>
        </w:rPr>
        <w:t xml:space="preserve">2.14. Уполномоченный защитил жилищные права многодетной семьи из Челябинска [Электронный ресурс]. URL: </w:t>
      </w:r>
      <w:hyperlink r:id="rId196" w:history="1">
        <w:r w:rsidRPr="007C6CC9">
          <w:rPr>
            <w:rFonts w:ascii="Times New Roman" w:hAnsi="Times New Roman"/>
            <w:sz w:val="28"/>
            <w:szCs w:val="28"/>
            <w:u w:val="single"/>
          </w:rPr>
          <w:t>http://ombudsman74.ru/Publications/News/Show?id=204</w:t>
        </w:r>
      </w:hyperlink>
      <w:r w:rsidRPr="007C6CC9">
        <w:rPr>
          <w:rFonts w:ascii="Times New Roman" w:hAnsi="Times New Roman"/>
          <w:sz w:val="28"/>
          <w:szCs w:val="28"/>
        </w:rPr>
        <w:t xml:space="preserve"> (дата обращения: 11.11.2018).</w:t>
      </w:r>
    </w:p>
    <w:p w:rsidR="00D1277B" w:rsidRPr="00D1277B" w:rsidRDefault="00D1277B" w:rsidP="00D1277B">
      <w:pPr>
        <w:spacing w:after="0" w:line="240" w:lineRule="auto"/>
        <w:jc w:val="both"/>
        <w:rPr>
          <w:rFonts w:ascii="Times New Roman" w:hAnsi="Times New Roman"/>
          <w:sz w:val="28"/>
          <w:szCs w:val="28"/>
        </w:rPr>
      </w:pPr>
      <w:r w:rsidRPr="007C6CC9">
        <w:rPr>
          <w:rFonts w:ascii="Times New Roman" w:hAnsi="Times New Roman"/>
          <w:sz w:val="28"/>
          <w:szCs w:val="28"/>
        </w:rPr>
        <w:t>2.15. Уполномоченным по правам человека в Архангельской</w:t>
      </w:r>
      <w:r w:rsidRPr="00D1277B">
        <w:rPr>
          <w:rFonts w:ascii="Times New Roman" w:hAnsi="Times New Roman"/>
          <w:sz w:val="28"/>
          <w:szCs w:val="28"/>
        </w:rPr>
        <w:t xml:space="preserve"> области оказана помощь в решении жилищной проблемы [Электронный ресурс]. URL: https://www.pomorupolnom.ru/itogi/3240/ (дата обращения: 11.11.2018).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2.16. Формакидов, Д.А. Договор найма жилого помещения и подобные ему договоры: моногр. / Д.А. Формакидов. М.: ИНФРА-М, 2018. 189 с.</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240" w:lineRule="auto"/>
        <w:jc w:val="center"/>
        <w:rPr>
          <w:rFonts w:ascii="Times New Roman" w:hAnsi="Times New Roman"/>
          <w:b/>
          <w:sz w:val="28"/>
          <w:szCs w:val="28"/>
        </w:rPr>
      </w:pPr>
      <w:r w:rsidRPr="00D1277B">
        <w:rPr>
          <w:rFonts w:ascii="Times New Roman" w:hAnsi="Times New Roman"/>
          <w:b/>
          <w:sz w:val="28"/>
          <w:szCs w:val="28"/>
        </w:rPr>
        <w:t>3. Судебная практика:</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3.1. Об отказе в принятии к рассмотрению жалобы гражданина Денисова Вадима Сергеевича на нарушение его конституционных прав пунктом 1 статьи 683 и статьей 684 Гражданского кодекса Российской Федерации: определение Конституционного Суда РФ от 25.01.2012 N 78-О-О // Документ опубликован не был. Доступ из СПС «КонсультантПлюс».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3.2. Об отказе в принятии к рассмотрению жалобы гражданки Худаниной Натальи Владимировны на нарушение ее конституционных прав статьей 671 и пунктом 3 статьи 678 Гражданского кодекса Российской Федерации: определение Конституционного Суда РФ от 28.06.2018 N 1525-О // Документ опубликован не был. Доступ из СПС «КонсультантПлюс».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3.3. О судебной практике по делам о незаконном предпринимательстве: постановление Пленума Верховного Суда РФ от 18.11.2004 N 23 // Бюллетень Верховного Суда РФ. 2005. </w:t>
      </w:r>
      <w:r w:rsidRPr="00D1277B">
        <w:rPr>
          <w:rFonts w:ascii="Times New Roman" w:hAnsi="Times New Roman"/>
          <w:sz w:val="28"/>
          <w:szCs w:val="28"/>
          <w:lang w:val="en-US"/>
        </w:rPr>
        <w:t>N</w:t>
      </w:r>
      <w:r w:rsidRPr="00D1277B">
        <w:rPr>
          <w:rFonts w:ascii="Times New Roman" w:hAnsi="Times New Roman"/>
          <w:sz w:val="28"/>
          <w:szCs w:val="28"/>
        </w:rPr>
        <w:t xml:space="preserve"> 1. 2015. </w:t>
      </w:r>
      <w:r w:rsidRPr="00D1277B">
        <w:rPr>
          <w:rFonts w:ascii="Times New Roman" w:hAnsi="Times New Roman"/>
          <w:sz w:val="28"/>
          <w:szCs w:val="28"/>
          <w:lang w:val="en-US"/>
        </w:rPr>
        <w:t>N</w:t>
      </w:r>
      <w:r w:rsidRPr="00D1277B">
        <w:rPr>
          <w:rFonts w:ascii="Times New Roman" w:hAnsi="Times New Roman"/>
          <w:sz w:val="28"/>
          <w:szCs w:val="28"/>
        </w:rPr>
        <w:t xml:space="preserve"> 6672. (ред. от 07.07.2015).</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3.4. О некоторых вопросах, возникших в судебной практике при применении Жилищного кодекса Российской Федерации: постановление Пленума </w:t>
      </w:r>
      <w:r w:rsidRPr="00D1277B">
        <w:rPr>
          <w:rFonts w:ascii="Times New Roman" w:hAnsi="Times New Roman"/>
          <w:sz w:val="28"/>
          <w:szCs w:val="28"/>
        </w:rPr>
        <w:lastRenderedPageBreak/>
        <w:t>Верховного Суда РФ от 02.07.2009 N 14 // Бюллетень Верховного Суда РФ. 2009. N 9.</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3.5. Определение Верховного Суда РФ от 06.04.2018 N 305-ЭС17-14210 по делу N А40-113740/2016 // Документ опубликован не был. Доступ из СПС «КонсультантПлюс».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3.6. Апелляционное определение Рязанского областного суда Рязанской области от 24.07.2013 №</w:t>
      </w:r>
      <w:r w:rsidRPr="00D1277B">
        <w:rPr>
          <w:rFonts w:ascii="Times New Roman" w:hAnsi="Times New Roman"/>
          <w:sz w:val="20"/>
          <w:szCs w:val="20"/>
        </w:rPr>
        <w:t xml:space="preserve"> </w:t>
      </w:r>
      <w:r w:rsidRPr="00D1277B">
        <w:rPr>
          <w:rFonts w:ascii="Times New Roman" w:hAnsi="Times New Roman"/>
          <w:sz w:val="28"/>
          <w:szCs w:val="28"/>
        </w:rPr>
        <w:t xml:space="preserve">33-1524/2013 [Электронный ресурс]. </w:t>
      </w:r>
      <w:r w:rsidRPr="00D1277B">
        <w:rPr>
          <w:rFonts w:ascii="Times New Roman" w:hAnsi="Times New Roman"/>
          <w:sz w:val="28"/>
          <w:szCs w:val="28"/>
          <w:lang w:val="en-US"/>
        </w:rPr>
        <w:t>URL</w:t>
      </w:r>
      <w:r w:rsidRPr="00D1277B">
        <w:rPr>
          <w:rFonts w:ascii="Times New Roman" w:hAnsi="Times New Roman"/>
          <w:sz w:val="28"/>
          <w:szCs w:val="28"/>
        </w:rPr>
        <w:t>: http://sudact.ru/regular/doc/xr1npqbcUNmR/ (дата обращения: 07.11.2018).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3.7. Решение Ленинского районного суда г. Нижнего Тагила от 18.05.2012 № 2-413/2012 [Электронный ресурс]. </w:t>
      </w:r>
      <w:r w:rsidRPr="00D1277B">
        <w:rPr>
          <w:rFonts w:ascii="Times New Roman" w:hAnsi="Times New Roman"/>
          <w:sz w:val="28"/>
          <w:szCs w:val="28"/>
          <w:lang w:val="en-US"/>
        </w:rPr>
        <w:t>URL</w:t>
      </w:r>
      <w:r w:rsidRPr="00D1277B">
        <w:rPr>
          <w:rFonts w:ascii="Times New Roman" w:hAnsi="Times New Roman"/>
          <w:sz w:val="28"/>
          <w:szCs w:val="28"/>
        </w:rPr>
        <w:t>: http://sudact.ru/regular/doc/EV4EIP7FP4gt/ (дата обращения: 08.11.2018).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3.8. Решение Октябрьского районного суда Приморского края от 22.05.2013 № 2-195 [Электронный ресурс]. </w:t>
      </w:r>
      <w:r w:rsidRPr="00D1277B">
        <w:rPr>
          <w:rFonts w:ascii="Times New Roman" w:hAnsi="Times New Roman"/>
          <w:sz w:val="28"/>
          <w:szCs w:val="28"/>
          <w:lang w:val="en-US"/>
        </w:rPr>
        <w:t>URL</w:t>
      </w:r>
      <w:r w:rsidRPr="00D1277B">
        <w:rPr>
          <w:rFonts w:ascii="Times New Roman" w:hAnsi="Times New Roman"/>
          <w:sz w:val="28"/>
          <w:szCs w:val="28"/>
        </w:rPr>
        <w:t>: http://sudact.ru/regular/doc/5OPbmCmv8FdQ/ (дата обращения: 08.11.2018).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3.9. Решение Советского районного суда г. Владивостока от 05.06.2015 г. № 2-2622/2015 [Электронный ресурс]. </w:t>
      </w:r>
      <w:r w:rsidRPr="00D1277B">
        <w:rPr>
          <w:rFonts w:ascii="Times New Roman" w:hAnsi="Times New Roman"/>
          <w:sz w:val="28"/>
          <w:szCs w:val="28"/>
          <w:lang w:val="en-US"/>
        </w:rPr>
        <w:t>URL</w:t>
      </w:r>
      <w:r w:rsidRPr="00D1277B">
        <w:rPr>
          <w:rFonts w:ascii="Times New Roman" w:hAnsi="Times New Roman"/>
          <w:sz w:val="28"/>
          <w:szCs w:val="28"/>
        </w:rPr>
        <w:t xml:space="preserve">: </w:t>
      </w:r>
      <w:r w:rsidRPr="00D1277B">
        <w:rPr>
          <w:rFonts w:ascii="Times New Roman" w:hAnsi="Times New Roman"/>
          <w:sz w:val="28"/>
          <w:szCs w:val="28"/>
          <w:lang w:val="en-US"/>
        </w:rPr>
        <w:t>http</w:t>
      </w:r>
      <w:r w:rsidRPr="00D1277B">
        <w:rPr>
          <w:rFonts w:ascii="Times New Roman" w:hAnsi="Times New Roman"/>
          <w:sz w:val="28"/>
          <w:szCs w:val="28"/>
        </w:rPr>
        <w:t>://</w:t>
      </w:r>
      <w:r w:rsidRPr="00D1277B">
        <w:rPr>
          <w:rFonts w:ascii="Times New Roman" w:hAnsi="Times New Roman"/>
          <w:sz w:val="28"/>
          <w:szCs w:val="28"/>
          <w:lang w:val="en-US"/>
        </w:rPr>
        <w:t>sudact</w:t>
      </w:r>
      <w:r w:rsidRPr="00D1277B">
        <w:rPr>
          <w:rFonts w:ascii="Times New Roman" w:hAnsi="Times New Roman"/>
          <w:sz w:val="28"/>
          <w:szCs w:val="28"/>
        </w:rPr>
        <w:t>.</w:t>
      </w:r>
      <w:r w:rsidRPr="00D1277B">
        <w:rPr>
          <w:rFonts w:ascii="Times New Roman" w:hAnsi="Times New Roman"/>
          <w:sz w:val="28"/>
          <w:szCs w:val="28"/>
          <w:lang w:val="en-US"/>
        </w:rPr>
        <w:t>ru</w:t>
      </w:r>
      <w:r w:rsidRPr="00D1277B">
        <w:rPr>
          <w:rFonts w:ascii="Times New Roman" w:hAnsi="Times New Roman"/>
          <w:sz w:val="28"/>
          <w:szCs w:val="28"/>
        </w:rPr>
        <w:t>/</w:t>
      </w:r>
      <w:r w:rsidRPr="00D1277B">
        <w:rPr>
          <w:rFonts w:ascii="Times New Roman" w:hAnsi="Times New Roman"/>
          <w:sz w:val="28"/>
          <w:szCs w:val="28"/>
          <w:lang w:val="en-US"/>
        </w:rPr>
        <w:t>regular</w:t>
      </w:r>
      <w:r w:rsidRPr="00D1277B">
        <w:rPr>
          <w:rFonts w:ascii="Times New Roman" w:hAnsi="Times New Roman"/>
          <w:sz w:val="28"/>
          <w:szCs w:val="28"/>
        </w:rPr>
        <w:t>/</w:t>
      </w:r>
      <w:r w:rsidRPr="00D1277B">
        <w:rPr>
          <w:rFonts w:ascii="Times New Roman" w:hAnsi="Times New Roman"/>
          <w:sz w:val="28"/>
          <w:szCs w:val="28"/>
          <w:lang w:val="en-US"/>
        </w:rPr>
        <w:t>doc</w:t>
      </w:r>
      <w:r w:rsidRPr="00D1277B">
        <w:rPr>
          <w:rFonts w:ascii="Times New Roman" w:hAnsi="Times New Roman"/>
          <w:sz w:val="28"/>
          <w:szCs w:val="28"/>
        </w:rPr>
        <w:t>/</w:t>
      </w:r>
      <w:r w:rsidRPr="00D1277B">
        <w:rPr>
          <w:rFonts w:ascii="Times New Roman" w:hAnsi="Times New Roman"/>
          <w:sz w:val="28"/>
          <w:szCs w:val="28"/>
          <w:lang w:val="en-US"/>
        </w:rPr>
        <w:t>BQ</w:t>
      </w:r>
      <w:r w:rsidRPr="00D1277B">
        <w:rPr>
          <w:rFonts w:ascii="Times New Roman" w:hAnsi="Times New Roman"/>
          <w:sz w:val="28"/>
          <w:szCs w:val="28"/>
        </w:rPr>
        <w:t>5</w:t>
      </w:r>
      <w:r w:rsidRPr="00D1277B">
        <w:rPr>
          <w:rFonts w:ascii="Times New Roman" w:hAnsi="Times New Roman"/>
          <w:sz w:val="28"/>
          <w:szCs w:val="28"/>
          <w:lang w:val="en-US"/>
        </w:rPr>
        <w:t>wdaWZfWmm</w:t>
      </w:r>
      <w:r w:rsidRPr="00D1277B">
        <w:rPr>
          <w:rFonts w:ascii="Times New Roman" w:hAnsi="Times New Roman"/>
          <w:sz w:val="28"/>
          <w:szCs w:val="28"/>
        </w:rPr>
        <w:t>/ (дата обращения: 10.11.2018).</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3.10. Решение Нижневартовского городского суда Ханты-Мансийского автономного округа от 02.11.2016 № 2-9553/2016 [Электронный ресурс]. </w:t>
      </w:r>
      <w:r w:rsidRPr="00D1277B">
        <w:rPr>
          <w:rFonts w:ascii="Times New Roman" w:hAnsi="Times New Roman"/>
          <w:sz w:val="28"/>
          <w:szCs w:val="28"/>
          <w:lang w:val="en-US"/>
        </w:rPr>
        <w:t>URL</w:t>
      </w:r>
      <w:r w:rsidRPr="00D1277B">
        <w:rPr>
          <w:rFonts w:ascii="Times New Roman" w:hAnsi="Times New Roman"/>
          <w:sz w:val="28"/>
          <w:szCs w:val="28"/>
        </w:rPr>
        <w:t>: http://sudact.ru/regular/doc/HZnxwRFu0lxT/ (дата обращения: 07.11.2018).</w:t>
      </w:r>
      <w:bookmarkEnd w:id="53"/>
    </w:p>
    <w:p w:rsidR="00D1277B" w:rsidRPr="00D1277B" w:rsidRDefault="00D1277B" w:rsidP="00D1277B">
      <w:pPr>
        <w:widowControl w:val="0"/>
        <w:tabs>
          <w:tab w:val="left" w:pos="1134"/>
        </w:tabs>
        <w:spacing w:after="0" w:line="240" w:lineRule="auto"/>
        <w:jc w:val="both"/>
        <w:rPr>
          <w:rFonts w:ascii="Times New Roman" w:hAnsi="Times New Roman"/>
          <w:sz w:val="28"/>
          <w:szCs w:val="28"/>
        </w:rPr>
      </w:pPr>
    </w:p>
    <w:p w:rsidR="00D1277B" w:rsidRPr="00D1277B" w:rsidRDefault="00D1277B" w:rsidP="00D1277B">
      <w:pPr>
        <w:widowControl w:val="0"/>
        <w:tabs>
          <w:tab w:val="left" w:pos="1134"/>
        </w:tabs>
        <w:spacing w:after="0" w:line="240" w:lineRule="auto"/>
        <w:jc w:val="both"/>
        <w:rPr>
          <w:rFonts w:ascii="Times New Roman" w:hAnsi="Times New Roman"/>
          <w:sz w:val="28"/>
          <w:szCs w:val="28"/>
        </w:rPr>
      </w:pPr>
    </w:p>
    <w:p w:rsidR="00D1277B" w:rsidRPr="00D1277B" w:rsidRDefault="00D1277B" w:rsidP="00D1277B">
      <w:pPr>
        <w:widowControl w:val="0"/>
        <w:tabs>
          <w:tab w:val="left" w:pos="1134"/>
        </w:tabs>
        <w:spacing w:after="0" w:line="240" w:lineRule="auto"/>
        <w:jc w:val="both"/>
        <w:rPr>
          <w:rFonts w:ascii="Times New Roman" w:hAnsi="Times New Roman"/>
          <w:sz w:val="28"/>
          <w:szCs w:val="28"/>
        </w:rPr>
      </w:pPr>
    </w:p>
    <w:p w:rsidR="00D1277B" w:rsidRPr="00D1277B" w:rsidRDefault="00D1277B" w:rsidP="00D1277B">
      <w:pPr>
        <w:widowControl w:val="0"/>
        <w:tabs>
          <w:tab w:val="left" w:pos="1134"/>
        </w:tabs>
        <w:spacing w:after="0" w:line="240" w:lineRule="auto"/>
        <w:jc w:val="both"/>
        <w:rPr>
          <w:rFonts w:ascii="Times New Roman" w:hAnsi="Times New Roman"/>
          <w:sz w:val="28"/>
          <w:szCs w:val="28"/>
        </w:rPr>
      </w:pPr>
    </w:p>
    <w:p w:rsidR="00D1277B" w:rsidRPr="00D1277B" w:rsidRDefault="00D1277B" w:rsidP="00D1277B">
      <w:pPr>
        <w:widowControl w:val="0"/>
        <w:tabs>
          <w:tab w:val="left" w:pos="1134"/>
        </w:tabs>
        <w:spacing w:after="0" w:line="240" w:lineRule="auto"/>
        <w:jc w:val="both"/>
        <w:rPr>
          <w:rFonts w:ascii="Times New Roman" w:hAnsi="Times New Roman"/>
          <w:sz w:val="28"/>
          <w:szCs w:val="28"/>
        </w:rPr>
      </w:pPr>
    </w:p>
    <w:p w:rsidR="00D1277B" w:rsidRDefault="00D1277B"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Default="00FA124F" w:rsidP="00D1277B">
      <w:pPr>
        <w:widowControl w:val="0"/>
        <w:tabs>
          <w:tab w:val="left" w:pos="1134"/>
        </w:tabs>
        <w:spacing w:after="0" w:line="240" w:lineRule="auto"/>
        <w:jc w:val="both"/>
        <w:rPr>
          <w:rFonts w:ascii="Times New Roman" w:hAnsi="Times New Roman"/>
          <w:sz w:val="28"/>
          <w:szCs w:val="28"/>
        </w:rPr>
      </w:pPr>
    </w:p>
    <w:p w:rsidR="00FA124F" w:rsidRPr="00D1277B" w:rsidRDefault="00FA124F" w:rsidP="00D1277B">
      <w:pPr>
        <w:widowControl w:val="0"/>
        <w:tabs>
          <w:tab w:val="left" w:pos="1134"/>
        </w:tabs>
        <w:spacing w:after="0" w:line="240" w:lineRule="auto"/>
        <w:jc w:val="both"/>
        <w:rPr>
          <w:rFonts w:ascii="Times New Roman" w:hAnsi="Times New Roman"/>
          <w:sz w:val="28"/>
          <w:szCs w:val="28"/>
        </w:rPr>
      </w:pPr>
    </w:p>
    <w:p w:rsidR="00D1277B" w:rsidRPr="00D1277B" w:rsidRDefault="00D1277B" w:rsidP="00D1277B">
      <w:pPr>
        <w:spacing w:after="0" w:line="360" w:lineRule="auto"/>
        <w:ind w:firstLine="709"/>
        <w:contextualSpacing/>
        <w:jc w:val="center"/>
        <w:rPr>
          <w:rFonts w:ascii="Times New Roman" w:hAnsi="Times New Roman"/>
          <w:sz w:val="28"/>
        </w:rPr>
      </w:pPr>
      <w:r w:rsidRPr="00D1277B">
        <w:rPr>
          <w:rFonts w:ascii="Times New Roman" w:hAnsi="Times New Roman"/>
          <w:sz w:val="28"/>
        </w:rPr>
        <w:lastRenderedPageBreak/>
        <w:t>Уполномоченный по правам человека в Приморском крае</w:t>
      </w: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contextualSpacing/>
        <w:jc w:val="both"/>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b/>
          <w:sz w:val="28"/>
        </w:rPr>
      </w:pPr>
      <w:r w:rsidRPr="00D1277B">
        <w:rPr>
          <w:rFonts w:ascii="Times New Roman" w:hAnsi="Times New Roman"/>
          <w:b/>
          <w:sz w:val="28"/>
        </w:rPr>
        <w:t>Деятельность комиссий  по делам  несовершеннолетних и защите их прав по профилактике правонарушений во Владивостокском городском округе</w:t>
      </w:r>
    </w:p>
    <w:p w:rsidR="00D1277B" w:rsidRPr="00D1277B" w:rsidRDefault="00D1277B" w:rsidP="00D1277B">
      <w:pPr>
        <w:spacing w:after="0" w:line="360" w:lineRule="auto"/>
        <w:contextualSpacing/>
        <w:jc w:val="center"/>
        <w:rPr>
          <w:rFonts w:ascii="Times New Roman" w:hAnsi="Times New Roman"/>
          <w:b/>
          <w:sz w:val="28"/>
        </w:rPr>
      </w:pPr>
    </w:p>
    <w:p w:rsidR="00D1277B" w:rsidRPr="00D1277B" w:rsidRDefault="00D1277B" w:rsidP="00D1277B">
      <w:pPr>
        <w:spacing w:after="0" w:line="360" w:lineRule="auto"/>
        <w:contextualSpacing/>
        <w:jc w:val="center"/>
        <w:rPr>
          <w:rFonts w:ascii="Times New Roman" w:hAnsi="Times New Roman"/>
          <w:b/>
          <w:sz w:val="28"/>
        </w:rPr>
      </w:pPr>
    </w:p>
    <w:p w:rsidR="00D1277B" w:rsidRPr="00D1277B" w:rsidRDefault="00D1277B" w:rsidP="00D1277B">
      <w:pPr>
        <w:spacing w:after="0" w:line="360" w:lineRule="auto"/>
        <w:contextualSpacing/>
        <w:jc w:val="center"/>
        <w:rPr>
          <w:rFonts w:ascii="Times New Roman" w:hAnsi="Times New Roman"/>
          <w:sz w:val="28"/>
        </w:rPr>
      </w:pPr>
      <w:r w:rsidRPr="00D1277B">
        <w:rPr>
          <w:rFonts w:ascii="Times New Roman" w:hAnsi="Times New Roman"/>
          <w:sz w:val="28"/>
        </w:rPr>
        <w:t>Конкурсная работа</w:t>
      </w:r>
    </w:p>
    <w:p w:rsidR="00D1277B" w:rsidRPr="00D1277B" w:rsidRDefault="00D1277B" w:rsidP="00D1277B">
      <w:pPr>
        <w:spacing w:after="0" w:line="360" w:lineRule="auto"/>
        <w:contextualSpacing/>
        <w:jc w:val="center"/>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b/>
          <w:sz w:val="28"/>
        </w:rPr>
      </w:pPr>
      <w:r w:rsidRPr="00D1277B">
        <w:rPr>
          <w:rFonts w:ascii="Times New Roman" w:hAnsi="Times New Roman"/>
          <w:b/>
          <w:sz w:val="28"/>
        </w:rPr>
        <w:t>Голубевой Вероники Андреевны</w:t>
      </w:r>
    </w:p>
    <w:p w:rsidR="00D1277B" w:rsidRPr="00D1277B" w:rsidRDefault="00D1277B" w:rsidP="00D1277B">
      <w:pPr>
        <w:spacing w:after="0" w:line="360" w:lineRule="auto"/>
        <w:contextualSpacing/>
        <w:jc w:val="center"/>
        <w:rPr>
          <w:rFonts w:ascii="Times New Roman" w:hAnsi="Times New Roman"/>
          <w:sz w:val="28"/>
        </w:rPr>
      </w:pPr>
      <w:r w:rsidRPr="00D1277B">
        <w:rPr>
          <w:rFonts w:ascii="Times New Roman" w:hAnsi="Times New Roman"/>
          <w:sz w:val="28"/>
        </w:rPr>
        <w:t>студентки 4 курса направления «Государственное и муниципальное управление» Школы экономики и менеджмента Дальневосточного федерального университета</w:t>
      </w:r>
    </w:p>
    <w:p w:rsidR="00D1277B" w:rsidRPr="00D1277B" w:rsidRDefault="00D1277B" w:rsidP="00D1277B">
      <w:pPr>
        <w:spacing w:after="0" w:line="360" w:lineRule="auto"/>
        <w:contextualSpacing/>
        <w:jc w:val="center"/>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sz w:val="28"/>
        </w:rPr>
      </w:pPr>
      <w:r w:rsidRPr="00D1277B">
        <w:rPr>
          <w:rFonts w:ascii="Times New Roman" w:hAnsi="Times New Roman"/>
          <w:sz w:val="28"/>
        </w:rPr>
        <w:t>Научный руководитель</w:t>
      </w:r>
    </w:p>
    <w:p w:rsidR="00D1277B" w:rsidRPr="00D1277B" w:rsidRDefault="00D1277B" w:rsidP="00D1277B">
      <w:pPr>
        <w:spacing w:after="0" w:line="360" w:lineRule="auto"/>
        <w:contextualSpacing/>
        <w:jc w:val="center"/>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b/>
          <w:sz w:val="28"/>
        </w:rPr>
      </w:pPr>
      <w:r w:rsidRPr="00D1277B">
        <w:rPr>
          <w:rFonts w:ascii="Times New Roman" w:hAnsi="Times New Roman"/>
          <w:b/>
          <w:sz w:val="28"/>
        </w:rPr>
        <w:t>Хамидулин Владислав Саидович</w:t>
      </w:r>
    </w:p>
    <w:p w:rsidR="00D1277B" w:rsidRPr="00D1277B" w:rsidRDefault="00D1277B" w:rsidP="00D1277B">
      <w:pPr>
        <w:spacing w:after="0" w:line="360" w:lineRule="auto"/>
        <w:contextualSpacing/>
        <w:jc w:val="center"/>
        <w:rPr>
          <w:rFonts w:ascii="Times New Roman" w:hAnsi="Times New Roman"/>
          <w:sz w:val="28"/>
        </w:rPr>
      </w:pPr>
      <w:r w:rsidRPr="00D1277B">
        <w:rPr>
          <w:rFonts w:ascii="Times New Roman" w:hAnsi="Times New Roman"/>
          <w:sz w:val="28"/>
        </w:rPr>
        <w:t>доцент кафедры государственного и муниципального управления Школы экономики и менеджмента ДВФУ,</w:t>
      </w:r>
    </w:p>
    <w:p w:rsidR="00D1277B" w:rsidRPr="00D1277B" w:rsidRDefault="00D1277B" w:rsidP="00D1277B">
      <w:pPr>
        <w:spacing w:after="0" w:line="360" w:lineRule="auto"/>
        <w:contextualSpacing/>
        <w:jc w:val="center"/>
        <w:rPr>
          <w:rFonts w:ascii="Times New Roman" w:hAnsi="Times New Roman"/>
          <w:sz w:val="28"/>
        </w:rPr>
      </w:pPr>
      <w:r w:rsidRPr="00D1277B">
        <w:rPr>
          <w:rFonts w:ascii="Times New Roman" w:hAnsi="Times New Roman"/>
          <w:sz w:val="28"/>
        </w:rPr>
        <w:t>кандидат политических наук</w:t>
      </w:r>
    </w:p>
    <w:p w:rsidR="00D1277B" w:rsidRPr="00D1277B" w:rsidRDefault="00D1277B" w:rsidP="00D1277B">
      <w:pPr>
        <w:spacing w:after="0" w:line="360" w:lineRule="auto"/>
        <w:contextualSpacing/>
        <w:jc w:val="center"/>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sz w:val="28"/>
        </w:rPr>
      </w:pPr>
      <w:r w:rsidRPr="00D1277B">
        <w:rPr>
          <w:rFonts w:ascii="Times New Roman" w:hAnsi="Times New Roman"/>
          <w:sz w:val="28"/>
        </w:rPr>
        <w:t>Владивосток, 2018</w:t>
      </w:r>
    </w:p>
    <w:p w:rsidR="00D1277B" w:rsidRPr="00D1277B" w:rsidRDefault="00D1277B" w:rsidP="00FA124F">
      <w:pPr>
        <w:spacing w:after="120" w:line="240" w:lineRule="auto"/>
        <w:jc w:val="center"/>
        <w:rPr>
          <w:rFonts w:ascii="Times New Roman" w:hAnsi="Times New Roman"/>
          <w:b/>
          <w:sz w:val="28"/>
          <w:szCs w:val="28"/>
        </w:rPr>
      </w:pPr>
      <w:r w:rsidRPr="00D1277B">
        <w:rPr>
          <w:rFonts w:ascii="Times New Roman" w:hAnsi="Times New Roman"/>
          <w:b/>
          <w:sz w:val="28"/>
          <w:szCs w:val="28"/>
        </w:rPr>
        <w:lastRenderedPageBreak/>
        <w:t>Оглавление</w:t>
      </w:r>
    </w:p>
    <w:p w:rsidR="00D1277B" w:rsidRPr="00D1277B" w:rsidRDefault="00D1277B" w:rsidP="00D1277B">
      <w:pPr>
        <w:tabs>
          <w:tab w:val="left" w:pos="142"/>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Введение....................................................................................................................3</w:t>
      </w:r>
    </w:p>
    <w:p w:rsidR="00D1277B" w:rsidRPr="00D1277B" w:rsidRDefault="00D1277B" w:rsidP="00D1277B">
      <w:pPr>
        <w:tabs>
          <w:tab w:val="right" w:pos="284"/>
          <w:tab w:val="right" w:leader="dot" w:pos="9639"/>
        </w:tabs>
        <w:spacing w:after="0" w:line="240" w:lineRule="auto"/>
        <w:jc w:val="both"/>
        <w:rPr>
          <w:rFonts w:ascii="Times New Roman" w:hAnsi="Times New Roman"/>
          <w:sz w:val="28"/>
          <w:szCs w:val="28"/>
        </w:rPr>
      </w:pPr>
      <w:r w:rsidRPr="00D1277B">
        <w:rPr>
          <w:rFonts w:ascii="Times New Roman" w:hAnsi="Times New Roman"/>
          <w:sz w:val="28"/>
          <w:szCs w:val="28"/>
        </w:rPr>
        <w:t>1 Теоретические основы деятельности комиссий по делам несовершеннолетних и защите их прав по профилактике правонарушений среди несовершеннолетних в Российской Федерации...</w:t>
      </w:r>
      <w:r w:rsidR="00FA124F">
        <w:rPr>
          <w:rFonts w:ascii="Times New Roman" w:hAnsi="Times New Roman"/>
          <w:sz w:val="28"/>
          <w:szCs w:val="28"/>
        </w:rPr>
        <w:t>...</w:t>
      </w:r>
      <w:r w:rsidRPr="00D1277B">
        <w:rPr>
          <w:rFonts w:ascii="Times New Roman" w:hAnsi="Times New Roman"/>
          <w:sz w:val="28"/>
          <w:szCs w:val="28"/>
        </w:rPr>
        <w:t>................................5</w:t>
      </w:r>
    </w:p>
    <w:p w:rsidR="00D1277B" w:rsidRPr="00D1277B" w:rsidRDefault="00D1277B" w:rsidP="00D1277B">
      <w:pPr>
        <w:tabs>
          <w:tab w:val="left" w:pos="851"/>
          <w:tab w:val="right" w:leader="dot" w:pos="9356"/>
        </w:tabs>
        <w:spacing w:after="0" w:line="240" w:lineRule="auto"/>
        <w:jc w:val="both"/>
        <w:rPr>
          <w:rFonts w:ascii="Times New Roman" w:hAnsi="Times New Roman"/>
          <w:sz w:val="28"/>
          <w:szCs w:val="28"/>
        </w:rPr>
      </w:pPr>
      <w:r w:rsidRPr="00D1277B">
        <w:rPr>
          <w:rFonts w:ascii="Times New Roman" w:hAnsi="Times New Roman"/>
          <w:sz w:val="28"/>
          <w:szCs w:val="28"/>
        </w:rPr>
        <w:t>1.1</w:t>
      </w:r>
      <w:r w:rsidRPr="00D1277B">
        <w:rPr>
          <w:rFonts w:ascii="Times New Roman" w:hAnsi="Times New Roman"/>
          <w:sz w:val="28"/>
          <w:szCs w:val="28"/>
        </w:rPr>
        <w:tab/>
        <w:t>Делинквентное поведение как вид девиантного поведения: понятие и причины проявления......................</w:t>
      </w:r>
      <w:r w:rsidR="00FA124F">
        <w:rPr>
          <w:rFonts w:ascii="Times New Roman" w:hAnsi="Times New Roman"/>
          <w:sz w:val="28"/>
          <w:szCs w:val="28"/>
        </w:rPr>
        <w:t>...............</w:t>
      </w:r>
      <w:r w:rsidRPr="00D1277B">
        <w:rPr>
          <w:rFonts w:ascii="Times New Roman" w:hAnsi="Times New Roman"/>
          <w:sz w:val="28"/>
          <w:szCs w:val="28"/>
        </w:rPr>
        <w:t>...................................................5</w:t>
      </w:r>
    </w:p>
    <w:p w:rsidR="00D1277B" w:rsidRPr="00D1277B" w:rsidRDefault="00D1277B" w:rsidP="00D1277B">
      <w:pPr>
        <w:tabs>
          <w:tab w:val="right" w:pos="284"/>
          <w:tab w:val="right" w:leader="dot" w:pos="9214"/>
        </w:tabs>
        <w:spacing w:after="0" w:line="240" w:lineRule="auto"/>
        <w:jc w:val="both"/>
        <w:rPr>
          <w:rFonts w:ascii="Times New Roman" w:hAnsi="Times New Roman"/>
          <w:sz w:val="28"/>
          <w:szCs w:val="28"/>
        </w:rPr>
      </w:pPr>
      <w:bookmarkStart w:id="54" w:name="_Hlk497040463"/>
      <w:r w:rsidRPr="00D1277B">
        <w:rPr>
          <w:rFonts w:ascii="Times New Roman" w:hAnsi="Times New Roman"/>
          <w:sz w:val="28"/>
          <w:szCs w:val="28"/>
        </w:rPr>
        <w:t>1.2 Законодательство в области профилактики правонарушений среди         несовершеннолетних граждан................................................................................6</w:t>
      </w:r>
    </w:p>
    <w:p w:rsidR="00D1277B" w:rsidRPr="00D1277B" w:rsidRDefault="00D1277B" w:rsidP="00D1277B">
      <w:pPr>
        <w:tabs>
          <w:tab w:val="right" w:pos="284"/>
          <w:tab w:val="right" w:leader="dot" w:pos="9214"/>
        </w:tabs>
        <w:spacing w:after="0" w:line="240" w:lineRule="auto"/>
        <w:jc w:val="both"/>
        <w:rPr>
          <w:rFonts w:ascii="Times New Roman" w:hAnsi="Times New Roman"/>
          <w:sz w:val="28"/>
          <w:szCs w:val="28"/>
        </w:rPr>
      </w:pPr>
      <w:r w:rsidRPr="00D1277B">
        <w:rPr>
          <w:rFonts w:ascii="Times New Roman" w:hAnsi="Times New Roman"/>
          <w:sz w:val="28"/>
          <w:szCs w:val="28"/>
        </w:rPr>
        <w:t>1.3 Комиссия по делам несовершеннолетних и защите их прав как координационный орган в системе профилактики правонарушений...........</w:t>
      </w:r>
      <w:r w:rsidR="00FA124F">
        <w:rPr>
          <w:rFonts w:ascii="Times New Roman" w:hAnsi="Times New Roman"/>
          <w:sz w:val="28"/>
          <w:szCs w:val="28"/>
        </w:rPr>
        <w:t>...........................................................................</w:t>
      </w:r>
      <w:r w:rsidRPr="00D1277B">
        <w:rPr>
          <w:rFonts w:ascii="Times New Roman" w:hAnsi="Times New Roman"/>
          <w:sz w:val="28"/>
          <w:szCs w:val="28"/>
        </w:rPr>
        <w:t>.........8</w:t>
      </w:r>
    </w:p>
    <w:p w:rsidR="00D1277B" w:rsidRPr="00D1277B" w:rsidRDefault="00D1277B" w:rsidP="00D1277B">
      <w:pPr>
        <w:tabs>
          <w:tab w:val="right" w:pos="284"/>
          <w:tab w:val="right" w:leader="dot" w:pos="9214"/>
        </w:tabs>
        <w:spacing w:after="0" w:line="240" w:lineRule="auto"/>
        <w:jc w:val="both"/>
        <w:rPr>
          <w:rFonts w:ascii="Times New Roman" w:hAnsi="Times New Roman"/>
          <w:sz w:val="28"/>
          <w:szCs w:val="28"/>
        </w:rPr>
      </w:pPr>
      <w:r w:rsidRPr="00D1277B">
        <w:rPr>
          <w:rFonts w:ascii="Times New Roman" w:hAnsi="Times New Roman"/>
          <w:sz w:val="28"/>
          <w:szCs w:val="28"/>
        </w:rPr>
        <w:t>2 Деятельность комиссий по делам несовершеннолетних и защите их прав по профилактике правонарушений во Владивостокском городском округе..............</w:t>
      </w:r>
      <w:r w:rsidR="00FA124F">
        <w:rPr>
          <w:rFonts w:ascii="Times New Roman" w:hAnsi="Times New Roman"/>
          <w:sz w:val="28"/>
          <w:szCs w:val="28"/>
        </w:rPr>
        <w:t>...............................................................................................</w:t>
      </w:r>
      <w:r w:rsidRPr="00D1277B">
        <w:rPr>
          <w:rFonts w:ascii="Times New Roman" w:hAnsi="Times New Roman"/>
          <w:sz w:val="28"/>
          <w:szCs w:val="28"/>
        </w:rPr>
        <w:t>..11</w:t>
      </w:r>
    </w:p>
    <w:p w:rsidR="00D1277B" w:rsidRPr="00D1277B" w:rsidRDefault="00D1277B" w:rsidP="00D1277B">
      <w:pPr>
        <w:tabs>
          <w:tab w:val="left" w:pos="851"/>
          <w:tab w:val="right" w:leader="dot" w:pos="9356"/>
        </w:tabs>
        <w:spacing w:after="0" w:line="240" w:lineRule="auto"/>
        <w:jc w:val="both"/>
        <w:rPr>
          <w:rFonts w:ascii="Times New Roman" w:hAnsi="Times New Roman"/>
          <w:sz w:val="28"/>
          <w:szCs w:val="28"/>
        </w:rPr>
      </w:pPr>
      <w:r w:rsidRPr="00D1277B">
        <w:rPr>
          <w:rFonts w:ascii="Times New Roman" w:hAnsi="Times New Roman"/>
          <w:sz w:val="28"/>
          <w:szCs w:val="28"/>
        </w:rPr>
        <w:t>2.1</w:t>
      </w:r>
      <w:r w:rsidRPr="00D1277B">
        <w:rPr>
          <w:rFonts w:ascii="Times New Roman" w:hAnsi="Times New Roman"/>
          <w:sz w:val="28"/>
          <w:szCs w:val="28"/>
        </w:rPr>
        <w:tab/>
        <w:t>Основы деятельности комиссий по профилактике правонарушений среди несовершеннолетних граждан на территории города Владивостока........</w:t>
      </w:r>
      <w:r w:rsidR="00FA124F">
        <w:rPr>
          <w:rFonts w:ascii="Times New Roman" w:hAnsi="Times New Roman"/>
          <w:sz w:val="28"/>
          <w:szCs w:val="28"/>
        </w:rPr>
        <w:t>............................................................................</w:t>
      </w:r>
      <w:r w:rsidRPr="00D1277B">
        <w:rPr>
          <w:rFonts w:ascii="Times New Roman" w:hAnsi="Times New Roman"/>
          <w:sz w:val="28"/>
          <w:szCs w:val="28"/>
        </w:rPr>
        <w:t>...............11</w:t>
      </w:r>
    </w:p>
    <w:bookmarkEnd w:id="54"/>
    <w:p w:rsidR="00D1277B" w:rsidRPr="00D1277B" w:rsidRDefault="00D1277B" w:rsidP="00D1277B">
      <w:pPr>
        <w:tabs>
          <w:tab w:val="left" w:pos="851"/>
          <w:tab w:val="right" w:leader="dot" w:pos="9356"/>
        </w:tabs>
        <w:spacing w:after="0" w:line="240" w:lineRule="auto"/>
        <w:jc w:val="both"/>
        <w:rPr>
          <w:rFonts w:ascii="Times New Roman" w:hAnsi="Times New Roman"/>
          <w:sz w:val="28"/>
          <w:szCs w:val="28"/>
        </w:rPr>
      </w:pPr>
      <w:r w:rsidRPr="00D1277B">
        <w:rPr>
          <w:rFonts w:ascii="Times New Roman" w:hAnsi="Times New Roman"/>
          <w:sz w:val="28"/>
          <w:szCs w:val="28"/>
        </w:rPr>
        <w:t>2.2</w:t>
      </w:r>
      <w:r w:rsidRPr="00D1277B">
        <w:rPr>
          <w:rFonts w:ascii="Times New Roman" w:hAnsi="Times New Roman"/>
          <w:sz w:val="28"/>
          <w:szCs w:val="28"/>
        </w:rPr>
        <w:tab/>
        <w:t>Анализ состояния и динамики преступности среди несовершеннолетних граждан в городе Владивостоке....................................12</w:t>
      </w:r>
    </w:p>
    <w:p w:rsidR="00D1277B" w:rsidRPr="00D1277B" w:rsidRDefault="00D1277B" w:rsidP="00D1277B">
      <w:pPr>
        <w:tabs>
          <w:tab w:val="left" w:pos="851"/>
          <w:tab w:val="right" w:leader="dot" w:pos="9356"/>
        </w:tabs>
        <w:spacing w:after="0" w:line="240" w:lineRule="auto"/>
        <w:jc w:val="both"/>
        <w:rPr>
          <w:rFonts w:ascii="Times New Roman" w:hAnsi="Times New Roman"/>
          <w:sz w:val="28"/>
          <w:szCs w:val="28"/>
        </w:rPr>
      </w:pPr>
      <w:r w:rsidRPr="00D1277B">
        <w:rPr>
          <w:rFonts w:ascii="Times New Roman" w:hAnsi="Times New Roman"/>
          <w:sz w:val="28"/>
          <w:szCs w:val="28"/>
        </w:rPr>
        <w:t>2.3 Анализ направлений и результатов деятельности комиссий по делам несовершеннолетних и защите их прав в городе Владивостоке.......</w:t>
      </w:r>
      <w:r w:rsidR="00FA124F">
        <w:rPr>
          <w:rFonts w:ascii="Times New Roman" w:hAnsi="Times New Roman"/>
          <w:sz w:val="28"/>
          <w:szCs w:val="28"/>
        </w:rPr>
        <w:t>........................................................................</w:t>
      </w:r>
      <w:r w:rsidRPr="00D1277B">
        <w:rPr>
          <w:rFonts w:ascii="Times New Roman" w:hAnsi="Times New Roman"/>
          <w:sz w:val="28"/>
          <w:szCs w:val="28"/>
        </w:rPr>
        <w:t>....................18</w:t>
      </w:r>
    </w:p>
    <w:p w:rsidR="00D1277B" w:rsidRPr="00D1277B" w:rsidRDefault="00D1277B" w:rsidP="00D1277B">
      <w:pPr>
        <w:tabs>
          <w:tab w:val="left" w:pos="851"/>
          <w:tab w:val="right" w:leader="dot" w:pos="9356"/>
        </w:tabs>
        <w:spacing w:after="0" w:line="240" w:lineRule="auto"/>
        <w:jc w:val="both"/>
        <w:rPr>
          <w:rFonts w:ascii="Times New Roman" w:hAnsi="Times New Roman"/>
          <w:sz w:val="28"/>
          <w:szCs w:val="28"/>
        </w:rPr>
      </w:pPr>
      <w:r w:rsidRPr="00D1277B">
        <w:rPr>
          <w:rFonts w:ascii="Times New Roman" w:hAnsi="Times New Roman"/>
          <w:sz w:val="28"/>
          <w:szCs w:val="28"/>
        </w:rPr>
        <w:t>2.4 Рекомендации по совершенствованию деятельности комиссий по делам несовершеннолетних и защите их прав в городе Владивостоке..............</w:t>
      </w:r>
      <w:r w:rsidR="00FA124F">
        <w:rPr>
          <w:rFonts w:ascii="Times New Roman" w:hAnsi="Times New Roman"/>
          <w:sz w:val="28"/>
          <w:szCs w:val="28"/>
        </w:rPr>
        <w:t>........................................................................</w:t>
      </w:r>
      <w:r w:rsidRPr="00D1277B">
        <w:rPr>
          <w:rFonts w:ascii="Times New Roman" w:hAnsi="Times New Roman"/>
          <w:sz w:val="28"/>
          <w:szCs w:val="28"/>
        </w:rPr>
        <w:t>.............27</w:t>
      </w:r>
    </w:p>
    <w:p w:rsidR="00D1277B" w:rsidRPr="00D1277B" w:rsidRDefault="00D1277B" w:rsidP="00D1277B">
      <w:pPr>
        <w:tabs>
          <w:tab w:val="left" w:pos="851"/>
          <w:tab w:val="right" w:leader="dot" w:pos="9356"/>
        </w:tabs>
        <w:spacing w:after="0" w:line="240" w:lineRule="auto"/>
        <w:jc w:val="both"/>
        <w:rPr>
          <w:rFonts w:ascii="Times New Roman" w:hAnsi="Times New Roman"/>
          <w:sz w:val="28"/>
          <w:szCs w:val="28"/>
        </w:rPr>
      </w:pPr>
      <w:r w:rsidRPr="00D1277B">
        <w:rPr>
          <w:rFonts w:ascii="Times New Roman" w:hAnsi="Times New Roman"/>
          <w:sz w:val="28"/>
          <w:szCs w:val="28"/>
        </w:rPr>
        <w:t>Заключение...........................................................................................</w:t>
      </w:r>
      <w:r w:rsidRPr="00D1277B">
        <w:rPr>
          <w:rFonts w:ascii="Times New Roman" w:hAnsi="Times New Roman"/>
          <w:sz w:val="28"/>
          <w:szCs w:val="28"/>
        </w:rPr>
        <w:tab/>
        <w:t>.................34</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Список использованных источников...................................</w:t>
      </w:r>
      <w:r w:rsidR="00FA124F">
        <w:rPr>
          <w:rFonts w:ascii="Times New Roman" w:hAnsi="Times New Roman"/>
          <w:sz w:val="28"/>
          <w:szCs w:val="28"/>
        </w:rPr>
        <w:t>......</w:t>
      </w:r>
      <w:r w:rsidRPr="00D1277B">
        <w:rPr>
          <w:rFonts w:ascii="Times New Roman" w:hAnsi="Times New Roman"/>
          <w:sz w:val="28"/>
          <w:szCs w:val="28"/>
        </w:rPr>
        <w:t>....................35</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А........................................................................................................37</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Б.........................................................................................................38</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В.........................................................................................................39</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Г.........................................................................................................40</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Д.........................................................................................................41</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Е.........................................................................................................42</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К.........................................................................................................43</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Л.........................................................................................................44</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М........................................................................................................46</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Н........................................................................................................47</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П........................................................................................................48</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Р.........................................................................................................50</w:t>
      </w:r>
    </w:p>
    <w:p w:rsidR="00D1277B" w:rsidRPr="00D1277B" w:rsidRDefault="00D1277B" w:rsidP="00D1277B">
      <w:pPr>
        <w:tabs>
          <w:tab w:val="right" w:pos="284"/>
          <w:tab w:val="right" w:leader="dot" w:pos="9355"/>
        </w:tabs>
        <w:spacing w:after="0" w:line="240" w:lineRule="auto"/>
        <w:jc w:val="both"/>
        <w:rPr>
          <w:rFonts w:ascii="Times New Roman" w:hAnsi="Times New Roman"/>
          <w:sz w:val="28"/>
          <w:szCs w:val="28"/>
        </w:rPr>
      </w:pPr>
      <w:r w:rsidRPr="00D1277B">
        <w:rPr>
          <w:rFonts w:ascii="Times New Roman" w:hAnsi="Times New Roman"/>
          <w:sz w:val="28"/>
          <w:szCs w:val="28"/>
        </w:rPr>
        <w:t>Приложение С.........................................................................................................52</w:t>
      </w:r>
    </w:p>
    <w:p w:rsidR="00FA124F" w:rsidRDefault="00FA124F" w:rsidP="00D1277B">
      <w:pPr>
        <w:spacing w:after="0" w:line="240" w:lineRule="auto"/>
        <w:jc w:val="both"/>
        <w:rPr>
          <w:rFonts w:ascii="Times New Roman" w:hAnsi="Times New Roman"/>
          <w:b/>
          <w:sz w:val="28"/>
          <w:szCs w:val="28"/>
        </w:rPr>
      </w:pPr>
    </w:p>
    <w:p w:rsidR="00FA124F" w:rsidRDefault="00FA124F" w:rsidP="00D1277B">
      <w:pPr>
        <w:spacing w:after="0" w:line="240" w:lineRule="auto"/>
        <w:jc w:val="both"/>
        <w:rPr>
          <w:rFonts w:ascii="Times New Roman" w:hAnsi="Times New Roman"/>
          <w:b/>
          <w:sz w:val="28"/>
          <w:szCs w:val="28"/>
        </w:rPr>
      </w:pPr>
    </w:p>
    <w:p w:rsidR="00FA124F" w:rsidRDefault="00FA124F" w:rsidP="00D1277B">
      <w:pPr>
        <w:spacing w:after="0" w:line="240" w:lineRule="auto"/>
        <w:jc w:val="both"/>
        <w:rPr>
          <w:rFonts w:ascii="Times New Roman" w:hAnsi="Times New Roman"/>
          <w:b/>
          <w:sz w:val="28"/>
          <w:szCs w:val="28"/>
        </w:rPr>
      </w:pPr>
    </w:p>
    <w:p w:rsidR="00D1277B" w:rsidRPr="00D1277B" w:rsidRDefault="00D1277B" w:rsidP="00FA124F">
      <w:pPr>
        <w:spacing w:after="240" w:line="240" w:lineRule="auto"/>
        <w:jc w:val="center"/>
        <w:rPr>
          <w:rFonts w:ascii="Times New Roman" w:hAnsi="Times New Roman"/>
          <w:b/>
          <w:sz w:val="28"/>
          <w:szCs w:val="28"/>
        </w:rPr>
      </w:pPr>
      <w:r w:rsidRPr="00D1277B">
        <w:rPr>
          <w:rFonts w:ascii="Times New Roman" w:hAnsi="Times New Roman"/>
          <w:b/>
          <w:sz w:val="28"/>
          <w:szCs w:val="28"/>
        </w:rPr>
        <w:lastRenderedPageBreak/>
        <w:t>Введение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современных условиях правонарушения среди несовершеннолетних граждан рассматриваются не только как серьёзная проблема современного общества, но и как внутренняя угроза национальной безопасности государства. В связи с чем, деятельность многих представителей таких наук, как психология, педагогика, социология, криминология, юриспруденция направлена на изучение личности несовершеннолетнего правонарушителя, а самое главное на изучение условий и факторов, подталкивающих несовершеннолетних к совершению первичных, а также повторных противоправных деяний.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Безусловно, сказать, что конкретно провоцирует несовершеннолетнего на проявления делинквентного поведения, не представляется возможным в силу междисциплинарности темы исследования. Каждый из теоретиков и практиков, руководствуясь спецификой своей сферы деятельности, выдвигает на первый план ту или иную причину, подталкивающую подростка к деликтам, но, тем не менее, не умаляя влияние иных факторов.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Самое главное – своевременно и объективно идентифицировать причины и условия, провоцирующие несовершеннолетних на совершение правонарушений, и консолидировать все усилия в направлении профилактики отклоняющегося поведения. В таких условиях, весьма остро становится вопрос вмешательства органов системы профилактики правонарушений среди несовершеннолетних граждан. Центральным звеном системы профилактики, согласно действующему законодательству, является Комиссия по делам несовершеннолетних и защите их прав. Именно КПД и ЗП координирует деятельность органов и учреждений системы профилактики безнадзорности и правонарушений несовершеннолетних. Однако в деятельности данного органа нередко возникает ряд проблем, препятствующих своевременному предупреждению правонарушений.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Деятельность комиссий по делам несовершеннолетних и защите их прав в городе Владивостоке - не исключение.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Цель исследования – провести анализ деятельности комиссий по делам несовершеннолетних и защите их прав по профилактике правонарушений во Владивостокском городском округе, определить проблемы, с которыми сталкиваются комиссии, и разработать пути их устранения.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Для достижения поставленной цели необходимо решить следующие задачи: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w:t>
      </w:r>
      <w:r w:rsidRPr="00D1277B">
        <w:rPr>
          <w:rFonts w:ascii="Times New Roman" w:hAnsi="Times New Roman"/>
          <w:sz w:val="28"/>
          <w:szCs w:val="28"/>
        </w:rPr>
        <w:tab/>
        <w:t>Изучение теоретических основ деятельности комиссий по делам несовершеннолетних и защите их прав по профилактике правонарушений среди несовершеннолетних граждан в Российской Федерации.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2.</w:t>
      </w:r>
      <w:r w:rsidRPr="00D1277B">
        <w:rPr>
          <w:rFonts w:ascii="Times New Roman" w:hAnsi="Times New Roman"/>
          <w:sz w:val="28"/>
          <w:szCs w:val="28"/>
        </w:rPr>
        <w:tab/>
        <w:t>Анализ состояния и динамики преступности среди несовершеннолетних граждан в городе Владивостоке.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w:t>
      </w:r>
      <w:r w:rsidRPr="00D1277B">
        <w:rPr>
          <w:rFonts w:ascii="Times New Roman" w:hAnsi="Times New Roman"/>
          <w:sz w:val="28"/>
          <w:szCs w:val="28"/>
        </w:rPr>
        <w:tab/>
        <w:t>Анализ основных направлений и результатов деятельности комиссий по делам несовершеннолетних и защите их прав в городе Владивостоке.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4.</w:t>
      </w:r>
      <w:r w:rsidRPr="00D1277B">
        <w:rPr>
          <w:rFonts w:ascii="Times New Roman" w:hAnsi="Times New Roman"/>
          <w:sz w:val="28"/>
          <w:szCs w:val="28"/>
        </w:rPr>
        <w:tab/>
        <w:t>Разработка рекомендаций по совершенствованию деятельности комиссий по делам несовершеннолетних и защите их прав в городе Владивостоке.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Объект исследования – система профилактики правонарушений среди несовершеннолетних граждан.</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Предмет исследования – деятельность комиссий по делам несовершеннолетних и защите их прав  по профилактике правонарушений во Владивостокском городском округе.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Теоретической и методологической основой написания настоящей работы являются труды таких авторов из разных областей деятельности (психологии, социологии, криминологии, юриспруденции и т.д.), как: В.Ф. Борисова, Е.В. Ильгова, И.О. Кузнецова</w:t>
      </w:r>
      <w:r w:rsidRPr="00D1277B">
        <w:rPr>
          <w:rFonts w:ascii="Times New Roman" w:hAnsi="Times New Roman"/>
          <w:sz w:val="28"/>
          <w:szCs w:val="28"/>
          <w:vertAlign w:val="superscript"/>
        </w:rPr>
        <w:footnoteReference w:id="45"/>
      </w:r>
      <w:r w:rsidRPr="00D1277B">
        <w:rPr>
          <w:rFonts w:ascii="Times New Roman" w:hAnsi="Times New Roman"/>
          <w:sz w:val="28"/>
          <w:szCs w:val="28"/>
        </w:rPr>
        <w:t>, О.А. Есберген</w:t>
      </w:r>
      <w:r w:rsidRPr="00D1277B">
        <w:rPr>
          <w:rFonts w:ascii="Times New Roman" w:hAnsi="Times New Roman"/>
          <w:sz w:val="28"/>
          <w:szCs w:val="28"/>
          <w:vertAlign w:val="superscript"/>
        </w:rPr>
        <w:footnoteReference w:id="46"/>
      </w:r>
      <w:r w:rsidRPr="00D1277B">
        <w:rPr>
          <w:rFonts w:ascii="Times New Roman" w:hAnsi="Times New Roman"/>
          <w:sz w:val="28"/>
          <w:szCs w:val="28"/>
        </w:rPr>
        <w:t>, Паатова М.Э., Бегидова С.Н., Хакунов Н.Х.</w:t>
      </w:r>
      <w:r w:rsidRPr="00D1277B">
        <w:rPr>
          <w:rFonts w:ascii="Times New Roman" w:hAnsi="Times New Roman"/>
          <w:sz w:val="28"/>
          <w:szCs w:val="28"/>
          <w:vertAlign w:val="superscript"/>
        </w:rPr>
        <w:footnoteReference w:id="47"/>
      </w:r>
      <w:r w:rsidRPr="00D1277B">
        <w:rPr>
          <w:rFonts w:ascii="Times New Roman" w:hAnsi="Times New Roman"/>
          <w:sz w:val="28"/>
          <w:szCs w:val="28"/>
        </w:rPr>
        <w:t xml:space="preserve"> и др.</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Информационной основой исследования явились: международные нормативно-правовые акты, Конституция РФ, федеральные законы, Указы Президента РФ, постановления и распоряжения  Правительства РФ,  законодательные акты Приморского края, нормативно-правовые акты города Владивостока, статистические и отчётные данные, информация из сети Интернет.</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Структурно работа состоит из введения, двух глав, семи параграфов,  заключения, списка использованных источников и приложения.</w:t>
      </w:r>
    </w:p>
    <w:p w:rsidR="00D1277B" w:rsidRPr="00D1277B" w:rsidRDefault="00D1277B" w:rsidP="00260940">
      <w:pPr>
        <w:spacing w:before="360" w:after="0" w:line="240" w:lineRule="auto"/>
        <w:jc w:val="both"/>
        <w:rPr>
          <w:rFonts w:ascii="Times New Roman" w:hAnsi="Times New Roman"/>
          <w:b/>
          <w:sz w:val="28"/>
          <w:szCs w:val="28"/>
        </w:rPr>
      </w:pPr>
      <w:r w:rsidRPr="00D1277B">
        <w:rPr>
          <w:rFonts w:ascii="Times New Roman" w:hAnsi="Times New Roman"/>
          <w:b/>
          <w:sz w:val="28"/>
          <w:szCs w:val="28"/>
        </w:rPr>
        <w:t>1</w:t>
      </w:r>
      <w:r w:rsidRPr="00D1277B">
        <w:rPr>
          <w:rFonts w:ascii="Times New Roman" w:hAnsi="Times New Roman"/>
          <w:b/>
          <w:sz w:val="28"/>
          <w:szCs w:val="28"/>
        </w:rPr>
        <w:tab/>
        <w:t>Теоретические основы деятельности комиссий по делам несовершеннолетних и защите их прав по профилактике правонарушений среди несовершеннолетних в Российской Федерации</w:t>
      </w:r>
    </w:p>
    <w:p w:rsidR="00D1277B" w:rsidRPr="00D1277B" w:rsidRDefault="00D1277B" w:rsidP="00D1277B">
      <w:pPr>
        <w:spacing w:after="0" w:line="240" w:lineRule="auto"/>
        <w:jc w:val="both"/>
        <w:rPr>
          <w:rFonts w:ascii="Times New Roman" w:hAnsi="Times New Roman"/>
          <w:b/>
          <w:sz w:val="28"/>
          <w:szCs w:val="28"/>
        </w:rPr>
      </w:pPr>
    </w:p>
    <w:p w:rsidR="00D1277B" w:rsidRPr="00D1277B" w:rsidRDefault="00D1277B" w:rsidP="00260940">
      <w:pPr>
        <w:spacing w:after="240" w:line="240" w:lineRule="auto"/>
        <w:jc w:val="both"/>
        <w:rPr>
          <w:rFonts w:ascii="Times New Roman" w:hAnsi="Times New Roman"/>
          <w:b/>
          <w:sz w:val="28"/>
          <w:szCs w:val="28"/>
        </w:rPr>
      </w:pPr>
      <w:r w:rsidRPr="00D1277B">
        <w:rPr>
          <w:rFonts w:ascii="Times New Roman" w:hAnsi="Times New Roman"/>
          <w:b/>
          <w:sz w:val="28"/>
          <w:szCs w:val="28"/>
        </w:rPr>
        <w:t>1.1 Делинквентное поведение как вид девиантного поведения: понятие и причины проявления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Отечественные и зарубежные учёные выделяют различные виды девиантного поведения. Так одним из видов девиантного поведения является делинквентное (или преступное/противоправное) поведение.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Особый интерес представляет исследование делинквентного поведения среди несовершеннолетних, выступающих уязвимой категорией граждан.</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Под делинквентным поведением понимается поведение, нарушающее нормы действующего законодательства, соответственно, влекущее наступление ответственности, степень тяжести которой зависит от того, нормы какой отрасли права были нарушены (нормы административного, гражданского, уголовного права).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То есть, говоря о правонарушениях среди несовершеннолетних граждан, мы имеем дело с девиантным поведением в общем, и с делинквентным поведением в частности.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Делинквентное поведение как абсолютная категория имеет ряд особенностей, отличающих этот вид от всех других:</w:t>
      </w:r>
    </w:p>
    <w:p w:rsidR="00D1277B" w:rsidRPr="00D1277B" w:rsidRDefault="00D1277B" w:rsidP="007F4EC1">
      <w:pPr>
        <w:numPr>
          <w:ilvl w:val="0"/>
          <w:numId w:val="47"/>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делинквентное поведение всегда связано с законами и нормативно-правовыми актами и регулируется последними; </w:t>
      </w:r>
    </w:p>
    <w:p w:rsidR="00D1277B" w:rsidRPr="00D1277B" w:rsidRDefault="00D1277B" w:rsidP="007F4EC1">
      <w:pPr>
        <w:numPr>
          <w:ilvl w:val="0"/>
          <w:numId w:val="47"/>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одним из субъектов, осуществляющих профилактику делинквентного поведения, всегда выступает государственный орган, наделённый определёнными полномочиями (органы полиции, суд, КПД и ЗП, места лишения свободы);</w:t>
      </w:r>
    </w:p>
    <w:p w:rsidR="00D1277B" w:rsidRPr="00D1277B" w:rsidRDefault="00D1277B" w:rsidP="007F4EC1">
      <w:pPr>
        <w:numPr>
          <w:ilvl w:val="0"/>
          <w:numId w:val="47"/>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негативное восприятие членами общества;</w:t>
      </w:r>
    </w:p>
    <w:p w:rsidR="00D1277B" w:rsidRPr="00D1277B" w:rsidRDefault="00D1277B" w:rsidP="007F4EC1">
      <w:pPr>
        <w:numPr>
          <w:ilvl w:val="0"/>
          <w:numId w:val="47"/>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угроза основам социального устройства - общественному порядку; </w:t>
      </w:r>
    </w:p>
    <w:p w:rsidR="00D1277B" w:rsidRPr="00D1277B" w:rsidRDefault="00D1277B" w:rsidP="007F4EC1">
      <w:pPr>
        <w:numPr>
          <w:ilvl w:val="0"/>
          <w:numId w:val="47"/>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как результат - моральный/материальный вред, причинённый отдельному индивиду/группе граждан.</w:t>
      </w:r>
      <w:r w:rsidRPr="00D1277B">
        <w:rPr>
          <w:rFonts w:ascii="Times New Roman" w:hAnsi="Times New Roman"/>
          <w:sz w:val="28"/>
          <w:szCs w:val="28"/>
          <w:vertAlign w:val="superscript"/>
        </w:rPr>
        <w:footnoteReference w:id="48"/>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таблице 1 представлены причины и факторы, способствующие совершению правонарушений несовершеннолетними (см. Приложение 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Анализируя представленные причины и условия, способствующие совершению правонарушений среди несовершеннолетних граждан, можем утверждать, что указать конкретную причину совершения правонарушений весьма затруднительно, что обусловлено дискуссионным и междисциплинарным характером темы исследования.</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1A227A">
      <w:pPr>
        <w:spacing w:after="240" w:line="240" w:lineRule="auto"/>
        <w:jc w:val="both"/>
        <w:rPr>
          <w:rFonts w:ascii="Times New Roman" w:hAnsi="Times New Roman"/>
          <w:b/>
          <w:sz w:val="28"/>
          <w:szCs w:val="28"/>
        </w:rPr>
      </w:pPr>
      <w:r w:rsidRPr="00D1277B">
        <w:rPr>
          <w:rFonts w:ascii="Times New Roman" w:hAnsi="Times New Roman"/>
          <w:b/>
          <w:sz w:val="28"/>
          <w:szCs w:val="28"/>
        </w:rPr>
        <w:t xml:space="preserve">1.2 Законодательство в области профилактики правонарушений среди несовершеннолетних граждан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После выявления причин и условий, способствующих совершению правонарушений и иных антиобщественных действий среди несовершеннолетней категории граждан, необходимо предпринимать меры правового, педагогического и социального характера, которые были бы направлены на минимизацию и последующее устранение выявленных причин и условий.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В связи с этим, с целью результативной профилактики правонарушений (в том числе рецидивов) среди несовершеннолетних граждан на территории Российской Федерации функционирует ряд нормативно-правовых актов, прямо или косвенно, относящихся к профилактике (см. Приложение Б, таблица 2).</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Одним из важнейших Федеральных законов в области профилактики правонарушений среди несовершеннолетних граждан является Федеральный закон от 24 июня 1999 года № 120-ФЗ «Об основах системы профилактики безнадзорности и правонарушений несовершеннолетних».</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настоящем Федеральном законе в ст.1 «Основные понятия» указано, что «профилактика безнадзорности и правонарушений несовершеннолетних - система социальных, правовых, педагогических и иных мер, направленных на выявление и устранение причин и условий, способствующих безнадзорности, беспризорности, правонарушениям и антиобщественным действиям несовершеннолетних, осуществляемых в совокупности с индивидуальной профилактической работой (далее - ИПР) с несовершеннолетними и семьями, находящимися в социально опасном положении (далее – СОП)»</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Также настоящий Федеральный закон закрепляет следующие положения: основные задачи деятельности по профилактике безнадзорности и правонарушений несовершеннолетних, которые осуществляются соответственно органами и учреждениями системы профилактики безнадзорности и правонарушений несовершеннолетних; основные положения, касающиеся ИПР; направления деятельности органов и учреждений системы профилактики безнадзорности и правонарушений несовершеннолетних.</w:t>
      </w:r>
      <w:r w:rsidRPr="00D1277B">
        <w:rPr>
          <w:rFonts w:ascii="Times New Roman" w:hAnsi="Times New Roman"/>
          <w:sz w:val="28"/>
          <w:szCs w:val="28"/>
          <w:vertAlign w:val="superscript"/>
        </w:rPr>
        <w:footnoteReference w:id="49"/>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Кроме того, анализируя соответствующие нормативно-правовые документы, можно схематично изобразить систему органов и учреждений на федеральном / региональном / местном уровнях, чья деятельность направлена на профилактику безнадзорности и правонарушений среди несовершеннолетних граждан на территории Российской Федерации.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На рисунке 1 представлена система органов на федеральном уровне, чья деятельность так или иначе связана с предупреждением правонарушений среди несовершеннолетних граждан (см. Приложение В, рисунок 1).</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На рисунке 2 представлена система органов и учреждений на региональном и местном уровне, чья деятельность направлена на профилактику безнадзорности и правонарушений среди несовершеннолетних граждан (см. Приложение Г, рисунок 2).</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в Российской Федерации функционирует ряд нормативно-правовых документов, одни их которых напрямую направлены на профилактику правонарушений, другие закрепляют лишь косвенно некоторые моменты, касающиеся предупреждения противоправных действий. </w:t>
      </w:r>
    </w:p>
    <w:p w:rsidR="00D1277B" w:rsidRPr="00D1277B" w:rsidRDefault="00D1277B" w:rsidP="001A227A">
      <w:pPr>
        <w:spacing w:after="240" w:line="240" w:lineRule="auto"/>
        <w:jc w:val="both"/>
        <w:rPr>
          <w:rFonts w:ascii="Times New Roman" w:hAnsi="Times New Roman"/>
          <w:b/>
          <w:sz w:val="28"/>
          <w:szCs w:val="28"/>
        </w:rPr>
      </w:pPr>
      <w:r w:rsidRPr="00D1277B">
        <w:rPr>
          <w:rFonts w:ascii="Times New Roman" w:hAnsi="Times New Roman"/>
          <w:b/>
          <w:sz w:val="28"/>
          <w:szCs w:val="28"/>
        </w:rPr>
        <w:lastRenderedPageBreak/>
        <w:t xml:space="preserve">1.3  Комиссия по делам несовершеннолетних и защите их прав как координационный орган в системе профилактики правонарушений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Центральным звеном в системе органов и учреждений, деятельность которых направлена на профилактику правонарушений среди несовершеннолетних граждан, является комиссия по делам несовершеннолетних и защите их прав (далее - КПД и ЗП).</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Статьёй 11 Федерального закона № 120 определена главная цель создания КПД и ЗП - координация деятельности органов и учреждений системы профилактики безнадзорности и правонарушений несовершеннолетних для решения задач, поставленных перед данными органами.</w:t>
      </w:r>
      <w:r w:rsidRPr="00D1277B">
        <w:rPr>
          <w:rFonts w:ascii="Times New Roman" w:hAnsi="Times New Roman"/>
          <w:sz w:val="28"/>
          <w:szCs w:val="28"/>
          <w:vertAlign w:val="superscript"/>
        </w:rPr>
        <w:footnoteReference w:id="50"/>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своей деятельности КПД и ЗП руководствуется рядом нормативно-правовых актов, указанных ранее (см. Приложение Б), а также следующими документами: Указ Президиума Верховного Совета РСФСР от 03.06.1967 «Об утверждении Положения о комиссиях по делам несовершеннолетних» (действует в части, не противоречащей действующему законодательству); Постановление Правительства РФ от 6 мая 2006 г. № 272 «О Правительственной комиссии по делам несовершеннолетних и защите их прав» (основные положения, касающиеся Правительственной КДН и ЗП); Постановление Правительства РФ от 6 ноября 2013 г. № 995 «Об утверждении Примерного положения о комиссиях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Что касается Указа Президиума Верховного Совета РСФСР, то, несмотря на то, что он действует в части, не противоречащей действующему законодательству, положения не соответствуют сложившейся современной ситуации.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Кроме того, если обратиться к Национальной стратегии действия в интересах детей, реализация которой закончилась в 2017 году, то там указано, что «...правовая основа работы этих комиссий не соответствует стоящим перед ними целям и задачам...».</w:t>
      </w:r>
      <w:r w:rsidRPr="00D1277B">
        <w:rPr>
          <w:rFonts w:ascii="Times New Roman" w:hAnsi="Times New Roman"/>
          <w:sz w:val="28"/>
          <w:szCs w:val="28"/>
          <w:vertAlign w:val="superscript"/>
        </w:rPr>
        <w:footnoteReference w:id="51"/>
      </w:r>
      <w:r w:rsidRPr="00D1277B">
        <w:rPr>
          <w:rFonts w:ascii="Times New Roman" w:hAnsi="Times New Roman"/>
          <w:sz w:val="28"/>
          <w:szCs w:val="28"/>
        </w:rPr>
        <w:t xml:space="preserve"> В связи с чем, необходимо реформирование комиссий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целях законодательного обеспечения деятельности КДН и ЗП предусматривалось разработать проект Федерального закона о комиссиях по делам несовершеннолетних и защите их прав, однако, на данный момент, в период с 2012 года было принято лишь Примерное положение о комиссиях по делам несовершеннолетних и защите их прав в 2013 году.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И, несмотря на то, что в 2012 году был разработан и представлен для общественного обсуждения проект Федерального закона «Об основах организации и деятельности комиссий по делам несовершеннолетних и </w:t>
      </w:r>
      <w:r w:rsidRPr="00D1277B">
        <w:rPr>
          <w:rFonts w:ascii="Times New Roman" w:hAnsi="Times New Roman"/>
          <w:sz w:val="28"/>
          <w:szCs w:val="28"/>
        </w:rPr>
        <w:lastRenderedPageBreak/>
        <w:t>защите их прав», Федеральный закон так и не был принят.</w:t>
      </w:r>
      <w:r w:rsidRPr="00D1277B">
        <w:rPr>
          <w:rFonts w:ascii="Times New Roman" w:hAnsi="Times New Roman"/>
          <w:sz w:val="28"/>
          <w:szCs w:val="28"/>
          <w:vertAlign w:val="superscript"/>
        </w:rPr>
        <w:footnoteReference w:id="52"/>
      </w:r>
      <w:r w:rsidRPr="00D1277B">
        <w:rPr>
          <w:rFonts w:ascii="Times New Roman" w:hAnsi="Times New Roman"/>
          <w:sz w:val="28"/>
          <w:szCs w:val="28"/>
        </w:rPr>
        <w:t xml:space="preserve"> Тем не менее, эксперты полагают, что вопросы административной деятельности комиссий должны находиться в рамках законодательной регламентации, а не подзаконной.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связи с чем, вопрос законодательного регулирования деятельности комиссий до сих пор остаётся актуальным и открытым.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Помимо законодательного аспекта, большое количество исследователей, а также органы государственной власти уделяют внимание кадровому вопросу и находятся в поисках ответа на вопрос: «Какие специалисты должны быть задействованы в процессе осуществления деятельности КПД и ЗП на постоянной штатной основе».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свою очередь, Минобрнауки России, по результатам мониторинга деятельности комиссий в 2015 и 2016 годах, особое внимание уделило проблеме недостаточного количества аппаратов, обеспечивающих деятельность КПД и ЗП, а также необходимости разграничения компетенции между КПД и ЗП и аппаратом, обеспечивающим ее деятельность.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«Для обеспечения деятельности региональных комиссий аппараты фактически созданы только в 39 регионах (46%), для территориальных (муниципальных) комиссий - в 583 муниципальных образованиях (19,5%), что не позволяет обеспечить условия для организации на должном уровне системной работы самого коллегиального органа».</w:t>
      </w:r>
      <w:r w:rsidRPr="00D1277B">
        <w:rPr>
          <w:rFonts w:ascii="Times New Roman" w:hAnsi="Times New Roman"/>
          <w:sz w:val="28"/>
          <w:szCs w:val="28"/>
          <w:vertAlign w:val="superscript"/>
        </w:rPr>
        <w:footnoteReference w:id="53"/>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Помимо прочего, необходимо учитывать и тот факт, что деятельность комиссий по делам несовершеннолетних и защите их прав направлена на непосредственное предупреждение правонарушений и предупреждение повторных правонарушений.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связи с чем, в Концепции развития системы профилактики безнадзорности и правонарушений несовершеннолетних на период до 2020 года указано, что одним из главных направлений по непосредственному предупреждению правонарушений и рецидива является совершенствование деятельности комиссий по делам несовершеннолетних и защите их прав.</w:t>
      </w:r>
      <w:r w:rsidRPr="00D1277B">
        <w:rPr>
          <w:rFonts w:ascii="Times New Roman" w:hAnsi="Times New Roman"/>
          <w:sz w:val="28"/>
          <w:szCs w:val="28"/>
          <w:vertAlign w:val="superscript"/>
        </w:rPr>
        <w:footnoteReference w:id="54"/>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в настоящее время функционирует ряд нормативных документов, которыми КПД и ЗП руководствуется в процессе своей деятельности, но, тем не менее, законодательно закрепляется необходимость </w:t>
      </w:r>
      <w:r w:rsidRPr="00D1277B">
        <w:rPr>
          <w:rFonts w:ascii="Times New Roman" w:hAnsi="Times New Roman"/>
          <w:sz w:val="28"/>
          <w:szCs w:val="28"/>
        </w:rPr>
        <w:lastRenderedPageBreak/>
        <w:t xml:space="preserve">реформирования комиссий по делам несовершеннолетних и защите их прав и совершенствования деятельности последних. </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240" w:lineRule="auto"/>
        <w:jc w:val="both"/>
        <w:rPr>
          <w:rFonts w:ascii="Times New Roman" w:hAnsi="Times New Roman"/>
          <w:b/>
          <w:sz w:val="28"/>
          <w:szCs w:val="28"/>
        </w:rPr>
      </w:pPr>
      <w:r w:rsidRPr="00D1277B">
        <w:rPr>
          <w:rFonts w:ascii="Times New Roman" w:hAnsi="Times New Roman"/>
          <w:b/>
          <w:sz w:val="28"/>
          <w:szCs w:val="28"/>
        </w:rPr>
        <w:t>2 Деятельность комиссий по делам несовершеннолетних и защите их прав по профилактике правонарушений во Владивостокском городском округе</w:t>
      </w:r>
    </w:p>
    <w:p w:rsidR="00D1277B" w:rsidRPr="00D1277B" w:rsidRDefault="00D1277B" w:rsidP="00D1277B">
      <w:pPr>
        <w:spacing w:after="0" w:line="240" w:lineRule="auto"/>
        <w:jc w:val="both"/>
        <w:rPr>
          <w:rFonts w:ascii="Times New Roman" w:hAnsi="Times New Roman"/>
          <w:b/>
          <w:sz w:val="28"/>
          <w:szCs w:val="28"/>
        </w:rPr>
      </w:pPr>
    </w:p>
    <w:p w:rsidR="00D1277B" w:rsidRPr="00D1277B" w:rsidRDefault="00D1277B" w:rsidP="001A227A">
      <w:pPr>
        <w:spacing w:after="240" w:line="240" w:lineRule="auto"/>
        <w:jc w:val="both"/>
        <w:rPr>
          <w:rFonts w:ascii="Times New Roman" w:hAnsi="Times New Roman"/>
          <w:b/>
          <w:sz w:val="28"/>
          <w:szCs w:val="28"/>
        </w:rPr>
      </w:pPr>
      <w:r w:rsidRPr="00D1277B">
        <w:rPr>
          <w:rFonts w:ascii="Times New Roman" w:hAnsi="Times New Roman"/>
          <w:b/>
          <w:sz w:val="28"/>
          <w:szCs w:val="28"/>
        </w:rPr>
        <w:t>2.1 Основы деятельности комиссий по профилактике правонарушений среди несовершеннолетних граждан на территории города Владивостока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Законе Приморского края от 8 ноября 2005 года № 296-КЗ «О комиссиях по делам несовершеннолетних и защите их прав на территории Приморского края» в главе 1 статье 2 определена система комиссий на территории Приморского края (см. Приложение Д, рисунок 3).</w:t>
      </w:r>
      <w:r w:rsidRPr="00D1277B">
        <w:rPr>
          <w:rFonts w:ascii="Times New Roman" w:hAnsi="Times New Roman"/>
          <w:sz w:val="28"/>
          <w:szCs w:val="28"/>
          <w:vertAlign w:val="superscript"/>
        </w:rPr>
        <w:footnoteReference w:id="55"/>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свою очередь, на рисунке 4 представлена структурная организация комиссий на территории города Владивостока (см. Приложение 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Органы местного самоуправления Владивостокского городского округа (далее – ВГО) наделяются государственными полномочиями по созданию и обеспечению деятельности комиссий Законом Приморского края № 296-КЗ.</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Если мы обратимся к рисунку 4 (см. Приложение Е), то станет очевидным тот факт, что деятельность Управления по организации работы комиссий по делам несовершеннолетних и защите их прав (далее – Управление) направлена на обеспечение основных направлений городской и районных в городе комиссий.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Городская КПД и ЗП ВГО контролирует и координирует деятельность районных в городе комиссий по делам несовершеннолетних и защите их прав, оказывает им методическую помощь, распространяет опыт их работы.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Районные в городе комиссии самым непосредственном образом осуществляют профилактику правонарушений среди несовершеннолетних граждан, работу с несовершеннолетними и их семьями.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Всего на территории г.Владивостока свою деятельность на постоянной штатной основе осуществляют 12 муниципальных служащих (Управление  + городская КПД и ЗП + районные комиссии города Владивостока).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своей деятельности комиссии по делам несовершеннолетних и защите их прав города Владивостока руководствуются не только федеральным и региональным законодательством, но и следующими распорядительными документами: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1.</w:t>
      </w:r>
      <w:r w:rsidRPr="00D1277B">
        <w:rPr>
          <w:rFonts w:ascii="Times New Roman" w:hAnsi="Times New Roman"/>
          <w:sz w:val="28"/>
          <w:szCs w:val="28"/>
        </w:rPr>
        <w:tab/>
        <w:t>Постановление главы города Владивостока от 09.06.2013 №1109 «Об утверждении Положения об управлении по организации работы комиссий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2.</w:t>
      </w:r>
      <w:r w:rsidRPr="00D1277B">
        <w:rPr>
          <w:rFonts w:ascii="Times New Roman" w:hAnsi="Times New Roman"/>
          <w:sz w:val="28"/>
          <w:szCs w:val="28"/>
        </w:rPr>
        <w:tab/>
        <w:t>Постановление главы администрации города Владивостока от 17.06.2006 №132 «О городской комиссии по делам несовершеннолетних и защите их прав администрации г. Владивостока».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3.</w:t>
      </w:r>
      <w:r w:rsidRPr="00D1277B">
        <w:rPr>
          <w:rFonts w:ascii="Times New Roman" w:hAnsi="Times New Roman"/>
          <w:sz w:val="28"/>
          <w:szCs w:val="28"/>
        </w:rPr>
        <w:tab/>
        <w:t>Постановление администрации города Владивостока от 11.04.2002 №528 «Об образовании районных комиссий по делам несовершеннолетних и защите их прав».</w:t>
      </w:r>
      <w:r w:rsidRPr="00D1277B">
        <w:rPr>
          <w:rFonts w:ascii="Times New Roman" w:hAnsi="Times New Roman"/>
          <w:sz w:val="28"/>
          <w:szCs w:val="28"/>
          <w:vertAlign w:val="superscript"/>
        </w:rPr>
        <w:footnoteReference w:id="56"/>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Что касается полномочий городской и районных комиссий, а также задач и функций Управления, то они закреплены в вышеуказанных нормативных документах. </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916A2F">
      <w:pPr>
        <w:spacing w:after="240" w:line="240" w:lineRule="auto"/>
        <w:jc w:val="both"/>
        <w:rPr>
          <w:rFonts w:ascii="Times New Roman" w:hAnsi="Times New Roman"/>
          <w:b/>
          <w:sz w:val="28"/>
          <w:szCs w:val="28"/>
        </w:rPr>
      </w:pPr>
      <w:r w:rsidRPr="00D1277B">
        <w:rPr>
          <w:rFonts w:ascii="Times New Roman" w:hAnsi="Times New Roman"/>
          <w:b/>
          <w:sz w:val="28"/>
          <w:szCs w:val="28"/>
        </w:rPr>
        <w:t>2.2 Анализ состояния и динамики преступности среди несовершеннолетних граждан в городе Владивостоке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 данным Прокуратуры около трети всех преступлений, совершаемых в Приморском крае, зарегистрировано на территории города Владивостока.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Анализируя положение несовершеннолетних граждан в г. Владивостоке, можем наблюдать:</w:t>
      </w:r>
    </w:p>
    <w:p w:rsidR="00D1277B" w:rsidRPr="00D1277B" w:rsidRDefault="00D1277B" w:rsidP="007F4EC1">
      <w:pPr>
        <w:numPr>
          <w:ilvl w:val="0"/>
          <w:numId w:val="48"/>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рост числа несовершеннолетних, состоящих на учёте в инспекции по делам несовершеннолетних, пришёлся на 2013, 2016 и 2017 год. Причём на 2013 год пришёлся резкий рост (+64) к предыдущему году. В это число входят также лица до 14-ти лет, то есть не достигшие возраста привлечения к уголовной ответственности;</w:t>
      </w:r>
    </w:p>
    <w:p w:rsidR="00D1277B" w:rsidRPr="00D1277B" w:rsidRDefault="00D1277B" w:rsidP="007F4EC1">
      <w:pPr>
        <w:numPr>
          <w:ilvl w:val="0"/>
          <w:numId w:val="48"/>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рост числа безнадзорных несовершеннолетних во Владивостоке пришёлся на 2013 (+28 к предыдущему году) и на 2016 год (+111 к предыдущему году).</w:t>
      </w:r>
      <w:r w:rsidRPr="00D1277B">
        <w:rPr>
          <w:rFonts w:ascii="Times New Roman" w:hAnsi="Times New Roman"/>
          <w:sz w:val="28"/>
          <w:szCs w:val="28"/>
          <w:vertAlign w:val="superscript"/>
        </w:rPr>
        <w:footnoteReference w:id="57"/>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Также следует проанализировать состояние преступности среди несовершеннолетних граждан в городе Владивостоке и его отдельных районах. Однако изначально следует пояснить несколько моментов: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Во-первых, преступление – виновно совершённое общественно опасное деяние, запрещённое УК РФ под угрозой наказания.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Во-вторых, преступность несовершеннолетних – совокупность преступлений, совершённых подростками, которым ко времени совершения преступления исполнилось 14, но не исполнилось 18 лет (подросток до 14 лет не является субъектом преступления).</w:t>
      </w:r>
      <w:r w:rsidRPr="00D1277B">
        <w:rPr>
          <w:rFonts w:ascii="Times New Roman" w:hAnsi="Times New Roman"/>
          <w:sz w:val="28"/>
          <w:szCs w:val="28"/>
          <w:vertAlign w:val="superscript"/>
        </w:rPr>
        <w:footnoteReference w:id="58"/>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В-третьих, для анализа преступности будет рассчитан коэффициент преступности. Благодаря расчёту коэффициента преступности, который является объективным измерителем преступности, позволяющим сопоставлять ее уровни во времени и пространстве, представится возможность сопоставить полученные результаты и провести сравнительную </w:t>
      </w:r>
      <w:r w:rsidRPr="00D1277B">
        <w:rPr>
          <w:rFonts w:ascii="Times New Roman" w:hAnsi="Times New Roman"/>
          <w:sz w:val="28"/>
          <w:szCs w:val="28"/>
        </w:rPr>
        <w:lastRenderedPageBreak/>
        <w:t xml:space="preserve">оценку состояния преступности в районах города Владивостока по годам, и, соответственно, определить, насколько распространено делинквентное поведение среди несовершеннолетних граждан в возрасте 14-17 лет на территории соответствующего района и города Владивостока в целом.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Нами будет рассчитан частный коэффициент преступности (рисунок 5), т.к. мы осуществляем срез по возрасту и общий коэффициент нам не подходит.</w:t>
      </w:r>
    </w:p>
    <w:p w:rsidR="00D1277B" w:rsidRPr="00D1277B" w:rsidRDefault="00D1277B" w:rsidP="00D1277B">
      <w:pPr>
        <w:spacing w:after="0" w:line="240" w:lineRule="auto"/>
        <w:jc w:val="both"/>
        <w:rPr>
          <w:rFonts w:ascii="Times New Roman" w:eastAsia="Times New Roman" w:hAnsi="Times New Roman"/>
          <w:sz w:val="28"/>
          <w:szCs w:val="28"/>
        </w:rPr>
      </w:pPr>
      <m:oMath>
        <m:r>
          <w:rPr>
            <w:rFonts w:ascii="Cambria Math" w:hAnsi="Cambria Math"/>
            <w:sz w:val="28"/>
            <w:szCs w:val="28"/>
          </w:rPr>
          <m:t>Кпн=</m:t>
        </m:r>
        <m:f>
          <m:fPr>
            <m:ctrlPr>
              <w:rPr>
                <w:rFonts w:ascii="Cambria Math" w:hAnsi="Cambria Math"/>
                <w:i/>
                <w:sz w:val="28"/>
                <w:szCs w:val="28"/>
              </w:rPr>
            </m:ctrlPr>
          </m:fPr>
          <m:num>
            <m:r>
              <w:rPr>
                <w:rFonts w:ascii="Cambria Math" w:hAnsi="Cambria Math"/>
                <w:sz w:val="28"/>
                <w:szCs w:val="28"/>
              </w:rPr>
              <m:t>СПн(ЗПн)</m:t>
            </m:r>
          </m:num>
          <m:den>
            <m:r>
              <w:rPr>
                <w:rFonts w:ascii="Cambria Math" w:hAnsi="Cambria Math"/>
                <w:sz w:val="28"/>
                <w:szCs w:val="28"/>
              </w:rPr>
              <m:t>ЧН(14-17)</m:t>
            </m:r>
          </m:den>
        </m:f>
        <m:r>
          <w:rPr>
            <w:rFonts w:ascii="Cambria Math" w:hAnsi="Cambria Math"/>
            <w:sz w:val="28"/>
            <w:szCs w:val="28"/>
          </w:rPr>
          <m:t>×1 000</m:t>
        </m:r>
      </m:oMath>
      <w:r w:rsidRPr="00D1277B">
        <w:rPr>
          <w:rFonts w:ascii="Times New Roman" w:eastAsia="Times New Roman" w:hAnsi="Times New Roman"/>
          <w:sz w:val="28"/>
          <w:szCs w:val="28"/>
        </w:rPr>
        <w:t>,</w:t>
      </w:r>
    </w:p>
    <w:p w:rsidR="00D1277B" w:rsidRPr="00D1277B" w:rsidRDefault="00D1277B" w:rsidP="00D1277B">
      <w:pPr>
        <w:spacing w:after="0" w:line="240" w:lineRule="auto"/>
        <w:jc w:val="both"/>
        <w:rPr>
          <w:rFonts w:ascii="Times New Roman" w:eastAsia="Times New Roman" w:hAnsi="Times New Roman"/>
          <w:sz w:val="28"/>
          <w:szCs w:val="28"/>
        </w:rPr>
      </w:pP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Рисунок 5 - Коэффициент (индекс, уровень) преступности среди несовершеннолетних граждан в возрасте 14-17 лет</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где Кпн - коэффициент преступности среди несовершеннолетних граждан.</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СПн (ЗПн) - число совершённых преступлений среди несовершеннолетних или число зарегистрированных преступлений среди несовершеннолетних граждан в возрасте 14-17 лет.</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ЧН (14-17) - общая численность несовершеннолетних граждан в возрасте 14-17 лет.</w:t>
      </w:r>
      <w:r w:rsidRPr="00D1277B">
        <w:rPr>
          <w:rFonts w:ascii="Times New Roman" w:hAnsi="Times New Roman"/>
          <w:sz w:val="28"/>
          <w:szCs w:val="28"/>
          <w:vertAlign w:val="superscript"/>
        </w:rPr>
        <w:footnoteReference w:id="59"/>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В-четвертых, при осуществление расчёта будут использованы соответствующие данные и сделаны выводы. (см. Приложение К, таблицы – 3,4).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Также сразу необходимо сделать оговорку, а именно, демографическая ситуация, например, сокращение/увеличение числа подростков уголовно-наказуемого возраста не играет решающую роль в динамике преступлений среди несовершеннолетних граждан. К примеру, в 2016 году в целом по городу Владивостоку зафиксирован рост числа несовершеннолетних граждан в возрасте 14-17 лет (+109 к предыдущему), однако в 2016 произошло резкое снижение преступлений, совершённых несовершеннолетними и т.п. (см. Приложение К, таблицы - 3,4).</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Результаты расчёта частного коэффициента преступности среди несовершеннолетних граждан в возрасте 14-17 лет на территории г. Владивостока в целом с 2012 по 2017 год и их визуализация представлены в Приложение Л (см. Приложение Л, таблица – 5; рисунок – 6).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рост уровня преступности среди несовершеннолетних граждан в возрасте 14-17 лет (иначе можно говорить об увеличении распространённости отклоняющегося/преступного поведения) на территории города Владивостока пришёлся на 2013, 2015 и 2017 года.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2013 и 2015 году на 1 000 несовершеннолетних граждан в возрасте 14-17 лет пришлось 7 преступлений, самый высокий коэффициент в период с 2012 по 2017 год. Однако следует сделать оговорку о том, что в 2013 году была амнистия в связи с 20-летием Конституции РФ и в число преступлений были включены преступления, которые уже вышли по срокам давности. Многие </w:t>
      </w:r>
      <w:r w:rsidRPr="00D1277B">
        <w:rPr>
          <w:rFonts w:ascii="Times New Roman" w:hAnsi="Times New Roman"/>
          <w:sz w:val="28"/>
          <w:szCs w:val="28"/>
        </w:rPr>
        <w:lastRenderedPageBreak/>
        <w:t xml:space="preserve">уже давно достигли совершеннолетия, а их преступления ранее не были раскрыты. Поэтому возможно предположить, что резкий скачок обусловлен данным событием, хотя говорить, что это единственная причина, неуместно.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Что касается 2015 года, то рост уровня преступности в городе Владивостоке мог быть вызван обострением социально-экономической ситуации в стране, которая привела к снижению уровня жизни граждан, то есть уровня потребления материальных благ и услуг, что сказалось, в первую очередь, на незащищённых слоях населения. В свою очередь, в 2017 году коэффициент уровня преступности достиг уровня, зафиксированного в 2012 и 2014 году.</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sz w:val="28"/>
          <w:szCs w:val="28"/>
        </w:rPr>
        <w:t xml:space="preserve">Результаты расчёта частного коэффициента преступности среди несовершеннолетних граждан в возрасте 14-17 лет по районам г. Владивостока с 2012 по 2017 год и их визуализация представлены в </w:t>
      </w:r>
      <w:r w:rsidRPr="00D1277B">
        <w:rPr>
          <w:rFonts w:ascii="Times New Roman" w:hAnsi="Times New Roman"/>
          <w:color w:val="000000"/>
          <w:sz w:val="28"/>
          <w:szCs w:val="28"/>
        </w:rPr>
        <w:t>Приложение Л (см. Приложение Л, таблица – 6, рисунок – 7).</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Ленинском районе с 2012 года наблюдалось снижение числа преступлений на 1000 несовершеннолетних в возрасте 14-17 лет, в 2015 году произошёл рост до 7 преступлений на 1000 несовершеннолетних, к 2016 году произошло резкое снижение. Также в 2012 году был зафиксирован один рецидив.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Первомайском районе рост преступлений на 1000 несовершеннолетних в возрасте 14-17 лет был также зафиксирован в 2015 году. Начиная с 2015 года, происходило снижение числа преступлений на 1000 несовершеннолетних. В 2016 году было зафиксировано три случая рецидива.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Первореченском районе наибольшее количество преступлений на 1000 несовершеннолетних в возрасте 14-17 лет пришлось на 2016 год (+3 к предыдущему году). В 2012 году было зафиксировано 2 случая рецидива, в 2015 году один случай.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Что касается Фрунзенского района, то, как мы видим, с 2012 года произошёл резкий рост уровня преступности на 1000 несовершеннолетних граждан в возрасте 14-17 лет. В 2015 году было зафиксировано резкое снижение, однако после наблюдалось увеличение уровня преступности, а на 2017 год пришёлся пик зарегистрированных преступлений. Также в 2012 году была два случая рецидива.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Кроме того, очевидным является тот факт, что именно во Фрунзенском районе интенсивность преступности на 1000 несовершеннолетних граждан в возрасте 14-17 лет самая высокая по сравнению с другими районами города Владивостока, за исключением 2012 года, когда число совершённых преступлений на 1000 человек в этом районе и в Советском районе было одинаковое. При этом число несовершеннолетних в возрасте 14-17 лет, проживающих на территории Фрунзенского района гораздо ниже, чем в других районах.</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Возникает вопрос - с чем связана такая интенсивность преступности среди несовершеннолетних, достигших возраста привлечения к уголовной ответственности. Специалисты Комиссий по делам несовершеннолетних и защите их прав приводят весьма значимое объяснение, а именно, на территории Фрунзенского района располагаются такие объекты, как Морской </w:t>
      </w:r>
      <w:r w:rsidRPr="00D1277B">
        <w:rPr>
          <w:rFonts w:ascii="Times New Roman" w:hAnsi="Times New Roman"/>
          <w:sz w:val="28"/>
          <w:szCs w:val="28"/>
        </w:rPr>
        <w:lastRenderedPageBreak/>
        <w:t xml:space="preserve">вокзал и Железнодорожный вокзал. Оба объекта, где всегда наблюдается скопление большого количества людей, являются привлекательными для совершения преступлений подростками, особенно, краж.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Территория Советского района включает в себя город и океанскую черту. Пик уровня преступности на 1000 несовершеннолетних граждан 14-17 лет пришёлся на 2013 год. После наблюдалось снижение, и только в 2017 году произошло увеличение на одно преступление. Описывая ситуацию в Советском районе можно предположить, что большинство из совершённых преступлений приходится именно на океанскую черту, поскольку как таковой инфраструктуры для подростков на данной территории не представлено</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Однако в конце сентября 2013 года был открыт концертно-спортивный комплекс «Фетисов-Арена», который является местом проведения концертов, семейных шоу, фестивалей, выставок, различных спортивных мероприятий, что, безусловно, могло повлиять на интенсивность преступности, начиная с 2013 года, поскольку тем самым было предоставлено больше возможностей для организации досуга несовершеннолетних граждан.</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Таким образом, «абсолютные и относительные сведения о преступлениях и лицах, их совершивших, не всегда дают возможность объективно оценивать и сравнивать преступность в разных регионах, так как на сопоставляемых территориях могут проживать разное количество жителей. Для преодоления указанной несопоставимости показателей рассчитывается уровень или коэффициент преступности, т.е. число преступлений или выявленных лиц на одно и то же число населения».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Безусловно, расчёт коэффициента интенсивности преступности среди несовершеннолетних граждан, достигших возраста привлечения к уголовной ответственности, помогает определить, насколько распространено делинквентное поведение среди подростков на территории города Владивостока в целом и его районах в частности. Однако полученные коэффициенты не говорят нам о том, что зафиксированные преступления совершаются исключительно несовершеннолетними, проживающими на конкретной рассматриваемой территории. В связи с чем, необходимо сделать несколько оговорок:</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Во-первых, зафиксированные преступления, совершённые несовершеннолетними, достигшими уголовно наказуемого возраста, могли быть совершены несовершеннолетними, не являющимися жителями города Владивостока, например, подростки могли прибыть на праздники, каникулы и т.п. из другого города.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Во-вторых, преступление может быть совершено несовершеннолетним, к примеру, на территории Фрунзенского района, а сам несовершеннолетний проживает в Советском районе.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В-третьих, зачастую в n-год, например, в 2013 входят преступления, которые были совершены в 2011 или 2012, то есть, если в 2013 году в городе Владивостоке было совершено 132 преступления, это не значит, что все они были совершены именно в 2013 году.</w:t>
      </w:r>
    </w:p>
    <w:p w:rsidR="00D1277B" w:rsidRPr="00D1277B" w:rsidRDefault="00D1277B" w:rsidP="00916A2F">
      <w:pPr>
        <w:spacing w:after="240" w:line="240" w:lineRule="auto"/>
        <w:jc w:val="both"/>
        <w:rPr>
          <w:rFonts w:ascii="Times New Roman" w:hAnsi="Times New Roman"/>
          <w:b/>
          <w:sz w:val="28"/>
          <w:szCs w:val="28"/>
        </w:rPr>
      </w:pPr>
      <w:r w:rsidRPr="00D1277B">
        <w:rPr>
          <w:rFonts w:ascii="Times New Roman" w:hAnsi="Times New Roman"/>
          <w:b/>
          <w:sz w:val="28"/>
          <w:szCs w:val="28"/>
        </w:rPr>
        <w:lastRenderedPageBreak/>
        <w:t>2.3 Анализ направлений и результатов деятельности комиссий по делам несовершеннолетних и защите их прав в городе Владивостоке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Для того чтобы проанализировать деятельность комиссий по делам несовершеннолетних и защите их прав в городе Владивостоке необходимо обратиться к основным полномочиям комиссий.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Однако перед этим необходимо указать, что в 2016 году профессорско-преподавательским составом ФГБОУ ВО «Саратовская государственная юридическая академия» было проведено исследование региональных нормативных актов Дальневосточного федерального округа (далее – ДВФО), регулирующих деятельность КПД и ЗП. На основании исследования были подготовлены научно-практические заключения. Исследование проводилось в рамках реализации государственного задания №29.130.2016/HM на выполнение проекта по теме «Научно-методическое обеспечение деятельности комиссий по делам несовершеннолетних и защите их прав (продолжение)».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рамках исследования был проанализирован закон Приморского края от 08.11.2005 г. № 296-КЗ «О комиссиях по делам несовершеннолетних и защите их прав на территории Приморского края».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результате были выявлены следующие недостатки (*сразу обратим внимание на распорядительные документы, действующие на территории г.Владивостока):</w:t>
      </w:r>
    </w:p>
    <w:p w:rsidR="00D1277B" w:rsidRPr="00D1277B" w:rsidRDefault="00D1277B" w:rsidP="007F4EC1">
      <w:pPr>
        <w:numPr>
          <w:ilvl w:val="0"/>
          <w:numId w:val="49"/>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Коллизии между нормами настоящего Закона (в юридической науке и юридической технике полномочия представляют собой совокупность прав и обязанностей субъекта конкретных правоотношений). В настоящем Законе закреплены только направления деятельности комиссий (ст.12) и права последних (ст.14).</w:t>
      </w:r>
      <w:r w:rsidRPr="00D1277B">
        <w:rPr>
          <w:rFonts w:ascii="Times New Roman" w:hAnsi="Times New Roman"/>
          <w:sz w:val="28"/>
          <w:szCs w:val="28"/>
          <w:vertAlign w:val="superscript"/>
        </w:rPr>
        <w:footnoteReference w:id="60"/>
      </w:r>
      <w:r w:rsidRPr="00D1277B">
        <w:rPr>
          <w:rFonts w:ascii="Times New Roman" w:hAnsi="Times New Roman"/>
          <w:sz w:val="28"/>
          <w:szCs w:val="28"/>
        </w:rPr>
        <w:t xml:space="preserve">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Идентичная ситуация наблюдается и в Постановлении главы администрации города Владивостока «О городской комиссии по делам несовершеннолетних и защите их прав администрации г. Владивостока» и в Постановлении администрации города Владивостока «Об образовании районных комиссий по делам несовершеннолетних и защите их прав».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Изучая вышеуказанные Постановления, очевидным становится тот факт, что  законодатель отождествляет такие понятия, как направления деятельности и полномочия комиссий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Данная ошибка может быть обусловлена тем, что в Федеральном законе «Об основах системы профилактики безнадзорности и правонарушений несовершеннолетних» от 24.06.1999 № 120-ФЗ чётко не указаны права и обязанности комиссий, то есть, что они могут делать и что они обязаны делать.</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В Постановление Правительства РФ от 06.11.2013 № 995 «Об утверждении Примерного положения о комиссиях по делам несовершеннолетних и защите их прав» указано, что делают комиссии субъектов РФ и территориальные (муниципальные) комиссии, что делают отдельно комиссии субъектов РФ и, соответственно, территориальные (муниципальные) комиссии для решения возложенных задач. Однако что касается прав комиссий, то также явного обозначения последних не наблюдается.</w:t>
      </w:r>
    </w:p>
    <w:p w:rsidR="00D1277B" w:rsidRPr="00D1277B" w:rsidRDefault="00D1277B" w:rsidP="007F4EC1">
      <w:pPr>
        <w:numPr>
          <w:ilvl w:val="0"/>
          <w:numId w:val="49"/>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Законом Приморского края от 5 апреля 2016 года № 809-КЗ были внесены изменения в Закон Приморского края о комиссиях. Изменения, в том числе, коснулись части 1 статьи 13 настоящего закона, а именно были исключены цифры 4-12 из формулировки: «районные, городские, районные в городе комиссии по делам несовершеннолетних и защите их прав на территории Приморского края формируются в составе председателя, одного или двух заместителей председателя, ответственного секретаря и других 4 - 12 членов комиссии по делам несовершеннолетних и защите их прав на территории Приморского края». </w:t>
      </w:r>
      <w:r w:rsidRPr="00D1277B">
        <w:rPr>
          <w:rFonts w:ascii="Times New Roman" w:hAnsi="Times New Roman"/>
          <w:sz w:val="28"/>
          <w:szCs w:val="28"/>
          <w:vertAlign w:val="superscript"/>
        </w:rPr>
        <w:footnoteReference w:id="61"/>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Однако в Постановлении о городской КПД и ЗП администрации города Владивостока данные цифры присутствуют, хотя данная максимальная численность лиц недостаточная для того, чтобы включить представителей всех органов и учреждений системы профилактики безнадзорности и правонарушений несовершеннолетних, а также представителей общественных объединений, граждан, имеющих опыт работы с несовершеннолетними. Такой подход противоречит Федеральному закону от 24.06.1999 г. № 120-ФЗ и Примерному положению о комиссиях по делам несовершеннолетних и защите их прав (согласно заключению).</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Перейдём непосредственно к семьям, находящимся в СОПе, поскольку семьи, относящиеся к данной категории, являются целевой группой комиссий. </w:t>
      </w:r>
      <w:r w:rsidRPr="00D1277B">
        <w:rPr>
          <w:rFonts w:ascii="Times New Roman" w:hAnsi="Times New Roman"/>
          <w:color w:val="000000"/>
          <w:sz w:val="28"/>
          <w:szCs w:val="28"/>
        </w:rPr>
        <w:t>Поэтапный процесс от выявления неблагополучной семьи до осуществления комплекса мероприятий с целью её реабилитации представлены в Приложение М (см. Приложение М, рисунок - 8).</w:t>
      </w:r>
    </w:p>
    <w:p w:rsidR="00D1277B" w:rsidRPr="00D1277B" w:rsidRDefault="00D1277B" w:rsidP="00D1277B">
      <w:pPr>
        <w:spacing w:after="0" w:line="240" w:lineRule="auto"/>
        <w:jc w:val="both"/>
        <w:rPr>
          <w:rFonts w:ascii="Times New Roman" w:hAnsi="Times New Roman"/>
          <w:color w:val="FF0000"/>
          <w:sz w:val="28"/>
          <w:szCs w:val="28"/>
        </w:rPr>
      </w:pPr>
      <w:r w:rsidRPr="00D1277B">
        <w:rPr>
          <w:rFonts w:ascii="Times New Roman" w:hAnsi="Times New Roman"/>
          <w:color w:val="000000"/>
          <w:sz w:val="28"/>
          <w:szCs w:val="28"/>
        </w:rPr>
        <w:t>Проведение работы по раннему выявлению семейного неблагополучия, принятию индивидуальных профилактических мер в отношении родителей, которые не исполняют надлежащим образом своих обязанностей по воспитанию, содержанию и обучению детей – одно из приоритетных направлений в работе районных комиссий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В Приложение Н представлено число семей, состоящих на учёте КПД и ЗП как находящиеся в СОПе, и число семей, снятых с учёта в разрезе районов с 2012 по 2017 год, а также визуализирована динамика семей, поставленных на учёт и снятых с учёта в городе Владивостоке (см. таблицы – 7,8; рисунок – 9).</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Анализируя представленную динамику, можем сделать следующие выводы:</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lastRenderedPageBreak/>
        <w:t>1.</w:t>
      </w:r>
      <w:r w:rsidRPr="00D1277B">
        <w:rPr>
          <w:rFonts w:ascii="Times New Roman" w:hAnsi="Times New Roman"/>
          <w:color w:val="000000"/>
          <w:sz w:val="28"/>
          <w:szCs w:val="28"/>
        </w:rPr>
        <w:tab/>
        <w:t xml:space="preserve">Рост числа семей в СОПе, поставленных на учёт комиссией Ленинского района пришёлся на 2013 (+6), 2015 (+13), 2017 (+3) годы. К 2017 году существенно возросло число семей, снятых с учёта комиссией, однако необходимо учитывать, что семьи могут быть сняты с учёта по различным основаниям, то есть увеличение числа снятых семей, находящихся в СОПе, не обязательно обусловлено исправлением последних. </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2.</w:t>
      </w:r>
      <w:r w:rsidRPr="00D1277B">
        <w:rPr>
          <w:rFonts w:ascii="Times New Roman" w:hAnsi="Times New Roman"/>
          <w:color w:val="000000"/>
          <w:sz w:val="28"/>
          <w:szCs w:val="28"/>
        </w:rPr>
        <w:tab/>
        <w:t>Рост числа семей в СОПе, поставленных на учёт комиссией Первомайского района пришёлся только на 2015 год (+14). В свою очередь, в 2014 произошёл резкий рост числа семей, снятых с учёта (+16 к предыдущему году).</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3.</w:t>
      </w:r>
      <w:r w:rsidRPr="00D1277B">
        <w:rPr>
          <w:rFonts w:ascii="Times New Roman" w:hAnsi="Times New Roman"/>
          <w:color w:val="000000"/>
          <w:sz w:val="28"/>
          <w:szCs w:val="28"/>
        </w:rPr>
        <w:tab/>
        <w:t xml:space="preserve">Незначительный рост числа семей в СОПе, поставленных на учёт комиссией Первореченского района пришёлся на 2014 год (+2 к предыдущему). В 2016 году был зафиксирован рост числа семей в СОПе, снятых с учёта (+6 к предыдущему), однако уже в 2017 году произошло резкое снижение. </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4.</w:t>
      </w:r>
      <w:r w:rsidRPr="00D1277B">
        <w:rPr>
          <w:rFonts w:ascii="Times New Roman" w:hAnsi="Times New Roman"/>
          <w:color w:val="000000"/>
          <w:sz w:val="28"/>
          <w:szCs w:val="28"/>
        </w:rPr>
        <w:tab/>
        <w:t>Во Фрунзенском районе, начиная с 2013 года, наблюдается тенденция снижения числа семей, поставленных на учёт, как находящихся в СОПе. Единственное увеличение произошло в 2015 году (+1 семья к предыдущему году).</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 xml:space="preserve">Что касается динамики числа семей, снятых с учёта, то отметим в целом положительную динамику, за исключением 2016 года. </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Кроме того, посмотрев на динамику, можно сделать вывод, что во Фрунзенском районе, в общем, самое небольшое число семей, снятых с учёта, однако утверждать о неэффективности работы комиссии и иных органов системы профилактики безнадзорности и правонарушений не приходится, поскольку число жителей и, соответственно, число семейных ячеек в районах отличное друг от друга.</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Что касается непосредственно города Владивостока в целом, то можем наблюдать рост числа семей, поставленных на учёт в КПД и ЗП, как находящиеся в СОПе только в 2015 году (+28 к предыдущему году), однако, к примеру, в 2017 году произошло незначительное снижение числа семей, поставленных на учёт (-7) по сравнению с другими годами. Что касается числа семей, снятых с учёта, то, безусловно, мы наблюдаем положительную тенденцию, но, как уже говорилось, данная динамика не свидетельствует об исправлении семьи, кроме того, на протяжении трёх лет (с 2014 по 2016 год) наблюдается тенденция незначительного роста числа семей, снятых с учёта.</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 xml:space="preserve">После описания представленных данных необходимо отметить, что рамках научно-методического проекта № НМ 3399 «Разработка и апробация критериев эффективности деятельности органов и учреждений системы профилактики безнадзорности и правонарушений несовершеннолетних» в соответствии с заданием № 2014/205 на выполнение государственных работ в сфере научной деятельности в рамках базовой части государственного задания Минобрнауки России в 2015 году» при Саратовской государственной юридической академии были подготовлены методические рекомендации по </w:t>
      </w:r>
      <w:r w:rsidRPr="00D1277B">
        <w:rPr>
          <w:rFonts w:ascii="Times New Roman" w:hAnsi="Times New Roman"/>
          <w:color w:val="000000"/>
          <w:sz w:val="28"/>
          <w:szCs w:val="28"/>
        </w:rPr>
        <w:lastRenderedPageBreak/>
        <w:t>использованию критериев оценки эффективности деятельности органов и учреждений системы профилактики безнадзорности и правонарушений несовершеннолетних. Апробация данных критериев была осуществлена в 2015 году.</w:t>
      </w:r>
      <w:r w:rsidRPr="00D1277B">
        <w:rPr>
          <w:rFonts w:ascii="Times New Roman" w:hAnsi="Times New Roman"/>
          <w:color w:val="000000"/>
          <w:sz w:val="28"/>
          <w:szCs w:val="28"/>
          <w:vertAlign w:val="superscript"/>
        </w:rPr>
        <w:footnoteReference w:id="62"/>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Разработанное методическое пособие и, соответственно, представленные в нём методические рекомендации предназначены для руководителей и сотрудников органов и учреждений системы профилактики безнадзорности и правонарушений несовершеннолетних.</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В данном методическом пособии представлен проектный перечень критериев оценки эффективности деятельности комиссий по делам несовершеннолетних и защите их прав и, соответственно, показатели по критериям.</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Эффективность деятельности комиссий по делам несовершеннолетних и защите их прав в Приморском крае была оценена в -4,00 балла, таким образом, Приморский край располагался на 76 позиции. Стоит указать, что некоторые формулировки в способах оценки по показателям требуют небольшой корректировки, о чём будет сказано далее.</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Что касается непосредственно несовершеннолетних граждан, то в 2013 году произошёл рост числа несовершеннолетних, состоящих на учёте в КПД и ЗП в городе Владивостоке (+56 к предыдущему году) и в 2017 году (+11 к предыдущему году). В свою очередь, с 2015 по 2016 год произошло незначительное снижение (-3).</w:t>
      </w:r>
      <w:r w:rsidRPr="00D1277B">
        <w:rPr>
          <w:rFonts w:ascii="Times New Roman" w:hAnsi="Times New Roman"/>
          <w:color w:val="000000"/>
          <w:sz w:val="28"/>
          <w:szCs w:val="28"/>
          <w:vertAlign w:val="superscript"/>
        </w:rPr>
        <w:footnoteReference w:id="63"/>
      </w:r>
    </w:p>
    <w:p w:rsidR="00D1277B" w:rsidRPr="00D1277B" w:rsidRDefault="00D1277B" w:rsidP="00D1277B">
      <w:pPr>
        <w:spacing w:after="0" w:line="240" w:lineRule="auto"/>
        <w:jc w:val="both"/>
        <w:rPr>
          <w:rFonts w:ascii="Times New Roman" w:eastAsia="Times New Roman" w:hAnsi="Times New Roman"/>
          <w:sz w:val="28"/>
          <w:szCs w:val="28"/>
          <w:lang w:eastAsia="ko-KR"/>
        </w:rPr>
      </w:pPr>
      <w:r w:rsidRPr="00D1277B">
        <w:rPr>
          <w:rFonts w:ascii="Times New Roman" w:eastAsia="Times New Roman" w:hAnsi="Times New Roman"/>
          <w:sz w:val="28"/>
          <w:szCs w:val="28"/>
          <w:lang w:eastAsia="ko-KR"/>
        </w:rPr>
        <w:t xml:space="preserve">С несовершеннолетними, состоящими на учёте, также проводится ИПР. Одним из оснований является Постановление комиссии по делам несовершеннолетних и защите их прав. Порядок организации и проведения ИПР с несовершеннолетними, состоящими на учёте в КПД и ЗП, аналогичен порядку организации и проведения ИПР с семьями, находящимися в СОПе. </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В Приложении П</w:t>
      </w:r>
      <w:r w:rsidRPr="00D1277B">
        <w:rPr>
          <w:rFonts w:ascii="Times New Roman" w:hAnsi="Times New Roman"/>
          <w:b/>
          <w:color w:val="FF0000"/>
          <w:sz w:val="28"/>
          <w:szCs w:val="28"/>
        </w:rPr>
        <w:t xml:space="preserve"> </w:t>
      </w:r>
      <w:r w:rsidRPr="00D1277B">
        <w:rPr>
          <w:rFonts w:ascii="Times New Roman" w:hAnsi="Times New Roman"/>
          <w:color w:val="000000"/>
          <w:sz w:val="28"/>
          <w:szCs w:val="28"/>
        </w:rPr>
        <w:t>представлены основные результаты деятельности районных комиссий.</w:t>
      </w:r>
    </w:p>
    <w:p w:rsidR="00D1277B" w:rsidRPr="00D1277B" w:rsidRDefault="00D1277B" w:rsidP="00D1277B">
      <w:pPr>
        <w:spacing w:after="0" w:line="240" w:lineRule="auto"/>
        <w:jc w:val="both"/>
        <w:rPr>
          <w:rFonts w:ascii="Times New Roman" w:hAnsi="Times New Roman"/>
          <w:color w:val="000000"/>
          <w:sz w:val="28"/>
          <w:szCs w:val="28"/>
        </w:rPr>
      </w:pPr>
      <w:r w:rsidRPr="00D1277B">
        <w:rPr>
          <w:rFonts w:ascii="Times New Roman" w:hAnsi="Times New Roman"/>
          <w:color w:val="000000"/>
          <w:sz w:val="28"/>
          <w:szCs w:val="28"/>
        </w:rPr>
        <w:t>На рисунке 10 представлено количество несовершеннолетних, в отношении которых проводилась ИПР в течение отчетного периода. Таким образом, в 2016 году по сравнению с 2015 годом во всех районах города Владивостока увеличилось число несовершеннолетних граждан, в отношении которых проводилась индивидуальная профилактическая работа (см. Приложение П, рисунок 10).</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ИПР направлена на своевременное выявление несовершеннолетних и семей, находящихся в СОПе, а также на их социально-педагогическую реабилитацию и (или) предупреждение совершения ими правонарушений и антиобщественных действий.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Немаловажную роль, можно сказать решающую роль, при выявлении несовершеннолетних и семей, находящихся в СОПе, играют </w:t>
      </w:r>
      <w:r w:rsidRPr="00D1277B">
        <w:rPr>
          <w:rFonts w:ascii="Times New Roman" w:hAnsi="Times New Roman"/>
          <w:sz w:val="28"/>
          <w:szCs w:val="28"/>
        </w:rPr>
        <w:lastRenderedPageBreak/>
        <w:t>межведомственные рейды, организуемые и проводимые районными комиссиями по делам несовершеннолетних и защите их прав в городе Владивостоке.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таблице 9 представлено количество межведомственных рейдов, проводимых районными комиссиями (см. Приложение П, таблица 9).</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Анализируя представленные данные, можем наблюдать стабильный рост количества межведомственных рейдов, проводимых комиссиями по делам несовершеннолетних и защите их прав с 2012 по 2015 год. Однако снижение произошло в 2016 и 2017 годах, причём резкое снижение наблюдается именно в 2017 году (-59 к предыдущему году).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То есть, если раньше рейды проводились каждую неделю, то в 2017 году пришли к выводу, что следует делать межведомственные рейды 2 раза в месяц, а машину на свободной неделе использовать в адресном направлении, например, чтобы отвезти ребёнка и его родителей/законных представителей в наркологию, больницу, реабилитационный центр и так далее, то есть другими словами работа, ориентированная на результат.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Тем не менее, неоднократно отмечалось, что еженедельное проведение рейдов даёт возможность объективно оценивать ситуацию в неблагополучных семьях,  контролировать обстановку в семье в динамике, оказывать  необходимую помощь. Тем более что подобное межведомственное взаимодействие, как и проведение ИПР предполагает системную работу с семьями и несовершеннолетними, находящимися в СОПе.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Также необходимо указать, что основной формой деятельности комиссий является заседание комиссий. На заседаниях комиссий рассматриваются материалы в отношении несовершеннолетних, совершивших правонарушения, а также в отношении их родителей, поведение которых находится в причинной связи с поведением несовершеннолетних, с применением мер административного и общественного воздействия.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таблице 10 представлено общее количество материалов, поступивших в КПД и ЗП в отношении несовершеннолетних граждан в разрезе районов (см. Приложение П, таблица 10).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Рост количества поступивших материалов пришёлся на 2013 год, в 2016 году произошло резкое снижение поступивших материалов в КПД и ЗП (-64 к предыдущему), в остальное время наблюдалась в целом стабильная положительная динамика.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Кроме того, материалы, поступившие в комиссию, заранее изучаются председателем и заместителем председателя комиссии в целях обеспечения своевременного и правильного разрешения.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 результатам рассмотрения дел комиссия вправе применить, как в отношении несовершеннолетнего, так и в отношении родителей/законных представителей соответствующие меры воздействия. Также по результатам рассмотрения конкретных материалов в отношении несовершеннолетних, их родителей (иных законных представителей) и других лиц комиссия принимает Постановления.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Ещё одной основной функцией городской и районных в городе комиссий является рассмотрение дел об административных правонарушениях, предусмотренных Кодексом Российской Федерации об административных правонарушениях (далее – КоАП РФ), и Законом Приморского края от 05.03.2007 № 44-КЗ «Об административных правонарушениях в Приморском крае».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Комиссии рассматривают дела об административных правонарушениях, совершенных несовершеннолетними (6.8, 6.9, 6.11, 6.24, 7.17, 7.27, 20.1, 20.3, 20.20, 20.21), а также дела об административных правонарушениях, предусмотренных статьями (5.35, 5.36, 6.10, 6.23, 20.22) КоАП РФ.</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Соответственно, КПД и ЗП наделена правом составлять протоколы об административных правонарушениях наравне с иными должностными лицами органов, уполномоченных рассматривать дела об административных правонарушениях.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таблице 11 представлено количество протоколов об административных правонарушениях несовершеннолетних, поступивших на рассмотрение в муниципальные КДН и ЗП, а в таблице 12 в отношении родителей/законных представителей, иных взрослых лиц (см. Приложение П, таблица 11, 12).</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можем наблюдать увеличение количества протоколов об административных правонарушениях в отношении несовершеннолетних лиц в 2014 году (+26 к предыдущему), в 2015 году (+105 к предыдущему) и в 2017 году (+63 к предыдущему году).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Также можно наблюдать, что наименьшее количество поступивших протоколов в отношении несовершеннолетних приходится на Фрунзенский район. Это может быть связано с тем, что на территории Фрунзенского района проживает меньше всего н/л граждан (численность последних не достигает и 10 тыс.).</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Анализируя таблицу 12, очевидна тенденция стабильного увеличения количества протоколов об административных правонарушениях в отношении родителей (законных представителей) несовершеннолетних и иных взрослых лиц, только в 2016 году произошло снижение.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 словам специалистов КПД и ЗП в 2013 году был отменён комендантский час, как следствие рост ответственности родителей за несовершеннолетних лиц возросла. Кроме того, имеет место быть такой фактор, как постоянные изменения в законодательстве, что, безусловно, влияет на рост количества протоколов.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Постановление комиссии по делам несовершеннолетних и защите их прав по результатам рассмотрения дел об административных правонарушениях оформляется в соответствии с КоАП РФ.</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Помимо прочего, комиссиями в городе Владивостоке организуются и проводятся заседания, расширенные заседания, координационные совещания, на которых обсуждаются вопросы улучшения межведомственного взаимодействия и делается акцент на более согласованной работе органов системы профилактики. Комиссии принимают Постановления по результатам </w:t>
      </w:r>
      <w:r w:rsidRPr="00D1277B">
        <w:rPr>
          <w:rFonts w:ascii="Times New Roman" w:hAnsi="Times New Roman"/>
          <w:sz w:val="28"/>
          <w:szCs w:val="28"/>
        </w:rPr>
        <w:lastRenderedPageBreak/>
        <w:t>обсуждения вопросов по координации деятельности органов и учреждений системы профилактики безнадзорности и правонарушений несовершеннолетних, которые являются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Все постановления комиссий обязательны для исполнения органами и учреждениями системы профилактики безнадзорности и правонарушений несовершеннолетних. Данные органы и учреждения обязаны сообщить о принятых мерах. В случае неисполнения постановлений комиссий наступает ответственность.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районные комиссии посредством координирования работы по выполнению комплексного плана мероприятий по проведению ИПР с несовершеннолетними, контроля за его реализацией, посредством организации межведомственных рейдов, заседаний, координационных совещаний, посредством рассмотрения поступивших мероприятий/протоколов, принятия Постановлений, обязательных к исполнению, реализуют ряд важнейших функций в области профилактики правонарушений среди несовершеннолетних граждан. </w:t>
      </w:r>
    </w:p>
    <w:p w:rsidR="00D1277B" w:rsidRPr="00D1277B" w:rsidRDefault="00D1277B" w:rsidP="00D1277B">
      <w:pPr>
        <w:spacing w:after="0" w:line="240" w:lineRule="auto"/>
        <w:jc w:val="both"/>
        <w:rPr>
          <w:rFonts w:ascii="Times New Roman" w:hAnsi="Times New Roman"/>
          <w:sz w:val="28"/>
          <w:szCs w:val="28"/>
        </w:rPr>
      </w:pPr>
    </w:p>
    <w:p w:rsidR="00D1277B" w:rsidRPr="00D1277B" w:rsidRDefault="00D1277B" w:rsidP="008D7AA1">
      <w:pPr>
        <w:spacing w:after="240" w:line="240" w:lineRule="auto"/>
        <w:jc w:val="both"/>
        <w:rPr>
          <w:rFonts w:ascii="Times New Roman" w:hAnsi="Times New Roman"/>
          <w:b/>
          <w:sz w:val="28"/>
          <w:szCs w:val="28"/>
        </w:rPr>
      </w:pPr>
      <w:r w:rsidRPr="00D1277B">
        <w:rPr>
          <w:rFonts w:ascii="Times New Roman" w:hAnsi="Times New Roman"/>
          <w:b/>
          <w:sz w:val="28"/>
          <w:szCs w:val="28"/>
        </w:rPr>
        <w:t>2.4 Рекомендации по совершенствованию деятельности комиссий по делам несовершеннолетних и защите их прав в городе Владивостоке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Перед тем как предлагать рекомендации по совершенствованию непосредственно деятельности комиссий по делам несовершеннолетних и защите их прав в городе Владивостоке необходимо сосредоточить своё внимание на некоторых недостатках, связанных с регулированием деятельности комиссий на федеральном и региональном уровнях.</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настоящей работе, благодаря анализу законодательной базы, закрепляющей основные положения, касающиеся создания и организации деятельности комиссий, а также благодаря анализу ряда научных работ был выявлен такой пробел как отсутствие Федерального закона о комиссиях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случае принятия Федерального закона необходимость в функционировании Примерного положения отпадёт, поскольку нет смысла в дублировании норм (иначе в нормативной избыточности), а также в разы будет уменьшена вероятность возникновения коллизий между федеральным, региональным и муниципальным законодательством, точнее между их нормами.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Приложении Р представлен перечень аспектов, который должен быть отражён в новом Федеральном законе.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Вторым немаловажным пробелом является то, что далеко не во всех регионах и, соответственно, муниципальных образованиях функционирует аппарат, цель которого заключается в обеспечении деятельности комиссий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Помимо прочего, если аппарат и функционирует, то даже в этом случае, можно обозначить ряд проблем, которые требуют решения. Однако изначально следует указать, что в 2012 году был составлен Протокол </w:t>
      </w:r>
      <w:r w:rsidRPr="00D1277B">
        <w:rPr>
          <w:rFonts w:ascii="Times New Roman" w:hAnsi="Times New Roman"/>
          <w:sz w:val="28"/>
          <w:szCs w:val="28"/>
        </w:rPr>
        <w:lastRenderedPageBreak/>
        <w:t>заседания Правительственной комиссии по делам несовершеннолетних и защите их прав от 11 декабря 2012 г. № 1 и в данном протоколе в пункте 3 было рекомендовано руководителям высших органов исполнительной власти субъекта РФ «создать структурные подразделения в аппаратах высших исполнительных органов государственной власти субъектов Российской Федерации, обеспечивающие деятельность комиссий, а также реализовать дополнительные меры по кадровому обеспечению комиссий, осуществляющих свою деятельность на уровне муниципальных образований».</w:t>
      </w:r>
      <w:r w:rsidRPr="00D1277B">
        <w:rPr>
          <w:rFonts w:ascii="Times New Roman" w:hAnsi="Times New Roman"/>
          <w:sz w:val="28"/>
          <w:szCs w:val="28"/>
          <w:vertAlign w:val="superscript"/>
        </w:rPr>
        <w:footnoteReference w:id="64"/>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Но в утверждённом Примерном положении указано следующее: «Высшие исполнительные органы государственной власти субъектов Российской Федерации, а также органы местного самоуправления на которые в соответствии с законодательством субъектов Российской Федерации возложены полномочия по созданию территориальных (муниципальных) комиссий, для обеспечения деятельности комиссий субъектов Российской Федерации и территориальных (муниципальных) комиссий могут создавать отделы или другие структурные подразделения в составе исполнительных органов государственной власти субъектов Российской Федерации или органов местного самоуправления».</w:t>
      </w:r>
      <w:r w:rsidRPr="00D1277B">
        <w:rPr>
          <w:rFonts w:ascii="Times New Roman" w:hAnsi="Times New Roman"/>
          <w:sz w:val="28"/>
          <w:szCs w:val="28"/>
          <w:vertAlign w:val="superscript"/>
        </w:rPr>
        <w:footnoteReference w:id="65"/>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В результате в одном регионе аппарат создан в виде отдела или другого структурного подразделения в составе исполнительного органа государственной власти субъекта РФ, в другом регионе аппарат функционирует в статусе самостоятельного органа исполнительной власти, в третьем аппарат создан в государственном казённом учреждении и т.п. То есть отсутствует единый подход к определению статуса аппарата. Кроме того, в некоторых регионах аппараты, созданные высшими органами исполнительной власти субъекта РФ, функционируют в качестве структурного подразделения в составе органов системы профилактики, что делает аппарат зависимым от ведомственных интересов, затормаживает процесс координации и быстрого реагирования на возникающие недостатки в деятельности органов системы профилактики.</w:t>
      </w:r>
      <w:r w:rsidRPr="00D1277B">
        <w:rPr>
          <w:rFonts w:ascii="Times New Roman" w:hAnsi="Times New Roman"/>
          <w:sz w:val="28"/>
          <w:szCs w:val="28"/>
          <w:vertAlign w:val="superscript"/>
        </w:rPr>
        <w:footnoteReference w:id="66"/>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Также зачастую происходит подмена полномочий комиссий и аппаратов, обеспечивающих их деятельность. В связи с чем, необходимо, чтобы в каждом регионе было принято Положение о деятельности Аппарат по организации и обеспечению деятельности комиссий, где бы были чётко определены полномочия аппарата (права + обязанности).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Таким образом, в целях выработки единого подхода к определению статуса аппарата следует либо закрепить норму, указанную в Протоколе заседания Правительственной комиссии от 2012 года, либо закрепить следующее положение: «Высшие исполнительные органы государственной власти субъектов Российской Федерации, а также органы местного самоуправления на которые в соответствии с законодательством субъектов Российской Федерации возложены полномочия по созданию территориальных (муниципальных) комиссий, для обеспечения деятельности комиссий субъектов Российской Федерации и территориальных (муниципальных) комиссий могут создавать аппарат в качестве самостоятельного отдела или структурного подразделения высшего органа исполнительной власти субъекта РФ или местной администрации».</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Приморском крае деятельность комиссий по делам несовершеннолетних и защите их прав регулируется отдельным законом, который одновременно регулирует вопросы о наделении органов местного самоуправления отдельными государственными полномочиями по созданию и организации деятельности комиссии. Таким образом, с точки зрения правового регулирования данная модель является приемлемой и удачной.</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Упущением в данном законе является отсутствие статьи/главы, посвящённой рассмотрению комиссией материалов (дел), не связанных с делами об административных правонарушениях, что противоречит федеральному законодательству.</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Что касается деятельности комиссий на уровне города Владивостока, то необходимо начать также с правового регулирования, но сразу необходимо сделать оговорку о том, что упущения в правовом регулировании на уровне  города идентичны упущениям, допущенным на региональном уровне, что логично, поскольку при разработке соответствующих муниципальных актов законодатель руководствуется как федеральным законодательством, так и региональным законодательством.</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Поправки, которые необходимо внести в распорядительные документы г. Владивостока указаны в Приложение С (таблица 13).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Помимо пробелов в правовом регулировании есть ряд иных вопросов, требующих внимания и разрешения.</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Во-первых, необходимо прояснить ситуацию с организацией и проведением межведомственных рейдов, которые являются одной из главных форм взаимодействия органов системы профилактики безнадзорности и правонарушений.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Посредством проведённого анализа в предыдущем параграфе было указано, что количество межведомственных рейдов, осуществляемых районными комиссиями в г. Владивостоке совместно с иными органами системы профилактики на протяжении двух лет (2016-2017 год) сокращалось. В 2017 году резкое снижение специалисты объяснили тем, что машину, предоставляемую администрацией города Владивостока, следует использовать в адресном направлении, кроме того, заместитель главы </w:t>
      </w:r>
      <w:r w:rsidRPr="00D1277B">
        <w:rPr>
          <w:rFonts w:ascii="Times New Roman" w:hAnsi="Times New Roman"/>
          <w:sz w:val="28"/>
          <w:szCs w:val="28"/>
        </w:rPr>
        <w:lastRenderedPageBreak/>
        <w:t xml:space="preserve">администрации заявила, что комиссиям необходимо больше работать с документами.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связи с принятием такого решения количество рейдов было сокращено в два раза. Возникает вопрос –  насколько это решение эффективно.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С одной стороны, после каждого межведомственного рейда комиссия обязана составлять акты обследования условий жизни и воспитания детей в семьях, которые были посещены в ходе рейда. Безусловно, это увеличивает и без того существенный объём работы с документами.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С другой стороны, осуществляя межведомственные рейды два раза в месяц районные комиссии просто не в силах охватить даже большую часть семей, поставленных на учёт. Безусловно, можно сослаться на то, что частота посещения той или иной семьи устанавливается в зависимости от состояния семьи, а также на то, что в обязанности инспектора по работе с детьми ОВД и специалистов территориальных органов опеки и попечительства входит посещение семьи один раз в месяц. Однако ценность межведомственного рейда как раз и заключается в том, что в нём принимают участие представители разных структур, которые в силу специфики своей деятельности могут оказать соответствующую помощь, либо посоветовать, куда необходимо обратиться.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Кроме того, в Порядках межведомственного взаимодействия заявлено, что должна осуществляться именно системная работа, цель которой непрерывное сопровождение семьи, то есть от того момента, как был выявлен фактор неблагополучия до полного выздоровления семьи.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Насколько объективную в данном случае можно дать рекомендацию – спорный вопрос. Однако если учесть, что в городе Владивостоке функционирует такая служба, как Социальный патруль, куда включены также представители системы профилактики, незамедлительно реагирующие на поступающую информацию о жестоком обращении с детьми, то данная служба может взять на себя функцию, например, по доставлению ребёнка, в случае критической ситуации, в реабилитационный центр или в наркологический центр и т.п.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 случае, если ситуация не является критической, то один раз в месяц можно предоставлять машину, а межведомственные рейды увеличить хотя бы до 3 в месяц.</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Во-вторых, для понимания того, насколько эффективно районные комиссии осуществляют свою деятельность необходимо внедрить критерии оценки эффективности деятельности комиссий. Целесообразным будет применить критерии, апробированные в 2015 году, но с определёнными изменениями, поскольку в первоначальном их виде были допущены существенные ошибки, а также введём собственный критерий оценки, касающийся количества рассмотренных обращений граждан (жалобы, заявления) районными комиссиями.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 xml:space="preserve">Проектный перечень критериев для оценки эффективности деятельности комиссии по делам несовершеннолетних и защите их прав в г. Владивостоке представлен в Приложении С (таблицы  - 14, 15, 16).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Перечень критериев оценки (соответственно, показатели по критериям и способы оценки) следует добавить в виде Приложения 2. «Методика оценки эффективности деятельности районных комиссий по делам несовершеннолетних и защите их прав» к Закону Приморского края от 08 ноября 2005 года № 296-КЗ.</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Благодаря представленным критериям будет предоставлена возможность сравнивать показатели деятельности районных комиссий отчётного периода с показателями за аналогичный отчетный период предыдущего года. В связи с чем, будут определены те направления деятельности, в отношении которых необходимо усилить работу.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В-третьих, особое внимание следует уделить межведомственному взаимодействию органов системы профилактики безнадзорности и правонарушений, поскольку здесь также есть свои существенные нюансы, затормаживающие процесс взаимодействия. А именно, КПД и ЗП, являясь с одной стороны координирующим органом в системе профилактики безнадзорности и правонарушений среди несовершеннолетних, с другой стороны является полностью зависимым органом от всех ведомств системы профилактики. Если происходит сбой при передачи информации с одним из органов, то специалисты комиссий сталкиваются с проблемами при осуществлении своей деятельности и процесс работы затормаживается (информационный вакуум).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К примеру, когда мы проводили анализ преступности среди несовершеннолетних в возрасте 14-17 лет в городе Владивостоке, то было выявлено, что во Фрунзенском районе интенсивность преступности на 1000 несовершеннолетних граждан самая высокая по сравнению с другими районами города Владивостока за 2016-2017 годы, что вполне может свидетельствовать о недостаточном взаимодействии с отделениями полиции на территории района.</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Однако есть ещё пару проблем, мешающих наладить должное межведомственное взаимодействие, к примеру, на заседаниях комиссии зачастую представляется сухая статистика, то есть без указания причин и факторов, которые могли спровоцировать противоправное поведение несовершеннолетних. В связи с чем, в обязательном порядке каждая цифра должна быть пояснена.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Помимо прочего, существенную роль играет кадровый голод, особенно в органах опеки и попечительства и в органах полиции. Если, к примеру, специалист органа опеки и попечительства должен был представить характеристику несовершеннолетнего комиссии, чтобы последняя прикрепила данную характеристику к делу, но в результате несчастного случая специалист ушла на больничный, то возникают проблемы в работе КПД и ЗП. Кроме того, в связи с нехваткой таких специалистов, как </w:t>
      </w:r>
      <w:r w:rsidRPr="00D1277B">
        <w:rPr>
          <w:rFonts w:ascii="Times New Roman" w:hAnsi="Times New Roman"/>
          <w:sz w:val="28"/>
          <w:szCs w:val="28"/>
        </w:rPr>
        <w:lastRenderedPageBreak/>
        <w:t>инспектор по делам несовершеннолетних отсутствует должная профилактическая работа в общеобразовательных учреждениях.</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Также недостаток юридических знаний у специалистов комиссий по делам несовершеннолетних и защите их прав может сказаться на своевременной передаче необходимой информации или ответной реакции. В городе Владивостоке большая часть специалистов имеют высшее педагогическое образование. Однако деятельность КПД и ЗП связана с рассмотрением дел об административных правонарушениях и соответствующим объёмным перечнем документов в данной области, в случае возникновения спорных ситуаций специалист затрачивает больше времени на поиск ответа/решения.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В такой ситуации можно порекомендовать дополнительные профессиональные образовательные программы повышения квалификации (форма реализации: очная, дистанционная). В силу того, что данная услуга предоставляется на базе Саратовской государственной юридической академии, то наш выбор сводится к дистанционной форме обучения. Обучение происходит по мере формирования групп, общее количество часов – 18, обучение проводится ежемесячно. Также обучение может проходить на базе Юридической школы Дальневосточного федерального университета.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Таким образом, в настоящем параграфе были даны рекомендации по разрешению ряда выявленных проблем, препятствующих должному осуществлению деятельности комиссий по делам несовершеннолетних и защите их прав в городе Владивостоке по профилактике правонарушений среди несовершеннолетних граждан.</w:t>
      </w:r>
    </w:p>
    <w:p w:rsidR="00D1277B" w:rsidRPr="00D1277B" w:rsidRDefault="00D1277B" w:rsidP="0081044D">
      <w:pPr>
        <w:spacing w:before="360" w:after="240" w:line="240" w:lineRule="auto"/>
        <w:jc w:val="center"/>
        <w:rPr>
          <w:rFonts w:ascii="Times New Roman" w:hAnsi="Times New Roman"/>
          <w:b/>
          <w:sz w:val="28"/>
          <w:szCs w:val="28"/>
        </w:rPr>
      </w:pPr>
      <w:r w:rsidRPr="00D1277B">
        <w:rPr>
          <w:rFonts w:ascii="Times New Roman" w:hAnsi="Times New Roman"/>
          <w:b/>
          <w:sz w:val="28"/>
          <w:szCs w:val="28"/>
        </w:rPr>
        <w:t>Заключение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 результатам работы достигнута её главная цель – проанализирована деятельность комиссий по делам несовершеннолетних и защите их прав в городе Владивостоке, выявлены проблемы и предложены рекомендации по их устранению.</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Проанализировав деятельность комиссий в городе Владивостоке, были даны следующие рекомендации по устранению выявленных проблем в деятельности комиссий по делам несовершеннолетних и защите их прав в городе Владивостоке: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внесение соответствующих поправок в нормативно-правовые акты, регулирующие деятельность комиссий по делам несовершеннолетних и защите их прав в городе Владивостоке. Однако, прежде всего, следует привести в порядок правовое регулирование на федеральном и, соответственно, региональном уровне;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увеличить количество межведомственных рейдов хотя бы до 3 в месяц и активно в случае необходимости использовать Службу «Социальный патруль»;</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апробировать представленные в работе критерии оценки эффективности деятельности комиссий по делам несовершеннолетних и защите их прав;</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 органы и учреждения системы профилактики правонарушений среди несовершеннолетних граждан должны в обязательном порядке оглашать причины и условия, способствующие, к примеру, росту преступности среди несовершеннолетних в n-районе;</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в силу нехватки юридических знаний у специалистов районных комиссий по делам несовершеннолетних и защите их прав в городе Владивостоке рекомендовать дополнительные профессиональные образовательные программы повышения квалификации при Саратовской государственной юридической академии (дистанционное обучение), либо на базе Юридической школы Дальневосточного федерального университета. </w:t>
      </w:r>
    </w:p>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Таким образом, можно предположить, что реализация данных рекомендаций будет способствовать более продуктивной работе комиссий по делам несовершеннолетних и защите их прав в городе Владивостоке по профилактике правонарушений среди несовершеннолетних граждан.</w:t>
      </w:r>
    </w:p>
    <w:p w:rsidR="00D1277B" w:rsidRPr="00D1277B" w:rsidRDefault="00D1277B" w:rsidP="00BE3F2C">
      <w:pPr>
        <w:spacing w:before="360" w:after="240" w:line="240" w:lineRule="auto"/>
        <w:jc w:val="center"/>
        <w:rPr>
          <w:rFonts w:ascii="Times New Roman" w:hAnsi="Times New Roman"/>
          <w:b/>
          <w:sz w:val="28"/>
          <w:szCs w:val="28"/>
        </w:rPr>
      </w:pPr>
      <w:r w:rsidRPr="00D1277B">
        <w:rPr>
          <w:rFonts w:ascii="Times New Roman" w:hAnsi="Times New Roman"/>
          <w:b/>
          <w:sz w:val="28"/>
          <w:szCs w:val="28"/>
        </w:rPr>
        <w:t>Список использованных источников</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Об основах системы профилактики безнадзорности и правонарушений несовершеннолетних Российской Федерации [Электронный ресурс] : от 24.06.1999 г. № 120-ФЗ: принят Гос. Думой 21.05.1999 г. – Электрон. дан. – Режим доступа : http://base.garant.ru/12116087/.</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  О Национальной стратегии действий в интересах детей на 2012 - 2017 годы [Электронный ресурс] : Указ Президента РФ от 01.06.2012 г. № 761. – Электрон. дан. – Режим доступа : http://www.consultant.ru/document/cons_doc_LAW_130516/.</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Об утверждении Концепции развития системы профилактики безнадзорности и правонарушений несовершеннолетних на период до 2020 года и плана мероприятий на 2017-2020 годы по ее реализации [Электронный ресурс] : Распоряжение Правительства РФ от 22.03.2017 г. № 520-р. – Электрон. дан. – Режим доступа : http://docs.cntd.ru/document/420395219.</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Государственный доклад о положении детей и семей, имеющих детей, в Российской Федерации за 2016 год [Электронный ресурс] : Министерство труда и социальной защиты Российской Федерации. – Электрон. дан. – Режим доступа: https://rosmintrud.ru/docs/mintrud/protection/474.</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Протокол заседания Правительственной комиссии по делам несовершеннолетних и защите их прав от 11.12.2012 г. № 1 [Электронный ресурс] : Официальный сайт Правительства Российской Федерации - Электрон. дан. – Режим доступа : http://government.ru/department/159/events/.</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 Приморской краевой межведомственной комиссии по делам несовершеннолетних и защите их прав [Электронный ресурс] : Постановление Администрации Приморского края от 24.06.2016 г. № 276-па. – Электрон. дан. – Режим доступа : http://docs.cntd.ru/document/438958915.</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Борисова В.Ф., Ильгова Е.В., Кузнецова И.О. Оценка эффективности деятельности системы профилактики безнадзорности и правонарушений </w:t>
      </w:r>
      <w:r w:rsidRPr="00D1277B">
        <w:rPr>
          <w:rFonts w:ascii="Times New Roman" w:hAnsi="Times New Roman"/>
          <w:sz w:val="28"/>
          <w:szCs w:val="28"/>
        </w:rPr>
        <w:lastRenderedPageBreak/>
        <w:t>несовершеннолетних : коллективная монография : коллективная монография / В.Ф. Борисова, Е.В. Ильгова, И.О. Кузнецова ; ФГБОУ ВО «Саратовская государственная юридическая академия». Саратов: ИП Коваль Ю.В., 2015. – 124 с. – Электрон. дан. – Режим доступа: http://сгюа.рф/documents/structure/KDNiZP/Ilgovamonografia-Maket.pdf.</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Баукова Н.Г., Карпова М.И., Кривобород Л.Н., Филонова Е.А., Храмкова В.А. Статистика правонарушений в Приморском крае: Статистический сборник/Приморскстат, 2018. – 68 с.</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Баукова Н.Г., Карпова М.И., Кривобород Л.Н., Филонова Е.А., Храмкова В.А. Статистика правонарушений в Приморском крае. 2016: Статистический сборник/Приморскстат, 2017. – 68 с. </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Паатова М.Э., Бегидова С.Н., Хакунов Н.Х. Теоретико-методологический анализ социально-педагогических феноменов «девиантное поведение» и «делинквентное поведение» подростков  [Электронный ресурс] : Вестник Адыгейского государственного университета. Серия 3: Педагогика и психология. – 2012. – С. 1-10. – Электрон. дан. – Режим доступа : https://cyberleninka.ru/article/n/teoretiko-metodologicheskiy-analiz-sotsialnopedagogicheskih-fenomenov-deviantnoe-povedenie-i-delinkventnoe-povedenie-podrostkov.</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Есберген О.А. «Криминология: Учебник»: Юридический центр Пресс; СПб.; 2013. – 350 с. Электрон. дан. – Режим доступа : https://litportal.ru/avtory/esbergen-alauhanov/kniga-kriminologiya-229697.html.</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Официальный сайт Администрации города Владивостока (Управление по организации работы комиссий по делам несовершеннолетних и защите их прав) [Электронный ресурс].  – Электрон. дан. –  Режим доступа : http://old.vlc.</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Официальный сайт Саратовской государственной юридической академии: Всероссийский центр методического обеспечения деятельности комиссий по делам несовершеннолетних и защите их прав. [Электронный ресурс]. – Электрон. дан. – Режим доступа :  http://сгюа.рф/about-kdnizp.</w:t>
      </w:r>
    </w:p>
    <w:p w:rsidR="00D1277B" w:rsidRPr="00D1277B" w:rsidRDefault="00D1277B" w:rsidP="007F4EC1">
      <w:pPr>
        <w:numPr>
          <w:ilvl w:val="0"/>
          <w:numId w:val="50"/>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Данные, предоставленные Управлением по организации работы КПД и ЗП.</w:t>
      </w:r>
    </w:p>
    <w:p w:rsidR="00D1277B" w:rsidRPr="00D1277B" w:rsidRDefault="00D1277B" w:rsidP="00D1277B">
      <w:pPr>
        <w:spacing w:after="0" w:line="360" w:lineRule="auto"/>
        <w:contextualSpacing/>
        <w:jc w:val="center"/>
        <w:rPr>
          <w:rFonts w:ascii="Times New Roman" w:hAnsi="Times New Roman"/>
          <w:sz w:val="28"/>
        </w:rPr>
      </w:pPr>
    </w:p>
    <w:p w:rsidR="00D1277B" w:rsidRDefault="00D1277B" w:rsidP="00D1277B">
      <w:pPr>
        <w:spacing w:after="0" w:line="360" w:lineRule="auto"/>
        <w:contextualSpacing/>
        <w:jc w:val="right"/>
        <w:rPr>
          <w:rFonts w:ascii="Times New Roman" w:hAnsi="Times New Roman"/>
          <w:sz w:val="28"/>
        </w:rPr>
      </w:pPr>
    </w:p>
    <w:p w:rsidR="00BE3F2C" w:rsidRDefault="00BE3F2C" w:rsidP="00D1277B">
      <w:pPr>
        <w:spacing w:after="0" w:line="360" w:lineRule="auto"/>
        <w:contextualSpacing/>
        <w:jc w:val="right"/>
        <w:rPr>
          <w:rFonts w:ascii="Times New Roman" w:hAnsi="Times New Roman"/>
          <w:sz w:val="28"/>
        </w:rPr>
      </w:pPr>
    </w:p>
    <w:p w:rsidR="00BE3F2C" w:rsidRDefault="00BE3F2C" w:rsidP="00D1277B">
      <w:pPr>
        <w:spacing w:after="0" w:line="360" w:lineRule="auto"/>
        <w:contextualSpacing/>
        <w:jc w:val="right"/>
        <w:rPr>
          <w:rFonts w:ascii="Times New Roman" w:hAnsi="Times New Roman"/>
          <w:sz w:val="28"/>
        </w:rPr>
      </w:pPr>
    </w:p>
    <w:p w:rsidR="00BE3F2C" w:rsidRDefault="00BE3F2C" w:rsidP="00D1277B">
      <w:pPr>
        <w:spacing w:after="0" w:line="360" w:lineRule="auto"/>
        <w:contextualSpacing/>
        <w:jc w:val="right"/>
        <w:rPr>
          <w:rFonts w:ascii="Times New Roman" w:hAnsi="Times New Roman"/>
          <w:sz w:val="28"/>
        </w:rPr>
      </w:pPr>
    </w:p>
    <w:p w:rsidR="00BE3F2C" w:rsidRDefault="00BE3F2C" w:rsidP="00D1277B">
      <w:pPr>
        <w:spacing w:after="0" w:line="360" w:lineRule="auto"/>
        <w:contextualSpacing/>
        <w:jc w:val="right"/>
        <w:rPr>
          <w:rFonts w:ascii="Times New Roman" w:hAnsi="Times New Roman"/>
          <w:sz w:val="28"/>
        </w:rPr>
      </w:pPr>
    </w:p>
    <w:p w:rsidR="00BE3F2C" w:rsidRDefault="00BE3F2C" w:rsidP="00D1277B">
      <w:pPr>
        <w:spacing w:after="0" w:line="360" w:lineRule="auto"/>
        <w:contextualSpacing/>
        <w:jc w:val="right"/>
        <w:rPr>
          <w:rFonts w:ascii="Times New Roman" w:hAnsi="Times New Roman"/>
          <w:sz w:val="28"/>
        </w:rPr>
      </w:pPr>
    </w:p>
    <w:p w:rsidR="00BE3F2C" w:rsidRPr="00D1277B" w:rsidRDefault="00BE3F2C"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r w:rsidRPr="00D1277B">
        <w:rPr>
          <w:rFonts w:ascii="Times New Roman" w:hAnsi="Times New Roman"/>
          <w:sz w:val="28"/>
        </w:rPr>
        <w:lastRenderedPageBreak/>
        <w:t>ПРИЛОЖЕНИЕ А</w:t>
      </w:r>
    </w:p>
    <w:p w:rsidR="00D1277B" w:rsidRPr="00D1277B" w:rsidRDefault="00D1277B" w:rsidP="00D1277B">
      <w:pPr>
        <w:spacing w:after="0" w:line="360" w:lineRule="auto"/>
        <w:contextualSpacing/>
        <w:jc w:val="both"/>
        <w:rPr>
          <w:rFonts w:ascii="Times New Roman" w:hAnsi="Times New Roman"/>
          <w:sz w:val="28"/>
        </w:rPr>
      </w:pPr>
      <w:r w:rsidRPr="00D1277B">
        <w:rPr>
          <w:rFonts w:ascii="Times New Roman" w:hAnsi="Times New Roman"/>
          <w:sz w:val="28"/>
        </w:rPr>
        <w:t>Таблица 1 - Причины и факторы, способствующие совершению правонарушений несовершеннолетними</w:t>
      </w:r>
    </w:p>
    <w:tbl>
      <w:tblPr>
        <w:tblStyle w:val="19"/>
        <w:tblW w:w="0" w:type="auto"/>
        <w:tblInd w:w="108" w:type="dxa"/>
        <w:tblLook w:val="04A0" w:firstRow="1" w:lastRow="0" w:firstColumn="1" w:lastColumn="0" w:noHBand="0" w:noVBand="1"/>
      </w:tblPr>
      <w:tblGrid>
        <w:gridCol w:w="9520"/>
      </w:tblGrid>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1. </w:t>
            </w:r>
            <w:r w:rsidRPr="00D1277B">
              <w:rPr>
                <w:rFonts w:ascii="Times New Roman" w:hAnsi="Times New Roman"/>
                <w:b/>
                <w:sz w:val="28"/>
                <w:szCs w:val="28"/>
              </w:rPr>
              <w:t>Состояние аномии</w:t>
            </w:r>
            <w:r w:rsidRPr="00D1277B">
              <w:rPr>
                <w:rFonts w:ascii="Times New Roman" w:hAnsi="Times New Roman"/>
                <w:sz w:val="28"/>
                <w:szCs w:val="28"/>
              </w:rPr>
              <w:t xml:space="preserve"> (теория аномии Эмиля Дюркгейма - отсутствие регуляции, ослабление нормативной системы общества (состояние «безнормности», т.е. отсутствие норм, а не отсутствие способности к нормативному урегулированию) и Роберта Мертона – несогласованность устремлений и механизмов их реализации).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2. </w:t>
            </w:r>
            <w:r w:rsidRPr="00D1277B">
              <w:rPr>
                <w:rFonts w:ascii="Times New Roman" w:hAnsi="Times New Roman"/>
                <w:b/>
                <w:sz w:val="28"/>
                <w:szCs w:val="28"/>
              </w:rPr>
              <w:t>Существующая социально-экономическая обстановка</w:t>
            </w:r>
            <w:r w:rsidRPr="00D1277B">
              <w:rPr>
                <w:rFonts w:ascii="Times New Roman" w:hAnsi="Times New Roman"/>
                <w:sz w:val="28"/>
                <w:szCs w:val="28"/>
              </w:rPr>
              <w:t xml:space="preserve"> (увеличение доли малоимущих домохозяйств (домохозяйств с денежными доходами ниже прожиточного минимума) –  связь с теорией аномии Р. Мертона).</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3. </w:t>
            </w:r>
            <w:r w:rsidRPr="00D1277B">
              <w:rPr>
                <w:rFonts w:ascii="Times New Roman" w:hAnsi="Times New Roman"/>
                <w:b/>
                <w:sz w:val="28"/>
                <w:szCs w:val="28"/>
              </w:rPr>
              <w:t>Семейное неблагополучие</w:t>
            </w:r>
            <w:r w:rsidRPr="00D1277B">
              <w:rPr>
                <w:rFonts w:ascii="Times New Roman" w:hAnsi="Times New Roman"/>
                <w:sz w:val="28"/>
                <w:szCs w:val="28"/>
              </w:rPr>
              <w:t xml:space="preserve"> (алкогольная, наркотическая зависимость родителей/законных представителей, насилие в семье, отсутствие стабильного заработка + попустительские семьи + подросток - кумир семьи + гиперопекаемость + неполная семья + социальное сиротство).</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4. </w:t>
            </w:r>
            <w:r w:rsidRPr="00D1277B">
              <w:rPr>
                <w:rFonts w:ascii="Times New Roman" w:hAnsi="Times New Roman"/>
                <w:b/>
                <w:sz w:val="28"/>
                <w:szCs w:val="28"/>
              </w:rPr>
              <w:t>Школьное неблагополучие</w:t>
            </w:r>
            <w:r w:rsidRPr="00D1277B">
              <w:rPr>
                <w:rFonts w:ascii="Times New Roman" w:hAnsi="Times New Roman"/>
                <w:sz w:val="28"/>
                <w:szCs w:val="28"/>
              </w:rPr>
              <w:t xml:space="preserve"> (воспитательная функция отходит на второй план).</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5. </w:t>
            </w:r>
            <w:r w:rsidRPr="00D1277B">
              <w:rPr>
                <w:rFonts w:ascii="Times New Roman" w:hAnsi="Times New Roman"/>
                <w:b/>
                <w:sz w:val="28"/>
                <w:szCs w:val="28"/>
              </w:rPr>
              <w:t>Отсутствие организованного досуга</w:t>
            </w:r>
            <w:r w:rsidRPr="00D1277B">
              <w:rPr>
                <w:rFonts w:ascii="Times New Roman" w:hAnsi="Times New Roman"/>
                <w:sz w:val="28"/>
                <w:szCs w:val="28"/>
              </w:rPr>
              <w:t xml:space="preserve"> (удалённость от инфраструктуры, сокращение детских лагерей всех типов, нежелание родителей/подростков).</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 xml:space="preserve">6. </w:t>
            </w:r>
            <w:r w:rsidRPr="00D1277B">
              <w:rPr>
                <w:rFonts w:ascii="Times New Roman" w:hAnsi="Times New Roman"/>
                <w:b/>
                <w:sz w:val="28"/>
                <w:szCs w:val="28"/>
              </w:rPr>
              <w:t>Трудовая незанятость подростка в каникулярное время.</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7. </w:t>
            </w:r>
            <w:r w:rsidRPr="00D1277B">
              <w:rPr>
                <w:rFonts w:ascii="Times New Roman" w:hAnsi="Times New Roman"/>
                <w:b/>
                <w:sz w:val="28"/>
                <w:szCs w:val="28"/>
              </w:rPr>
              <w:t xml:space="preserve">Стигматизация – </w:t>
            </w:r>
            <w:r w:rsidRPr="00D1277B">
              <w:rPr>
                <w:rFonts w:ascii="Times New Roman" w:hAnsi="Times New Roman"/>
                <w:sz w:val="28"/>
                <w:szCs w:val="28"/>
              </w:rPr>
              <w:t>(в рамках теории - «драматизация зла», которая предполагает преувеличение обществом масштабов совершенного проступка, трактовка последнего как злостного нарушения, тем самым навешивание ярлыка на несовершеннолетнего и активирование в нём преступного самоопределения).</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 xml:space="preserve">8. </w:t>
            </w:r>
            <w:r w:rsidRPr="00D1277B">
              <w:rPr>
                <w:rFonts w:ascii="Times New Roman" w:hAnsi="Times New Roman"/>
                <w:b/>
                <w:sz w:val="28"/>
                <w:szCs w:val="28"/>
              </w:rPr>
              <w:t>Чувство безнаказанности.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9. </w:t>
            </w:r>
            <w:r w:rsidRPr="00D1277B">
              <w:rPr>
                <w:rFonts w:ascii="Times New Roman" w:hAnsi="Times New Roman"/>
                <w:b/>
                <w:sz w:val="28"/>
                <w:szCs w:val="28"/>
              </w:rPr>
              <w:t>Недостаточно результативная система ресоциализации</w:t>
            </w:r>
            <w:r w:rsidRPr="00D1277B">
              <w:rPr>
                <w:rFonts w:ascii="Times New Roman" w:hAnsi="Times New Roman"/>
                <w:sz w:val="28"/>
                <w:szCs w:val="28"/>
              </w:rPr>
              <w:t xml:space="preserve"> (сказывается на профилактике рецидива).</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szCs w:val="28"/>
              </w:rPr>
            </w:pPr>
            <w:r w:rsidRPr="00D1277B">
              <w:rPr>
                <w:rFonts w:ascii="Times New Roman" w:hAnsi="Times New Roman"/>
                <w:sz w:val="28"/>
                <w:szCs w:val="28"/>
              </w:rPr>
              <w:t>10. </w:t>
            </w:r>
            <w:r w:rsidRPr="00D1277B">
              <w:rPr>
                <w:rFonts w:ascii="Times New Roman" w:hAnsi="Times New Roman"/>
                <w:b/>
                <w:sz w:val="28"/>
                <w:szCs w:val="28"/>
              </w:rPr>
              <w:t>Отсутствие чёткой системы межведомственного взаимодействия</w:t>
            </w:r>
            <w:r w:rsidRPr="00D1277B">
              <w:rPr>
                <w:rFonts w:ascii="Times New Roman" w:hAnsi="Times New Roman"/>
                <w:sz w:val="28"/>
                <w:szCs w:val="28"/>
              </w:rPr>
              <w:t xml:space="preserve"> между органами и учреждениями системы профилактики правонарушений среди несовершеннолетних граждан.</w:t>
            </w:r>
          </w:p>
        </w:tc>
      </w:tr>
    </w:tbl>
    <w:p w:rsidR="00D1277B" w:rsidRPr="00D1277B" w:rsidRDefault="00D1277B" w:rsidP="00D1277B">
      <w:pPr>
        <w:spacing w:after="0" w:line="360" w:lineRule="auto"/>
        <w:contextualSpacing/>
        <w:jc w:val="both"/>
        <w:rPr>
          <w:rFonts w:ascii="Times New Roman" w:hAnsi="Times New Roman"/>
          <w:sz w:val="24"/>
          <w:szCs w:val="24"/>
        </w:rPr>
      </w:pPr>
      <w:r w:rsidRPr="00D1277B">
        <w:rPr>
          <w:rFonts w:ascii="Times New Roman" w:hAnsi="Times New Roman"/>
          <w:sz w:val="24"/>
          <w:szCs w:val="24"/>
        </w:rPr>
        <w:t xml:space="preserve">Источник: </w:t>
      </w:r>
      <w:r w:rsidRPr="00D1277B">
        <w:rPr>
          <w:rFonts w:ascii="Times New Roman" w:hAnsi="Times New Roman"/>
          <w:sz w:val="24"/>
          <w:szCs w:val="24"/>
          <w:lang w:val="en-US"/>
        </w:rPr>
        <w:t>c</w:t>
      </w:r>
      <w:r w:rsidRPr="00D1277B">
        <w:rPr>
          <w:rFonts w:ascii="Times New Roman" w:hAnsi="Times New Roman"/>
          <w:sz w:val="24"/>
          <w:szCs w:val="24"/>
        </w:rPr>
        <w:t xml:space="preserve">оставлено автором </w:t>
      </w: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r w:rsidRPr="00D1277B">
        <w:rPr>
          <w:rFonts w:ascii="Times New Roman" w:hAnsi="Times New Roman"/>
          <w:sz w:val="28"/>
        </w:rPr>
        <w:lastRenderedPageBreak/>
        <w:t>ПРИЛОЖЕНИЕ Б</w:t>
      </w:r>
    </w:p>
    <w:p w:rsidR="00D1277B" w:rsidRPr="00D1277B" w:rsidRDefault="00D1277B" w:rsidP="00D1277B">
      <w:pPr>
        <w:spacing w:after="0" w:line="360" w:lineRule="auto"/>
        <w:contextualSpacing/>
        <w:jc w:val="both"/>
        <w:rPr>
          <w:rFonts w:ascii="Times New Roman" w:hAnsi="Times New Roman"/>
          <w:sz w:val="28"/>
        </w:rPr>
      </w:pPr>
      <w:r w:rsidRPr="00D1277B">
        <w:rPr>
          <w:rFonts w:ascii="Times New Roman" w:hAnsi="Times New Roman"/>
          <w:sz w:val="28"/>
        </w:rPr>
        <w:t>Таблица 2 - Нормативно-правовые акты на территории РФ, прямо или косвенно, относящихся к профилактике правонарушений среди несовершеннолетних</w:t>
      </w:r>
    </w:p>
    <w:tbl>
      <w:tblPr>
        <w:tblStyle w:val="19"/>
        <w:tblW w:w="0" w:type="auto"/>
        <w:tblInd w:w="108" w:type="dxa"/>
        <w:tblLook w:val="04A0" w:firstRow="1" w:lastRow="0" w:firstColumn="1" w:lastColumn="0" w:noHBand="0" w:noVBand="1"/>
      </w:tblPr>
      <w:tblGrid>
        <w:gridCol w:w="9520"/>
      </w:tblGrid>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w:t>
            </w:r>
            <w:r w:rsidRPr="00D1277B">
              <w:rPr>
                <w:rFonts w:ascii="Times New Roman" w:hAnsi="Times New Roman"/>
                <w:sz w:val="24"/>
              </w:rPr>
              <w:tab/>
              <w:t>Конституция РФ от 12 декабря 1993 года.</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2.</w:t>
            </w:r>
            <w:r w:rsidRPr="00D1277B">
              <w:rPr>
                <w:rFonts w:ascii="Times New Roman" w:hAnsi="Times New Roman"/>
                <w:sz w:val="24"/>
              </w:rPr>
              <w:tab/>
              <w:t>Конвенция о правах ребёнка (одобрена Генеральной Ассамблеей ООН 20.11.1989, вступила в силу для СССР 15.09.1990).</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3.</w:t>
            </w:r>
            <w:r w:rsidRPr="00D1277B">
              <w:rPr>
                <w:rFonts w:ascii="Times New Roman" w:hAnsi="Times New Roman"/>
                <w:sz w:val="24"/>
              </w:rPr>
              <w:tab/>
              <w:t>Гражданский кодекс РФ от 30.10.1994 № 51-ФЗ.</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4.</w:t>
            </w:r>
            <w:r w:rsidRPr="00D1277B">
              <w:rPr>
                <w:rFonts w:ascii="Times New Roman" w:hAnsi="Times New Roman"/>
                <w:sz w:val="24"/>
              </w:rPr>
              <w:tab/>
              <w:t>Семейный кодекс РФ от 29.11.1995 № 223-ФЗ.</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5.</w:t>
            </w:r>
            <w:r w:rsidRPr="00D1277B">
              <w:rPr>
                <w:rFonts w:ascii="Times New Roman" w:hAnsi="Times New Roman"/>
                <w:sz w:val="24"/>
              </w:rPr>
              <w:tab/>
              <w:t>Уголовный кодекс РФ от 13.06. 1996 № 63-ФЗ.</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6.</w:t>
            </w:r>
            <w:r w:rsidRPr="00D1277B">
              <w:rPr>
                <w:rFonts w:ascii="Times New Roman" w:hAnsi="Times New Roman"/>
                <w:sz w:val="24"/>
              </w:rPr>
              <w:tab/>
              <w:t>Трудовой кодекс Российской Федерации от 30.12.2001 № 197-ФЗ.</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7.</w:t>
            </w:r>
            <w:r w:rsidRPr="00D1277B">
              <w:rPr>
                <w:rFonts w:ascii="Times New Roman" w:hAnsi="Times New Roman"/>
                <w:sz w:val="24"/>
              </w:rPr>
              <w:tab/>
              <w:t>Уголовно-процессуальный кодекс Российской Федерации от 18.12.2001 № 174-ФЗ.</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8.</w:t>
            </w:r>
            <w:r w:rsidRPr="00D1277B">
              <w:rPr>
                <w:rFonts w:ascii="Times New Roman" w:hAnsi="Times New Roman"/>
                <w:sz w:val="24"/>
              </w:rPr>
              <w:tab/>
              <w:t>Кодекс Российской Федерации об административных правонарушениях от 30.12.2001 № 195-ФЗ.</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9.</w:t>
            </w:r>
            <w:r w:rsidRPr="00D1277B">
              <w:rPr>
                <w:rFonts w:ascii="Times New Roman" w:hAnsi="Times New Roman"/>
                <w:sz w:val="24"/>
              </w:rPr>
              <w:tab/>
              <w:t>Федеральный закон от 21.12.1996 № 159-ФЗ «О дополнительных гарантиях по социальной поддержке детей-сирот и детей, оставшихся без попечения родителей».</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10.</w:t>
            </w:r>
            <w:r w:rsidRPr="00D1277B">
              <w:rPr>
                <w:rFonts w:ascii="Times New Roman" w:hAnsi="Times New Roman"/>
                <w:sz w:val="24"/>
              </w:rPr>
              <w:tab/>
              <w:t>Федеральный закон от 24.07.1998 № 124-ФЗ «Об основных гарантиях прав ребенка в Российской Федерации».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11.</w:t>
            </w:r>
            <w:r w:rsidRPr="00D1277B">
              <w:rPr>
                <w:rFonts w:ascii="Times New Roman" w:hAnsi="Times New Roman"/>
                <w:sz w:val="24"/>
              </w:rPr>
              <w:tab/>
              <w:t>Федеральный закон от 6 октября 1999 г.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12.</w:t>
            </w:r>
            <w:r w:rsidRPr="00D1277B">
              <w:rPr>
                <w:rFonts w:ascii="Times New Roman" w:hAnsi="Times New Roman"/>
                <w:sz w:val="24"/>
              </w:rPr>
              <w:tab/>
              <w:t>Федеральный закон от 24.06.1999 г. № 120-ФЗ «Об основах системы профилактики безнадзорности и правонарушений несовершеннолетних».</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13.</w:t>
            </w:r>
            <w:r w:rsidRPr="00D1277B">
              <w:rPr>
                <w:rFonts w:ascii="Times New Roman" w:hAnsi="Times New Roman"/>
                <w:sz w:val="24"/>
              </w:rPr>
              <w:tab/>
              <w:t>Федеральный закон от 6 октября 2003 г. № 131-ФЗ «Об общих принципах организации местного самоуправления в Российской Федерации».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14.</w:t>
            </w:r>
            <w:r w:rsidRPr="00D1277B">
              <w:rPr>
                <w:rFonts w:ascii="Times New Roman" w:hAnsi="Times New Roman"/>
                <w:sz w:val="24"/>
              </w:rPr>
              <w:tab/>
              <w:t>Федеральный закон от 24 апреля 2008 г. № 48-ФЗ «Об опеке и попечительстве».</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15.</w:t>
            </w:r>
            <w:r w:rsidRPr="00D1277B">
              <w:rPr>
                <w:rFonts w:ascii="Times New Roman" w:hAnsi="Times New Roman"/>
                <w:sz w:val="24"/>
              </w:rPr>
              <w:tab/>
              <w:t>Федеральный закон от 29 декабря 2012 г. № 273-ФЗ «Об образовании в Российской Федерации».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16.</w:t>
            </w:r>
            <w:r w:rsidRPr="00D1277B">
              <w:rPr>
                <w:rFonts w:ascii="Times New Roman" w:hAnsi="Times New Roman"/>
                <w:sz w:val="24"/>
              </w:rPr>
              <w:tab/>
              <w:t>Федеральный закон от 23.06.2016 № 182-ФЗ «Об основах системы профилактики правонарушений в Российской Федерации».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17.</w:t>
            </w:r>
            <w:r w:rsidRPr="00D1277B">
              <w:rPr>
                <w:rFonts w:ascii="Times New Roman" w:hAnsi="Times New Roman"/>
                <w:sz w:val="24"/>
              </w:rPr>
              <w:tab/>
              <w:t>Постановление Правительства РФ от 27 ноября 2000 г. № 896 «Об утверждении примерных положений о специализированных учреждениях для несовершеннолетних, нуждающихся в социальной реабилитации».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18.</w:t>
            </w:r>
            <w:r w:rsidRPr="00D1277B">
              <w:rPr>
                <w:rFonts w:ascii="Times New Roman" w:hAnsi="Times New Roman"/>
                <w:sz w:val="24"/>
              </w:rPr>
              <w:tab/>
              <w:t>Распоряжение Правительства РФ от 14 октября 2010 года № 1772-р «Об утверждении Концепции развития уголовно-исполнительной системы Российской Федерации до 2020 года».</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19.</w:t>
            </w:r>
            <w:r w:rsidRPr="00D1277B">
              <w:rPr>
                <w:rFonts w:ascii="Times New Roman" w:hAnsi="Times New Roman"/>
                <w:sz w:val="24"/>
              </w:rPr>
              <w:tab/>
              <w:t>Распоряжение Правительства РФ от 25.08.2014 № 1618-р «Об утверждении Концепции государственной семейной политики в Российской Федерации на период до 2025 года».</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20.</w:t>
            </w:r>
            <w:r w:rsidRPr="00D1277B">
              <w:rPr>
                <w:rFonts w:ascii="Times New Roman" w:hAnsi="Times New Roman"/>
                <w:sz w:val="24"/>
              </w:rPr>
              <w:tab/>
              <w:t>Распоряжение Правительства РФ от 29.05.2015 № 996-р «Об утверждении Стратегии развития воспитания в Российской Федерации на период до 2025 года».</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21.</w:t>
            </w:r>
            <w:r w:rsidRPr="00D1277B">
              <w:rPr>
                <w:rFonts w:ascii="Times New Roman" w:hAnsi="Times New Roman"/>
                <w:sz w:val="24"/>
              </w:rPr>
              <w:tab/>
              <w:t>Распоряжение Правительства РФ от 22 марта 2017 года № 520-р [Об утверждении Концепции развития системы профилактики безнадзорности и правонарушений несовершеннолетних на период до 2020 года и плана мероприятий на 2017-2020 годы по ее реализации].</w:t>
            </w:r>
          </w:p>
        </w:tc>
      </w:tr>
      <w:tr w:rsidR="00D1277B" w:rsidRPr="00D1277B" w:rsidTr="00D1277B">
        <w:tc>
          <w:tcPr>
            <w:tcW w:w="992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4"/>
              </w:rPr>
            </w:pPr>
            <w:r w:rsidRPr="00D1277B">
              <w:rPr>
                <w:rFonts w:ascii="Times New Roman" w:hAnsi="Times New Roman"/>
                <w:sz w:val="24"/>
              </w:rPr>
              <w:t>22.</w:t>
            </w:r>
            <w:r w:rsidRPr="00D1277B">
              <w:rPr>
                <w:rFonts w:ascii="Times New Roman" w:hAnsi="Times New Roman"/>
                <w:sz w:val="24"/>
              </w:rPr>
              <w:tab/>
              <w:t>Приказ МВД России от 15 октября 2013 г.№ 845 «Об утверждении Инструкции по организации деятельности подразделений по делам несовершеннолетних органов внутренних дел Российской Федерации».</w:t>
            </w:r>
          </w:p>
        </w:tc>
      </w:tr>
    </w:tbl>
    <w:p w:rsidR="00D1277B" w:rsidRPr="00D1277B" w:rsidRDefault="00D1277B" w:rsidP="00D1277B">
      <w:pPr>
        <w:spacing w:after="0" w:line="360" w:lineRule="auto"/>
        <w:contextualSpacing/>
        <w:jc w:val="right"/>
        <w:rPr>
          <w:rFonts w:ascii="Times New Roman" w:hAnsi="Times New Roman"/>
          <w:sz w:val="28"/>
        </w:rPr>
      </w:pPr>
      <w:r>
        <w:rPr>
          <w:noProof/>
        </w:rPr>
        <w:lastRenderedPageBreak/>
        <w:pict>
          <v:group id="Полотно 121" o:spid="_x0000_s1120" style="position:absolute;left:0;text-align:left;margin-left:-32.9pt;margin-top:25pt;width:533.1pt;height:381.8pt;z-index:251668480;mso-position-horizontal-relative:text;mso-position-vertical-relative:text" coordsize="68473,57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">
            <v:rect id="Прямоугольник 208" o:spid="_x0000_s1121" style="position:absolute;left:770;top:9346;width:67703;height:48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2aMEA&#10;AADcAAAADwAAAGRycy9kb3ducmV2LnhtbERPy4rCMBTdD/gP4QpuBk3HhUg1ighiEUGmPtaX5toW&#10;m5vaZNr692Yx4PJw3st1byrRUuNKywp+JhEI4szqknMFl/NuPAfhPLLGyjIpeJGD9WrwtcRY245/&#10;qU19LkIIuxgVFN7XsZQuK8igm9iaOHB32xj0ATa51A12IdxUchpFM2mw5NBQYE3bgrJH+mcUdNmp&#10;vZ2Pe3n6viWWn8lzm14PSo2G/WYBwlPvP+J/d6IVTKOwNpwJR0C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h9mjBAAAA3AAAAA8AAAAAAAAAAAAAAAAAmAIAAGRycy9kb3du&#10;cmV2LnhtbFBLBQYAAAAABAAEAPUAAACGAwAAAAA=&#10;" filled="f" stroked="f"/>
            <v:rect id="Прямоугольник 209" o:spid="_x0000_s1122" style="position:absolute;left:578;width:17441;height:93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q/rsQA&#10;AADcAAAADwAAAGRycy9kb3ducmV2LnhtbESPwWrDMBBE74X8g9hAbo0UH0LjRjElITQQWnDcS2+L&#10;tbVNrZWRVMf5+6hQ6HGYmTfMtphsL0byoXOsYbVUIIhrZzpuNHxUx8cnECEiG+wdk4YbBSh2s4ct&#10;5sZduaTxEhuRIBxy1NDGOORShroli2HpBuLkfTlvMSbpG2k8XhPc9jJTai0tdpwWWhxo31L9ffmx&#10;GlxWv/qyktlbdeg25adT/ftZab2YTy/PICJN8T/81z4ZDZnawO+ZdATk7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qv67EAAAA3AAAAA8AAAAAAAAAAAAAAAAAmAIAAGRycy9k&#10;b3ducmV2LnhtbFBLBQYAAAAABAAEAPUAAACJAwAAAAA=&#10;" strokeweight="2pt">
              <v:textbox>
                <w:txbxContent>
                  <w:p w:rsidR="00DC1F7E" w:rsidRDefault="00DC1F7E" w:rsidP="00D1277B">
                    <w:pPr>
                      <w:pStyle w:val="a9"/>
                      <w:jc w:val="center"/>
                      <w:rPr>
                        <w:sz w:val="28"/>
                        <w:szCs w:val="28"/>
                      </w:rPr>
                    </w:pPr>
                    <w:r>
                      <w:rPr>
                        <w:rFonts w:eastAsia="Calibri"/>
                        <w:sz w:val="28"/>
                        <w:szCs w:val="28"/>
                      </w:rPr>
                      <w:t>Институт Уполномоченного при Президенте РФ по правам ребёнка</w:t>
                    </w:r>
                  </w:p>
                  <w:p w:rsidR="00DC1F7E" w:rsidRDefault="00DC1F7E" w:rsidP="00D1277B"/>
                </w:txbxContent>
              </v:textbox>
            </v:rect>
            <v:rect id="Прямоугольник 210" o:spid="_x0000_s1123" style="position:absolute;left:22495;top:6386;width:21137;height:29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mA7sEA&#10;AADcAAAADwAAAGRycy9kb3ducmV2LnhtbERPz2vCMBS+C/sfwhvspok9DK1GGRvDwVBo68Xbo3m2&#10;xealJFG7/345CB4/vt/r7Wh7cSMfOsca5jMFgrh2puNGw7H6ni5AhIhssHdMGv4owHbzMlljbtyd&#10;C7qVsREphEOOGtoYh1zKULdkMczcQJy4s/MWY4K+kcbjPYXbXmZKvUuLHaeGFgf6bKm+lFerwWX1&#10;zheVzPbVV7csTk71h1+l9dvr+LECEWmMT/HD/WM0ZPM0P51JR0B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RJgO7BAAAA3AAAAA8AAAAAAAAAAAAAAAAAmAIAAGRycy9kb3du&#10;cmV2LnhtbFBLBQYAAAAABAAEAPUAAACGAwAAAAA=&#10;" strokeweight="2pt">
              <v:textbox>
                <w:txbxContent>
                  <w:p w:rsidR="00DC1F7E" w:rsidRDefault="00DC1F7E" w:rsidP="00D1277B">
                    <w:pPr>
                      <w:pStyle w:val="a9"/>
                      <w:jc w:val="center"/>
                      <w:rPr>
                        <w:b/>
                        <w:sz w:val="28"/>
                        <w:szCs w:val="28"/>
                      </w:rPr>
                    </w:pPr>
                    <w:r>
                      <w:rPr>
                        <w:rFonts w:eastAsia="Calibri"/>
                        <w:b/>
                        <w:sz w:val="28"/>
                        <w:szCs w:val="28"/>
                      </w:rPr>
                      <w:t>Правительство РФ</w:t>
                    </w:r>
                  </w:p>
                </w:txbxContent>
              </v:textbox>
            </v:rect>
            <v:rect id="Прямоугольник 211" o:spid="_x0000_s1124" style="position:absolute;top:11860;width:29248;height:233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UldcQA&#10;AADcAAAADwAAAGRycy9kb3ducmV2LnhtbESPQWvCQBSE7wX/w/KE3upucihtdBVRRKG0EOPF2yP7&#10;TILZt2F31fTfdwuFHoeZ+YZZrEbbizv50DnWkM0UCOLamY4bDadq9/IGIkRkg71j0vBNAVbLydMC&#10;C+MeXNL9GBuRIBwK1NDGOBRShroli2HmBuLkXZy3GJP0jTQeHwlue5kr9SotdpwWWhxo01J9Pd6s&#10;BpfXe19WMv+stt17eXaq//pQWj9Px/UcRKQx/of/2gejIc8y+D2TjoB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FJXXEAAAA3AAAAA8AAAAAAAAAAAAAAAAAmAIAAGRycy9k&#10;b3ducmV2LnhtbFBLBQYAAAAABAAEAPUAAACJAwAAAAA=&#10;" strokeweight="2pt">
              <v:textbox>
                <w:txbxContent>
                  <w:p w:rsidR="00DC1F7E" w:rsidRDefault="00DC1F7E" w:rsidP="00D1277B">
                    <w:pPr>
                      <w:pStyle w:val="a9"/>
                      <w:jc w:val="center"/>
                      <w:rPr>
                        <w:b/>
                        <w:sz w:val="28"/>
                        <w:szCs w:val="28"/>
                      </w:rPr>
                    </w:pPr>
                    <w:r>
                      <w:rPr>
                        <w:rFonts w:eastAsia="Calibri"/>
                        <w:b/>
                        <w:sz w:val="28"/>
                        <w:szCs w:val="28"/>
                      </w:rPr>
                      <w:t>Министерства РФ:</w:t>
                    </w:r>
                  </w:p>
                  <w:p w:rsidR="00DC1F7E" w:rsidRDefault="00DC1F7E" w:rsidP="00D1277B">
                    <w:pPr>
                      <w:pStyle w:val="a9"/>
                      <w:spacing w:line="276" w:lineRule="auto"/>
                      <w:ind w:left="360" w:hanging="360"/>
                      <w:rPr>
                        <w:sz w:val="28"/>
                        <w:szCs w:val="28"/>
                      </w:rPr>
                    </w:pPr>
                    <w:r>
                      <w:rPr>
                        <w:rFonts w:eastAsia="Calibri"/>
                        <w:sz w:val="28"/>
                        <w:szCs w:val="28"/>
                      </w:rPr>
                      <w:t>Министерство внутренних дел.</w:t>
                    </w:r>
                  </w:p>
                  <w:p w:rsidR="00DC1F7E" w:rsidRDefault="00DC1F7E" w:rsidP="00D1277B">
                    <w:pPr>
                      <w:pStyle w:val="a9"/>
                      <w:spacing w:line="276" w:lineRule="auto"/>
                      <w:ind w:left="360" w:hanging="360"/>
                      <w:rPr>
                        <w:sz w:val="28"/>
                        <w:szCs w:val="28"/>
                      </w:rPr>
                    </w:pPr>
                    <w:r>
                      <w:rPr>
                        <w:rFonts w:eastAsia="Calibri"/>
                        <w:sz w:val="28"/>
                        <w:szCs w:val="28"/>
                      </w:rPr>
                      <w:t>Министерство здравоохранения.</w:t>
                    </w:r>
                  </w:p>
                  <w:p w:rsidR="00DC1F7E" w:rsidRDefault="00DC1F7E" w:rsidP="00D1277B">
                    <w:pPr>
                      <w:pStyle w:val="a9"/>
                      <w:spacing w:line="276" w:lineRule="auto"/>
                      <w:ind w:left="360" w:hanging="360"/>
                      <w:rPr>
                        <w:sz w:val="28"/>
                        <w:szCs w:val="28"/>
                      </w:rPr>
                    </w:pPr>
                    <w:r>
                      <w:rPr>
                        <w:rFonts w:eastAsia="Calibri"/>
                        <w:sz w:val="28"/>
                        <w:szCs w:val="28"/>
                      </w:rPr>
                      <w:t>Министерство культуры.</w:t>
                    </w:r>
                  </w:p>
                  <w:p w:rsidR="00DC1F7E" w:rsidRDefault="00DC1F7E" w:rsidP="00D1277B">
                    <w:pPr>
                      <w:pStyle w:val="a9"/>
                      <w:spacing w:line="276" w:lineRule="auto"/>
                      <w:ind w:left="360" w:hanging="360"/>
                      <w:rPr>
                        <w:sz w:val="28"/>
                        <w:szCs w:val="28"/>
                      </w:rPr>
                    </w:pPr>
                    <w:r>
                      <w:rPr>
                        <w:rFonts w:eastAsia="Calibri"/>
                        <w:sz w:val="28"/>
                        <w:szCs w:val="28"/>
                      </w:rPr>
                      <w:t>Министерство образования и науки</w:t>
                    </w:r>
                  </w:p>
                  <w:p w:rsidR="00DC1F7E" w:rsidRDefault="00DC1F7E" w:rsidP="00D1277B">
                    <w:pPr>
                      <w:pStyle w:val="a9"/>
                      <w:spacing w:line="276" w:lineRule="auto"/>
                      <w:ind w:left="360" w:hanging="360"/>
                      <w:rPr>
                        <w:sz w:val="28"/>
                        <w:szCs w:val="28"/>
                      </w:rPr>
                    </w:pPr>
                    <w:r>
                      <w:rPr>
                        <w:rFonts w:eastAsia="Calibri"/>
                        <w:sz w:val="28"/>
                        <w:szCs w:val="28"/>
                      </w:rPr>
                      <w:t>Министерство спорта.</w:t>
                    </w:r>
                  </w:p>
                  <w:p w:rsidR="00DC1F7E" w:rsidRDefault="00DC1F7E" w:rsidP="00D1277B">
                    <w:pPr>
                      <w:pStyle w:val="a9"/>
                      <w:spacing w:line="276" w:lineRule="auto"/>
                      <w:rPr>
                        <w:rFonts w:eastAsia="Calibri"/>
                        <w:sz w:val="28"/>
                        <w:szCs w:val="28"/>
                      </w:rPr>
                    </w:pPr>
                    <w:r>
                      <w:rPr>
                        <w:rFonts w:eastAsia="Calibri"/>
                        <w:sz w:val="28"/>
                        <w:szCs w:val="28"/>
                      </w:rPr>
                      <w:t>Министерства труда и социальной защиты.</w:t>
                    </w:r>
                  </w:p>
                  <w:p w:rsidR="00DC1F7E" w:rsidRDefault="00DC1F7E" w:rsidP="00D1277B">
                    <w:pPr>
                      <w:pStyle w:val="a9"/>
                      <w:spacing w:line="276" w:lineRule="auto"/>
                      <w:rPr>
                        <w:sz w:val="28"/>
                        <w:szCs w:val="28"/>
                      </w:rPr>
                    </w:pPr>
                    <w:r>
                      <w:rPr>
                        <w:rFonts w:eastAsia="Calibri"/>
                        <w:sz w:val="28"/>
                        <w:szCs w:val="28"/>
                      </w:rPr>
                      <w:t>Министерство юстиций.</w:t>
                    </w:r>
                  </w:p>
                  <w:p w:rsidR="00DC1F7E" w:rsidRDefault="00DC1F7E" w:rsidP="00D1277B">
                    <w:pPr>
                      <w:pStyle w:val="a9"/>
                      <w:ind w:firstLine="706"/>
                    </w:pPr>
                  </w:p>
                </w:txbxContent>
              </v:textbox>
            </v:rect>
            <v:rect id="Прямоугольник 212" o:spid="_x0000_s1125" style="position:absolute;left:30799;top:11198;width:33382;height:341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e7AsQA&#10;AADcAAAADwAAAGRycy9kb3ducmV2LnhtbESPQWsCMRSE7wX/Q3iCt5qYg7RboxRFFKSFdXvp7bF5&#10;3V26eVmSqOu/bwqFHoeZ+YZZbUbXiyuF2Hk2sJgrEMS1tx03Bj6q/eMTiJiQLfaeycCdImzWk4cV&#10;FtbfuKTrOTUiQzgWaKBNaSikjHVLDuPcD8TZ+/LBYcoyNNIGvGW466VWaikddpwXWhxo21L9fb44&#10;A17Xh1BWUr9Vu+65/PSqfz8pY2bT8fUFRKIx/Yf/2kdrQC80/J7JR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XuwLEAAAA3AAAAA8AAAAAAAAAAAAAAAAAmAIAAGRycy9k&#10;b3ducmV2LnhtbFBLBQYAAAAABAAEAPUAAACJAwAAAAA=&#10;" strokeweight="2pt">
              <v:textbox>
                <w:txbxContent>
                  <w:p w:rsidR="00DC1F7E" w:rsidRDefault="00DC1F7E" w:rsidP="00D1277B">
                    <w:pPr>
                      <w:pStyle w:val="a9"/>
                      <w:jc w:val="center"/>
                      <w:rPr>
                        <w:rFonts w:eastAsia="Calibri"/>
                        <w:b/>
                        <w:sz w:val="28"/>
                        <w:szCs w:val="28"/>
                      </w:rPr>
                    </w:pPr>
                    <w:r>
                      <w:rPr>
                        <w:rFonts w:eastAsia="Calibri"/>
                        <w:b/>
                        <w:sz w:val="28"/>
                        <w:szCs w:val="28"/>
                      </w:rPr>
                      <w:t>Координационные и совещательные органы Правительства РФ:</w:t>
                    </w:r>
                  </w:p>
                  <w:p w:rsidR="00DC1F7E" w:rsidRDefault="00DC1F7E" w:rsidP="00D1277B">
                    <w:pPr>
                      <w:pStyle w:val="a9"/>
                      <w:rPr>
                        <w:rFonts w:eastAsia="Calibri"/>
                        <w:sz w:val="28"/>
                        <w:szCs w:val="28"/>
                      </w:rPr>
                    </w:pPr>
                    <w:r>
                      <w:rPr>
                        <w:rFonts w:eastAsia="Calibri"/>
                        <w:sz w:val="28"/>
                        <w:szCs w:val="28"/>
                      </w:rPr>
                      <w:t>Правительственная комиссия по делам несовершеннолетних и защите их прав.</w:t>
                    </w:r>
                  </w:p>
                  <w:p w:rsidR="00DC1F7E" w:rsidRDefault="00DC1F7E" w:rsidP="00D1277B">
                    <w:pPr>
                      <w:pStyle w:val="a9"/>
                      <w:rPr>
                        <w:rFonts w:eastAsia="Calibri"/>
                        <w:sz w:val="28"/>
                        <w:szCs w:val="28"/>
                      </w:rPr>
                    </w:pPr>
                    <w:r>
                      <w:rPr>
                        <w:rFonts w:eastAsia="Calibri"/>
                        <w:sz w:val="28"/>
                        <w:szCs w:val="28"/>
                      </w:rPr>
                      <w:t>Совет при Правительстве РФ по вопросам попечительства в социальной сфере.</w:t>
                    </w:r>
                  </w:p>
                  <w:p w:rsidR="00DC1F7E" w:rsidRDefault="00DC1F7E" w:rsidP="00D1277B">
                    <w:pPr>
                      <w:pStyle w:val="a9"/>
                      <w:rPr>
                        <w:rFonts w:eastAsia="Calibri"/>
                        <w:sz w:val="28"/>
                        <w:szCs w:val="28"/>
                      </w:rPr>
                    </w:pPr>
                    <w:r>
                      <w:rPr>
                        <w:rFonts w:eastAsia="Calibri"/>
                        <w:sz w:val="28"/>
                        <w:szCs w:val="28"/>
                      </w:rPr>
                      <w:t>Правительственная комиссия по профилактике правонарушений.</w:t>
                    </w:r>
                  </w:p>
                  <w:p w:rsidR="00DC1F7E" w:rsidRDefault="00DC1F7E" w:rsidP="00D1277B">
                    <w:pPr>
                      <w:pStyle w:val="a9"/>
                      <w:rPr>
                        <w:rFonts w:eastAsia="Calibri"/>
                        <w:sz w:val="28"/>
                        <w:szCs w:val="28"/>
                      </w:rPr>
                    </w:pPr>
                    <w:r>
                      <w:rPr>
                        <w:rFonts w:eastAsia="Calibri"/>
                        <w:sz w:val="28"/>
                        <w:szCs w:val="28"/>
                      </w:rPr>
                      <w:t>Координационный совет по развитию детского туризма.</w:t>
                    </w:r>
                  </w:p>
                  <w:p w:rsidR="00DC1F7E" w:rsidRDefault="00DC1F7E" w:rsidP="00D1277B">
                    <w:pPr>
                      <w:pStyle w:val="a9"/>
                      <w:rPr>
                        <w:rFonts w:eastAsia="Calibri"/>
                        <w:sz w:val="28"/>
                        <w:szCs w:val="28"/>
                      </w:rPr>
                    </w:pPr>
                    <w:r>
                      <w:rPr>
                        <w:rFonts w:eastAsia="Calibri"/>
                        <w:sz w:val="28"/>
                        <w:szCs w:val="28"/>
                      </w:rPr>
                      <w:t>Национальный координационный совет по поддержки молодых талантов России.</w:t>
                    </w:r>
                  </w:p>
                  <w:p w:rsidR="00DC1F7E" w:rsidRDefault="00DC1F7E" w:rsidP="00D1277B">
                    <w:pPr>
                      <w:pStyle w:val="a9"/>
                      <w:rPr>
                        <w:rFonts w:eastAsia="Calibri"/>
                        <w:sz w:val="28"/>
                        <w:szCs w:val="28"/>
                      </w:rPr>
                    </w:pPr>
                    <w:r>
                      <w:rPr>
                        <w:rFonts w:eastAsia="Calibri"/>
                        <w:sz w:val="28"/>
                        <w:szCs w:val="28"/>
                      </w:rPr>
                      <w:t>Координационный совет по реализации Концепции государственной семейной политики до 2025 года.</w:t>
                    </w: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jc w:val="center"/>
                      <w:rPr>
                        <w:rFonts w:eastAsia="Calibri"/>
                        <w:b/>
                        <w:sz w:val="20"/>
                        <w:szCs w:val="20"/>
                      </w:rPr>
                    </w:pPr>
                  </w:p>
                  <w:p w:rsidR="00DC1F7E" w:rsidRDefault="00DC1F7E" w:rsidP="00D1277B">
                    <w:pPr>
                      <w:pStyle w:val="a9"/>
                      <w:jc w:val="center"/>
                      <w:rPr>
                        <w:rFonts w:eastAsia="Calibri"/>
                        <w:b/>
                        <w:sz w:val="20"/>
                        <w:szCs w:val="20"/>
                      </w:rPr>
                    </w:pPr>
                  </w:p>
                  <w:p w:rsidR="00DC1F7E" w:rsidRDefault="00DC1F7E" w:rsidP="00D1277B">
                    <w:pPr>
                      <w:pStyle w:val="a9"/>
                      <w:jc w:val="center"/>
                      <w:rPr>
                        <w:rFonts w:eastAsia="Calibri"/>
                        <w:b/>
                        <w:sz w:val="20"/>
                        <w:szCs w:val="20"/>
                      </w:rPr>
                    </w:pPr>
                  </w:p>
                  <w:p w:rsidR="00DC1F7E" w:rsidRDefault="00DC1F7E" w:rsidP="00D1277B">
                    <w:pPr>
                      <w:pStyle w:val="a9"/>
                      <w:rPr>
                        <w:rFonts w:eastAsia="Calibri"/>
                        <w:b/>
                        <w:sz w:val="20"/>
                        <w:szCs w:val="20"/>
                      </w:rPr>
                    </w:pPr>
                  </w:p>
                  <w:p w:rsidR="00DC1F7E" w:rsidRDefault="00DC1F7E" w:rsidP="00D1277B">
                    <w:pPr>
                      <w:pStyle w:val="a9"/>
                      <w:rPr>
                        <w:sz w:val="20"/>
                        <w:szCs w:val="20"/>
                      </w:rPr>
                    </w:pPr>
                  </w:p>
                </w:txbxContent>
              </v:textbox>
            </v:rect>
            <v:line id="Прямая соединительная линия 213" o:spid="_x0000_s1126" style="position:absolute;visibility:visible;mso-wrap-style:square" from="43632,7888" to="48048,7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0CYTcUAAADcAAAADwAAAGRycy9kb3ducmV2LnhtbESPQWsCMRSE7wX/Q3iCt5pVodqtUUQo&#10;FkpBVw89PpLXzermZbtJ1+2/bwqCx2FmvmGW697VoqM2VJ4VTMYZCGLtTcWlgtPx9XEBIkRkg7Vn&#10;UvBLAdarwcMSc+OvfKCuiKVIEA45KrAxNrmUQVtyGMa+IU7el28dxiTbUpoWrwnuajnNsifpsOK0&#10;YLGhrSV9KX6cAlkXmT6/fy/mn3ZnZsfuQ+8Pz0qNhv3mBUSkPt7Dt/abUTCdzOD/TD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0CYTcUAAADcAAAADwAAAAAAAAAA&#10;AAAAAAChAgAAZHJzL2Rvd25yZXYueG1sUEsFBgAAAAAEAAQA+QAAAJMDAAAAAA==&#10;" strokeweight="2pt">
              <v:shadow on="t" color="black" opacity="24903f" origin=",.5" offset="0,.55556mm"/>
            </v:line>
            <v:shapetype id="_x0000_t32" coordsize="21600,21600" o:spt="32" o:oned="t" path="m,l21600,21600e" filled="f">
              <v:path arrowok="t" fillok="f" o:connecttype="none"/>
              <o:lock v:ext="edit" shapetype="t"/>
            </v:shapetype>
            <v:shape id="Прямая со стрелкой 214" o:spid="_x0000_s1127" type="#_x0000_t32" style="position:absolute;left:47942;top:7888;width:106;height:33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rSS8QAAADcAAAADwAAAGRycy9kb3ducmV2LnhtbESPQYvCMBSE74L/ITzBi2iqqEg1ioii&#10;e1R3FW+P5m1btnkJTdT67zcLCx6HmfmGWawaU4kH1b60rGA4SEAQZ1aXnCv4PO/6MxA+IGusLJOC&#10;F3lYLdutBabaPvlIj1PIRYSwT1FBEYJLpfRZQQb9wDri6H3b2mCIss6lrvEZ4aaSoySZSoMlx4UC&#10;HW0Kyn5Od6NgkuXma7p342MPtx+b6+W2PriJUt1Os56DCNSEd/i/fdAKRsMx/J2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2tJLxAAAANwAAAAPAAAAAAAAAAAA&#10;AAAAAKECAABkcnMvZG93bnJldi54bWxQSwUGAAAAAAQABAD5AAAAkgMAAAAA&#10;" strokeweight="2pt">
              <v:stroke endarrow="open"/>
              <v:shadow on="t" color="black" opacity="24903f" origin=",.5" offset="0,.55556mm"/>
            </v:shape>
            <v:line id="Прямая соединительная линия 215" o:spid="_x0000_s1128" style="position:absolute;flip:x;visibility:visible;mso-wrap-style:square" from="18944,7875" to="22366,7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bissUAAADcAAAADwAAAGRycy9kb3ducmV2LnhtbESPQWsCMRSE74X+h/AK3mp2tZayNYoI&#10;gtAe1PZQb8/Nc7N087IkcXf7740g9DjMzDfMfDnYRnTkQ+1YQT7OQBCXTtdcKfj+2jy/gQgRWWPj&#10;mBT8UYDl4vFhjoV2Pe+pO8RKJAiHAhWYGNtCylAashjGriVO3tl5izFJX0ntsU9w28hJlr1KizWn&#10;BYMtrQ2Vv4eLVdB3lj773NLHzpyPftj6l+nPSanR07B6BxFpiP/he3urFUzyGdzOpCMgF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WbissUAAADcAAAADwAAAAAAAAAA&#10;AAAAAAChAgAAZHJzL2Rvd25yZXYueG1sUEsFBgAAAAAEAAQA+QAAAJMDAAAAAA==&#10;" strokeweight="2pt">
              <v:shadow on="t" color="black" opacity="24903f" origin=",.5" offset="0,.55556mm"/>
            </v:line>
            <v:shape id="Прямая со стрелкой 216" o:spid="_x0000_s1129" type="#_x0000_t32" style="position:absolute;left:18790;top:7888;width:0;height:3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Tpp8YAAADcAAAADwAAAGRycy9kb3ducmV2LnhtbESPT2vCQBTE7wW/w/KEXkrdKDWUmI2I&#10;WNSjf9rS2yP7TILZt0t21fTbu4WCx2FmfsPk89604kqdbywrGI8SEMSl1Q1XCo6Hj9d3ED4ga2wt&#10;k4Jf8jAvBk85ZtreeEfXfahEhLDPUEEdgsuk9GVNBv3IOuLonWxnMETZVVJ3eItw08pJkqTSYMNx&#10;oUZHy5rK8/5iFEzLynyma/e2e8HVdvn99bPYuKlSz8N+MQMRqA+P8H97oxVMxin8nYlHQBZ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BE6afGAAAA3AAAAA8AAAAAAAAA&#10;AAAAAAAAoQIAAGRycy9kb3ducmV2LnhtbFBLBQYAAAAABAAEAPkAAACUAwAAAAA=&#10;" strokeweight="2pt">
              <v:stroke endarrow="open"/>
              <v:shadow on="t" color="black" opacity="24903f" origin=",.5" offset="0,.55556mm"/>
            </v:shape>
            <v:line id="Прямая соединительная линия 217" o:spid="_x0000_s1130" style="position:absolute;visibility:visible;mso-wrap-style:square" from="0,14454" to="29248,145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vC8YAAADcAAAADwAAAGRycy9kb3ducmV2LnhtbESPQWvCQBSE70L/w/IK3nSjQiqpq0hL&#10;QXsoVQvt8Zl9JrHZt2F3m6T/3hUEj8PMfMMsVr2pRUvOV5YVTMYJCOLc6ooLBV+Ht9EchA/IGmvL&#10;pOCfPKyWD4MFZtp2vKN2HwoRIewzVFCG0GRS+rwkg35sG+LonawzGKJ0hdQOuwg3tZwmSSoNVhwX&#10;SmzopaT8d/9nFHzMPtN2vX3f9N/b9Ji/7o4/584pNXzs188gAvXhHr61N1rBdPIE1zPxCMjl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fsbwvGAAAA3AAAAA8AAAAAAAAA&#10;AAAAAAAAoQIAAGRycy9kb3ducmV2LnhtbFBLBQYAAAAABAAEAPkAAACUAwAAAAA=&#10;"/>
            <v:line id="Прямая соединительная линия 218" o:spid="_x0000_s1131" style="position:absolute;flip:y;visibility:visible;mso-wrap-style:square" from="30799,15692" to="64181,159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1d6BsMAAADcAAAADwAAAGRycy9kb3ducmV2LnhtbERPz2vCMBS+D/wfwhO8jJkqQ7QziggD&#10;D16mUvH21rw1pc1LTTLt/vvlIHj8+H4v171txY18qB0rmIwzEMSl0zVXCk7Hz7c5iBCRNbaOScEf&#10;BVivBi9LzLW78xfdDrESKYRDjgpMjF0uZSgNWQxj1xEn7sd5izFBX0nt8Z7CbSunWTaTFmtODQY7&#10;2hoqm8OvVSDn+9er33y/N0VzPi9MURbdZa/UaNhvPkBE6uNT/HDvtILpJK1NZ9IRkK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9XegbDAAAA3AAAAA8AAAAAAAAAAAAA&#10;AAAAoQIAAGRycy9kb3ducmV2LnhtbFBLBQYAAAAABAAEAPkAAACRAwAAAAA=&#10;"/>
            <w10:wrap type="square"/>
          </v:group>
        </w:pict>
      </w:r>
      <w:r w:rsidRPr="00D1277B">
        <w:rPr>
          <w:rFonts w:ascii="Times New Roman" w:hAnsi="Times New Roman"/>
          <w:sz w:val="28"/>
        </w:rPr>
        <w:t>ПРИЛОЖЕНИЕ В</w:t>
      </w:r>
    </w:p>
    <w:p w:rsidR="00D1277B" w:rsidRPr="00D1277B" w:rsidRDefault="00D1277B" w:rsidP="00D1277B">
      <w:pPr>
        <w:spacing w:after="0" w:line="360" w:lineRule="auto"/>
        <w:contextualSpacing/>
        <w:rPr>
          <w:rFonts w:ascii="Times New Roman" w:hAnsi="Times New Roman"/>
          <w:sz w:val="24"/>
          <w:szCs w:val="24"/>
        </w:rPr>
      </w:pPr>
      <w:r w:rsidRPr="00D1277B">
        <w:rPr>
          <w:rFonts w:ascii="Times New Roman" w:hAnsi="Times New Roman"/>
          <w:sz w:val="24"/>
          <w:szCs w:val="24"/>
        </w:rPr>
        <w:t xml:space="preserve">Источник: Официальный сайт Правительства Российской Федерации [Электронный ресурс]. –  Электрон. дан. – Режим доступа : </w:t>
      </w:r>
      <w:r w:rsidRPr="00D1277B">
        <w:rPr>
          <w:rFonts w:ascii="Times New Roman" w:hAnsi="Times New Roman"/>
          <w:sz w:val="24"/>
          <w:szCs w:val="24"/>
          <w:lang w:val="en-US"/>
        </w:rPr>
        <w:t>http</w:t>
      </w:r>
      <w:r w:rsidRPr="00D1277B">
        <w:rPr>
          <w:rFonts w:ascii="Times New Roman" w:hAnsi="Times New Roman"/>
          <w:sz w:val="24"/>
          <w:szCs w:val="24"/>
        </w:rPr>
        <w:t>://</w:t>
      </w:r>
      <w:r w:rsidRPr="00D1277B">
        <w:rPr>
          <w:rFonts w:ascii="Times New Roman" w:hAnsi="Times New Roman"/>
          <w:sz w:val="24"/>
          <w:szCs w:val="24"/>
          <w:lang w:val="en-US"/>
        </w:rPr>
        <w:t>government</w:t>
      </w:r>
      <w:r w:rsidRPr="00D1277B">
        <w:rPr>
          <w:rFonts w:ascii="Times New Roman" w:hAnsi="Times New Roman"/>
          <w:sz w:val="24"/>
          <w:szCs w:val="24"/>
        </w:rPr>
        <w:t>.</w:t>
      </w:r>
      <w:r w:rsidRPr="00D1277B">
        <w:rPr>
          <w:rFonts w:ascii="Times New Roman" w:hAnsi="Times New Roman"/>
          <w:sz w:val="24"/>
          <w:szCs w:val="24"/>
          <w:lang w:val="en-US"/>
        </w:rPr>
        <w:t>ru</w:t>
      </w:r>
      <w:r w:rsidRPr="00D1277B">
        <w:rPr>
          <w:rFonts w:ascii="Times New Roman" w:hAnsi="Times New Roman"/>
          <w:sz w:val="24"/>
          <w:szCs w:val="24"/>
        </w:rPr>
        <w:t>/.</w:t>
      </w: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ind w:firstLine="709"/>
        <w:contextualSpacing/>
        <w:jc w:val="center"/>
        <w:rPr>
          <w:rFonts w:ascii="Times New Roman" w:hAnsi="Times New Roman"/>
          <w:sz w:val="28"/>
        </w:rPr>
      </w:pPr>
      <w:r w:rsidRPr="00D1277B">
        <w:rPr>
          <w:rFonts w:ascii="Times New Roman" w:hAnsi="Times New Roman"/>
          <w:sz w:val="28"/>
        </w:rPr>
        <w:t>Рисунок 1 - Система органов на федеральном уровне, чья деятельность, так или иначе, связана с предупреждением правонарушений среди несовершеннолетних граждан</w:t>
      </w: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rPr>
          <w:rFonts w:ascii="Times New Roman" w:hAnsi="Times New Roman"/>
          <w:sz w:val="28"/>
        </w:rPr>
        <w:sectPr w:rsidR="00D1277B" w:rsidRPr="00D1277B">
          <w:footerReference w:type="default" r:id="rId197"/>
          <w:pgSz w:w="11906" w:h="16838"/>
          <w:pgMar w:top="1247" w:right="1247" w:bottom="1247" w:left="1247" w:header="709" w:footer="709" w:gutter="0"/>
          <w:cols w:space="720"/>
        </w:sectPr>
      </w:pPr>
    </w:p>
    <w:p w:rsidR="00D1277B" w:rsidRPr="00D1277B" w:rsidRDefault="00D1277B" w:rsidP="00661468">
      <w:pPr>
        <w:spacing w:after="0" w:line="360" w:lineRule="auto"/>
        <w:contextualSpacing/>
        <w:jc w:val="both"/>
        <w:rPr>
          <w:rFonts w:ascii="Times New Roman" w:hAnsi="Times New Roman"/>
          <w:sz w:val="26"/>
          <w:szCs w:val="26"/>
        </w:rPr>
      </w:pPr>
      <w:r w:rsidRPr="00D1277B">
        <w:rPr>
          <w:rFonts w:ascii="Times New Roman" w:hAnsi="Times New Roman"/>
          <w:sz w:val="24"/>
          <w:szCs w:val="24"/>
        </w:rPr>
        <w:lastRenderedPageBreak/>
        <w:t>Источник: Об основах системы профилактики безнадзорности и правонарушений несовершеннолетних Российской Федерации [Электронный ресурс] : от 24.06.1999 г. № 120-ФЗ: принят Гос. Думой 21.05.1999 г. – Электрон. дан. – Режим доступа : http://base.garant.ru/12116087/.</w:t>
      </w:r>
      <w:r>
        <w:rPr>
          <w:noProof/>
        </w:rPr>
        <w:pict>
          <v:group id="Полотно 77" o:spid="_x0000_s1086" style="position:absolute;left:0;text-align:left;margin-left:-.5pt;margin-top:.1pt;width:768pt;height:371.75pt;z-index:-251650048;mso-position-horizontal-relative:text;mso-position-vertical-relative:text" coordsize="105390,5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">
            <v:rect id="Прямоугольник 174" o:spid="_x0000_s1087" style="position:absolute;left:7854;top:10998;width:97536;height:472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ubMMA&#10;AADcAAAADwAAAGRycy9kb3ducmV2LnhtbERPTWvCQBC9F/wPywheRDdKqZK6ighikIIYrechO01C&#10;s7Mxuybpv+8WhN7m8T5ntelNJVpqXGlZwWwagSDOrC45V3C97CdLEM4ja6wsk4IfcrBZD15WGGvb&#10;8Zna1OcihLCLUUHhfR1L6bKCDLqprYkD92Ubgz7AJpe6wS6Em0rOo+hNGiw5NBRY066g7Dt9GAVd&#10;dmpvl4+DPI1vieV7ct+ln0elRsN++w7CU+//xU93osP8xSv8PRMu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ubMMAAADcAAAADwAAAAAAAAAAAAAAAACYAgAAZHJzL2Rv&#10;d25yZXYueG1sUEsFBgAAAAAEAAQA9QAAAIgDAAAAAA==&#10;" filled="f" stroked="f"/>
            <v:rect id="Прямоугольник 175" o:spid="_x0000_s1088" style="position:absolute;top:61;width:25827;height:45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CX4MQA&#10;AADcAAAADwAAAGRycy9kb3ducmV2LnhtbESPT4vCMBDF78J+hzALexFNd8F/1SiLsCDixerF29CM&#10;abGZlCa29dtvBMHbDO/93rxZbXpbiZYaXzpW8D1OQBDnTpdsFJxPf6M5CB+QNVaOScGDPGzWH4MV&#10;ptp1fKQ2C0bEEPYpKihCqFMpfV6QRT92NXHUrq6xGOLaGKkb7GK4reRPkkylxZLjhQJr2haU37K7&#10;jTWG8rx7tJncmxsu6kPb7YcXo9TXZ/+7BBGoD2/zi97pyM0m8HwmTi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gl+DEAAAA3AAAAA8AAAAAAAAAAAAAAAAAmAIAAGRycy9k&#10;b3ducmV2LnhtbFBLBQYAAAAABAAEAPUAAACJAwAAAAA=&#10;" fillcolor="window" strokecolor="windowText" strokeweight="2pt">
              <v:textbox style="mso-next-textbox:#Прямоугольник 175">
                <w:txbxContent>
                  <w:p w:rsidR="00DC1F7E" w:rsidRDefault="00DC1F7E" w:rsidP="00D1277B">
                    <w:pPr>
                      <w:pStyle w:val="a9"/>
                      <w:jc w:val="center"/>
                    </w:pPr>
                    <w:r>
                      <w:rPr>
                        <w:rFonts w:eastAsia="Calibri"/>
                      </w:rPr>
                      <w:t>Институт Уполномоченного по правам ребёнка субъекта РФ</w:t>
                    </w:r>
                  </w:p>
                  <w:p w:rsidR="00DC1F7E" w:rsidRDefault="00DC1F7E" w:rsidP="00D1277B"/>
                </w:txbxContent>
              </v:textbox>
            </v:rect>
            <v:rect id="Прямоугольник 176" o:spid="_x0000_s1089" style="position:absolute;left:27286;width:45005;height:74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IJl8QA&#10;AADcAAAADwAAAGRycy9kb3ducmV2LnhtbESPQYvCMBCF78L+hzALXkRTPajbNcoiLIh4sfayt6EZ&#10;02IzKU22rf/eCIK3Gd773rzZ7AZbi45aXzlWMJ8lIIgLpys2CvLL73QNwgdkjbVjUnAnD7vtx2iD&#10;qXY9n6nLghExhH2KCsoQmlRKX5Rk0c9cQxy1q2sthri2RuoW+xhua7lIkqW0WHG8UGJD+5KKW/Zv&#10;Y42JzA/3LpNHc8Ov5tT1x8mfUWr8Ofx8gwg0hLf5RR905FZLeD4TJ5D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yCZfEAAAA3AAAAA8AAAAAAAAAAAAAAAAAmAIAAGRycy9k&#10;b3ducmV2LnhtbFBLBQYAAAAABAAEAPUAAACJAwAAAAA=&#10;" fillcolor="window" strokecolor="windowText" strokeweight="2pt">
              <v:textbox style="mso-next-textbox:#Прямоугольник 176">
                <w:txbxContent>
                  <w:p w:rsidR="00DC1F7E" w:rsidRDefault="00DC1F7E" w:rsidP="00D1277B">
                    <w:pPr>
                      <w:pStyle w:val="a9"/>
                      <w:jc w:val="center"/>
                      <w:rPr>
                        <w:b/>
                      </w:rPr>
                    </w:pPr>
                    <w:r>
                      <w:rPr>
                        <w:rFonts w:eastAsia="Calibri"/>
                        <w:b/>
                      </w:rPr>
                      <w:t>Органы и учреждения, составляющие систему профилактики безнадзорности и правонарушений несовершеннолетних на региональном и местном уровнях</w:t>
                    </w:r>
                  </w:p>
                </w:txbxContent>
              </v:textbox>
            </v:rect>
            <v:rect id="Прямоугольник 177" o:spid="_x0000_s1090" style="position:absolute;left:38605;top:9686;width:22663;height:6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6sDMUA&#10;AADcAAAADwAAAGRycy9kb3ducmV2LnhtbESPQWvDMAyF74P9B6PBLqF1usOyZXXDKBRC2WVZLruJ&#10;WHVCYznEbpL++7ow2E3ive/paVssthcTjb5zrGCzTkEQN053bBTUP4fVGwgfkDX2jknBlTwUu8eH&#10;LebazfxNUxWMiCHsc1TQhjDkUvqmJYt+7QbiqJ3caDHEdTRSjzjHcNvLlzR9lRY7jhdaHGjfUnOu&#10;LjbWSGRdXqdKHs0Z34evaT4mv0ap56fl8wNEoCX8m//oUkcuy+D+TJxA7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qwMxQAAANwAAAAPAAAAAAAAAAAAAAAAAJgCAABkcnMv&#10;ZG93bnJldi54bWxQSwUGAAAAAAQABAD1AAAAigMAAAAA&#10;" fillcolor="window" strokecolor="windowText" strokeweight="2pt">
              <v:textbox style="mso-next-textbox:#Прямоугольник 177">
                <w:txbxContent>
                  <w:p w:rsidR="00DC1F7E" w:rsidRDefault="00DC1F7E" w:rsidP="00D1277B">
                    <w:pPr>
                      <w:pStyle w:val="a9"/>
                      <w:jc w:val="center"/>
                    </w:pPr>
                    <w:r>
                      <w:rPr>
                        <w:rFonts w:eastAsia="Calibri"/>
                      </w:rPr>
                      <w:t>Комиссии по делам несовершеннолетних и защите их прав</w:t>
                    </w:r>
                  </w:p>
                </w:txbxContent>
              </v:textbox>
            </v:rect>
            <v:rect id="Прямоугольник 178" o:spid="_x0000_s1091" style="position:absolute;left:4629;top:7795;width:26671;height:60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E4fsQA&#10;AADcAAAADwAAAGRycy9kb3ducmV2LnhtbESPQWvCQBCF7wX/wzKCF9FNPbQ1uooUBJFemnrxNmTH&#10;TTA7G7JrEv9951DobR7zvjdvtvvRN6qnLtaBDbwuM1DEZbA1OwOXn+PiA1RMyBabwGTgSRH2u8nL&#10;FnMbBv6mvkhOSQjHHA1UKbW51rGsyGNchpZYdrfQeUwiO6dth4OE+0avsuxNe6xZLlTY0mdF5b14&#10;eKkx15fTsy/02d1x3X71w3l+dcbMpuNhAyrRmP7Nf/TJCvcubeUZmUD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hOH7EAAAA3AAAAA8AAAAAAAAAAAAAAAAAmAIAAGRycy9k&#10;b3ducmV2LnhtbFBLBQYAAAAABAAEAPUAAACJAwAAAAA=&#10;" fillcolor="window" strokecolor="windowText" strokeweight="2pt">
              <v:textbox style="mso-next-textbox:#Прямоугольник 178">
                <w:txbxContent>
                  <w:p w:rsidR="00DC1F7E" w:rsidRDefault="00DC1F7E" w:rsidP="00D1277B">
                    <w:pPr>
                      <w:pStyle w:val="a9"/>
                      <w:jc w:val="center"/>
                    </w:pPr>
                    <w:r>
                      <w:rPr>
                        <w:rFonts w:eastAsia="Calibri"/>
                      </w:rPr>
                      <w:t>Органы управления социальной защитой населения</w:t>
                    </w:r>
                    <w:r>
                      <w:rPr>
                        <w:rFonts w:eastAsia="Calibri"/>
                        <w:szCs w:val="28"/>
                      </w:rPr>
                      <w:t xml:space="preserve"> и </w:t>
                    </w:r>
                    <w:r>
                      <w:rPr>
                        <w:rFonts w:eastAsia="Calibri"/>
                      </w:rPr>
                      <w:t>учреждения социального обслуживания</w:t>
                    </w:r>
                  </w:p>
                </w:txbxContent>
              </v:textbox>
            </v:rect>
            <v:rect id="Прямоугольник 179" o:spid="_x0000_s1092" style="position:absolute;left:4629;top:32756;width:26671;height:69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2d5cUA&#10;AADcAAAADwAAAGRycy9kb3ducmV2LnhtbESPzWrDMBCE74W+g9hCLqGR00ObOJFNKRRM6CVOLr0t&#10;1kY2sVbGUvzz9lGhkNsuM9/s7D6fbCsG6n3jWMF6lYAgrpxu2Cg4n75fNyB8QNbYOiYFM3nIs+en&#10;PabajXykoQxGxBD2KSqoQ+hSKX1Vk0W/ch1x1C6utxji2hupexxjuG3lW5K8S4sNxws1dvRVU3Ut&#10;bzbWWMpzMQ+lPJgrbrufYTwsf41Si5fpcwci0BQe5n+60JH72MLfM3ECm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LZ3lxQAAANwAAAAPAAAAAAAAAAAAAAAAAJgCAABkcnMv&#10;ZG93bnJldi54bWxQSwUGAAAAAAQABAD1AAAAigMAAAAA&#10;" fillcolor="window" strokecolor="windowText" strokeweight="2pt">
              <v:textbox style="mso-next-textbox:#Прямоугольник 179">
                <w:txbxContent>
                  <w:p w:rsidR="00DC1F7E" w:rsidRDefault="00DC1F7E" w:rsidP="00D1277B">
                    <w:pPr>
                      <w:pStyle w:val="a9"/>
                      <w:jc w:val="center"/>
                    </w:pPr>
                    <w:r>
                      <w:rPr>
                        <w:rFonts w:eastAsia="Calibri"/>
                      </w:rPr>
                      <w:t>Специальные учебно-воспитательные учреждения открытого и закрытого типа</w:t>
                    </w:r>
                  </w:p>
                </w:txbxContent>
              </v:textbox>
            </v:rect>
            <v:rect id="Прямоугольник 180" o:spid="_x0000_s1093" style="position:absolute;left:4629;top:14452;width:26671;height:84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JEX8MA&#10;AADcAAAADwAAAGRycy9kb3ducmV2LnhtbESPQWvCQBCF70L/wzIFL6Kbeig2ukoRCiJeGr30NmSn&#10;m2B2NmTXJP575yB4m8e8782bzW70jeqpi3VgAx+LDBRxGWzNzsDl/DNfgYoJ2WITmAzcKcJu+zbZ&#10;YG7DwL/UF8kpCeGYo4EqpTbXOpYVeYyL0BLL7j90HpPIzmnb4SDhvtHLLPvUHmuWCxW2tK+ovBY3&#10;LzVm+nK494U+uit+tad+OM7+nDHT9/F7DSrRmF7mJ32wwq2kvjwjE+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JEX8MAAADcAAAADwAAAAAAAAAAAAAAAACYAgAAZHJzL2Rv&#10;d25yZXYueG1sUEsFBgAAAAAEAAQA9QAAAIgDAAAAAA==&#10;" fillcolor="window" strokecolor="windowText" strokeweight="2pt">
              <v:textbox style="mso-next-textbox:#Прямоугольник 180">
                <w:txbxContent>
                  <w:p w:rsidR="00DC1F7E" w:rsidRDefault="00DC1F7E" w:rsidP="00D1277B">
                    <w:pPr>
                      <w:pStyle w:val="a9"/>
                      <w:jc w:val="center"/>
                    </w:pPr>
                    <w:r>
                      <w:rPr>
                        <w:rFonts w:eastAsia="Calibri"/>
                      </w:rPr>
                      <w:t>Специализированные учреждения для несовершеннолетних, нуждающихся в социальной реабилитации</w:t>
                    </w:r>
                  </w:p>
                </w:txbxContent>
              </v:textbox>
            </v:rect>
            <v:rect id="Прямоугольник 181" o:spid="_x0000_s1094" style="position:absolute;left:4629;top:23575;width:26671;height:85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7hxMMA&#10;AADcAAAADwAAAGRycy9kb3ducmV2LnhtbESPQYvCMBCF78L+hzALe5FtqgfRrlFkQRDxYvXibWjG&#10;tLSZlCbb1n+/EQRvM7z3vXmz3o62ET11vnKsYJakIIgLpys2Cq6X/fcShA/IGhvHpOBBHrabj8ka&#10;M+0GPlOfByNiCPsMFZQhtJmUvijJok9cSxy1u+sshrh2RuoOhxhuGzlP04W0WHG8UGJLvyUVdf5n&#10;Y42pvB4efS6PpsZVe+qH4/RmlPr6HHc/IAKN4W1+0QcdueUMns/ECe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7hxMMAAADcAAAADwAAAAAAAAAAAAAAAACYAgAAZHJzL2Rv&#10;d25yZXYueG1sUEsFBgAAAAAEAAQA9QAAAIgDAAAAAA==&#10;" fillcolor="window" strokecolor="windowText" strokeweight="2pt">
              <v:textbox style="mso-next-textbox:#Прямоугольник 181">
                <w:txbxContent>
                  <w:p w:rsidR="00DC1F7E" w:rsidRDefault="00DC1F7E" w:rsidP="00D1277B">
                    <w:pPr>
                      <w:pStyle w:val="a9"/>
                      <w:jc w:val="center"/>
                    </w:pPr>
                    <w:r>
                      <w:rPr>
                        <w:rFonts w:eastAsia="Calibri"/>
                      </w:rPr>
                      <w:t>Органы, осуществляющие управление в сфере образования, и организации, осуществляющие образовательную</w:t>
                    </w:r>
                    <w:r>
                      <w:rPr>
                        <w:rFonts w:eastAsia="Calibri"/>
                        <w:sz w:val="28"/>
                        <w:szCs w:val="28"/>
                      </w:rPr>
                      <w:t xml:space="preserve"> </w:t>
                    </w:r>
                    <w:r>
                      <w:rPr>
                        <w:rFonts w:eastAsia="Calibri"/>
                      </w:rPr>
                      <w:t>деятельность</w:t>
                    </w:r>
                  </w:p>
                </w:txbxContent>
              </v:textbox>
            </v:rect>
            <v:rect id="Прямоугольник 182" o:spid="_x0000_s1095" style="position:absolute;left:67107;top:8067;width:23095;height:32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x/s8MA&#10;AADcAAAADwAAAGRycy9kb3ducmV2LnhtbESPQYvCMBCF78L+hzALe5FtqgfRrlFkQRDxYvXibWjG&#10;tLSZlCbb1n+/EQRvM7z3vXmz3o62ET11vnKsYJakIIgLpys2Cq6X/fcShA/IGhvHpOBBHrabj8ka&#10;M+0GPlOfByNiCPsMFZQhtJmUvijJok9cSxy1u+sshrh2RuoOhxhuGzlP04W0WHG8UGJLvyUVdf5n&#10;Y42pvB4efS6PpsZVe+qH4/RmlPr6HHc/IAKN4W1+0QcdueUcns/ECeTm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x/s8MAAADcAAAADwAAAAAAAAAAAAAAAACYAgAAZHJzL2Rv&#10;d25yZXYueG1sUEsFBgAAAAAEAAQA9QAAAIgDAAAAAA==&#10;" fillcolor="window" strokecolor="windowText" strokeweight="2pt">
              <v:textbox style="mso-next-textbox:#Прямоугольник 182">
                <w:txbxContent>
                  <w:p w:rsidR="00DC1F7E" w:rsidRDefault="00DC1F7E" w:rsidP="00D1277B">
                    <w:pPr>
                      <w:pStyle w:val="a9"/>
                      <w:spacing w:line="276" w:lineRule="auto"/>
                    </w:pPr>
                    <w:r>
                      <w:rPr>
                        <w:rFonts w:eastAsia="Calibri"/>
                      </w:rPr>
                      <w:t>Органы опеки и попечительства</w:t>
                    </w:r>
                  </w:p>
                </w:txbxContent>
              </v:textbox>
            </v:rect>
            <v:rect id="Прямоугольник 183" o:spid="_x0000_s1096" style="position:absolute;left:67107;top:11971;width:23095;height:60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aKMUA&#10;AADcAAAADwAAAGRycy9kb3ducmV2LnhtbESPzWrDMBCE74W8g9hALyGRm0JJnMgmBAIm9FI3l94W&#10;ayObWCtjqf55+6pQ6G2XmW929phPthUD9b5xrOBlk4Agrpxu2Ci4fV7WOxA+IGtsHZOCmTzk2eLp&#10;iKl2I3/QUAYjYgj7FBXUIXSplL6qyaLfuI44anfXWwxx7Y3UPY4x3LZymyRv0mLD8UKNHZ1rqh7l&#10;t401VvJWzEMpr+aB++59GK+rL6PU83I6HUAEmsK/+Y8udOR2r/D7TJx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ENooxQAAANwAAAAPAAAAAAAAAAAAAAAAAJgCAABkcnMv&#10;ZG93bnJldi54bWxQSwUGAAAAAAQABAD1AAAAigMAAAAA&#10;" fillcolor="window" strokecolor="windowText" strokeweight="2pt">
              <v:textbox style="mso-next-textbox:#Прямоугольник 183">
                <w:txbxContent>
                  <w:p w:rsidR="00DC1F7E" w:rsidRDefault="00DC1F7E" w:rsidP="00D1277B">
                    <w:pPr>
                      <w:pStyle w:val="a9"/>
                      <w:jc w:val="center"/>
                    </w:pPr>
                    <w:r>
                      <w:rPr>
                        <w:rFonts w:eastAsia="Calibri"/>
                      </w:rPr>
                      <w:t>Органы по делам молодежи и учреждения</w:t>
                    </w:r>
                    <w:r>
                      <w:rPr>
                        <w:rFonts w:eastAsia="Calibri"/>
                        <w:sz w:val="28"/>
                        <w:szCs w:val="28"/>
                      </w:rPr>
                      <w:t xml:space="preserve"> </w:t>
                    </w:r>
                    <w:r>
                      <w:rPr>
                        <w:rFonts w:eastAsia="Calibri"/>
                      </w:rPr>
                      <w:t>органов по делам</w:t>
                    </w:r>
                    <w:r>
                      <w:rPr>
                        <w:rFonts w:eastAsia="Calibri"/>
                        <w:sz w:val="28"/>
                        <w:szCs w:val="28"/>
                      </w:rPr>
                      <w:t xml:space="preserve"> </w:t>
                    </w:r>
                    <w:r>
                      <w:rPr>
                        <w:rFonts w:eastAsia="Calibri"/>
                      </w:rPr>
                      <w:t>молодежи</w:t>
                    </w:r>
                  </w:p>
                </w:txbxContent>
              </v:textbox>
            </v:rect>
            <v:rect id="Прямоугольник 184" o:spid="_x0000_s1097" style="position:absolute;left:67107;top:18711;width:23095;height:62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CXMUA&#10;AADcAAAADwAAAGRycy9kb3ducmV2LnhtbESPzWrDMBCE74W8g9hALyGRG0pJnMgmBAIm9FI3l94W&#10;ayObWCtjqf55+6pQ6G2XmW929phPthUD9b5xrOBlk4Agrpxu2Ci4fV7WOxA+IGtsHZOCmTzk2eLp&#10;iKl2I3/QUAYjYgj7FBXUIXSplL6qyaLfuI44anfXWwxx7Y3UPY4x3LZymyRv0mLD8UKNHZ1rqh7l&#10;t401VvJWzEMpr+aB++59GK+rL6PU83I6HUAEmsK/+Y8udOR2r/D7TJx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JcxQAAANwAAAAPAAAAAAAAAAAAAAAAAJgCAABkcnMv&#10;ZG93bnJldi54bWxQSwUGAAAAAAQABAD1AAAAigMAAAAA&#10;" fillcolor="window" strokecolor="windowText" strokeweight="2pt">
              <v:textbox style="mso-next-textbox:#Прямоугольник 184">
                <w:txbxContent>
                  <w:p w:rsidR="00DC1F7E" w:rsidRDefault="00DC1F7E" w:rsidP="00D1277B">
                    <w:pPr>
                      <w:pStyle w:val="a9"/>
                      <w:jc w:val="center"/>
                    </w:pPr>
                    <w:r>
                      <w:rPr>
                        <w:rFonts w:eastAsia="Calibri"/>
                      </w:rPr>
                      <w:t>Органы управления здравоохранением и медицинские организации</w:t>
                    </w:r>
                  </w:p>
                </w:txbxContent>
              </v:textbox>
            </v:rect>
            <v:rect id="Прямоугольник 185" o:spid="_x0000_s1098" style="position:absolute;left:67107;top:25601;width:23095;height:27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Xnx8UA&#10;AADcAAAADwAAAGRycy9kb3ducmV2LnhtbESPzWrDMBCE74W8g9hALyGRG2hJnMgmBAIm9FI3l94W&#10;ayObWCtjqf55+6pQ6G2XmW929phPthUD9b5xrOBlk4Agrpxu2Ci4fV7WOxA+IGtsHZOCmTzk2eLp&#10;iKl2I3/QUAYjYgj7FBXUIXSplL6qyaLfuI44anfXWwxx7Y3UPY4x3LZymyRv0mLD8UKNHZ1rqh7l&#10;t401VvJWzEMpr+aB++59GK+rL6PU83I6HUAEmsK/+Y8udOR2r/D7TJxAZ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tefHxQAAANwAAAAPAAAAAAAAAAAAAAAAAJgCAABkcnMv&#10;ZG93bnJldi54bWxQSwUGAAAAAAQABAD1AAAAigMAAAAA&#10;" fillcolor="window" strokecolor="windowText" strokeweight="2pt">
              <v:textbox style="mso-next-textbox:#Прямоугольник 185">
                <w:txbxContent>
                  <w:p w:rsidR="00DC1F7E" w:rsidRDefault="00DC1F7E" w:rsidP="00D1277B">
                    <w:pPr>
                      <w:pStyle w:val="a9"/>
                      <w:jc w:val="center"/>
                    </w:pPr>
                    <w:r>
                      <w:rPr>
                        <w:rFonts w:eastAsia="Calibri"/>
                      </w:rPr>
                      <w:t>Органы службы занятости</w:t>
                    </w:r>
                  </w:p>
                </w:txbxContent>
              </v:textbox>
            </v:rect>
            <v:rect id="Прямоугольник 186" o:spid="_x0000_s1099" style="position:absolute;left:67107;top:28981;width:23095;height:31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d5sMQA&#10;AADcAAAADwAAAGRycy9kb3ducmV2LnhtbESPQWvDMAyF74P+B6NCL6V11kPo0rilFAYl7LIsl91E&#10;rDqhsRxiN0n//TwY7Cbx3vf0lJ9m24mRBt86VvC6TUAQ1063bBRUX++bPQgfkDV2jknBkzycjouX&#10;HDPtJv6ksQxGxBD2GSpoQugzKX3dkEW/dT1x1G5usBjiOhipB5xiuO3kLklSabHleKHBni4N1ffy&#10;YWONtayuz7GUhbnjW/8xTsX62yi1Ws7nA4hAc/g3/9FXHbl9Cr/PxAnk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nebDEAAAA3AAAAA8AAAAAAAAAAAAAAAAAmAIAAGRycy9k&#10;b3ducmV2LnhtbFBLBQYAAAAABAAEAPUAAACJAwAAAAA=&#10;" fillcolor="window" strokecolor="windowText" strokeweight="2pt">
              <v:textbox style="mso-next-textbox:#Прямоугольник 186">
                <w:txbxContent>
                  <w:p w:rsidR="00DC1F7E" w:rsidRDefault="00DC1F7E" w:rsidP="00D1277B">
                    <w:pPr>
                      <w:pStyle w:val="a9"/>
                      <w:spacing w:line="276" w:lineRule="auto"/>
                      <w:jc w:val="center"/>
                    </w:pPr>
                    <w:r>
                      <w:rPr>
                        <w:rFonts w:eastAsia="Calibri"/>
                      </w:rPr>
                      <w:t>Органы внутренних дел</w:t>
                    </w:r>
                  </w:p>
                </w:txbxContent>
              </v:textbox>
            </v:rect>
            <v:rect id="Прямоугольник 187" o:spid="_x0000_s1100" style="position:absolute;left:67281;top:32857;width:23095;height:48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vcK8UA&#10;AADcAAAADwAAAGRycy9kb3ducmV2LnhtbESPzWrDMBCE74W8g9hALyGRm0ObOJFNCARM6KVuLr0t&#10;1kY2sVbGUv3z9lWh0NsuM9/s7DGfbCsG6n3jWMHLJgFBXDndsFFw+7ysdyB8QNbYOiYFM3nIs8XT&#10;EVPtRv6goQxGxBD2KSqoQ+hSKX1Vk0W/cR1x1O6utxji2hupexxjuG3lNklepcWG44UaOzrXVD3K&#10;bxtrrOStmIdSXs0D9937MF5XX0ap5+V0OoAINIV/8x9d6Mjt3uD3mTiB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K9wrxQAAANwAAAAPAAAAAAAAAAAAAAAAAJgCAABkcnMv&#10;ZG93bnJldi54bWxQSwUGAAAAAAQABAD1AAAAigMAAAAA&#10;" fillcolor="window" strokecolor="windowText" strokeweight="2pt">
              <v:textbox style="mso-next-textbox:#Прямоугольник 187">
                <w:txbxContent>
                  <w:p w:rsidR="00DC1F7E" w:rsidRDefault="00DC1F7E" w:rsidP="00D1277B">
                    <w:pPr>
                      <w:pStyle w:val="a9"/>
                      <w:jc w:val="center"/>
                    </w:pPr>
                    <w:r>
                      <w:t>Подразделения по делам несовершеннолетних ОВД</w:t>
                    </w:r>
                  </w:p>
                </w:txbxContent>
              </v:textbox>
            </v:rect>
            <v:rect id="Прямоугольник 188" o:spid="_x0000_s1101" style="position:absolute;left:67281;top:38531;width:23095;height:81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RIWcMA&#10;AADcAAAADwAAAGRycy9kb3ducmV2LnhtbESPQWvCQBCF70L/wzIFL6Kbeig2ukoRCiJeGr30NmSn&#10;m2B2NmTXJP575yB4m8e8782bzW70jeqpi3VgAx+LDBRxGWzNzsDl/DNfgYoJ2WITmAzcKcJu+zbZ&#10;YG7DwL/UF8kpCeGYo4EqpTbXOpYVeYyL0BLL7j90HpPIzmnb4SDhvtHLLPvUHmuWCxW2tK+ovBY3&#10;LzVm+nK494U+uit+tad+OM7+nDHT9/F7DSrRmF7mJ32wwq2krTwjE+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RIWcMAAADcAAAADwAAAAAAAAAAAAAAAACYAgAAZHJzL2Rv&#10;d25yZXYueG1sUEsFBgAAAAAEAAQA9QAAAIgDAAAAAA==&#10;" fillcolor="window" strokecolor="windowText" strokeweight="2pt">
              <v:textbox style="mso-next-textbox:#Прямоугольник 188">
                <w:txbxContent>
                  <w:p w:rsidR="00DC1F7E" w:rsidRDefault="00DC1F7E" w:rsidP="00D1277B">
                    <w:pPr>
                      <w:pStyle w:val="a9"/>
                      <w:jc w:val="center"/>
                    </w:pPr>
                    <w:r>
                      <w:t>Центры временного содержания для несовершеннолетних правонарушителей ОВД</w:t>
                    </w:r>
                  </w:p>
                </w:txbxContent>
              </v:textbox>
            </v:rect>
            <v:rect id="Прямоугольник 189" o:spid="_x0000_s1102" style="position:absolute;left:4629;top:40179;width:26671;height:66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twsQA&#10;AADcAAAADwAAAGRycy9kb3ducmV2LnhtbESPQWvDMAyF74P+B6NCL2F1tsNI0rqlFAal9LIsl91E&#10;rDqhsRxiL0n/fV0Y7Cbx3vf0tN3PthMjDb51rOBtnYIgrp1u2Siovj9fMxA+IGvsHJOCO3nY7xYv&#10;Wyy0m/iLxjIYEUPYF6igCaEvpPR1Qxb92vXEUbu6wWKI62CkHnCK4baT72n6IS22HC802NOxofpW&#10;/tpYI5HV6T6W8mxumPeXcTonP0ap1XI+bEAEmsO/+Y8+6chlOTyfiRPI3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47cLEAAAA3AAAAA8AAAAAAAAAAAAAAAAAmAIAAGRycy9k&#10;b3ducmV2LnhtbFBLBQYAAAAABAAEAPUAAACJAwAAAAA=&#10;" fillcolor="window" strokecolor="windowText" strokeweight="2pt">
              <v:textbox style="mso-next-textbox:#Прямоугольник 189">
                <w:txbxContent>
                  <w:p w:rsidR="00DC1F7E" w:rsidRDefault="00DC1F7E" w:rsidP="00D1277B">
                    <w:pPr>
                      <w:pStyle w:val="a9"/>
                      <w:jc w:val="center"/>
                    </w:pPr>
                    <w:r>
                      <w:t>Иные подразделения органов внутренних дел - учреждения уголовно-исполнительной системы</w:t>
                    </w:r>
                  </w:p>
                </w:txbxContent>
              </v:textbox>
            </v:rect>
            <v:shape id="Прямая со стрелкой 190" o:spid="_x0000_s1103" type="#_x0000_t32" style="position:absolute;left:50727;top:7439;width:0;height:22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tWOMQAAADcAAAADwAAAGRycy9kb3ducmV2LnhtbESPQW/CMAyF75P4D5GRuI20OwAtBITQ&#10;Ju0yTZRpZ9OYttA4VROg+/fzAYmbrff83ufVZnCtulEfGs8G0mkCirj0tuHKwM/h43UBKkRki61n&#10;MvBHATbr0csKc+vvvKdbESslIRxyNFDH2OVah7Imh2HqO2LRTr53GGXtK217vEu4a/Vbksy0w4al&#10;ocaOdjWVl+LqDByqtHn/nttrOLfp4hSO2VfxmxkzGQ/bJahIQ3yaH9efVvAzwZdnZAK9/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O1Y4xAAAANwAAAAPAAAAAAAAAAAA&#10;AAAAAKECAABkcnMvZG93bnJldi54bWxQSwUGAAAAAAQABAD5AAAAkgMAAAAA&#10;" strokecolor="windowText" strokeweight="2pt">
              <v:stroke endarrow="open"/>
              <v:shadow on="t" color="black" opacity="24903f" origin=",.5" offset="0,.55556mm"/>
            </v:shape>
            <v:line id="Прямая соединительная линия 191" o:spid="_x0000_s1104" style="position:absolute;visibility:visible;mso-wrap-style:square" from="93322,2915" to="93499,43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spm8MAAADcAAAADwAAAGRycy9kb3ducmV2LnhtbERP22rCQBB9F/yHZQp9MxstaJu6ighC&#10;EQQvLfRxzI5J6O5syG5N9OtdQfBtDuc603lnjThT4yvHCoZJCoI4d7riQsH3YTV4B+EDskbjmBRc&#10;yMN81u9NMdOu5R2d96EQMYR9hgrKEOpMSp+XZNEnriaO3Mk1FkOETSF1g20Mt0aO0nQsLVYcG0qs&#10;aVlS/rf/twran+OuSs3mFNi95cfJevW7vRqlXl+6xSeIQF14ih/uLx3nfwzh/ky8QM5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KZvDAAAA3AAAAA8AAAAAAAAAAAAA&#10;AAAAoQIAAGRycy9kb3ducmV2LnhtbFBLBQYAAAAABAAEAPkAAACRAwAAAAA=&#10;" strokecolor="windowText" strokeweight="2pt">
              <v:shadow on="t" color="black" opacity="24903f" origin=",.5" offset="0,.55556mm"/>
            </v:line>
            <v:shape id="Прямая со стрелкой 192" o:spid="_x0000_s1105" type="#_x0000_t32" style="position:absolute;left:90376;top:43360;width:2949;height:1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wzOMMAAADcAAAADwAAAGRycy9kb3ducmV2LnhtbERPS2sCMRC+F/wPYQRvNetCS7saxQcF&#10;vRSq4nnYjPtwM9lNoq799U2h0Nt8fM+ZLXrTiBs5X1lWMBknIIhzqysuFBwPH89vIHxA1thYJgUP&#10;8rCYD55mmGl75y+67UMhYgj7DBWUIbSZlD4vyaAf25Y4cmfrDIYIXSG1w3sMN41Mk+RVGqw4NpTY&#10;0rqk/LK/GgW7jau/u+Wqq+tDV2w+7aldv6RKjYb9cgoiUB/+xX/urY7z31P4fSZ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ysMzjDAAAA3AAAAA8AAAAAAAAAAAAA&#10;AAAAoQIAAGRycy9kb3ducmV2LnhtbFBLBQYAAAAABAAEAPkAAACRAwAAAAA=&#10;" strokecolor="windowText" strokeweight="2pt">
              <v:stroke endarrow="open"/>
              <v:shadow on="t" color="black" opacity="24903f" origin=",.5" offset="0,.55556mm"/>
            </v:shape>
            <v:shape id="Прямая со стрелкой 193" o:spid="_x0000_s1106" type="#_x0000_t32" style="position:absolute;left:90202;top:9686;width:329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LY9cQAAADcAAAADwAAAGRycy9kb3ducmV2LnhtbERP22rCQBB9L/gPywi+1U20FI2uIpYW&#10;6UPFyweM2TEbzc7G7EbTv+8WCn2bw7nOfNnZStyp8aVjBekwAUGcO11yoeB4eH+egPABWWPlmBR8&#10;k4flovc0x0y7B+/ovg+FiCHsM1RgQqgzKX1uyKIfupo4cmfXWAwRNoXUDT5iuK3kKElepcWSY4PB&#10;mtaG8uu+tQpOdZp+Ts3248XfLu363La3zduXUoN+t5qBCNSFf/Gfe6Pj/OkYfp+JF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Ytj1xAAAANwAAAAPAAAAAAAAAAAA&#10;AAAAAKECAABkcnMvZG93bnJldi54bWxQSwUGAAAAAAQABAD5AAAAkgMAAAAA&#10;" strokecolor="windowText" strokeweight="2pt">
              <v:stroke endarrow="open"/>
              <v:shadow on="t" color="black" opacity="24903f" origin=",.5" offset="0,.55556mm"/>
            </v:shape>
            <v:shape id="Прямая со стрелкой 194" o:spid="_x0000_s1107" type="#_x0000_t32" style="position:absolute;left:90044;top:15098;width:345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tAgcMAAADcAAAADwAAAGRycy9kb3ducmV2LnhtbERPzWrCQBC+F3yHZYTe6iZFRKOrFIsi&#10;PVjUPsA0O2Zjs7Mxu9H49m5B8DYf3+/MFp2txIUaXzpWkA4SEMS50yUXCn4Oq7cxCB+QNVaOScGN&#10;PCzmvZcZZtpdeUeXfShEDGGfoQITQp1J6XNDFv3A1cSRO7rGYoiwKaRu8BrDbSXfk2QkLZYcGwzW&#10;tDSU/+1bq+C3TtOvifleD/351C6PbXvefG6Veu13H1MQgbrwFD/cGx3nT4b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LQIHDAAAA3AAAAA8AAAAAAAAAAAAA&#10;AAAAoQIAAGRycy9kb3ducmV2LnhtbFBLBQYAAAAABAAEAPkAAACRAwAAAAA=&#10;" strokecolor="windowText" strokeweight="2pt">
              <v:stroke endarrow="open"/>
              <v:shadow on="t" color="black" opacity="24903f" origin=",.5" offset="0,.55556mm"/>
            </v:shape>
            <v:shape id="Прямая со стрелкой 195" o:spid="_x0000_s1108" type="#_x0000_t32" style="position:absolute;left:90044;top:21622;width:32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flGsQAAADcAAAADwAAAGRycy9kb3ducmV2LnhtbERP22rCQBB9L/gPywi+1U3EFo2uIpYW&#10;6UPFyweM2TEbzc7G7EbTv+8WCn2bw7nOfNnZStyp8aVjBekwAUGcO11yoeB4eH+egPABWWPlmBR8&#10;k4flovc0x0y7B+/ovg+FiCHsM1RgQqgzKX1uyKIfupo4cmfXWAwRNoXUDT5iuK3kKElepcWSY4PB&#10;mtaG8uu+tQpOdZp+Ts32Y+xvl3Z9btvb5u1LqUG/W81ABOrCv/jPvdFx/vQFfp+JF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x+UaxAAAANwAAAAPAAAAAAAAAAAA&#10;AAAAAKECAABkcnMvZG93bnJldi54bWxQSwUGAAAAAAQABAD5AAAAkgMAAAAA&#10;" strokecolor="windowText" strokeweight="2pt">
              <v:stroke endarrow="open"/>
              <v:shadow on="t" color="black" opacity="24903f" origin=",.5" offset="0,.55556mm"/>
            </v:shape>
            <v:shape id="Прямая со стрелкой 196" o:spid="_x0000_s1109" type="#_x0000_t32" style="position:absolute;left:90202;top:30701;width:329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V7bcMAAADcAAAADwAAAGRycy9kb3ducmV2LnhtbERP22rCQBB9L/gPywi+1U1EpEZXEaVF&#10;+tDi5QPG7JiNZmdjdqPp33cLBd/mcK4zX3a2EndqfOlYQTpMQBDnTpdcKDge3l/fQPiArLFyTAp+&#10;yMNy0XuZY6bdg3d034dCxBD2GSowIdSZlD43ZNEPXU0cubNrLIYIm0LqBh8x3FZylCQTabHk2GCw&#10;prWh/LpvrYJTnaafU/P9Mfa3S7s+t+1tu/lSatDvVjMQgbrwFP+7tzrOn07g75l4gV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4Ve23DAAAA3AAAAA8AAAAAAAAAAAAA&#10;AAAAoQIAAGRycy9kb3ducmV2LnhtbFBLBQYAAAAABAAEAPkAAACRAwAAAAA=&#10;" strokecolor="windowText" strokeweight="2pt">
              <v:stroke endarrow="open"/>
              <v:shadow on="t" color="black" opacity="24903f" origin=",.5" offset="0,.55556mm"/>
            </v:shape>
            <v:shape id="Прямая со стрелкой 197" o:spid="_x0000_s1110" type="#_x0000_t32" style="position:absolute;left:90202;top:27165;width:329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ne9sQAAADcAAAADwAAAGRycy9kb3ducmV2LnhtbERP22rCQBB9L/gPywi+1U1EWo2uIpYW&#10;6UPFyweM2TEbzc7G7EbTv+8WCn2bw7nOfNnZStyp8aVjBekwAUGcO11yoeB4eH+egPABWWPlmBR8&#10;k4flovc0x0y7B+/ovg+FiCHsM1RgQqgzKX1uyKIfupo4cmfXWAwRNoXUDT5iuK3kKElepMWSY4PB&#10;mtaG8uu+tQpOdZp+Ts32Y+xvl3Z9btvb5u1LqUG/W81ABOrCv/jPvdFx/vQVfp+JF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Wd72xAAAANwAAAAPAAAAAAAAAAAA&#10;AAAAAKECAABkcnMvZG93bnJldi54bWxQSwUGAAAAAAQABAD5AAAAkgMAAAAA&#10;" strokecolor="windowText" strokeweight="2pt">
              <v:stroke endarrow="open"/>
              <v:shadow on="t" color="black" opacity="24903f" origin=",.5" offset="0,.55556mm"/>
            </v:shape>
            <v:shape id="Прямая со стрелкой 198" o:spid="_x0000_s1111" type="#_x0000_t32" style="position:absolute;left:90376;top:35669;width:3123;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ZKhMYAAADcAAAADwAAAGRycy9kb3ducmV2LnhtbESPQW/CMAyF75P2HyJP2m2knSY0CgFN&#10;TCDEYdMYP8A0pilrnNKk0P37+TCJm633/N7n2WLwjbpQF+vABvJRBoq4DLbmysD+e/X0CiomZItN&#10;YDLwSxEW8/u7GRY2XPmLLrtUKQnhWKABl1JbaB1LRx7jKLTEoh1D5zHJ2lXadniVcN/o5ywba481&#10;S4PDlpaOyp9d7w0c2jzfTtzn+iWeT/3y2PfnzfuHMY8Pw9sUVKIh3cz/1xsr+BOhlWdkAj3/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GSoTGAAAA3AAAAA8AAAAAAAAA&#10;AAAAAAAAoQIAAGRycy9kb3ducmV2LnhtbFBLBQYAAAAABAAEAPkAAACUAwAAAAA=&#10;" strokecolor="windowText" strokeweight="2pt">
              <v:stroke endarrow="open"/>
              <v:shadow on="t" color="black" opacity="24903f" origin=",.5" offset="0,.55556mm"/>
            </v:shape>
            <v:line id="Прямая соединительная линия 199" o:spid="_x0000_s1112" style="position:absolute;visibility:visible;mso-wrap-style:square" from="1434,6095" to="1524,4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0lncIAAADcAAAADwAAAGRycy9kb3ducmV2LnhtbERP32vCMBB+F/wfwgm+aeqEqZ1RZCCI&#10;MFDnYI9nc7ZlyaU00Vb/eiMIe7uP7+fNl6014kq1Lx0rGA0TEMSZ0yXnCo7f68EUhA/IGo1jUnAj&#10;D8tFtzPHVLuG93Q9hFzEEPYpKihCqFIpfVaQRT90FXHkzq62GCKsc6lrbGK4NfItSd6lxZJjQ4EV&#10;fRaU/R0uVkHzc9qXifk6B3bj7DTZrn93d6NUv9euPkAEasO/+OXe6Dh/NoPnM/EC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0lncIAAADcAAAADwAAAAAAAAAAAAAA&#10;AAChAgAAZHJzL2Rvd25yZXYueG1sUEsFBgAAAAAEAAQA+QAAAJADAAAAAA==&#10;" strokecolor="windowText" strokeweight="2pt">
              <v:shadow on="t" color="black" opacity="24903f" origin=",.5" offset="0,.55556mm"/>
            </v:line>
            <v:shape id="Прямая со стрелкой 200" o:spid="_x0000_s1113" type="#_x0000_t32" style="position:absolute;left:1434;top:10440;width:31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Siw8QAAADcAAAADwAAAGRycy9kb3ducmV2LnhtbESPzWrDMBCE74W+g9hCbo3sHJrYiRxK&#10;SKCXEGqHnrfW+ie1VsZSbPftq0Khx2FmvmF2+9l0YqTBtZYVxMsIBHFpdcu1gmtxet6AcB5ZY2eZ&#10;FHyTg332+LDDVNuJ32nMfS0ChF2KChrv+1RKVzZk0C1tTxy8yg4GfZBDLfWAU4CbTq6i6EUabDks&#10;NNjToaHyK78bBUUdt8fLWt/drYs3lftMzvlHotTiaX7dgvA0+//wX/tNKwhE+D0TjoDM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FKLDxAAAANwAAAAPAAAAAAAAAAAA&#10;AAAAAKECAABkcnMvZG93bnJldi54bWxQSwUGAAAAAAQABAD5AAAAkgMAAAAA&#10;" strokecolor="windowText" strokeweight="2pt">
              <v:stroke endarrow="open"/>
              <v:shadow on="t" color="black" opacity="24903f" origin=",.5" offset="0,.55556mm"/>
            </v:shape>
            <v:shape id="Прямая со стрелкой 201" o:spid="_x0000_s1114" type="#_x0000_t32" style="position:absolute;left:1434;top:43360;width:31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HWMUAAADcAAAADwAAAGRycy9kb3ducmV2LnhtbESPS2vDMBCE74H8B7GF3hLZObSOEzmU&#10;kEAvpdQpPW+s9SOxVsaSH/33VaHQ4zAz3zD7w2xaMVLvGssK4nUEgriwuuFKweflvEpAOI+ssbVM&#10;Cr7JwSFbLvaYajvxB425r0SAsEtRQe19l0rpipoMurXtiINX2t6gD7KvpO5xCnDTyk0UPUmDDYeF&#10;Gjs61lTc88EouFRxc3p/1oO7tXFSuuv2Lf/aKvX4ML/sQHia/X/4r/2qFWyiGH7PhCMgs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lgHWMUAAADcAAAADwAAAAAAAAAA&#10;AAAAAAChAgAAZHJzL2Rvd25yZXYueG1sUEsFBgAAAAAEAAQA+QAAAJMDAAAAAA==&#10;" strokecolor="windowText" strokeweight="2pt">
              <v:stroke endarrow="open"/>
              <v:shadow on="t" color="black" opacity="24903f" origin=",.5" offset="0,.55556mm"/>
            </v:shape>
            <v:shape id="Прямая со стрелкой 202" o:spid="_x0000_s1115" type="#_x0000_t32" style="position:absolute;left:1434;top:18921;width:31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qZL8QAAADcAAAADwAAAGRycy9kb3ducmV2LnhtbESPQWvCQBSE7wX/w/IK3uomOVRNXaWI&#10;Qi8ixtLza/aZpN19G7KbGP+9KxR6HGbmG2a1Ga0RA3W+cawgnSUgiEunG64UfJ73LwsQPiBrNI5J&#10;wY08bNaTpxXm2l35REMRKhEh7HNUUIfQ5lL6siaLfuZa4uhdXGcxRNlVUnd4jXBrZJYkr9Jiw3Gh&#10;xpa2NZW/RW8VnKu02R3nuvc/Jl1c/PfyUHwtlZo+j+9vIAKN4T/81/7QCrIkg8eZe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ipkvxAAAANwAAAAPAAAAAAAAAAAA&#10;AAAAAKECAABkcnMvZG93bnJldi54bWxQSwUGAAAAAAQABAD5AAAAkgMAAAAA&#10;" strokecolor="windowText" strokeweight="2pt">
              <v:stroke endarrow="open"/>
              <v:shadow on="t" color="black" opacity="24903f" origin=",.5" offset="0,.55556mm"/>
            </v:shape>
            <v:shape id="Прямая со стрелкой 203" o:spid="_x0000_s1116" type="#_x0000_t32" style="position:absolute;left:1434;top:27190;width:31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Y8tMMAAADcAAAADwAAAGRycy9kb3ducmV2LnhtbESPQYvCMBSE7wv+h/AEb2taBVerUUQU&#10;vIhsFc/P5tlWm5fSRK3/3iwseBxm5htmtmhNJR7UuNKygrgfgSDOrC45V3A8bL7HIJxH1lhZJgUv&#10;crCYd75mmGj75F96pD4XAcIuQQWF93UipcsKMuj6tiYO3sU2Bn2QTS51g88AN5UcRNFIGiw5LBRY&#10;06qg7JbejYJDHpfr/Y++u2sVjy/uPNmlp4lSvW67nILw1PpP+L+91QoG0RD+zoQjIO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XGPLTDAAAA3AAAAA8AAAAAAAAAAAAA&#10;AAAAoQIAAGRycy9kb3ducmV2LnhtbFBLBQYAAAAABAAEAPkAAACRAwAAAAA=&#10;" strokecolor="windowText" strokeweight="2pt">
              <v:stroke endarrow="open"/>
              <v:shadow on="t" color="black" opacity="24903f" origin=",.5" offset="0,.55556mm"/>
            </v:shape>
            <v:shape id="Прямая со стрелкой 204" o:spid="_x0000_s1117" type="#_x0000_t32" style="position:absolute;left:1434;top:36185;width:319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kwMMAAADcAAAADwAAAGRycy9kb3ducmV2LnhtbESPQYvCMBSE7wv+h/AEb2taEVerUUQU&#10;vIhsFc/P5tlWm5fSRK3/3iwseBxm5htmtmhNJR7UuNKygrgfgSDOrC45V3A8bL7HIJxH1lhZJgUv&#10;crCYd75mmGj75F96pD4XAcIuQQWF93UipcsKMuj6tiYO3sU2Bn2QTS51g88AN5UcRNFIGiw5LBRY&#10;06qg7JbejYJDHpfr/Y++u2sVjy/uPNmlp4lSvW67nILw1PpP+L+91QoG0RD+zoQjIO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ovpMDDAAAA3AAAAA8AAAAAAAAAAAAA&#10;AAAAoQIAAGRycy9kb3ducmV2LnhtbFBLBQYAAAAABAAEAPkAAACRAwAAAAA=&#10;" strokecolor="windowText" strokeweight="2pt">
              <v:stroke endarrow="open"/>
              <v:shadow on="t" color="black" opacity="24903f" origin=",.5" offset="0,.55556mm"/>
            </v:shape>
            <v:line id="Прямая соединительная линия 205" o:spid="_x0000_s1118" style="position:absolute;flip:y;visibility:visible;mso-wrap-style:square" from="72468,2915" to="93325,3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vWLMQAAADcAAAADwAAAGRycy9kb3ducmV2LnhtbESPT2sCMRTE7wW/Q3hCbzVRUOrWKKII&#10;FjzYVQreHpvX3aWbl2WT/dNv3wiCx2FmfsOsNoOtREeNLx1rmE4UCOLMmZJzDdfL4e0dhA/IBivH&#10;pOGPPGzWo5cVJsb1/EVdGnIRIewT1FCEUCdS+qwgi37iauLo/bjGYoiyyaVpsI9wW8mZUgtpseS4&#10;UGBNu4Ky37S1GpQ6LW+fQ3f+VuFWp+2x7fc9af06HrYfIAIN4Rl+tI9Gw0zN4X4mHgG5/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q9YsxAAAANwAAAAPAAAAAAAAAAAA&#10;AAAAAKECAABkcnMvZG93bnJldi54bWxQSwUGAAAAAAQABAD5AAAAkgMAAAAA&#10;" strokecolor="windowText" strokeweight="2pt">
              <v:shadow on="t" color="black" opacity="24903f" origin=",.5" offset="0,.55556mm"/>
            </v:line>
            <v:line id="Прямая соединительная линия 206" o:spid="_x0000_s1119" style="position:absolute;visibility:visible;mso-wrap-style:square" from="1524,6095" to="27286,6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1FFMUAAADcAAAADwAAAGRycy9kb3ducmV2LnhtbESPUWvCMBSF3wf7D+EOfNNkDnRU0yID&#10;QQbCdBv4eG2ubTG5KU201V+/DAZ7PJxzvsNZFoOz4kpdaDxreJ4oEMSlNw1XGr4+1+NXECEiG7Se&#10;ScONAhT548MSM+N73tF1HyuRIBwy1FDH2GZShrImh2HiW+LknXznMCbZVdJ02Ce4s3Kq1Ew6bDgt&#10;1NjSW03leX9xGvrv465RdnuK7F/K4/x9ffi4W61HT8NqASLSEP/Df+2N0TBVM/g9k46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1FFMUAAADcAAAADwAAAAAAAAAA&#10;AAAAAAChAgAAZHJzL2Rvd25yZXYueG1sUEsFBgAAAAAEAAQA+QAAAJMDAAAAAA==&#10;" strokecolor="windowText" strokeweight="2pt">
              <v:shadow on="t" color="black" opacity="24903f" origin=",.5" offset="0,.55556mm"/>
            </v:line>
            <w10:wrap type="square"/>
          </v:group>
        </w:pict>
      </w:r>
      <w:r w:rsidRPr="00D1277B">
        <w:rPr>
          <w:rFonts w:ascii="Times New Roman" w:hAnsi="Times New Roman"/>
          <w:sz w:val="26"/>
          <w:szCs w:val="26"/>
        </w:rPr>
        <w:t>Рисунок 2 – Система органов и учреждений на региональном и местном уровне, чья деятельность направлена на профилактику безнадзорности и правонарушений среди несовершеннолетних</w:t>
      </w:r>
    </w:p>
    <w:p w:rsidR="00D1277B" w:rsidRPr="00D1277B" w:rsidRDefault="00D1277B" w:rsidP="00D1277B">
      <w:pPr>
        <w:spacing w:after="0" w:line="360" w:lineRule="auto"/>
        <w:rPr>
          <w:rFonts w:ascii="Times New Roman" w:hAnsi="Times New Roman"/>
          <w:sz w:val="26"/>
          <w:szCs w:val="26"/>
        </w:rPr>
        <w:sectPr w:rsidR="00D1277B" w:rsidRPr="00D1277B">
          <w:pgSz w:w="16838" w:h="11906" w:orient="landscape"/>
          <w:pgMar w:top="1247" w:right="1247" w:bottom="1247" w:left="1247" w:header="709" w:footer="709" w:gutter="0"/>
          <w:cols w:space="720"/>
        </w:sectPr>
      </w:pPr>
    </w:p>
    <w:p w:rsidR="00D1277B" w:rsidRPr="00D1277B" w:rsidRDefault="00D1277B" w:rsidP="00D1277B">
      <w:pPr>
        <w:spacing w:after="0" w:line="360" w:lineRule="auto"/>
        <w:contextualSpacing/>
        <w:jc w:val="right"/>
        <w:rPr>
          <w:rFonts w:ascii="Times New Roman" w:hAnsi="Times New Roman"/>
          <w:sz w:val="28"/>
        </w:rPr>
      </w:pPr>
      <w:r w:rsidRPr="00D1277B">
        <w:rPr>
          <w:rFonts w:ascii="Times New Roman" w:hAnsi="Times New Roman"/>
          <w:sz w:val="28"/>
        </w:rPr>
        <w:lastRenderedPageBreak/>
        <w:t>ПРИЛОЖЕНИЕ Д</w:t>
      </w:r>
    </w:p>
    <w:p w:rsidR="00D1277B" w:rsidRPr="00D1277B" w:rsidRDefault="00D1277B" w:rsidP="00D1277B">
      <w:pPr>
        <w:spacing w:after="0" w:line="360" w:lineRule="auto"/>
        <w:contextualSpacing/>
        <w:jc w:val="right"/>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r w:rsidRPr="00D1277B">
        <w:rPr>
          <w:noProof/>
          <w:lang w:eastAsia="ru-RU"/>
        </w:rPr>
        <w:drawing>
          <wp:anchor distT="0" distB="0" distL="114300" distR="114300" simplePos="0" relativeHeight="251670528" behindDoc="1" locked="0" layoutInCell="1" allowOverlap="1" wp14:anchorId="3B279C97" wp14:editId="79AF12D6">
            <wp:simplePos x="0" y="0"/>
            <wp:positionH relativeFrom="column">
              <wp:posOffset>974725</wp:posOffset>
            </wp:positionH>
            <wp:positionV relativeFrom="paragraph">
              <wp:posOffset>133985</wp:posOffset>
            </wp:positionV>
            <wp:extent cx="7633335" cy="4011295"/>
            <wp:effectExtent l="0" t="0" r="0" b="0"/>
            <wp:wrapTight wrapText="bothSides">
              <wp:wrapPolygon edited="0">
                <wp:start x="6900" y="0"/>
                <wp:lineTo x="6900" y="5642"/>
                <wp:lineTo x="8679" y="6565"/>
                <wp:lineTo x="9973" y="6565"/>
                <wp:lineTo x="2210" y="7899"/>
                <wp:lineTo x="2210" y="13746"/>
                <wp:lineTo x="7277" y="14772"/>
                <wp:lineTo x="9973" y="14772"/>
                <wp:lineTo x="2210" y="15900"/>
                <wp:lineTo x="2210" y="21542"/>
                <wp:lineTo x="19406" y="21542"/>
                <wp:lineTo x="19514" y="15900"/>
                <wp:lineTo x="10242" y="14772"/>
                <wp:lineTo x="13423" y="14772"/>
                <wp:lineTo x="19352" y="13746"/>
                <wp:lineTo x="19406" y="7899"/>
                <wp:lineTo x="10242" y="6565"/>
                <wp:lineTo x="11590" y="6565"/>
                <wp:lineTo x="13423" y="5642"/>
                <wp:lineTo x="13369" y="0"/>
                <wp:lineTo x="6900" y="0"/>
              </wp:wrapPolygon>
            </wp:wrapTight>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8" r:lo="rId199" r:qs="rId200" r:cs="rId201"/>
              </a:graphicData>
            </a:graphic>
            <wp14:sizeRelH relativeFrom="page">
              <wp14:pctWidth>0</wp14:pctWidth>
            </wp14:sizeRelH>
            <wp14:sizeRelV relativeFrom="page">
              <wp14:pctHeight>0</wp14:pctHeight>
            </wp14:sizeRelV>
          </wp:anchor>
        </w:drawing>
      </w: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contextualSpacing/>
        <w:jc w:val="both"/>
        <w:rPr>
          <w:rFonts w:ascii="Times New Roman" w:hAnsi="Times New Roman"/>
          <w:sz w:val="24"/>
          <w:szCs w:val="24"/>
        </w:rPr>
      </w:pPr>
      <w:r w:rsidRPr="00D1277B">
        <w:rPr>
          <w:rFonts w:ascii="Times New Roman" w:hAnsi="Times New Roman"/>
          <w:sz w:val="24"/>
          <w:szCs w:val="24"/>
        </w:rPr>
        <w:t>Источник: О комиссиях по делам несовершеннолетних и защите их прав на территории Приморского края [Электронный ресурс] : Закон Приморского края от 08.11.2005 г. № 296-КЗ. – Электрон. дан. – Режим доступа : http://docs.cntd.ru/document/494211386.</w:t>
      </w:r>
    </w:p>
    <w:p w:rsidR="00D1277B" w:rsidRPr="00D1277B" w:rsidRDefault="00D1277B" w:rsidP="00D1277B">
      <w:pPr>
        <w:spacing w:after="0" w:line="360" w:lineRule="auto"/>
        <w:ind w:firstLine="709"/>
        <w:contextualSpacing/>
        <w:jc w:val="center"/>
        <w:rPr>
          <w:rFonts w:ascii="Times New Roman" w:hAnsi="Times New Roman"/>
          <w:sz w:val="10"/>
        </w:rPr>
      </w:pPr>
    </w:p>
    <w:p w:rsidR="00D1277B" w:rsidRPr="00D1277B" w:rsidRDefault="00D1277B" w:rsidP="00D1277B">
      <w:pPr>
        <w:spacing w:after="0" w:line="360" w:lineRule="auto"/>
        <w:ind w:firstLine="709"/>
        <w:contextualSpacing/>
        <w:jc w:val="center"/>
        <w:rPr>
          <w:rFonts w:ascii="Times New Roman" w:hAnsi="Times New Roman"/>
          <w:sz w:val="28"/>
        </w:rPr>
      </w:pPr>
      <w:r w:rsidRPr="00D1277B">
        <w:rPr>
          <w:rFonts w:ascii="Times New Roman" w:hAnsi="Times New Roman"/>
          <w:sz w:val="28"/>
        </w:rPr>
        <w:t>Рисунок 3 - Система КПД и ЗП на территории Приморского края</w:t>
      </w:r>
    </w:p>
    <w:p w:rsidR="00D1277B" w:rsidRPr="00D1277B" w:rsidRDefault="00D1277B" w:rsidP="00D1277B">
      <w:pPr>
        <w:spacing w:after="0" w:line="360" w:lineRule="auto"/>
        <w:rPr>
          <w:rFonts w:ascii="Times New Roman" w:hAnsi="Times New Roman"/>
          <w:sz w:val="26"/>
          <w:szCs w:val="26"/>
        </w:rPr>
        <w:sectPr w:rsidR="00D1277B" w:rsidRPr="00D1277B">
          <w:pgSz w:w="16838" w:h="11906" w:orient="landscape"/>
          <w:pgMar w:top="1247" w:right="1247" w:bottom="1247" w:left="1247" w:header="709" w:footer="709" w:gutter="0"/>
          <w:cols w:space="720"/>
        </w:sectPr>
      </w:pP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contextualSpacing/>
        <w:jc w:val="right"/>
        <w:rPr>
          <w:rFonts w:ascii="Times New Roman" w:hAnsi="Times New Roman"/>
          <w:sz w:val="28"/>
        </w:rPr>
      </w:pPr>
      <w:r>
        <w:rPr>
          <w:noProof/>
        </w:rPr>
        <w:pict>
          <v:group id="Группа 7" o:spid="_x0000_s1068" style="position:absolute;left:0;text-align:left;margin-left:52.15pt;margin-top:5.8pt;width:666.55pt;height:394.3pt;z-index:251667456;mso-width-relative:margin;mso-height-relative:margin" coordsize="58635,29032"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Схема 155" o:spid="_x0000_s1069" type="#_x0000_t75" style="position:absolute;left:253;top:11556;width:39480;height:424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">
              <v:imagedata r:id="rId203" o:title=""/>
              <o:lock v:ext="edit" aspectratio="f"/>
            </v:shape>
            <v:rect id="Прямоугольник 156" o:spid="_x0000_s1070" style="position:absolute;left:31889;top:2171;width:24245;height:55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ZaFcIA&#10;AADcAAAADwAAAGRycy9kb3ducmV2LnhtbERPTYvCMBC9C/6HMMJeRFNdFKlG0QWXPQm6gh6HZmyL&#10;zSQ02bb66zcLwt7m8T5ntelMJRqqfWlZwWScgCDOrC45V3D+3o8WIHxA1lhZJgUP8rBZ93srTLVt&#10;+UjNKeQihrBPUUERgkul9FlBBv3YOuLI3WxtMERY51LX2MZwU8lpksylwZJjQ4GOPgrK7qcfo+C6&#10;65JrOzvgPjTuE5/ufTg9XJR6G3TbJYhAXfgXv9xfOs6fze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VloVwgAAANwAAAAPAAAAAAAAAAAAAAAAAJgCAABkcnMvZG93&#10;bnJldi54bWxQSwUGAAAAAAQABAD1AAAAhwMAAAAA&#10;" fillcolor="window" strokecolor="windowText" strokeweight="2pt">
              <v:path arrowok="t"/>
              <v:textbox>
                <w:txbxContent>
                  <w:p w:rsidR="00DC1F7E" w:rsidRDefault="00DC1F7E" w:rsidP="00D1277B">
                    <w:pPr>
                      <w:pStyle w:val="a9"/>
                      <w:jc w:val="center"/>
                      <w:rPr>
                        <w:sz w:val="28"/>
                      </w:rPr>
                    </w:pPr>
                    <w:r>
                      <w:rPr>
                        <w:rFonts w:eastAsia="Malgun Gothic"/>
                        <w:color w:val="000000" w:themeColor="dark1"/>
                        <w:kern w:val="24"/>
                        <w:sz w:val="28"/>
                      </w:rPr>
                      <w:t>Городская КПД и ЗП Владивостокского ГО</w:t>
                    </w:r>
                  </w:p>
                </w:txbxContent>
              </v:textbox>
            </v:rect>
            <v:rect id="Прямоугольник 157" o:spid="_x0000_s1071" style="position:absolute;left:1371;width:18752;height:9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r/jsMA&#10;AADcAAAADwAAAGRycy9kb3ducmV2LnhtbERPS2vCQBC+F/wPywi9iG60qCV1FRUsngQfUI9DdpoE&#10;s7NLdk3S/vquIPQ2H99zFqvOVKKh2peWFYxHCQjizOqScwWX8274DsIHZI2VZVLwQx5Wy97LAlNt&#10;Wz5Scwq5iCHsU1RQhOBSKX1WkEE/so44ct+2NhgirHOpa2xjuKnkJElm0mDJsaFAR9uCstvpbhRc&#10;N11ybacH3IXGfeKvextMDl9Kvfa79QeIQF34Fz/dex3nT+fweCZe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Rr/jsMAAADcAAAADwAAAAAAAAAAAAAAAACYAgAAZHJzL2Rv&#10;d25yZXYueG1sUEsFBgAAAAAEAAQA9QAAAIgDAAAAAA==&#10;" fillcolor="window" strokecolor="windowText" strokeweight="2pt">
              <v:path arrowok="t"/>
              <v:textbox>
                <w:txbxContent>
                  <w:p w:rsidR="00DC1F7E" w:rsidRDefault="00DC1F7E" w:rsidP="00D1277B">
                    <w:pPr>
                      <w:pStyle w:val="a9"/>
                      <w:jc w:val="center"/>
                      <w:rPr>
                        <w:sz w:val="28"/>
                      </w:rPr>
                    </w:pPr>
                    <w:r>
                      <w:rPr>
                        <w:rFonts w:eastAsia="Malgun Gothic"/>
                        <w:color w:val="000000" w:themeColor="dark1"/>
                        <w:kern w:val="24"/>
                        <w:sz w:val="28"/>
                      </w:rPr>
                      <w:t>Управление по организации работы КПД и ЗП администрации города Владивостока</w:t>
                    </w:r>
                  </w:p>
                </w:txbxContent>
              </v:textbox>
            </v:rect>
            <v:rect id="Прямоугольник 158" o:spid="_x0000_s1072" style="position:absolute;left:16802;top:13373;width:21774;height:29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Vr/MUA&#10;AADcAAAADwAAAGRycy9kb3ducmV2LnhtbESPQWvCQBCF74L/YZmCF6mbWiwluootKD0JtYIeh+yY&#10;hGZnl+w2SfvrnYPQ2wzvzXvfrDaDa1RHbaw9G3iaZaCIC29rLg2cvnaPr6BiQrbYeCYDvxRhsx6P&#10;Vphb3/MndcdUKgnhmKOBKqWQax2LihzGmQ/Eol196zDJ2pbatthLuGv0PMtetMOapaHCQO8VFd/H&#10;H2fg8jZkl35xwF3qwh7/wvN0fjgbM3kYtktQiYb0b75ff1jBXwitPCMT6P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hWv8xQAAANwAAAAPAAAAAAAAAAAAAAAAAJgCAABkcnMv&#10;ZG93bnJldi54bWxQSwUGAAAAAAQABAD1AAAAigMAAAAA&#10;" fillcolor="window" strokecolor="windowText" strokeweight="2pt">
              <v:path arrowok="t"/>
              <v:textbox>
                <w:txbxContent>
                  <w:p w:rsidR="00DC1F7E" w:rsidRDefault="00DC1F7E" w:rsidP="00D1277B">
                    <w:pPr>
                      <w:pStyle w:val="a9"/>
                      <w:jc w:val="center"/>
                      <w:rPr>
                        <w:sz w:val="28"/>
                      </w:rPr>
                    </w:pPr>
                    <w:r>
                      <w:rPr>
                        <w:rFonts w:eastAsia="Malgun Gothic"/>
                        <w:color w:val="000000" w:themeColor="dark1"/>
                        <w:kern w:val="24"/>
                        <w:sz w:val="28"/>
                      </w:rPr>
                      <w:t>Районные в городе КПД и ЗП</w:t>
                    </w:r>
                  </w:p>
                </w:txbxContent>
              </v:textbox>
            </v:rect>
            <v:line id="Прямая соединительная линия 159" o:spid="_x0000_s1073" style="position:absolute;visibility:visible;mso-wrap-style:square" from="40805,17945" to="50800,17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CGXsUAAADcAAAADwAAAGRycy9kb3ducmV2LnhtbERPTWvCQBC9C/6HZYTedNMWQ5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HCGXsUAAADcAAAADwAAAAAAAAAA&#10;AAAAAAChAgAAZHJzL2Rvd25yZXYueG1sUEsFBgAAAAAEAAQA+QAAAJMDAAAAAA==&#10;">
              <o:lock v:ext="edit" shapetype="f"/>
            </v:line>
            <v:shape id="Прямая со стрелкой 160" o:spid="_x0000_s1074" type="#_x0000_t32" style="position:absolute;left:50749;top:17943;width:0;height:21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e248UAAADcAAAADwAAAGRycy9kb3ducmV2LnhtbESPQWvCQBCF7wX/wzKCl6IbI7USXaUI&#10;toWeagteh+wkG8zOhuw2pv++cxB6m+G9ee+b3WH0rRqoj01gA8tFBoq4DLbh2sD312m+ARUTssU2&#10;MBn4pQiH/eRhh4UNN/6k4ZxqJSEcCzTgUuoKrWPpyGNchI5YtCr0HpOsfa1tjzcJ963Os2ytPTYs&#10;DQ47Ojoqr+cfb6DKLS0frxf39vyE1fFjlQ9D+2rMbDq+bEElGtO/+X79bgV/LfjyjEyg9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re248UAAADcAAAADwAAAAAAAAAA&#10;AAAAAAChAgAAZHJzL2Rvd25yZXYueG1sUEsFBgAAAAAEAAQA+QAAAJMDAAAAAA==&#10;">
              <v:stroke endarrow="open"/>
              <o:lock v:ext="edit" shapetype="f"/>
            </v:shape>
            <v:line id="Прямая соединительная линия 161" o:spid="_x0000_s1075" style="position:absolute;flip:x;visibility:visible;mso-wrap-style:square" from="4914,17945" to="16878,17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o:lock v:ext="edit" shapetype="f"/>
            </v:line>
            <v:shape id="Прямая со стрелкой 162" o:spid="_x0000_s1076" type="#_x0000_t32" style="position:absolute;left:4914;top:17943;width:0;height:21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mND8IAAADcAAAADwAAAGRycy9kb3ducmV2LnhtbERPS4vCMBC+L+x/CCN4WTS1srpUoyzC&#10;qrAnH7DXoZk2xWZSmmyt/94Igrf5+J6zXPe2Fh21vnKsYDJOQBDnTldcKjiffkZfIHxA1lg7JgU3&#10;8rBevb8tMdPuygfqjqEUMYR9hgpMCE0mpc8NWfRj1xBHrnCtxRBhW0rd4jWG21qmSTKTFiuODQYb&#10;2hjKL8d/q6BINU0+Ln9mN//EYvM7Tbuu3io1HPTfCxCB+vASP917HefPUng8Ey+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SmND8IAAADcAAAADwAAAAAAAAAAAAAA&#10;AAChAgAAZHJzL2Rvd25yZXYueG1sUEsFBgAAAAAEAAQA+QAAAJADAAAAAA==&#10;">
              <v:stroke endarrow="open"/>
              <o:lock v:ext="edit" shapetype="f"/>
            </v:shape>
            <v:line id="Прямая соединительная линия 163" o:spid="_x0000_s1077" style="position:absolute;visibility:visible;mso-wrap-style:square" from="16802,17945" to="40741,17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7CcQAAADcAAAADwAAAGRycy9kb3ducmV2LnhtbERPTWvCQBC9C/6HZYTedGOFUKKriFLQ&#10;Hkq1gh7H7JhEs7Nhd5uk/75bKPQ2j/c5i1VvatGS85VlBdNJAoI4t7riQsHp83X8AsIHZI21ZVLw&#10;TR5Wy+FggZm2HR+oPYZCxBD2GSooQ2gyKX1ekkE/sQ1x5G7WGQwRukJqh10MN7V8TpJUGqw4NpTY&#10;0Kak/HH8MgreZx9pu96/7frzPr3m28P1cu+cUk+jfj0HEagP/+I/907H+e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9HsJxAAAANwAAAAPAAAAAAAAAAAA&#10;AAAAAKECAABkcnMvZG93bnJldi54bWxQSwUGAAAAAAQABAD5AAAAkgMAAAAA&#10;">
              <o:lock v:ext="edit" shapetype="f"/>
            </v:line>
            <v:shape id="Прямая со стрелкой 164" o:spid="_x0000_s1078" type="#_x0000_t32" style="position:absolute;left:16002;top:17943;width:0;height:2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yw4MIAAADcAAAADwAAAGRycy9kb3ducmV2LnhtbERPTWvCQBC9F/wPywheRDdGqxJdpQjW&#10;Qk+1gtchO8kGs7Mhu43pv3eFQm/zeJ+z3fe2Fh21vnKsYDZNQBDnTldcKrh8HydrED4ga6wdk4Jf&#10;8rDfDV62mGl35y/qzqEUMYR9hgpMCE0mpc8NWfRT1xBHrnCtxRBhW0rd4j2G21qmSbKUFiuODQYb&#10;OhjKb+cfq6BINc3Gt6s5rV6xOHzO066r35UaDfu3DYhAffgX/7k/dJy/XMDzmXiB3D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yw4MIAAADcAAAADwAAAAAAAAAAAAAA&#10;AAChAgAAZHJzL2Rvd25yZXYueG1sUEsFBgAAAAAEAAQA+QAAAJADAAAAAA==&#10;">
              <v:stroke endarrow="open"/>
              <o:lock v:ext="edit" shapetype="f"/>
            </v:shape>
            <v:shape id="Прямая со стрелкой 165" o:spid="_x0000_s1079" type="#_x0000_t32" style="position:absolute;left:38862;top:17943;width:0;height:21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AVe8EAAADcAAAADwAAAGRycy9kb3ducmV2LnhtbERPTYvCMBC9C/6HMMJeZE3toi5do4iw&#10;KnhaV9jr0EybYjMpTaz135sFwds83ucs172tRUetrxwrmE4SEMS50xWXCs6/3++fIHxA1lg7JgV3&#10;8rBeDQdLzLS78Q91p1CKGMI+QwUmhCaT0ueGLPqJa4gjV7jWYoiwLaVu8RbDbS3TJJlLixXHBoMN&#10;bQ3ll9PVKihSTdPx5c/sFzMstsePtOvqnVJvo37zBSJQH17ip/ug4/z5DP6fiRfI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wBV7wQAAANwAAAAPAAAAAAAAAAAAAAAA&#10;AKECAABkcnMvZG93bnJldi54bWxQSwUGAAAAAAQABAD5AAAAjwMAAAAA&#10;">
              <v:stroke endarrow="open"/>
              <o:lock v:ext="edit" shapetype="f"/>
            </v:shape>
            <v:shape id="Прямая со стрелкой 166" o:spid="_x0000_s1080" type="#_x0000_t32" style="position:absolute;left:27660;top:17941;width:43;height:21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KLDMIAAADcAAAADwAAAGRycy9kb3ducmV2LnhtbERPS2vCQBC+F/wPywheim5MaZToKiLU&#10;FnryAV6H7CQbzM6G7DbGf+8WCr3Nx/ec9Xawjeip87VjBfNZAoK4cLrmSsHl/DFdgvABWWPjmBQ8&#10;yMN2M3pZY67dnY/Un0IlYgj7HBWYENpcSl8YsuhnriWOXOk6iyHCrpK6w3sMt41MkySTFmuODQZb&#10;2hsqbqcfq6BMNc1fb1fzuXjHcv/9lvZ9c1BqMh52KxCBhvAv/nN/6Tg/y+D3mXiB3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hKLDMIAAADcAAAADwAAAAAAAAAAAAAA&#10;AAChAgAAZHJzL2Rvd25yZXYueG1sUEsFBgAAAAAEAAQA+QAAAJADAAAAAA==&#10;">
              <v:stroke endarrow="open"/>
              <o:lock v:ext="edit" shapetype="f"/>
            </v:shape>
            <v:line id="Прямая соединительная линия 167" o:spid="_x0000_s1081" style="position:absolute;flip:x;visibility:visible;mso-wrap-style:square" from="27660,4686" to="31921,4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89pHMMAAADcAAAADwAAAGRycy9kb3ducmV2LnhtbERPS2vCQBC+C/0PyxR60932oDbNRkpL&#10;wYIHjaXgbchOk9DsbMhuHv57VxC8zcf3nHQz2UYM1PnasYbnhQJBXDhTc6nh5/g1X4PwAdlg45g0&#10;nMnDJnuYpZgYN/KBhjyUIoawT1BDFUKbSOmLiiz6hWuJI/fnOoshwq6UpsMxhttGvii1lBZrjg0V&#10;tvRRUfGf91aDUrvX0/c07H9VOLV5v+3Hz5G0fnqc3t9ABJrCXXxzb02cv1zB9Zl4gcw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aRzDAAAA3AAAAA8AAAAAAAAAAAAA&#10;AAAAoQIAAGRycy9kb3ducmV2LnhtbFBLBQYAAAAABAAEAPkAAACRAwAAAAA=&#10;" strokecolor="windowText" strokeweight="2pt">
              <v:shadow on="t" color="black" opacity="24903f" origin=",.5" offset="0,.55556mm"/>
              <o:lock v:ext="edit" shapetype="f"/>
            </v:line>
            <v:shape id="Прямая со стрелкой 168" o:spid="_x0000_s1082" type="#_x0000_t32" style="position:absolute;left:27637;top:4685;width:23;height:87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gqGcQAAADcAAAADwAAAGRycy9kb3ducmV2LnhtbESPQW/CMAyF75P4D5GRuI20HBgUAkII&#10;JC7TtII4m8a0hcapmgDdv58Pk3az9Z7f+7xc965RT+pC7dlAOk5AERfe1lwaOB337zNQISJbbDyT&#10;gR8KsF4N3paYWf/ib3rmsVQSwiFDA1WMbaZ1KCpyGMa+JRbt6juHUdau1LbDl4S7Rk+SZKod1iwN&#10;Fba0rai45w9n4Fim9e7rwz7CrUln13CZf+bnuTGjYb9ZgIrUx3/z3/XBCv5UaOUZmUCv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mCoZxAAAANwAAAAPAAAAAAAAAAAA&#10;AAAAAKECAABkcnMvZG93bnJldi54bWxQSwUGAAAAAAQABAD5AAAAkgMAAAAA&#10;" strokecolor="windowText" strokeweight="2pt">
              <v:stroke endarrow="open"/>
              <v:shadow on="t" color="black" opacity="24903f" origin=",.5" offset="0,.55556mm"/>
              <o:lock v:ext="edit" shapetype="f"/>
            </v:shape>
            <v:shape id="Прямая со стрелкой 169" o:spid="_x0000_s1083" type="#_x0000_t32" style="position:absolute;left:20231;top:3314;width:1177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IfjMIAAADcAAAADwAAAGRycy9kb3ducmV2LnhtbERPTU8CMRC9m/AfmiHxJl0wgK4UQhAS&#10;wwnQeB63425DO13aCuu/pyQm3ublfc5s0TkrzhSi8axgOChAEFdeG64VfLxvHp5AxISs0XomBb8U&#10;YTHv3c2w1P7CezofUi1yCMcSFTQptaWUsWrIYRz4ljhz3z44TBmGWuqAlxzurBwVxUQ6NJwbGmxp&#10;1VB1PPw4BbvNUo/GWzN9tWa7Pn1+xUcbolL3/W75AiJRl/7Ff+43nedPnuH2TL5Az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MIfjMIAAADcAAAADwAAAAAAAAAAAAAA&#10;AAChAgAAZHJzL2Rvd25yZXYueG1sUEsFBgAAAAAEAAQA+QAAAJADAAAAAA==&#10;" strokecolor="#c0504d" strokeweight="2pt">
              <v:stroke endarrow="open"/>
              <v:shadow on="t" color="black" opacity="24903f" origin=",.5" offset="0,.55556mm"/>
              <o:lock v:ext="edit" shapetype="f"/>
            </v:shape>
            <v:line id="Прямая соединительная линия 170" o:spid="_x0000_s1084" style="position:absolute;visibility:visible;mso-wrap-style:square" from="10515,9029" to="10515,14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6sIAAADcAAAADwAAAGRycy9kb3ducmV2LnhtbESPQW/CMAyF75P4D5GRdhspHNjUERBC&#10;Qpq4ARtnr3GbisSpmqwt/34+TNrN1nt+7/NmNwWvBupTG9nAclGAIq6ibbkx8Hk9vryBShnZoo9M&#10;Bh6UYLedPW2wtHHkMw2X3CgJ4VSiAZdzV2qdKkcB0yJ2xKLVsQ+YZe0bbXscJTx4vSqKtQ7YsjQ4&#10;7OjgqLpffoKByY6Dd3U9+MPX9ZtSvK3G082Y5/m0fweVacr/5r/rDyv4r4Ivz8gEevs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X6sIAAADcAAAADwAAAAAAAAAAAAAA&#10;AAChAgAAZHJzL2Rvd25yZXYueG1sUEsFBgAAAAAEAAQA+QAAAJADAAAAAA==&#10;" strokecolor="#c0504d" strokeweight="2pt">
              <v:shadow on="t" color="black" opacity="24903f" origin=",.5" offset="0,.55556mm"/>
              <o:lock v:ext="edit" shapetype="f"/>
            </v:line>
            <v:shape id="Прямая со стрелкой 171" o:spid="_x0000_s1085" type="#_x0000_t32" style="position:absolute;left:10515;top:14630;width:627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2FV8EAAADcAAAADwAAAGRycy9kb3ducmV2LnhtbERPTWsCMRC9C/6HMEJvmtViLVujiK0g&#10;nlpbPI+b6W4wmWyTVNd/bwoFb/N4nzNfds6KM4VoPCsYjwoQxJXXhmsFX5+b4TOImJA1Ws+k4EoR&#10;lot+b46l9hf+oPM+1SKHcCxRQZNSW0oZq4YcxpFviTP37YPDlGGopQ54yeHOyklRPEmHhnNDgy2t&#10;G6pO+1+n4H2z0pPpzsxerdm9/RyO8dGGqNTDoFu9gEjUpbv4373Vef5sDH/P5Avk4gY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bYVXwQAAANwAAAAPAAAAAAAAAAAAAAAA&#10;AKECAABkcnMvZG93bnJldi54bWxQSwUGAAAAAAQABAD5AAAAjwMAAAAA&#10;" strokecolor="#c0504d" strokeweight="2pt">
              <v:stroke endarrow="open"/>
              <v:shadow on="t" color="black" opacity="24903f" origin=",.5" offset="0,.55556mm"/>
              <o:lock v:ext="edit" shapetype="f"/>
            </v:shape>
          </v:group>
        </w:pict>
      </w:r>
      <w:r w:rsidRPr="00D1277B">
        <w:rPr>
          <w:rFonts w:ascii="Times New Roman" w:hAnsi="Times New Roman"/>
          <w:sz w:val="28"/>
        </w:rPr>
        <w:t>ПРИЛОЖЕНИЕ Е</w:t>
      </w:r>
    </w:p>
    <w:p w:rsidR="00D1277B" w:rsidRPr="00D1277B" w:rsidRDefault="00D1277B" w:rsidP="00D1277B">
      <w:pPr>
        <w:spacing w:after="0" w:line="360" w:lineRule="auto"/>
        <w:ind w:firstLine="709"/>
        <w:contextualSpacing/>
        <w:jc w:val="center"/>
        <w:rPr>
          <w:rFonts w:ascii="Times New Roman" w:hAnsi="Times New Roman"/>
          <w:sz w:val="28"/>
        </w:rPr>
      </w:pPr>
    </w:p>
    <w:p w:rsidR="00D1277B" w:rsidRPr="00D1277B" w:rsidRDefault="00D1277B" w:rsidP="00D1277B">
      <w:pPr>
        <w:spacing w:after="0" w:line="360" w:lineRule="auto"/>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r>
        <w:rPr>
          <w:noProof/>
        </w:rPr>
        <w:pict>
          <v:line id="Прямая соединительная линия 35" o:spid="_x0000_s1067"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66.35pt,10.05pt" to="366.75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">
            <o:lock v:ext="edit" shapetype="f"/>
          </v:line>
        </w:pict>
      </w: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contextualSpacing/>
        <w:jc w:val="both"/>
        <w:rPr>
          <w:rFonts w:ascii="Times New Roman" w:hAnsi="Times New Roman"/>
          <w:sz w:val="24"/>
          <w:szCs w:val="28"/>
        </w:rPr>
      </w:pPr>
      <w:r w:rsidRPr="00D1277B">
        <w:rPr>
          <w:rFonts w:ascii="Times New Roman" w:hAnsi="Times New Roman"/>
          <w:sz w:val="24"/>
          <w:szCs w:val="28"/>
        </w:rPr>
        <w:t>Источник: Официальный сайт Администрации города Владивостока (Управление по организации работы комиссий по делам несовершеннолетних и защите их прав) [Электронный ресурс].  – Электрон. дан. –  Режим доступа : http://old.vlc.</w:t>
      </w:r>
    </w:p>
    <w:p w:rsidR="00D1277B" w:rsidRPr="00D1277B" w:rsidRDefault="00D1277B" w:rsidP="00D1277B">
      <w:pPr>
        <w:spacing w:after="0" w:line="360" w:lineRule="auto"/>
        <w:contextualSpacing/>
        <w:jc w:val="center"/>
        <w:rPr>
          <w:rFonts w:ascii="Times New Roman" w:hAnsi="Times New Roman"/>
          <w:sz w:val="10"/>
          <w:szCs w:val="28"/>
        </w:rPr>
      </w:pPr>
    </w:p>
    <w:p w:rsidR="00D1277B" w:rsidRPr="00D1277B" w:rsidRDefault="00D1277B" w:rsidP="00D1277B">
      <w:pPr>
        <w:spacing w:after="0" w:line="360" w:lineRule="auto"/>
        <w:contextualSpacing/>
        <w:jc w:val="center"/>
        <w:rPr>
          <w:rFonts w:ascii="Times New Roman" w:hAnsi="Times New Roman"/>
          <w:sz w:val="28"/>
          <w:szCs w:val="28"/>
        </w:rPr>
      </w:pPr>
      <w:r w:rsidRPr="00D1277B">
        <w:rPr>
          <w:rFonts w:ascii="Times New Roman" w:hAnsi="Times New Roman"/>
          <w:sz w:val="28"/>
          <w:szCs w:val="28"/>
        </w:rPr>
        <w:t>Рисунок 4 - Структурная организация КПД и ЗП на территории города Владивостока</w:t>
      </w:r>
    </w:p>
    <w:p w:rsidR="00D1277B" w:rsidRPr="00D1277B" w:rsidRDefault="00D1277B" w:rsidP="00D1277B">
      <w:pPr>
        <w:spacing w:after="0" w:line="360" w:lineRule="auto"/>
        <w:rPr>
          <w:rFonts w:ascii="Times New Roman" w:hAnsi="Times New Roman"/>
          <w:sz w:val="28"/>
          <w:szCs w:val="28"/>
        </w:rPr>
        <w:sectPr w:rsidR="00D1277B" w:rsidRPr="00D1277B">
          <w:pgSz w:w="16838" w:h="11906" w:orient="landscape"/>
          <w:pgMar w:top="1247" w:right="1247" w:bottom="1247" w:left="1247" w:header="709" w:footer="709" w:gutter="0"/>
          <w:cols w:space="720"/>
        </w:sectPr>
      </w:pPr>
    </w:p>
    <w:p w:rsidR="00D1277B" w:rsidRPr="00D1277B" w:rsidRDefault="00D1277B" w:rsidP="00D1277B">
      <w:pPr>
        <w:spacing w:after="0" w:line="360" w:lineRule="auto"/>
        <w:contextualSpacing/>
        <w:jc w:val="right"/>
        <w:rPr>
          <w:rFonts w:ascii="Times New Roman" w:hAnsi="Times New Roman"/>
          <w:sz w:val="28"/>
          <w:szCs w:val="28"/>
        </w:rPr>
      </w:pPr>
      <w:r w:rsidRPr="00D1277B">
        <w:rPr>
          <w:rFonts w:ascii="Times New Roman" w:hAnsi="Times New Roman"/>
          <w:sz w:val="28"/>
          <w:szCs w:val="28"/>
        </w:rPr>
        <w:lastRenderedPageBreak/>
        <w:t>ПРИЛОЖЕНИЕ К</w:t>
      </w: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3 - Количество преступлений, совершённых несовершеннолетними (с 2012 по 2017 в возрасте 14-17 лет), по районам</w:t>
      </w:r>
    </w:p>
    <w:tbl>
      <w:tblPr>
        <w:tblStyle w:val="112"/>
        <w:tblW w:w="9639" w:type="dxa"/>
        <w:tblInd w:w="108" w:type="dxa"/>
        <w:tblLook w:val="04A0" w:firstRow="1" w:lastRow="0" w:firstColumn="1" w:lastColumn="0" w:noHBand="0" w:noVBand="1"/>
      </w:tblPr>
      <w:tblGrid>
        <w:gridCol w:w="4430"/>
        <w:gridCol w:w="851"/>
        <w:gridCol w:w="848"/>
        <w:gridCol w:w="851"/>
        <w:gridCol w:w="850"/>
        <w:gridCol w:w="993"/>
        <w:gridCol w:w="816"/>
      </w:tblGrid>
      <w:tr w:rsidR="00D1277B" w:rsidRPr="00D1277B" w:rsidTr="00D1277B">
        <w:trPr>
          <w:trHeight w:val="348"/>
        </w:trPr>
        <w:tc>
          <w:tcPr>
            <w:tcW w:w="9639" w:type="dxa"/>
            <w:gridSpan w:val="7"/>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Количество преступлений, совершённых несовершеннолетними</w:t>
            </w:r>
            <w:r w:rsidRPr="00D1277B">
              <w:rPr>
                <w:rFonts w:ascii="Times New Roman" w:hAnsi="Times New Roman"/>
                <w:sz w:val="24"/>
              </w:rPr>
              <w:t xml:space="preserve"> </w:t>
            </w:r>
            <w:r w:rsidRPr="00D1277B">
              <w:rPr>
                <w:rFonts w:ascii="Times New Roman" w:hAnsi="Times New Roman"/>
                <w:b/>
                <w:bCs/>
                <w:color w:val="000000"/>
                <w:sz w:val="24"/>
                <w:lang w:eastAsia="ru-RU"/>
              </w:rPr>
              <w:t>по районам (с 2012 по 2017)</w:t>
            </w:r>
          </w:p>
        </w:tc>
      </w:tr>
      <w:tr w:rsidR="00D1277B" w:rsidRPr="00D1277B" w:rsidTr="00D1277B">
        <w:trPr>
          <w:trHeight w:val="135"/>
        </w:trPr>
        <w:tc>
          <w:tcPr>
            <w:tcW w:w="443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FF0000"/>
                <w:sz w:val="24"/>
                <w:lang w:eastAsia="ru-RU"/>
              </w:rPr>
            </w:pPr>
            <w:r w:rsidRPr="00D1277B">
              <w:rPr>
                <w:rFonts w:ascii="Times New Roman" w:hAnsi="Times New Roman"/>
                <w:b/>
                <w:bCs/>
                <w:color w:val="FF0000"/>
                <w:sz w:val="24"/>
                <w:lang w:eastAsia="ru-RU"/>
              </w:rPr>
              <w:t> </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2012</w:t>
            </w:r>
          </w:p>
        </w:tc>
        <w:tc>
          <w:tcPr>
            <w:tcW w:w="84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2013</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2014</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2015</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2016</w:t>
            </w:r>
          </w:p>
        </w:tc>
        <w:tc>
          <w:tcPr>
            <w:tcW w:w="816"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2017</w:t>
            </w:r>
          </w:p>
        </w:tc>
      </w:tr>
      <w:tr w:rsidR="00D1277B" w:rsidRPr="00D1277B" w:rsidTr="00D1277B">
        <w:trPr>
          <w:trHeight w:val="158"/>
        </w:trPr>
        <w:tc>
          <w:tcPr>
            <w:tcW w:w="443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Ленинский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28</w:t>
            </w:r>
          </w:p>
        </w:tc>
        <w:tc>
          <w:tcPr>
            <w:tcW w:w="84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24</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17</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28</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11</w:t>
            </w:r>
          </w:p>
        </w:tc>
        <w:tc>
          <w:tcPr>
            <w:tcW w:w="816"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14</w:t>
            </w:r>
          </w:p>
        </w:tc>
      </w:tr>
      <w:tr w:rsidR="00D1277B" w:rsidRPr="00D1277B" w:rsidTr="00D1277B">
        <w:trPr>
          <w:trHeight w:val="58"/>
        </w:trPr>
        <w:tc>
          <w:tcPr>
            <w:tcW w:w="443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Первомайский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16</w:t>
            </w:r>
          </w:p>
        </w:tc>
        <w:tc>
          <w:tcPr>
            <w:tcW w:w="84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20</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20</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29</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17</w:t>
            </w:r>
          </w:p>
        </w:tc>
        <w:tc>
          <w:tcPr>
            <w:tcW w:w="816"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17</w:t>
            </w:r>
          </w:p>
        </w:tc>
      </w:tr>
      <w:tr w:rsidR="00D1277B" w:rsidRPr="00D1277B" w:rsidTr="00D1277B">
        <w:trPr>
          <w:trHeight w:val="58"/>
        </w:trPr>
        <w:tc>
          <w:tcPr>
            <w:tcW w:w="443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 xml:space="preserve">Первореченский район </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31</w:t>
            </w:r>
          </w:p>
        </w:tc>
        <w:tc>
          <w:tcPr>
            <w:tcW w:w="84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29</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23</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20</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32</w:t>
            </w:r>
          </w:p>
        </w:tc>
        <w:tc>
          <w:tcPr>
            <w:tcW w:w="816"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30</w:t>
            </w:r>
          </w:p>
        </w:tc>
      </w:tr>
      <w:tr w:rsidR="00D1277B" w:rsidRPr="00D1277B" w:rsidTr="00D1277B">
        <w:trPr>
          <w:trHeight w:val="58"/>
        </w:trPr>
        <w:tc>
          <w:tcPr>
            <w:tcW w:w="443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Фрунзенский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14</w:t>
            </w:r>
          </w:p>
        </w:tc>
        <w:tc>
          <w:tcPr>
            <w:tcW w:w="84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26</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27</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14</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21</w:t>
            </w:r>
          </w:p>
        </w:tc>
        <w:tc>
          <w:tcPr>
            <w:tcW w:w="816"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30</w:t>
            </w:r>
          </w:p>
        </w:tc>
      </w:tr>
      <w:tr w:rsidR="00D1277B" w:rsidRPr="00D1277B" w:rsidTr="00D1277B">
        <w:trPr>
          <w:trHeight w:val="58"/>
        </w:trPr>
        <w:tc>
          <w:tcPr>
            <w:tcW w:w="4430"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Советский район (город+океанская черта)</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28</w:t>
            </w:r>
          </w:p>
        </w:tc>
        <w:tc>
          <w:tcPr>
            <w:tcW w:w="84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33</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23</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20</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8</w:t>
            </w:r>
          </w:p>
        </w:tc>
        <w:tc>
          <w:tcPr>
            <w:tcW w:w="816"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13</w:t>
            </w:r>
          </w:p>
        </w:tc>
      </w:tr>
      <w:tr w:rsidR="00D1277B" w:rsidRPr="00D1277B" w:rsidTr="00D1277B">
        <w:trPr>
          <w:trHeight w:val="58"/>
        </w:trPr>
        <w:tc>
          <w:tcPr>
            <w:tcW w:w="443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
                <w:bCs/>
                <w:color w:val="000000"/>
                <w:sz w:val="24"/>
                <w:lang w:eastAsia="ru-RU"/>
              </w:rPr>
            </w:pPr>
            <w:r w:rsidRPr="00D1277B">
              <w:rPr>
                <w:rFonts w:ascii="Times New Roman" w:hAnsi="Times New Roman"/>
                <w:b/>
                <w:bCs/>
                <w:color w:val="000000"/>
                <w:sz w:val="24"/>
                <w:lang w:eastAsia="ru-RU"/>
              </w:rPr>
              <w:t>Всего по городу Владивостоку</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lang w:eastAsia="ru-RU"/>
              </w:rPr>
            </w:pPr>
            <w:r w:rsidRPr="00D1277B">
              <w:rPr>
                <w:rFonts w:ascii="Times New Roman" w:hAnsi="Times New Roman"/>
                <w:bCs/>
                <w:color w:val="000000"/>
                <w:sz w:val="24"/>
                <w:lang w:eastAsia="ru-RU"/>
              </w:rPr>
              <w:t>117</w:t>
            </w:r>
          </w:p>
        </w:tc>
        <w:tc>
          <w:tcPr>
            <w:tcW w:w="84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132</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lang w:eastAsia="ru-RU"/>
              </w:rPr>
            </w:pPr>
            <w:r w:rsidRPr="00D1277B">
              <w:rPr>
                <w:rFonts w:ascii="Times New Roman" w:hAnsi="Times New Roman"/>
                <w:bCs/>
                <w:color w:val="000000"/>
                <w:sz w:val="24"/>
                <w:lang w:eastAsia="ru-RU"/>
              </w:rPr>
              <w:t>110</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111</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lang w:eastAsia="ru-RU"/>
              </w:rPr>
            </w:pPr>
            <w:r w:rsidRPr="00D1277B">
              <w:rPr>
                <w:rFonts w:ascii="Times New Roman" w:hAnsi="Times New Roman"/>
                <w:bCs/>
                <w:color w:val="000000"/>
                <w:sz w:val="24"/>
                <w:lang w:eastAsia="ru-RU"/>
              </w:rPr>
              <w:t>89</w:t>
            </w:r>
          </w:p>
        </w:tc>
        <w:tc>
          <w:tcPr>
            <w:tcW w:w="816"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104</w:t>
            </w:r>
          </w:p>
        </w:tc>
      </w:tr>
    </w:tbl>
    <w:p w:rsidR="00D1277B" w:rsidRPr="00D1277B" w:rsidRDefault="00D1277B" w:rsidP="00D1277B">
      <w:pPr>
        <w:spacing w:after="0" w:line="360" w:lineRule="auto"/>
        <w:jc w:val="both"/>
        <w:rPr>
          <w:rFonts w:ascii="Times New Roman" w:eastAsia="Times New Roman" w:hAnsi="Times New Roman"/>
          <w:sz w:val="24"/>
          <w:lang w:eastAsia="ko-KR"/>
        </w:rPr>
      </w:pPr>
      <w:r w:rsidRPr="00D1277B">
        <w:rPr>
          <w:rFonts w:ascii="Times New Roman" w:eastAsia="Times New Roman" w:hAnsi="Times New Roman"/>
          <w:sz w:val="24"/>
          <w:lang w:eastAsia="ko-KR"/>
        </w:rPr>
        <w:t xml:space="preserve">Источник: составлено автором на основе данных Управления </w:t>
      </w:r>
    </w:p>
    <w:p w:rsidR="00D1277B" w:rsidRPr="00D1277B" w:rsidRDefault="00D1277B" w:rsidP="00D1277B">
      <w:pPr>
        <w:spacing w:after="0" w:line="360" w:lineRule="auto"/>
        <w:jc w:val="both"/>
        <w:rPr>
          <w:rFonts w:ascii="Times New Roman" w:eastAsia="Times New Roman" w:hAnsi="Times New Roman"/>
          <w:sz w:val="28"/>
          <w:lang w:eastAsia="ko-KR"/>
        </w:rPr>
      </w:pPr>
    </w:p>
    <w:p w:rsidR="00D1277B" w:rsidRPr="00D1277B" w:rsidRDefault="00D1277B" w:rsidP="00D1277B">
      <w:pPr>
        <w:spacing w:after="0" w:line="360" w:lineRule="auto"/>
        <w:jc w:val="both"/>
        <w:rPr>
          <w:rFonts w:ascii="Times New Roman" w:eastAsia="Times New Roman" w:hAnsi="Times New Roman"/>
          <w:sz w:val="24"/>
          <w:lang w:eastAsia="ko-KR"/>
        </w:rPr>
      </w:pPr>
      <w:r w:rsidRPr="00D1277B">
        <w:rPr>
          <w:rFonts w:ascii="Times New Roman" w:eastAsia="Times New Roman" w:hAnsi="Times New Roman"/>
          <w:sz w:val="28"/>
          <w:lang w:eastAsia="ko-KR"/>
        </w:rPr>
        <w:t>Таблица 4 - Число несовершеннолетних (с 2012 по 2017, в возрасте 14-17 лет), оба пола, по районам</w:t>
      </w:r>
    </w:p>
    <w:tbl>
      <w:tblPr>
        <w:tblStyle w:val="112"/>
        <w:tblW w:w="9639" w:type="dxa"/>
        <w:tblInd w:w="108" w:type="dxa"/>
        <w:tblLook w:val="04A0" w:firstRow="1" w:lastRow="0" w:firstColumn="1" w:lastColumn="0" w:noHBand="0" w:noVBand="1"/>
      </w:tblPr>
      <w:tblGrid>
        <w:gridCol w:w="4433"/>
        <w:gridCol w:w="851"/>
        <w:gridCol w:w="850"/>
        <w:gridCol w:w="851"/>
        <w:gridCol w:w="850"/>
        <w:gridCol w:w="993"/>
        <w:gridCol w:w="816"/>
      </w:tblGrid>
      <w:tr w:rsidR="00D1277B" w:rsidRPr="00D1277B" w:rsidTr="00D1277B">
        <w:trPr>
          <w:trHeight w:val="312"/>
        </w:trPr>
        <w:tc>
          <w:tcPr>
            <w:tcW w:w="9639" w:type="dxa"/>
            <w:gridSpan w:val="7"/>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Число несовершеннолетних по районам (с 2012 по 2017, в возрасте 14-17 лет), оба пола</w:t>
            </w:r>
          </w:p>
        </w:tc>
      </w:tr>
      <w:tr w:rsidR="00D1277B" w:rsidRPr="00D1277B" w:rsidTr="00D1277B">
        <w:trPr>
          <w:trHeight w:val="312"/>
        </w:trPr>
        <w:tc>
          <w:tcPr>
            <w:tcW w:w="443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color w:val="000000"/>
                <w:sz w:val="24"/>
                <w:lang w:eastAsia="ru-RU"/>
              </w:rPr>
            </w:pPr>
            <w:r w:rsidRPr="00D1277B">
              <w:rPr>
                <w:rFonts w:ascii="Times New Roman" w:hAnsi="Times New Roman"/>
                <w:color w:val="000000"/>
                <w:sz w:val="24"/>
                <w:lang w:eastAsia="ru-RU"/>
              </w:rPr>
              <w:t> </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2012</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2013</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2014</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2015</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2016</w:t>
            </w:r>
          </w:p>
        </w:tc>
        <w:tc>
          <w:tcPr>
            <w:tcW w:w="81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lang w:eastAsia="ru-RU"/>
              </w:rPr>
            </w:pPr>
            <w:r w:rsidRPr="00D1277B">
              <w:rPr>
                <w:rFonts w:ascii="Times New Roman" w:hAnsi="Times New Roman"/>
                <w:b/>
                <w:bCs/>
                <w:color w:val="000000"/>
                <w:sz w:val="24"/>
                <w:lang w:eastAsia="ru-RU"/>
              </w:rPr>
              <w:t>2017</w:t>
            </w:r>
          </w:p>
        </w:tc>
      </w:tr>
      <w:tr w:rsidR="00D1277B" w:rsidRPr="00D1277B" w:rsidTr="00D1277B">
        <w:trPr>
          <w:trHeight w:val="63"/>
        </w:trPr>
        <w:tc>
          <w:tcPr>
            <w:tcW w:w="443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Ленинский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4804</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4459</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4159</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4097</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4200</w:t>
            </w:r>
          </w:p>
        </w:tc>
        <w:tc>
          <w:tcPr>
            <w:tcW w:w="81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4321</w:t>
            </w:r>
          </w:p>
        </w:tc>
      </w:tr>
      <w:tr w:rsidR="00D1277B" w:rsidRPr="00D1277B" w:rsidTr="00D1277B">
        <w:trPr>
          <w:trHeight w:val="63"/>
        </w:trPr>
        <w:tc>
          <w:tcPr>
            <w:tcW w:w="443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Первомайский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5449</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5129</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4883</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4836</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4771</w:t>
            </w:r>
          </w:p>
        </w:tc>
        <w:tc>
          <w:tcPr>
            <w:tcW w:w="81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4911</w:t>
            </w:r>
          </w:p>
        </w:tc>
      </w:tr>
      <w:tr w:rsidR="00D1277B" w:rsidRPr="00D1277B" w:rsidTr="00D1277B">
        <w:trPr>
          <w:trHeight w:val="63"/>
        </w:trPr>
        <w:tc>
          <w:tcPr>
            <w:tcW w:w="443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 xml:space="preserve">Первореченский район </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4444</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4290</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4075</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3945</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3952</w:t>
            </w:r>
          </w:p>
        </w:tc>
        <w:tc>
          <w:tcPr>
            <w:tcW w:w="81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4114</w:t>
            </w:r>
          </w:p>
        </w:tc>
      </w:tr>
      <w:tr w:rsidR="00D1277B" w:rsidRPr="00D1277B" w:rsidTr="00D1277B">
        <w:trPr>
          <w:trHeight w:val="63"/>
        </w:trPr>
        <w:tc>
          <w:tcPr>
            <w:tcW w:w="443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Фрунзенский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1817</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1591</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1524</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1508</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1513</w:t>
            </w:r>
          </w:p>
        </w:tc>
        <w:tc>
          <w:tcPr>
            <w:tcW w:w="81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1495</w:t>
            </w:r>
          </w:p>
        </w:tc>
      </w:tr>
      <w:tr w:rsidR="00D1277B" w:rsidRPr="00D1277B" w:rsidTr="00D1277B">
        <w:trPr>
          <w:trHeight w:val="63"/>
        </w:trPr>
        <w:tc>
          <w:tcPr>
            <w:tcW w:w="443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Cs/>
                <w:color w:val="000000"/>
                <w:sz w:val="24"/>
                <w:lang w:eastAsia="ru-RU"/>
              </w:rPr>
            </w:pPr>
            <w:r w:rsidRPr="00D1277B">
              <w:rPr>
                <w:rFonts w:ascii="Times New Roman" w:hAnsi="Times New Roman"/>
                <w:bCs/>
                <w:color w:val="000000"/>
                <w:sz w:val="24"/>
                <w:lang w:eastAsia="ru-RU"/>
              </w:rPr>
              <w:t>Советский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3351</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2986</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2828</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2745</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2804</w:t>
            </w:r>
          </w:p>
        </w:tc>
        <w:tc>
          <w:tcPr>
            <w:tcW w:w="81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2917</w:t>
            </w:r>
          </w:p>
        </w:tc>
      </w:tr>
      <w:tr w:rsidR="00D1277B" w:rsidRPr="00D1277B" w:rsidTr="00D1277B">
        <w:trPr>
          <w:trHeight w:val="68"/>
        </w:trPr>
        <w:tc>
          <w:tcPr>
            <w:tcW w:w="443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
                <w:bCs/>
                <w:color w:val="000000"/>
                <w:sz w:val="24"/>
                <w:lang w:eastAsia="ru-RU"/>
              </w:rPr>
            </w:pPr>
            <w:r w:rsidRPr="00D1277B">
              <w:rPr>
                <w:rFonts w:ascii="Times New Roman" w:hAnsi="Times New Roman"/>
                <w:b/>
                <w:bCs/>
                <w:color w:val="000000"/>
                <w:sz w:val="24"/>
                <w:lang w:eastAsia="ru-RU"/>
              </w:rPr>
              <w:t>Всего по городу Владивостоку</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19865</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18455</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17469</w:t>
            </w:r>
          </w:p>
        </w:tc>
        <w:tc>
          <w:tcPr>
            <w:tcW w:w="85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lang w:eastAsia="ru-RU"/>
              </w:rPr>
            </w:pPr>
            <w:r w:rsidRPr="00D1277B">
              <w:rPr>
                <w:rFonts w:ascii="Times New Roman" w:hAnsi="Times New Roman"/>
                <w:color w:val="000000"/>
                <w:sz w:val="24"/>
                <w:lang w:eastAsia="ru-RU"/>
              </w:rPr>
              <w:t>17131</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color w:val="000000"/>
                <w:sz w:val="24"/>
                <w:lang w:eastAsia="ru-RU"/>
              </w:rPr>
            </w:pPr>
            <w:r w:rsidRPr="00D1277B">
              <w:rPr>
                <w:rFonts w:ascii="Times New Roman" w:hAnsi="Times New Roman"/>
                <w:b/>
                <w:color w:val="000000"/>
                <w:sz w:val="24"/>
                <w:lang w:eastAsia="ru-RU"/>
              </w:rPr>
              <w:t>17240</w:t>
            </w:r>
          </w:p>
        </w:tc>
        <w:tc>
          <w:tcPr>
            <w:tcW w:w="81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color w:val="000000"/>
                <w:sz w:val="24"/>
                <w:lang w:eastAsia="ru-RU"/>
              </w:rPr>
            </w:pPr>
            <w:r w:rsidRPr="00D1277B">
              <w:rPr>
                <w:rFonts w:ascii="Times New Roman" w:hAnsi="Times New Roman"/>
                <w:b/>
                <w:color w:val="000000"/>
                <w:sz w:val="24"/>
                <w:lang w:eastAsia="ru-RU"/>
              </w:rPr>
              <w:t>17758</w:t>
            </w:r>
          </w:p>
        </w:tc>
      </w:tr>
    </w:tbl>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lang w:eastAsia="ko-KR"/>
        </w:rPr>
        <w:t>Источник</w:t>
      </w:r>
      <w:r w:rsidRPr="00D1277B">
        <w:rPr>
          <w:rFonts w:ascii="Times New Roman" w:eastAsia="Times New Roman" w:hAnsi="Times New Roman"/>
          <w:sz w:val="24"/>
          <w:szCs w:val="24"/>
          <w:lang w:eastAsia="ko-KR"/>
        </w:rPr>
        <w:t>: Баукова Н.Г., Карпова М.И., Кривобород Л.Н., Филонова Е.А., Храмкова В.А. Состав населения Приморского края по полу и возрасту на 1 января 2017 года. Статистический бюллетень/Приморскстат, 2017.  – 127с.</w:t>
      </w:r>
    </w:p>
    <w:p w:rsidR="00D1277B" w:rsidRPr="00D1277B" w:rsidRDefault="00D1277B" w:rsidP="00D1277B">
      <w:pPr>
        <w:spacing w:after="0" w:line="360" w:lineRule="auto"/>
        <w:rPr>
          <w:rFonts w:ascii="Times New Roman" w:eastAsia="Times New Roman" w:hAnsi="Times New Roman"/>
          <w:sz w:val="24"/>
          <w:szCs w:val="24"/>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jc w:val="right"/>
        <w:rPr>
          <w:rFonts w:ascii="Times New Roman" w:eastAsia="Times New Roman" w:hAnsi="Times New Roman"/>
          <w:color w:val="000000"/>
          <w:sz w:val="28"/>
          <w:lang w:eastAsia="ko-KR"/>
        </w:rPr>
      </w:pPr>
      <w:r w:rsidRPr="00D1277B">
        <w:rPr>
          <w:rFonts w:ascii="Times New Roman" w:eastAsia="Times New Roman" w:hAnsi="Times New Roman"/>
          <w:color w:val="000000"/>
          <w:sz w:val="28"/>
          <w:lang w:eastAsia="ko-KR"/>
        </w:rPr>
        <w:lastRenderedPageBreak/>
        <w:t>ПРИЛОЖЕНИЕ Л</w:t>
      </w:r>
    </w:p>
    <w:p w:rsidR="00D1277B" w:rsidRPr="00D1277B" w:rsidRDefault="00D1277B" w:rsidP="00D1277B">
      <w:pPr>
        <w:spacing w:after="0" w:line="360" w:lineRule="auto"/>
        <w:jc w:val="both"/>
        <w:rPr>
          <w:rFonts w:ascii="Times New Roman" w:eastAsia="Times New Roman" w:hAnsi="Times New Roman"/>
          <w:color w:val="000000"/>
          <w:sz w:val="28"/>
          <w:lang w:eastAsia="ko-KR"/>
        </w:rPr>
      </w:pPr>
    </w:p>
    <w:p w:rsidR="00D1277B" w:rsidRPr="00D1277B" w:rsidRDefault="00D1277B" w:rsidP="00D1277B">
      <w:pPr>
        <w:spacing w:after="0" w:line="360" w:lineRule="auto"/>
        <w:jc w:val="both"/>
        <w:rPr>
          <w:rFonts w:ascii="Times New Roman" w:eastAsia="Times New Roman" w:hAnsi="Times New Roman"/>
          <w:color w:val="000000"/>
          <w:sz w:val="28"/>
          <w:lang w:eastAsia="ko-KR"/>
        </w:rPr>
      </w:pPr>
      <w:r w:rsidRPr="00D1277B">
        <w:rPr>
          <w:rFonts w:ascii="Times New Roman" w:eastAsia="Times New Roman" w:hAnsi="Times New Roman"/>
          <w:color w:val="000000"/>
          <w:sz w:val="28"/>
          <w:lang w:eastAsia="ko-KR"/>
        </w:rPr>
        <w:t>Таблица 5 - Результаты расчёта коэффициента преступности среди несовершеннолетних граждан в возрасте 14-17 лет на территории города Владивостока с 2012 по 2017 год</w:t>
      </w:r>
    </w:p>
    <w:tbl>
      <w:tblPr>
        <w:tblW w:w="9701" w:type="dxa"/>
        <w:jc w:val="center"/>
        <w:tblLook w:val="04A0" w:firstRow="1" w:lastRow="0" w:firstColumn="1" w:lastColumn="0" w:noHBand="0" w:noVBand="1"/>
      </w:tblPr>
      <w:tblGrid>
        <w:gridCol w:w="3937"/>
        <w:gridCol w:w="915"/>
        <w:gridCol w:w="992"/>
        <w:gridCol w:w="851"/>
        <w:gridCol w:w="915"/>
        <w:gridCol w:w="992"/>
        <w:gridCol w:w="1099"/>
      </w:tblGrid>
      <w:tr w:rsidR="00D1277B" w:rsidRPr="00D1277B" w:rsidTr="00D1277B">
        <w:trPr>
          <w:trHeight w:val="348"/>
          <w:jc w:val="center"/>
        </w:trPr>
        <w:tc>
          <w:tcPr>
            <w:tcW w:w="9701" w:type="dxa"/>
            <w:gridSpan w:val="7"/>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bottom"/>
            <w:hideMark/>
          </w:tcPr>
          <w:p w:rsidR="00D1277B" w:rsidRPr="00D1277B" w:rsidRDefault="00D1277B" w:rsidP="00D1277B">
            <w:pPr>
              <w:spacing w:after="0" w:line="240" w:lineRule="auto"/>
              <w:jc w:val="center"/>
              <w:rPr>
                <w:rFonts w:ascii="Times New Roman" w:eastAsia="Times New Roman" w:hAnsi="Times New Roman"/>
                <w:bCs/>
                <w:color w:val="000000"/>
                <w:sz w:val="26"/>
                <w:szCs w:val="26"/>
                <w:lang w:eastAsia="ru-RU"/>
              </w:rPr>
            </w:pPr>
            <w:r w:rsidRPr="00D1277B">
              <w:rPr>
                <w:rFonts w:ascii="Times New Roman" w:eastAsia="Times New Roman" w:hAnsi="Times New Roman"/>
                <w:bCs/>
                <w:color w:val="000000"/>
                <w:sz w:val="26"/>
                <w:szCs w:val="26"/>
                <w:lang w:eastAsia="ru-RU"/>
              </w:rPr>
              <w:t>Коэффициенты преступности среди несовершеннолетних граждан в возрасте 14-17 лет на территории города Владивостока с 2012 по 2017 год на 1000 человек</w:t>
            </w:r>
          </w:p>
        </w:tc>
      </w:tr>
      <w:tr w:rsidR="00D1277B" w:rsidRPr="00D1277B" w:rsidTr="00D1277B">
        <w:trPr>
          <w:trHeight w:val="348"/>
          <w:jc w:val="center"/>
        </w:trPr>
        <w:tc>
          <w:tcPr>
            <w:tcW w:w="3937" w:type="dxa"/>
            <w:tcBorders>
              <w:top w:val="single" w:sz="4" w:space="0" w:color="auto"/>
              <w:left w:val="single" w:sz="4" w:space="0" w:color="auto"/>
              <w:bottom w:val="single" w:sz="4" w:space="0" w:color="auto"/>
              <w:right w:val="single" w:sz="4" w:space="0" w:color="auto"/>
            </w:tcBorders>
            <w:noWrap/>
            <w:vAlign w:val="bottom"/>
            <w:hideMark/>
          </w:tcPr>
          <w:p w:rsidR="00D1277B" w:rsidRPr="00D1277B" w:rsidRDefault="00D1277B" w:rsidP="00D1277B">
            <w:pPr>
              <w:spacing w:after="0" w:line="240" w:lineRule="auto"/>
              <w:jc w:val="center"/>
              <w:rPr>
                <w:rFonts w:ascii="Times New Roman" w:eastAsia="Times New Roman" w:hAnsi="Times New Roman"/>
                <w:b/>
                <w:bCs/>
                <w:color w:val="000000"/>
                <w:sz w:val="26"/>
                <w:szCs w:val="26"/>
                <w:lang w:eastAsia="ru-RU"/>
              </w:rPr>
            </w:pPr>
            <w:r w:rsidRPr="00D1277B">
              <w:rPr>
                <w:rFonts w:ascii="Times New Roman" w:eastAsia="Times New Roman" w:hAnsi="Times New Roman"/>
                <w:b/>
                <w:bCs/>
                <w:color w:val="000000"/>
                <w:sz w:val="26"/>
                <w:szCs w:val="26"/>
                <w:lang w:eastAsia="ru-RU"/>
              </w:rPr>
              <w:t> </w:t>
            </w:r>
          </w:p>
        </w:tc>
        <w:tc>
          <w:tcPr>
            <w:tcW w:w="915"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D1277B" w:rsidRPr="00D1277B" w:rsidRDefault="00D1277B" w:rsidP="00D1277B">
            <w:pPr>
              <w:spacing w:after="0" w:line="240" w:lineRule="auto"/>
              <w:jc w:val="center"/>
              <w:rPr>
                <w:rFonts w:ascii="Times New Roman" w:eastAsia="Times New Roman" w:hAnsi="Times New Roman"/>
                <w:b/>
                <w:bCs/>
                <w:color w:val="000000"/>
                <w:sz w:val="26"/>
                <w:szCs w:val="26"/>
                <w:lang w:eastAsia="ru-RU"/>
              </w:rPr>
            </w:pPr>
            <w:r w:rsidRPr="00D1277B">
              <w:rPr>
                <w:rFonts w:ascii="Times New Roman" w:eastAsia="Times New Roman" w:hAnsi="Times New Roman"/>
                <w:b/>
                <w:bCs/>
                <w:color w:val="000000"/>
                <w:sz w:val="26"/>
                <w:szCs w:val="26"/>
                <w:lang w:eastAsia="ru-RU"/>
              </w:rPr>
              <w:t>2012</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D1277B" w:rsidRPr="00D1277B" w:rsidRDefault="00D1277B" w:rsidP="00D1277B">
            <w:pPr>
              <w:spacing w:after="0" w:line="240" w:lineRule="auto"/>
              <w:jc w:val="center"/>
              <w:rPr>
                <w:rFonts w:ascii="Times New Roman" w:eastAsia="Times New Roman" w:hAnsi="Times New Roman"/>
                <w:b/>
                <w:bCs/>
                <w:color w:val="000000"/>
                <w:sz w:val="26"/>
                <w:szCs w:val="26"/>
                <w:lang w:eastAsia="ru-RU"/>
              </w:rPr>
            </w:pPr>
            <w:r w:rsidRPr="00D1277B">
              <w:rPr>
                <w:rFonts w:ascii="Times New Roman" w:eastAsia="Times New Roman" w:hAnsi="Times New Roman"/>
                <w:b/>
                <w:bCs/>
                <w:color w:val="000000"/>
                <w:sz w:val="26"/>
                <w:szCs w:val="26"/>
                <w:lang w:eastAsia="ru-RU"/>
              </w:rPr>
              <w:t>2013</w:t>
            </w:r>
          </w:p>
        </w:tc>
        <w:tc>
          <w:tcPr>
            <w:tcW w:w="851"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D1277B" w:rsidRPr="00D1277B" w:rsidRDefault="00D1277B" w:rsidP="00D1277B">
            <w:pPr>
              <w:spacing w:after="0" w:line="240" w:lineRule="auto"/>
              <w:jc w:val="center"/>
              <w:rPr>
                <w:rFonts w:ascii="Times New Roman" w:eastAsia="Times New Roman" w:hAnsi="Times New Roman"/>
                <w:b/>
                <w:bCs/>
                <w:color w:val="000000"/>
                <w:sz w:val="26"/>
                <w:szCs w:val="26"/>
                <w:lang w:eastAsia="ru-RU"/>
              </w:rPr>
            </w:pPr>
            <w:r w:rsidRPr="00D1277B">
              <w:rPr>
                <w:rFonts w:ascii="Times New Roman" w:eastAsia="Times New Roman" w:hAnsi="Times New Roman"/>
                <w:b/>
                <w:bCs/>
                <w:color w:val="000000"/>
                <w:sz w:val="26"/>
                <w:szCs w:val="26"/>
                <w:lang w:eastAsia="ru-RU"/>
              </w:rPr>
              <w:t>2014</w:t>
            </w:r>
          </w:p>
        </w:tc>
        <w:tc>
          <w:tcPr>
            <w:tcW w:w="915"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D1277B" w:rsidRPr="00D1277B" w:rsidRDefault="00D1277B" w:rsidP="00D1277B">
            <w:pPr>
              <w:spacing w:after="0" w:line="240" w:lineRule="auto"/>
              <w:jc w:val="center"/>
              <w:rPr>
                <w:rFonts w:ascii="Times New Roman" w:eastAsia="Times New Roman" w:hAnsi="Times New Roman"/>
                <w:b/>
                <w:bCs/>
                <w:color w:val="000000"/>
                <w:sz w:val="26"/>
                <w:szCs w:val="26"/>
                <w:lang w:eastAsia="ru-RU"/>
              </w:rPr>
            </w:pPr>
            <w:r w:rsidRPr="00D1277B">
              <w:rPr>
                <w:rFonts w:ascii="Times New Roman" w:eastAsia="Times New Roman" w:hAnsi="Times New Roman"/>
                <w:b/>
                <w:bCs/>
                <w:color w:val="000000"/>
                <w:sz w:val="26"/>
                <w:szCs w:val="26"/>
                <w:lang w:eastAsia="ru-RU"/>
              </w:rPr>
              <w:t>2015</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D1277B" w:rsidRPr="00D1277B" w:rsidRDefault="00D1277B" w:rsidP="00D1277B">
            <w:pPr>
              <w:spacing w:after="0" w:line="240" w:lineRule="auto"/>
              <w:jc w:val="center"/>
              <w:rPr>
                <w:rFonts w:ascii="Times New Roman" w:eastAsia="Times New Roman" w:hAnsi="Times New Roman"/>
                <w:b/>
                <w:bCs/>
                <w:color w:val="000000"/>
                <w:sz w:val="26"/>
                <w:szCs w:val="26"/>
                <w:lang w:eastAsia="ru-RU"/>
              </w:rPr>
            </w:pPr>
            <w:r w:rsidRPr="00D1277B">
              <w:rPr>
                <w:rFonts w:ascii="Times New Roman" w:eastAsia="Times New Roman" w:hAnsi="Times New Roman"/>
                <w:b/>
                <w:bCs/>
                <w:color w:val="000000"/>
                <w:sz w:val="26"/>
                <w:szCs w:val="26"/>
                <w:lang w:eastAsia="ru-RU"/>
              </w:rPr>
              <w:t>2016</w:t>
            </w:r>
          </w:p>
        </w:tc>
        <w:tc>
          <w:tcPr>
            <w:tcW w:w="1099" w:type="dxa"/>
            <w:tcBorders>
              <w:top w:val="single" w:sz="4" w:space="0" w:color="auto"/>
              <w:left w:val="nil"/>
              <w:bottom w:val="single" w:sz="4" w:space="0" w:color="auto"/>
              <w:right w:val="single" w:sz="4" w:space="0" w:color="auto"/>
            </w:tcBorders>
            <w:shd w:val="clear" w:color="auto" w:fill="FFFFFF" w:themeFill="background1"/>
            <w:noWrap/>
            <w:vAlign w:val="bottom"/>
            <w:hideMark/>
          </w:tcPr>
          <w:p w:rsidR="00D1277B" w:rsidRPr="00D1277B" w:rsidRDefault="00D1277B" w:rsidP="00D1277B">
            <w:pPr>
              <w:spacing w:after="0" w:line="240" w:lineRule="auto"/>
              <w:jc w:val="center"/>
              <w:rPr>
                <w:rFonts w:ascii="Times New Roman" w:eastAsia="Times New Roman" w:hAnsi="Times New Roman"/>
                <w:b/>
                <w:bCs/>
                <w:color w:val="000000"/>
                <w:sz w:val="26"/>
                <w:szCs w:val="26"/>
                <w:lang w:eastAsia="ru-RU"/>
              </w:rPr>
            </w:pPr>
            <w:r w:rsidRPr="00D1277B">
              <w:rPr>
                <w:rFonts w:ascii="Times New Roman" w:eastAsia="Times New Roman" w:hAnsi="Times New Roman"/>
                <w:b/>
                <w:bCs/>
                <w:color w:val="000000"/>
                <w:sz w:val="26"/>
                <w:szCs w:val="26"/>
                <w:lang w:eastAsia="ru-RU"/>
              </w:rPr>
              <w:t>2017</w:t>
            </w:r>
          </w:p>
        </w:tc>
      </w:tr>
      <w:tr w:rsidR="00D1277B" w:rsidRPr="00D1277B" w:rsidTr="00D1277B">
        <w:trPr>
          <w:trHeight w:val="158"/>
          <w:jc w:val="center"/>
        </w:trPr>
        <w:tc>
          <w:tcPr>
            <w:tcW w:w="3937" w:type="dxa"/>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rsidR="00D1277B" w:rsidRPr="00D1277B" w:rsidRDefault="00D1277B" w:rsidP="00D1277B">
            <w:pPr>
              <w:spacing w:after="0" w:line="240" w:lineRule="auto"/>
              <w:jc w:val="center"/>
              <w:rPr>
                <w:rFonts w:ascii="Times New Roman" w:eastAsia="Times New Roman" w:hAnsi="Times New Roman"/>
                <w:bCs/>
                <w:color w:val="000000"/>
                <w:sz w:val="26"/>
                <w:szCs w:val="26"/>
                <w:lang w:eastAsia="ru-RU"/>
              </w:rPr>
            </w:pPr>
            <w:r w:rsidRPr="00D1277B">
              <w:rPr>
                <w:rFonts w:ascii="Times New Roman" w:eastAsia="Times New Roman" w:hAnsi="Times New Roman"/>
                <w:bCs/>
                <w:color w:val="000000"/>
                <w:sz w:val="26"/>
                <w:szCs w:val="26"/>
                <w:lang w:eastAsia="ru-RU"/>
              </w:rPr>
              <w:t>Коэффициенты по г. Владивостоку</w:t>
            </w:r>
          </w:p>
        </w:tc>
        <w:tc>
          <w:tcPr>
            <w:tcW w:w="915" w:type="dxa"/>
            <w:tcBorders>
              <w:top w:val="nil"/>
              <w:left w:val="nil"/>
              <w:bottom w:val="single" w:sz="4" w:space="0" w:color="auto"/>
              <w:right w:val="single" w:sz="4" w:space="0" w:color="auto"/>
            </w:tcBorders>
            <w:noWrap/>
            <w:vAlign w:val="bottom"/>
            <w:hideMark/>
          </w:tcPr>
          <w:p w:rsidR="00D1277B" w:rsidRPr="00D1277B" w:rsidRDefault="00D1277B" w:rsidP="00D1277B">
            <w:pPr>
              <w:spacing w:after="0" w:line="240" w:lineRule="auto"/>
              <w:jc w:val="center"/>
              <w:rPr>
                <w:rFonts w:ascii="Times New Roman" w:eastAsia="Times New Roman" w:hAnsi="Times New Roman"/>
                <w:color w:val="000000"/>
                <w:sz w:val="26"/>
                <w:szCs w:val="26"/>
                <w:lang w:eastAsia="ru-RU"/>
              </w:rPr>
            </w:pPr>
            <w:r w:rsidRPr="00D1277B">
              <w:rPr>
                <w:rFonts w:ascii="Times New Roman" w:eastAsia="Times New Roman" w:hAnsi="Times New Roman"/>
                <w:color w:val="000000"/>
                <w:sz w:val="26"/>
                <w:szCs w:val="26"/>
                <w:lang w:eastAsia="ru-RU"/>
              </w:rPr>
              <w:t>6</w:t>
            </w:r>
          </w:p>
        </w:tc>
        <w:tc>
          <w:tcPr>
            <w:tcW w:w="992" w:type="dxa"/>
            <w:tcBorders>
              <w:top w:val="nil"/>
              <w:left w:val="nil"/>
              <w:bottom w:val="single" w:sz="4" w:space="0" w:color="auto"/>
              <w:right w:val="single" w:sz="4" w:space="0" w:color="auto"/>
            </w:tcBorders>
            <w:noWrap/>
            <w:vAlign w:val="bottom"/>
            <w:hideMark/>
          </w:tcPr>
          <w:p w:rsidR="00D1277B" w:rsidRPr="00D1277B" w:rsidRDefault="00D1277B" w:rsidP="00D1277B">
            <w:pPr>
              <w:spacing w:after="0" w:line="240" w:lineRule="auto"/>
              <w:jc w:val="center"/>
              <w:rPr>
                <w:rFonts w:ascii="Times New Roman" w:eastAsia="Times New Roman" w:hAnsi="Times New Roman"/>
                <w:color w:val="000000"/>
                <w:sz w:val="26"/>
                <w:szCs w:val="26"/>
                <w:lang w:eastAsia="ru-RU"/>
              </w:rPr>
            </w:pPr>
            <w:r w:rsidRPr="00D1277B">
              <w:rPr>
                <w:rFonts w:ascii="Times New Roman" w:eastAsia="Times New Roman" w:hAnsi="Times New Roman"/>
                <w:color w:val="000000"/>
                <w:sz w:val="26"/>
                <w:szCs w:val="26"/>
                <w:lang w:eastAsia="ru-RU"/>
              </w:rPr>
              <w:t>7</w:t>
            </w:r>
          </w:p>
        </w:tc>
        <w:tc>
          <w:tcPr>
            <w:tcW w:w="851" w:type="dxa"/>
            <w:tcBorders>
              <w:top w:val="nil"/>
              <w:left w:val="nil"/>
              <w:bottom w:val="single" w:sz="4" w:space="0" w:color="auto"/>
              <w:right w:val="single" w:sz="4" w:space="0" w:color="auto"/>
            </w:tcBorders>
            <w:noWrap/>
            <w:vAlign w:val="bottom"/>
            <w:hideMark/>
          </w:tcPr>
          <w:p w:rsidR="00D1277B" w:rsidRPr="00D1277B" w:rsidRDefault="00D1277B" w:rsidP="00D1277B">
            <w:pPr>
              <w:spacing w:after="0" w:line="240" w:lineRule="auto"/>
              <w:jc w:val="center"/>
              <w:rPr>
                <w:rFonts w:ascii="Times New Roman" w:eastAsia="Times New Roman" w:hAnsi="Times New Roman"/>
                <w:color w:val="000000"/>
                <w:sz w:val="26"/>
                <w:szCs w:val="26"/>
                <w:lang w:eastAsia="ru-RU"/>
              </w:rPr>
            </w:pPr>
            <w:r w:rsidRPr="00D1277B">
              <w:rPr>
                <w:rFonts w:ascii="Times New Roman" w:eastAsia="Times New Roman" w:hAnsi="Times New Roman"/>
                <w:color w:val="000000"/>
                <w:sz w:val="26"/>
                <w:szCs w:val="26"/>
                <w:lang w:eastAsia="ru-RU"/>
              </w:rPr>
              <w:t>6</w:t>
            </w:r>
          </w:p>
        </w:tc>
        <w:tc>
          <w:tcPr>
            <w:tcW w:w="915" w:type="dxa"/>
            <w:tcBorders>
              <w:top w:val="nil"/>
              <w:left w:val="nil"/>
              <w:bottom w:val="single" w:sz="4" w:space="0" w:color="auto"/>
              <w:right w:val="single" w:sz="4" w:space="0" w:color="auto"/>
            </w:tcBorders>
            <w:noWrap/>
            <w:vAlign w:val="bottom"/>
            <w:hideMark/>
          </w:tcPr>
          <w:p w:rsidR="00D1277B" w:rsidRPr="00D1277B" w:rsidRDefault="00D1277B" w:rsidP="00D1277B">
            <w:pPr>
              <w:spacing w:after="0" w:line="240" w:lineRule="auto"/>
              <w:jc w:val="center"/>
              <w:rPr>
                <w:rFonts w:ascii="Times New Roman" w:eastAsia="Times New Roman" w:hAnsi="Times New Roman"/>
                <w:color w:val="000000"/>
                <w:sz w:val="26"/>
                <w:szCs w:val="26"/>
                <w:lang w:eastAsia="ru-RU"/>
              </w:rPr>
            </w:pPr>
            <w:r w:rsidRPr="00D1277B">
              <w:rPr>
                <w:rFonts w:ascii="Times New Roman" w:eastAsia="Times New Roman" w:hAnsi="Times New Roman"/>
                <w:color w:val="000000"/>
                <w:sz w:val="26"/>
                <w:szCs w:val="26"/>
                <w:lang w:eastAsia="ru-RU"/>
              </w:rPr>
              <w:t>7</w:t>
            </w:r>
          </w:p>
        </w:tc>
        <w:tc>
          <w:tcPr>
            <w:tcW w:w="992" w:type="dxa"/>
            <w:tcBorders>
              <w:top w:val="nil"/>
              <w:left w:val="nil"/>
              <w:bottom w:val="single" w:sz="4" w:space="0" w:color="auto"/>
              <w:right w:val="single" w:sz="4" w:space="0" w:color="auto"/>
            </w:tcBorders>
            <w:noWrap/>
            <w:vAlign w:val="bottom"/>
            <w:hideMark/>
          </w:tcPr>
          <w:p w:rsidR="00D1277B" w:rsidRPr="00D1277B" w:rsidRDefault="00D1277B" w:rsidP="00D1277B">
            <w:pPr>
              <w:spacing w:after="0" w:line="240" w:lineRule="auto"/>
              <w:jc w:val="center"/>
              <w:rPr>
                <w:rFonts w:ascii="Times New Roman" w:eastAsia="Times New Roman" w:hAnsi="Times New Roman"/>
                <w:color w:val="000000"/>
                <w:sz w:val="26"/>
                <w:szCs w:val="26"/>
                <w:lang w:eastAsia="ru-RU"/>
              </w:rPr>
            </w:pPr>
            <w:r w:rsidRPr="00D1277B">
              <w:rPr>
                <w:rFonts w:ascii="Times New Roman" w:eastAsia="Times New Roman" w:hAnsi="Times New Roman"/>
                <w:color w:val="000000"/>
                <w:sz w:val="26"/>
                <w:szCs w:val="26"/>
                <w:lang w:eastAsia="ru-RU"/>
              </w:rPr>
              <w:t>5</w:t>
            </w:r>
          </w:p>
        </w:tc>
        <w:tc>
          <w:tcPr>
            <w:tcW w:w="1099" w:type="dxa"/>
            <w:tcBorders>
              <w:top w:val="nil"/>
              <w:left w:val="nil"/>
              <w:bottom w:val="single" w:sz="4" w:space="0" w:color="auto"/>
              <w:right w:val="single" w:sz="4" w:space="0" w:color="auto"/>
            </w:tcBorders>
            <w:noWrap/>
            <w:vAlign w:val="bottom"/>
            <w:hideMark/>
          </w:tcPr>
          <w:p w:rsidR="00D1277B" w:rsidRPr="00D1277B" w:rsidRDefault="00D1277B" w:rsidP="00D1277B">
            <w:pPr>
              <w:spacing w:after="0" w:line="240" w:lineRule="auto"/>
              <w:jc w:val="center"/>
              <w:rPr>
                <w:rFonts w:ascii="Times New Roman" w:eastAsia="Times New Roman" w:hAnsi="Times New Roman"/>
                <w:color w:val="000000"/>
                <w:sz w:val="26"/>
                <w:szCs w:val="26"/>
                <w:lang w:eastAsia="ru-RU"/>
              </w:rPr>
            </w:pPr>
            <w:r w:rsidRPr="00D1277B">
              <w:rPr>
                <w:rFonts w:ascii="Times New Roman" w:eastAsia="Times New Roman" w:hAnsi="Times New Roman"/>
                <w:color w:val="000000"/>
                <w:sz w:val="26"/>
                <w:szCs w:val="26"/>
                <w:lang w:eastAsia="ru-RU"/>
              </w:rPr>
              <w:t>6</w:t>
            </w:r>
          </w:p>
        </w:tc>
      </w:tr>
    </w:tbl>
    <w:p w:rsidR="00D1277B" w:rsidRPr="00D1277B" w:rsidRDefault="00D1277B" w:rsidP="00D1277B">
      <w:pPr>
        <w:spacing w:after="0" w:line="360" w:lineRule="auto"/>
        <w:jc w:val="both"/>
        <w:rPr>
          <w:rFonts w:ascii="Times New Roman" w:eastAsia="Times New Roman" w:hAnsi="Times New Roman"/>
          <w:color w:val="000000"/>
          <w:sz w:val="24"/>
          <w:szCs w:val="24"/>
          <w:lang w:eastAsia="ko-KR"/>
        </w:rPr>
      </w:pPr>
      <w:r w:rsidRPr="00D1277B">
        <w:rPr>
          <w:rFonts w:ascii="Times New Roman" w:eastAsia="Times New Roman" w:hAnsi="Times New Roman"/>
          <w:color w:val="000000"/>
          <w:sz w:val="24"/>
          <w:szCs w:val="24"/>
          <w:lang w:eastAsia="ko-KR"/>
        </w:rPr>
        <w:t>Источник: составлено автором на основе расчёта коэффициентов преступности</w:t>
      </w:r>
    </w:p>
    <w:p w:rsidR="00D1277B" w:rsidRPr="00D1277B" w:rsidRDefault="00D1277B" w:rsidP="00D1277B">
      <w:pPr>
        <w:spacing w:after="0" w:line="360" w:lineRule="auto"/>
        <w:jc w:val="both"/>
        <w:rPr>
          <w:rFonts w:ascii="Times New Roman" w:eastAsia="Times New Roman" w:hAnsi="Times New Roman"/>
          <w:color w:val="000000"/>
          <w:sz w:val="24"/>
          <w:szCs w:val="24"/>
          <w:lang w:eastAsia="ko-KR"/>
        </w:rPr>
      </w:pPr>
    </w:p>
    <w:p w:rsidR="00D1277B" w:rsidRPr="00D1277B" w:rsidRDefault="00D1277B" w:rsidP="00D1277B">
      <w:pPr>
        <w:spacing w:after="0" w:line="360" w:lineRule="auto"/>
        <w:jc w:val="both"/>
        <w:rPr>
          <w:rFonts w:ascii="Times New Roman" w:eastAsia="Times New Roman" w:hAnsi="Times New Roman"/>
          <w:color w:val="000000"/>
          <w:sz w:val="24"/>
          <w:szCs w:val="24"/>
          <w:lang w:eastAsia="ko-KR"/>
        </w:rPr>
      </w:pPr>
    </w:p>
    <w:p w:rsidR="00D1277B" w:rsidRPr="00D1277B" w:rsidRDefault="00D1277B" w:rsidP="00D1277B">
      <w:pPr>
        <w:spacing w:after="0" w:line="360" w:lineRule="auto"/>
        <w:jc w:val="both"/>
        <w:rPr>
          <w:rFonts w:ascii="Times New Roman" w:eastAsia="Times New Roman" w:hAnsi="Times New Roman"/>
          <w:color w:val="000000"/>
          <w:sz w:val="24"/>
          <w:szCs w:val="24"/>
          <w:lang w:eastAsia="ko-KR"/>
        </w:rPr>
      </w:pPr>
    </w:p>
    <w:p w:rsidR="00D1277B" w:rsidRPr="00D1277B" w:rsidRDefault="00D1277B" w:rsidP="00D1277B">
      <w:pPr>
        <w:spacing w:after="0" w:line="360" w:lineRule="auto"/>
        <w:jc w:val="both"/>
        <w:rPr>
          <w:rFonts w:ascii="Times New Roman" w:eastAsia="Times New Roman" w:hAnsi="Times New Roman"/>
          <w:color w:val="000000"/>
          <w:sz w:val="24"/>
          <w:szCs w:val="24"/>
          <w:lang w:eastAsia="ko-KR"/>
        </w:rPr>
      </w:pPr>
    </w:p>
    <w:p w:rsidR="00D1277B" w:rsidRPr="00D1277B" w:rsidRDefault="00D1277B" w:rsidP="00D1277B">
      <w:pPr>
        <w:spacing w:after="0" w:line="360" w:lineRule="auto"/>
        <w:jc w:val="center"/>
        <w:rPr>
          <w:rFonts w:ascii="Times New Roman" w:eastAsia="Times New Roman" w:hAnsi="Times New Roman"/>
          <w:color w:val="000000"/>
          <w:sz w:val="10"/>
          <w:lang w:eastAsia="ko-KR"/>
        </w:rPr>
      </w:pPr>
      <w:r w:rsidRPr="00D1277B">
        <w:rPr>
          <w:noProof/>
          <w:color w:val="000000"/>
          <w:lang w:eastAsia="ru-RU"/>
        </w:rPr>
        <w:drawing>
          <wp:inline distT="0" distB="0" distL="0" distR="0" wp14:anchorId="220D2A12" wp14:editId="6E13B26D">
            <wp:extent cx="5000625" cy="1895475"/>
            <wp:effectExtent l="0" t="0" r="9525"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4"/>
              </a:graphicData>
            </a:graphic>
          </wp:inline>
        </w:drawing>
      </w:r>
    </w:p>
    <w:p w:rsidR="00D1277B" w:rsidRPr="00D1277B" w:rsidRDefault="00D1277B" w:rsidP="00D1277B">
      <w:pPr>
        <w:spacing w:after="0" w:line="360" w:lineRule="auto"/>
        <w:jc w:val="both"/>
        <w:rPr>
          <w:rFonts w:ascii="Times New Roman" w:eastAsia="Times New Roman" w:hAnsi="Times New Roman"/>
          <w:color w:val="000000"/>
          <w:sz w:val="24"/>
          <w:szCs w:val="24"/>
          <w:lang w:eastAsia="ko-KR"/>
        </w:rPr>
      </w:pPr>
      <w:r w:rsidRPr="00D1277B">
        <w:rPr>
          <w:rFonts w:ascii="Times New Roman" w:eastAsia="Times New Roman" w:hAnsi="Times New Roman"/>
          <w:color w:val="000000"/>
          <w:sz w:val="24"/>
          <w:szCs w:val="24"/>
          <w:lang w:eastAsia="ko-KR"/>
        </w:rPr>
        <w:t>Источник: составлено автором на основе расчёта коэффициентов преступности</w:t>
      </w:r>
    </w:p>
    <w:p w:rsidR="00D1277B" w:rsidRPr="00D1277B" w:rsidRDefault="00D1277B" w:rsidP="00D1277B">
      <w:pPr>
        <w:spacing w:after="0" w:line="360" w:lineRule="auto"/>
        <w:jc w:val="center"/>
        <w:rPr>
          <w:rFonts w:ascii="Times New Roman" w:eastAsia="Times New Roman" w:hAnsi="Times New Roman"/>
          <w:color w:val="000000"/>
          <w:sz w:val="28"/>
          <w:lang w:eastAsia="ko-KR"/>
        </w:rPr>
      </w:pPr>
      <w:r w:rsidRPr="00D1277B">
        <w:rPr>
          <w:rFonts w:ascii="Times New Roman" w:eastAsia="Times New Roman" w:hAnsi="Times New Roman"/>
          <w:color w:val="000000"/>
          <w:sz w:val="28"/>
          <w:lang w:eastAsia="ko-KR"/>
        </w:rPr>
        <w:t>Рисунок 6 - Интенсивность преступности среди несовершеннолетних граждан в возрасте 14-17 лет в городе Владивостоке</w:t>
      </w:r>
    </w:p>
    <w:p w:rsidR="00D1277B" w:rsidRPr="00D1277B" w:rsidRDefault="00D1277B" w:rsidP="00D1277B">
      <w:pPr>
        <w:spacing w:after="0" w:line="360" w:lineRule="auto"/>
        <w:jc w:val="both"/>
        <w:rPr>
          <w:rFonts w:ascii="Times New Roman" w:eastAsia="Times New Roman" w:hAnsi="Times New Roman"/>
          <w:sz w:val="24"/>
          <w:lang w:eastAsia="ko-KR"/>
        </w:rPr>
      </w:pPr>
    </w:p>
    <w:p w:rsidR="00D1277B" w:rsidRPr="00D1277B" w:rsidRDefault="00D1277B" w:rsidP="00D1277B">
      <w:pPr>
        <w:spacing w:after="0" w:line="360" w:lineRule="auto"/>
        <w:ind w:firstLine="709"/>
        <w:contextualSpacing/>
        <w:jc w:val="both"/>
        <w:rPr>
          <w:rFonts w:ascii="Times New Roman" w:hAnsi="Times New Roman"/>
          <w:sz w:val="28"/>
        </w:rPr>
      </w:pPr>
    </w:p>
    <w:p w:rsidR="00D1277B" w:rsidRPr="00D1277B" w:rsidRDefault="00D1277B" w:rsidP="00D1277B">
      <w:pPr>
        <w:spacing w:after="0" w:line="360" w:lineRule="auto"/>
        <w:contextualSpacing/>
        <w:jc w:val="center"/>
        <w:rPr>
          <w:rFonts w:ascii="Times New Roman" w:hAnsi="Times New Roman"/>
          <w:sz w:val="28"/>
          <w:szCs w:val="28"/>
        </w:rPr>
      </w:pPr>
    </w:p>
    <w:p w:rsidR="00D1277B" w:rsidRPr="00D1277B" w:rsidRDefault="00D1277B" w:rsidP="00D1277B">
      <w:pPr>
        <w:spacing w:after="0" w:line="360" w:lineRule="auto"/>
        <w:contextualSpacing/>
        <w:jc w:val="center"/>
        <w:rPr>
          <w:rFonts w:ascii="Times New Roman" w:hAnsi="Times New Roman"/>
          <w:sz w:val="28"/>
          <w:szCs w:val="28"/>
        </w:rPr>
      </w:pPr>
    </w:p>
    <w:p w:rsidR="00D1277B" w:rsidRPr="00D1277B" w:rsidRDefault="00D1277B" w:rsidP="00D1277B">
      <w:pPr>
        <w:spacing w:after="0" w:line="360" w:lineRule="auto"/>
        <w:contextualSpacing/>
        <w:jc w:val="center"/>
        <w:rPr>
          <w:rFonts w:ascii="Times New Roman" w:hAnsi="Times New Roman"/>
          <w:sz w:val="28"/>
          <w:szCs w:val="28"/>
        </w:rPr>
      </w:pPr>
    </w:p>
    <w:p w:rsidR="00D1277B" w:rsidRPr="00D1277B" w:rsidRDefault="00D1277B" w:rsidP="00D1277B">
      <w:pPr>
        <w:spacing w:after="0" w:line="360" w:lineRule="auto"/>
        <w:contextualSpacing/>
        <w:jc w:val="center"/>
        <w:rPr>
          <w:rFonts w:ascii="Times New Roman" w:hAnsi="Times New Roman"/>
          <w:sz w:val="28"/>
          <w:szCs w:val="28"/>
        </w:rPr>
      </w:pPr>
    </w:p>
    <w:p w:rsidR="00D1277B" w:rsidRPr="00D1277B" w:rsidRDefault="00D1277B" w:rsidP="00D1277B">
      <w:pPr>
        <w:spacing w:after="0" w:line="360" w:lineRule="auto"/>
        <w:contextualSpacing/>
        <w:jc w:val="center"/>
        <w:rPr>
          <w:rFonts w:ascii="Times New Roman" w:hAnsi="Times New Roman"/>
          <w:sz w:val="28"/>
          <w:szCs w:val="28"/>
        </w:rPr>
      </w:pPr>
    </w:p>
    <w:p w:rsidR="00D1277B" w:rsidRPr="00D1277B" w:rsidRDefault="00D1277B" w:rsidP="00D1277B">
      <w:pPr>
        <w:spacing w:after="0" w:line="360" w:lineRule="auto"/>
        <w:contextualSpacing/>
        <w:jc w:val="center"/>
        <w:rPr>
          <w:rFonts w:ascii="Times New Roman" w:hAnsi="Times New Roman"/>
          <w:sz w:val="28"/>
          <w:szCs w:val="28"/>
        </w:rPr>
      </w:pPr>
    </w:p>
    <w:p w:rsidR="00D1277B" w:rsidRPr="00D1277B" w:rsidRDefault="00D1277B" w:rsidP="00D1277B">
      <w:pPr>
        <w:spacing w:after="0" w:line="360" w:lineRule="auto"/>
        <w:contextualSpacing/>
        <w:jc w:val="right"/>
        <w:rPr>
          <w:rFonts w:ascii="Times New Roman" w:hAnsi="Times New Roman"/>
          <w:sz w:val="28"/>
          <w:szCs w:val="28"/>
        </w:rPr>
      </w:pPr>
      <w:r w:rsidRPr="00D1277B">
        <w:rPr>
          <w:rFonts w:ascii="Times New Roman" w:hAnsi="Times New Roman"/>
          <w:sz w:val="28"/>
          <w:szCs w:val="28"/>
        </w:rPr>
        <w:lastRenderedPageBreak/>
        <w:t>ОКОНЧАНИЕ ПРИЛОЖЕНИЯ Л</w:t>
      </w:r>
    </w:p>
    <w:p w:rsidR="00D1277B" w:rsidRPr="00D1277B" w:rsidRDefault="00D1277B" w:rsidP="00D1277B">
      <w:pPr>
        <w:spacing w:after="0" w:line="360" w:lineRule="auto"/>
        <w:jc w:val="both"/>
        <w:rPr>
          <w:rFonts w:ascii="Times New Roman" w:eastAsia="Times New Roman" w:hAnsi="Times New Roman"/>
          <w:sz w:val="28"/>
          <w:lang w:eastAsia="ko-KR"/>
        </w:rPr>
      </w:pP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6 - Результаты расчёта коэффициента преступности среди несовершеннолетних граждан в возрасте 14-17 лет по районам с 2012 по 2017 год</w:t>
      </w:r>
    </w:p>
    <w:tbl>
      <w:tblPr>
        <w:tblStyle w:val="120"/>
        <w:tblW w:w="9639" w:type="dxa"/>
        <w:tblInd w:w="108" w:type="dxa"/>
        <w:tblLook w:val="04A0" w:firstRow="1" w:lastRow="0" w:firstColumn="1" w:lastColumn="0" w:noHBand="0" w:noVBand="1"/>
      </w:tblPr>
      <w:tblGrid>
        <w:gridCol w:w="3721"/>
        <w:gridCol w:w="851"/>
        <w:gridCol w:w="1132"/>
        <w:gridCol w:w="992"/>
        <w:gridCol w:w="993"/>
        <w:gridCol w:w="992"/>
        <w:gridCol w:w="958"/>
      </w:tblGrid>
      <w:tr w:rsidR="00D1277B" w:rsidRPr="00D1277B" w:rsidTr="00D1277B">
        <w:trPr>
          <w:trHeight w:val="348"/>
        </w:trPr>
        <w:tc>
          <w:tcPr>
            <w:tcW w:w="9639" w:type="dxa"/>
            <w:gridSpan w:val="7"/>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Cs w:val="20"/>
                <w:lang w:eastAsia="ru-RU"/>
              </w:rPr>
            </w:pPr>
            <w:r w:rsidRPr="00D1277B">
              <w:rPr>
                <w:rFonts w:ascii="Times New Roman" w:hAnsi="Times New Roman"/>
                <w:b/>
                <w:bCs/>
                <w:color w:val="000000"/>
                <w:szCs w:val="20"/>
                <w:lang w:eastAsia="ru-RU"/>
              </w:rPr>
              <w:t>Коэффициенты преступности среди несовершеннолетних граждан в возрасте 14-17 лет по районам города Владивостока с 2012 по 2017 год на 1000 человек</w:t>
            </w:r>
          </w:p>
        </w:tc>
      </w:tr>
      <w:tr w:rsidR="00D1277B" w:rsidRPr="00D1277B" w:rsidTr="00D1277B">
        <w:trPr>
          <w:trHeight w:val="66"/>
        </w:trPr>
        <w:tc>
          <w:tcPr>
            <w:tcW w:w="37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FF0000"/>
                <w:szCs w:val="20"/>
                <w:lang w:eastAsia="ru-RU"/>
              </w:rPr>
            </w:pPr>
            <w:r w:rsidRPr="00D1277B">
              <w:rPr>
                <w:rFonts w:ascii="Times New Roman" w:hAnsi="Times New Roman"/>
                <w:b/>
                <w:bCs/>
                <w:color w:val="FF0000"/>
                <w:szCs w:val="20"/>
                <w:lang w:eastAsia="ru-RU"/>
              </w:rPr>
              <w:t> </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Cs w:val="20"/>
                <w:lang w:eastAsia="ru-RU"/>
              </w:rPr>
            </w:pPr>
            <w:r w:rsidRPr="00D1277B">
              <w:rPr>
                <w:rFonts w:ascii="Times New Roman" w:hAnsi="Times New Roman"/>
                <w:b/>
                <w:bCs/>
                <w:color w:val="000000"/>
                <w:szCs w:val="20"/>
                <w:lang w:eastAsia="ru-RU"/>
              </w:rPr>
              <w:t>2012</w:t>
            </w:r>
          </w:p>
        </w:tc>
        <w:tc>
          <w:tcPr>
            <w:tcW w:w="113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Cs w:val="20"/>
                <w:lang w:eastAsia="ru-RU"/>
              </w:rPr>
            </w:pPr>
            <w:r w:rsidRPr="00D1277B">
              <w:rPr>
                <w:rFonts w:ascii="Times New Roman" w:hAnsi="Times New Roman"/>
                <w:b/>
                <w:bCs/>
                <w:color w:val="000000"/>
                <w:szCs w:val="20"/>
                <w:lang w:eastAsia="ru-RU"/>
              </w:rPr>
              <w:t>2013</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Cs w:val="20"/>
                <w:lang w:eastAsia="ru-RU"/>
              </w:rPr>
            </w:pPr>
            <w:r w:rsidRPr="00D1277B">
              <w:rPr>
                <w:rFonts w:ascii="Times New Roman" w:hAnsi="Times New Roman"/>
                <w:b/>
                <w:bCs/>
                <w:color w:val="000000"/>
                <w:szCs w:val="20"/>
                <w:lang w:eastAsia="ru-RU"/>
              </w:rPr>
              <w:t>2014</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Cs w:val="20"/>
                <w:lang w:eastAsia="ru-RU"/>
              </w:rPr>
            </w:pPr>
            <w:r w:rsidRPr="00D1277B">
              <w:rPr>
                <w:rFonts w:ascii="Times New Roman" w:hAnsi="Times New Roman"/>
                <w:b/>
                <w:bCs/>
                <w:color w:val="000000"/>
                <w:szCs w:val="20"/>
                <w:lang w:eastAsia="ru-RU"/>
              </w:rPr>
              <w:t>2015</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Cs w:val="20"/>
                <w:lang w:eastAsia="ru-RU"/>
              </w:rPr>
            </w:pPr>
            <w:r w:rsidRPr="00D1277B">
              <w:rPr>
                <w:rFonts w:ascii="Times New Roman" w:hAnsi="Times New Roman"/>
                <w:b/>
                <w:bCs/>
                <w:color w:val="000000"/>
                <w:szCs w:val="20"/>
                <w:lang w:eastAsia="ru-RU"/>
              </w:rPr>
              <w:t>2016</w:t>
            </w:r>
          </w:p>
        </w:tc>
        <w:tc>
          <w:tcPr>
            <w:tcW w:w="95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Cs w:val="20"/>
                <w:lang w:eastAsia="ru-RU"/>
              </w:rPr>
            </w:pPr>
            <w:r w:rsidRPr="00D1277B">
              <w:rPr>
                <w:rFonts w:ascii="Times New Roman" w:hAnsi="Times New Roman"/>
                <w:b/>
                <w:bCs/>
                <w:color w:val="000000"/>
                <w:szCs w:val="20"/>
                <w:lang w:eastAsia="ru-RU"/>
              </w:rPr>
              <w:t>2017</w:t>
            </w:r>
          </w:p>
        </w:tc>
      </w:tr>
      <w:tr w:rsidR="00D1277B" w:rsidRPr="00D1277B" w:rsidTr="00D1277B">
        <w:trPr>
          <w:trHeight w:val="245"/>
        </w:trPr>
        <w:tc>
          <w:tcPr>
            <w:tcW w:w="37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Cs w:val="20"/>
                <w:lang w:eastAsia="ru-RU"/>
              </w:rPr>
            </w:pPr>
            <w:r w:rsidRPr="00D1277B">
              <w:rPr>
                <w:rFonts w:ascii="Times New Roman" w:hAnsi="Times New Roman"/>
                <w:bCs/>
                <w:color w:val="000000"/>
                <w:szCs w:val="20"/>
                <w:lang w:eastAsia="ru-RU"/>
              </w:rPr>
              <w:t>Ленинский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6</w:t>
            </w:r>
          </w:p>
        </w:tc>
        <w:tc>
          <w:tcPr>
            <w:tcW w:w="113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5</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4</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7</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3</w:t>
            </w:r>
          </w:p>
        </w:tc>
        <w:tc>
          <w:tcPr>
            <w:tcW w:w="95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3</w:t>
            </w:r>
          </w:p>
        </w:tc>
      </w:tr>
      <w:tr w:rsidR="00D1277B" w:rsidRPr="00D1277B" w:rsidTr="00D1277B">
        <w:trPr>
          <w:trHeight w:val="66"/>
        </w:trPr>
        <w:tc>
          <w:tcPr>
            <w:tcW w:w="37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Cs w:val="20"/>
                <w:lang w:eastAsia="ru-RU"/>
              </w:rPr>
            </w:pPr>
            <w:r w:rsidRPr="00D1277B">
              <w:rPr>
                <w:rFonts w:ascii="Times New Roman" w:hAnsi="Times New Roman"/>
                <w:bCs/>
                <w:color w:val="000000"/>
                <w:szCs w:val="20"/>
                <w:lang w:eastAsia="ru-RU"/>
              </w:rPr>
              <w:t>Первомайский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3</w:t>
            </w:r>
          </w:p>
        </w:tc>
        <w:tc>
          <w:tcPr>
            <w:tcW w:w="113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4</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4</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6</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4</w:t>
            </w:r>
          </w:p>
        </w:tc>
        <w:tc>
          <w:tcPr>
            <w:tcW w:w="95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3</w:t>
            </w:r>
          </w:p>
        </w:tc>
      </w:tr>
      <w:tr w:rsidR="00D1277B" w:rsidRPr="00D1277B" w:rsidTr="00D1277B">
        <w:trPr>
          <w:trHeight w:val="58"/>
        </w:trPr>
        <w:tc>
          <w:tcPr>
            <w:tcW w:w="37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Cs w:val="20"/>
                <w:lang w:eastAsia="ru-RU"/>
              </w:rPr>
            </w:pPr>
            <w:r w:rsidRPr="00D1277B">
              <w:rPr>
                <w:rFonts w:ascii="Times New Roman" w:hAnsi="Times New Roman"/>
                <w:bCs/>
                <w:color w:val="000000"/>
                <w:szCs w:val="20"/>
                <w:lang w:eastAsia="ru-RU"/>
              </w:rPr>
              <w:t xml:space="preserve">Первореченский район </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7</w:t>
            </w:r>
          </w:p>
        </w:tc>
        <w:tc>
          <w:tcPr>
            <w:tcW w:w="113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7</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6</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5</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8</w:t>
            </w:r>
          </w:p>
        </w:tc>
        <w:tc>
          <w:tcPr>
            <w:tcW w:w="95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7</w:t>
            </w:r>
          </w:p>
        </w:tc>
      </w:tr>
      <w:tr w:rsidR="00D1277B" w:rsidRPr="00D1277B" w:rsidTr="00D1277B">
        <w:trPr>
          <w:trHeight w:val="58"/>
        </w:trPr>
        <w:tc>
          <w:tcPr>
            <w:tcW w:w="37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Cs/>
                <w:color w:val="000000"/>
                <w:szCs w:val="20"/>
                <w:lang w:eastAsia="ru-RU"/>
              </w:rPr>
            </w:pPr>
            <w:r w:rsidRPr="00D1277B">
              <w:rPr>
                <w:rFonts w:ascii="Times New Roman" w:hAnsi="Times New Roman"/>
                <w:bCs/>
                <w:color w:val="000000"/>
                <w:szCs w:val="20"/>
                <w:lang w:eastAsia="ru-RU"/>
              </w:rPr>
              <w:t>Фрунзенский район</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8</w:t>
            </w:r>
          </w:p>
        </w:tc>
        <w:tc>
          <w:tcPr>
            <w:tcW w:w="113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16</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18</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9</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14</w:t>
            </w:r>
          </w:p>
        </w:tc>
        <w:tc>
          <w:tcPr>
            <w:tcW w:w="95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20</w:t>
            </w:r>
          </w:p>
        </w:tc>
      </w:tr>
      <w:tr w:rsidR="00D1277B" w:rsidRPr="00D1277B" w:rsidTr="00D1277B">
        <w:trPr>
          <w:trHeight w:val="63"/>
        </w:trPr>
        <w:tc>
          <w:tcPr>
            <w:tcW w:w="3721"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bCs/>
                <w:color w:val="000000"/>
                <w:szCs w:val="20"/>
                <w:lang w:eastAsia="ru-RU"/>
              </w:rPr>
            </w:pPr>
            <w:r w:rsidRPr="00D1277B">
              <w:rPr>
                <w:rFonts w:ascii="Times New Roman" w:hAnsi="Times New Roman"/>
                <w:bCs/>
                <w:color w:val="000000"/>
                <w:szCs w:val="20"/>
                <w:lang w:eastAsia="ru-RU"/>
              </w:rPr>
              <w:t>Советский район (город+океанская черта)</w:t>
            </w:r>
          </w:p>
        </w:tc>
        <w:tc>
          <w:tcPr>
            <w:tcW w:w="8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8</w:t>
            </w:r>
          </w:p>
        </w:tc>
        <w:tc>
          <w:tcPr>
            <w:tcW w:w="113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11</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8</w:t>
            </w:r>
          </w:p>
        </w:tc>
        <w:tc>
          <w:tcPr>
            <w:tcW w:w="99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7</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3</w:t>
            </w:r>
          </w:p>
        </w:tc>
        <w:tc>
          <w:tcPr>
            <w:tcW w:w="958"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360" w:lineRule="auto"/>
              <w:jc w:val="center"/>
              <w:rPr>
                <w:rFonts w:ascii="Times New Roman" w:hAnsi="Times New Roman"/>
                <w:color w:val="000000"/>
                <w:szCs w:val="20"/>
              </w:rPr>
            </w:pPr>
            <w:r w:rsidRPr="00D1277B">
              <w:rPr>
                <w:rFonts w:ascii="Times New Roman" w:hAnsi="Times New Roman"/>
                <w:color w:val="000000"/>
                <w:szCs w:val="20"/>
              </w:rPr>
              <w:t>4</w:t>
            </w:r>
          </w:p>
        </w:tc>
      </w:tr>
    </w:tbl>
    <w:p w:rsidR="00D1277B" w:rsidRPr="00D1277B" w:rsidRDefault="00D1277B" w:rsidP="00D1277B">
      <w:pPr>
        <w:spacing w:after="0" w:line="360" w:lineRule="auto"/>
        <w:jc w:val="both"/>
        <w:rPr>
          <w:rFonts w:ascii="Times New Roman" w:eastAsia="Times New Roman" w:hAnsi="Times New Roman"/>
          <w:sz w:val="24"/>
          <w:lang w:eastAsia="ko-KR"/>
        </w:rPr>
      </w:pPr>
      <w:r w:rsidRPr="00D1277B">
        <w:rPr>
          <w:rFonts w:ascii="Times New Roman" w:eastAsia="Times New Roman" w:hAnsi="Times New Roman"/>
          <w:sz w:val="24"/>
          <w:lang w:eastAsia="ko-KR"/>
        </w:rPr>
        <w:t>Источник: составлено автором на основе расчёта коэффициентов преступности</w:t>
      </w:r>
    </w:p>
    <w:p w:rsidR="00D1277B" w:rsidRPr="00D1277B" w:rsidRDefault="00D1277B" w:rsidP="00D1277B">
      <w:pPr>
        <w:spacing w:after="0" w:line="360" w:lineRule="auto"/>
        <w:contextualSpacing/>
        <w:jc w:val="center"/>
        <w:rPr>
          <w:rFonts w:ascii="Times New Roman" w:hAnsi="Times New Roman"/>
          <w:sz w:val="28"/>
          <w:szCs w:val="28"/>
        </w:rPr>
      </w:pPr>
    </w:p>
    <w:p w:rsidR="00D1277B" w:rsidRPr="00D1277B" w:rsidRDefault="00D1277B" w:rsidP="00D1277B">
      <w:pPr>
        <w:spacing w:after="0" w:line="360" w:lineRule="auto"/>
        <w:contextualSpacing/>
        <w:jc w:val="center"/>
        <w:rPr>
          <w:rFonts w:ascii="Times New Roman" w:hAnsi="Times New Roman"/>
          <w:sz w:val="28"/>
          <w:szCs w:val="28"/>
        </w:rPr>
      </w:pPr>
      <w:r w:rsidRPr="00D1277B">
        <w:rPr>
          <w:noProof/>
          <w:lang w:eastAsia="ru-RU"/>
        </w:rPr>
        <w:drawing>
          <wp:inline distT="0" distB="0" distL="0" distR="0" wp14:anchorId="3EDD5719" wp14:editId="4C6341C8">
            <wp:extent cx="6210300" cy="3781425"/>
            <wp:effectExtent l="0" t="0" r="19050"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5"/>
              </a:graphicData>
            </a:graphic>
          </wp:inline>
        </w:drawing>
      </w:r>
    </w:p>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основе расчёта коэффициентов преступности</w:t>
      </w:r>
    </w:p>
    <w:p w:rsidR="00D1277B" w:rsidRPr="00D1277B" w:rsidRDefault="00D1277B" w:rsidP="00D1277B">
      <w:pPr>
        <w:spacing w:after="0" w:line="360" w:lineRule="auto"/>
        <w:jc w:val="center"/>
        <w:rPr>
          <w:rFonts w:ascii="Times New Roman" w:eastAsia="Times New Roman" w:hAnsi="Times New Roman"/>
          <w:sz w:val="10"/>
          <w:lang w:eastAsia="ko-KR"/>
        </w:rPr>
      </w:pPr>
    </w:p>
    <w:p w:rsidR="00D1277B" w:rsidRPr="00D1277B" w:rsidRDefault="00D1277B" w:rsidP="00D1277B">
      <w:pPr>
        <w:spacing w:after="0" w:line="360" w:lineRule="auto"/>
        <w:jc w:val="center"/>
        <w:rPr>
          <w:rFonts w:ascii="Times New Roman" w:eastAsia="Times New Roman" w:hAnsi="Times New Roman"/>
          <w:sz w:val="28"/>
          <w:lang w:eastAsia="ko-KR"/>
        </w:rPr>
      </w:pPr>
      <w:r w:rsidRPr="00D1277B">
        <w:rPr>
          <w:rFonts w:ascii="Times New Roman" w:eastAsia="Times New Roman" w:hAnsi="Times New Roman"/>
          <w:sz w:val="28"/>
          <w:lang w:eastAsia="ko-KR"/>
        </w:rPr>
        <w:t>Рисунок 7 - Интенсивность преступности среди несовершеннолетних граждан в возрасте 14-17 лет по районам города Владивостока с 2012 по 2017 год</w:t>
      </w:r>
    </w:p>
    <w:p w:rsidR="00D1277B" w:rsidRPr="00D1277B" w:rsidRDefault="00D1277B" w:rsidP="00D1277B">
      <w:pPr>
        <w:spacing w:after="0" w:line="360" w:lineRule="auto"/>
        <w:rPr>
          <w:rFonts w:ascii="Times New Roman" w:eastAsia="Times New Roman" w:hAnsi="Times New Roman"/>
          <w:sz w:val="28"/>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contextualSpacing/>
        <w:jc w:val="right"/>
        <w:rPr>
          <w:rFonts w:ascii="Times New Roman" w:hAnsi="Times New Roman"/>
          <w:sz w:val="28"/>
        </w:rPr>
      </w:pPr>
      <w:r>
        <w:rPr>
          <w:noProof/>
        </w:rPr>
        <w:lastRenderedPageBreak/>
        <w:pict>
          <v:group id="Полотно 171" o:spid="_x0000_s1032" style="position:absolute;left:0;text-align:left;margin-left:-42.75pt;margin-top:27.1pt;width:817.85pt;height:379pt;z-index:-251644928" coordsize="105596,59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">
            <v:rect id="Прямоугольник 119" o:spid="_x0000_s1033" style="position:absolute;left:1729;top:11000;width:103867;height:48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GkUsIA&#10;AADcAAAADwAAAGRycy9kb3ducmV2LnhtbERPTWvCQBC9F/wPywi9lLrRg2jqKiKIoQhitJ6H7DQJ&#10;Zmdjdk3iv3cLBW/zeJ+zWPWmEi01rrSsYDyKQBBnVpecKziftp8zEM4ja6wsk4IHOVgtB28LjLXt&#10;+Eht6nMRQtjFqKDwvo6ldFlBBt3I1sSB+7WNQR9gk0vdYBfCTSUnUTSVBksODQXWtCkou6Z3o6DL&#10;Du3ltN/Jw8clsXxLbpv051up92G//gLhqfcv8b870WH+eA5/z4QL5PI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kaRSwgAAANwAAAAPAAAAAAAAAAAAAAAAAJgCAABkcnMvZG93&#10;bnJldi54bWxQSwUGAAAAAAQABAD1AAAAhwMAAAAA&#10;" filled="f" stroked="f"/>
            <v:rect id="Прямоугольник 120" o:spid="_x0000_s1034" style="position:absolute;left:4510;top:10873;width:20421;height:51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QbZcMA&#10;AADcAAAADwAAAGRycy9kb3ducmV2LnhtbESPQWvCQBCF70L/wzIFL6Kbeig2ukoRCiJeGr30NmSn&#10;m2B2NmTXJP575yB4m8e8782bzW70jeqpi3VgAx+LDBRxGWzNzsDl/DNfgYoJ2WITmAzcKcJu+zbZ&#10;YG7DwL/UF8kpCeGYo4EqpTbXOpYVeYyL0BLL7j90HpPIzmnb4SDhvtHLLPvUHmuWCxW2tK+ovBY3&#10;LzVm+nK494U+uit+tad+OM7+nDHT9/F7DSrRmF7mJ32wwi2lvjwjE+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QbZcMAAADcAAAADwAAAAAAAAAAAAAAAACYAgAAZHJzL2Rv&#10;d25yZXYueG1sUEsFBgAAAAAEAAQA9QAAAIgDAAAAAA==&#10;" fillcolor="window" strokecolor="windowText" strokeweight="2pt">
              <v:textbox>
                <w:txbxContent>
                  <w:p w:rsidR="00DC1F7E" w:rsidRDefault="00DC1F7E" w:rsidP="00D1277B">
                    <w:pPr>
                      <w:spacing w:line="240" w:lineRule="auto"/>
                      <w:jc w:val="center"/>
                      <w:rPr>
                        <w:sz w:val="24"/>
                        <w:szCs w:val="24"/>
                      </w:rPr>
                    </w:pPr>
                    <w:r>
                      <w:rPr>
                        <w:sz w:val="24"/>
                        <w:szCs w:val="24"/>
                      </w:rPr>
                      <w:t>Информация о семейном неблагополучии</w:t>
                    </w:r>
                  </w:p>
                </w:txbxContent>
              </v:textbox>
            </v:rect>
            <v:rect id="Прямоугольник 121" o:spid="_x0000_s1035" style="position:absolute;left:929;top:18150;width:26808;height:1888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i+/sQA&#10;AADcAAAADwAAAGRycy9kb3ducmV2LnhtbESPQWvDMAyF74X+B6PCLqF1msPo0rqlFAYh7LKsl91E&#10;rDqhsRxiN0n//TwY7Cbx3vf0dDjNthMjDb51rGC7SUEQ1063bBRcv97XOxA+IGvsHJOCJ3k4HZeL&#10;A+baTfxJYxWMiCHsc1TQhNDnUvq6IYt+43riqN3cYDHEdTBSDzjFcNvJLE1fpcWW44UGe7o0VN+r&#10;h401EnktnmMlS3PHt/5jnMrk2yj1sprPexCB5vBv/qMLHblsC7/PxAnk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ovv7EAAAA3AAAAA8AAAAAAAAAAAAAAAAAmAIAAGRycy9k&#10;b3ducmV2LnhtbFBLBQYAAAAABAAEAPUAAACJAwAAAAA=&#10;" fillcolor="window" strokecolor="windowText" strokeweight="2pt">
              <v:textbox>
                <w:txbxContent>
                  <w:p w:rsidR="00DC1F7E" w:rsidRDefault="00DC1F7E" w:rsidP="00D1277B">
                    <w:pPr>
                      <w:pStyle w:val="a9"/>
                    </w:pPr>
                    <w:r>
                      <w:t>- учреждения образования (школы, детские сады);</w:t>
                    </w:r>
                  </w:p>
                  <w:p w:rsidR="00DC1F7E" w:rsidRDefault="00DC1F7E" w:rsidP="00D1277B">
                    <w:pPr>
                      <w:pStyle w:val="a9"/>
                    </w:pPr>
                    <w:r>
                      <w:t>- учреждения здравоохранения (детские больницы, районные поликлиники, скорая мед. помощь);</w:t>
                    </w:r>
                  </w:p>
                  <w:p w:rsidR="00DC1F7E" w:rsidRDefault="00DC1F7E" w:rsidP="00D1277B">
                    <w:pPr>
                      <w:pStyle w:val="a9"/>
                    </w:pPr>
                    <w:r>
                      <w:t>- отделы полиции УМВД России по городу Владивостоку;</w:t>
                    </w:r>
                  </w:p>
                  <w:p w:rsidR="00DC1F7E" w:rsidRDefault="00DC1F7E" w:rsidP="00D1277B">
                    <w:pPr>
                      <w:pStyle w:val="a9"/>
                    </w:pPr>
                    <w:r>
                      <w:t>- телефоны доверия;</w:t>
                    </w:r>
                  </w:p>
                  <w:p w:rsidR="00DC1F7E" w:rsidRDefault="00DC1F7E" w:rsidP="00D1277B">
                    <w:pPr>
                      <w:pStyle w:val="a9"/>
                    </w:pPr>
                    <w:r>
                      <w:t>- звонки и письма неравнодушных граждан и др.</w:t>
                    </w:r>
                  </w:p>
                  <w:p w:rsidR="00DC1F7E" w:rsidRDefault="00DC1F7E" w:rsidP="00D1277B">
                    <w:pPr>
                      <w:pStyle w:val="a9"/>
                    </w:pPr>
                  </w:p>
                  <w:p w:rsidR="00DC1F7E" w:rsidRDefault="00DC1F7E" w:rsidP="00D1277B">
                    <w:pPr>
                      <w:pStyle w:val="a9"/>
                    </w:pPr>
                  </w:p>
                </w:txbxContent>
              </v:textbox>
            </v:rect>
            <v:shape id="Прямая со стрелкой 122" o:spid="_x0000_s1036" type="#_x0000_t32" style="position:absolute;left:14551;top:16055;width:0;height:167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uyy8IAAADcAAAADwAAAGRycy9kb3ducmV2LnhtbERPTWvCQBC9F/oflil4q5vm0NbUTbAF&#10;QU9i9NDjkB2TaHY27K4m+fduQehtHu9zlsVoOnEj51vLCt7mCQjiyuqWawXHw/r1E4QPyBo7y6Rg&#10;Ig9F/vy0xEzbgfd0K0MtYgj7DBU0IfSZlL5qyKCf2544cifrDIYIXS21wyGGm06mSfIuDbYcGxrs&#10;6aeh6lJejYLFtL6O9oyL7ffHb+eGTbnry0mp2cu4+gIRaAz/4od7o+P8NIW/Z+IFMr8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uyy8IAAADcAAAADwAAAAAAAAAAAAAA&#10;AAChAgAAZHJzL2Rvd25yZXYueG1sUEsFBgAAAAAEAAQA+QAAAJADAAAAAA==&#10;" strokecolor="#c0504d" strokeweight="2pt">
              <v:stroke endarrow="open"/>
              <v:shadow on="t" color="black" opacity="24903f" origin=",.5" offset="0,.55556mm"/>
            </v:shape>
            <v:shape id="Прямая со стрелкой 124" o:spid="_x0000_s1037" type="#_x0000_t32" style="position:absolute;left:6513;top:8473;width:7431;height:240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bHMMMAAADcAAAADwAAAGRycy9kb3ducmV2LnhtbERPS2sCMRC+F/wPYQRvNevSlrIaxQcF&#10;vRSq4nnYjPtwM9lNoq799U2h0Nt8fM+ZLXrTiBs5X1lWMBknIIhzqysuFBwPH8/vIHxA1thYJgUP&#10;8rCYD55mmGl75y+67UMhYgj7DBWUIbSZlD4vyaAf25Y4cmfrDIYIXSG1w3sMN41Mk+RNGqw4NpTY&#10;0rqk/LK/GgW7jau/u+Wqq+tDV2w+7aldv6ZKjYb9cgoiUB/+xX/urY7z0xf4fSZ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2xzDDAAAA3AAAAA8AAAAAAAAAAAAA&#10;AAAAoQIAAGRycy9kb3ducmV2LnhtbFBLBQYAAAAABAAEAPkAAACRAwAAAAA=&#10;" strokecolor="windowText" strokeweight="2pt">
              <v:stroke endarrow="open"/>
              <v:shadow on="t" color="black" opacity="24903f" origin=",.5" offset="0,.55556mm"/>
            </v:shape>
            <v:shape id="Прямая со стрелкой 125" o:spid="_x0000_s1038" type="#_x0000_t32" style="position:absolute;left:13944;top:5605;width:7930;height:526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8Iqv8MAAADcAAAADwAAAGRycy9kb3ducmV2LnhtbERPTWvCQBC9C/0PyxR6M5sKtTW6CW1B&#10;0JM09uBxyI5JbHY27K4m+fddodDbPN7nbIrRdOJGzreWFTwnKQjiyuqWawXfx+38DYQPyBo7y6Rg&#10;Ig9F/jDbYKbtwF90K0MtYgj7DBU0IfSZlL5qyKBPbE8cubN1BkOErpba4RDDTScXabqUBluODQ32&#10;9NlQ9VNejYLVtL2O9oKr/cfrqXPDrjz05aTU0+P4vgYRaAz/4j/3Tsf5ixe4PxMvk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CKr/DAAAA3AAAAA8AAAAAAAAAAAAA&#10;AAAAoQIAAGRycy9kb3ducmV2LnhtbFBLBQYAAAAABAAEAPkAAACRAwAAAAA=&#10;" strokecolor="#c0504d" strokeweight="2pt">
              <v:stroke endarrow="open"/>
              <v:shadow on="t" color="black" opacity="24903f" origin=",.5" offset="0,.55556mm"/>
            </v:shape>
            <v:rect id="Прямоугольник 126" o:spid="_x0000_s1039" style="position:absolute;width:13944;height:84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EmisMA&#10;AADcAAAADwAAAGRycy9kb3ducmV2LnhtbESPQYvCMBCF78L+hzALXmRN9SDaNS2yIIjsxerF29CM&#10;abGZlCbb1n9vFgRvM7z3vXmzzUfbiJ46XztWsJgnIIhLp2s2Ci7n/dcahA/IGhvHpOBBHvLsY7LF&#10;VLuBT9QXwYgYwj5FBVUIbSqlLyuy6OeuJY7azXUWQ1w7I3WHQwy3jVwmyUparDleqLCln4rKe/Fn&#10;Y42ZvBwefSGP5o6b9rcfjrOrUWr6Oe6+QQQaw9v8og86cssV/D8TJ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gEmisMAAADcAAAADwAAAAAAAAAAAAAAAACYAgAAZHJzL2Rv&#10;d25yZXYueG1sUEsFBgAAAAAEAAQA9QAAAIgDAAAAAA==&#10;" fillcolor="window" strokecolor="windowText" strokeweight="2pt">
              <v:textbox>
                <w:txbxContent>
                  <w:p w:rsidR="00DC1F7E" w:rsidRDefault="00DC1F7E" w:rsidP="00D1277B">
                    <w:pPr>
                      <w:spacing w:line="240" w:lineRule="auto"/>
                      <w:jc w:val="center"/>
                    </w:pPr>
                    <w:r>
                      <w:rPr>
                        <w:sz w:val="24"/>
                        <w:szCs w:val="24"/>
                      </w:rPr>
                      <w:t>Управление по</w:t>
                    </w:r>
                    <w:r>
                      <w:t xml:space="preserve"> </w:t>
                    </w:r>
                    <w:r>
                      <w:rPr>
                        <w:sz w:val="24"/>
                        <w:szCs w:val="24"/>
                      </w:rPr>
                      <w:t>организации работы КПД</w:t>
                    </w:r>
                    <w:r>
                      <w:t xml:space="preserve"> и ЗП</w:t>
                    </w:r>
                  </w:p>
                </w:txbxContent>
              </v:textbox>
            </v:rect>
            <v:rect id="Прямоугольник 127" o:spid="_x0000_s1040" style="position:absolute;left:15130;width:13488;height:56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2DEcQA&#10;AADcAAAADwAAAGRycy9kb3ducmV2LnhtbESPQYvCMBCF78L+hzALXkRTPaxu1yiLIIh4sfayt6EZ&#10;02IzKU1s6783woK3Gd773rxZbwdbi45aXzlWMJ8lIIgLpys2CvLLfroC4QOyxtoxKXiQh+3mY7TG&#10;VLuez9RlwYgYwj5FBWUITSqlL0qy6GeuIY7a1bUWQ1xbI3WLfQy3tVwkyZe0WHG8UGJDu5KKW3a3&#10;scZE5odHl8mjueF3c+r64+TPKDX+HH5/QAQawtv8Tx905BZLeD0TJ5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NgxHEAAAA3AAAAA8AAAAAAAAAAAAAAAAAmAIAAGRycy9k&#10;b3ducmV2LnhtbFBLBQYAAAAABAAEAPUAAACJAwAAAAA=&#10;" fillcolor="window" strokecolor="windowText" strokeweight="2pt">
              <v:textbox>
                <w:txbxContent>
                  <w:p w:rsidR="00DC1F7E" w:rsidRDefault="00DC1F7E" w:rsidP="00D1277B">
                    <w:pPr>
                      <w:spacing w:line="240" w:lineRule="auto"/>
                      <w:jc w:val="center"/>
                      <w:rPr>
                        <w:sz w:val="24"/>
                        <w:szCs w:val="24"/>
                      </w:rPr>
                    </w:pPr>
                    <w:r>
                      <w:rPr>
                        <w:sz w:val="24"/>
                        <w:szCs w:val="24"/>
                      </w:rPr>
                      <w:t>Районные комиссии</w:t>
                    </w:r>
                  </w:p>
                </w:txbxContent>
              </v:textbox>
            </v:rect>
            <v:shape id="Прямая со стрелкой 128" o:spid="_x0000_s1041" type="#_x0000_t32" style="position:absolute;left:28618;top:2865;width:918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QD18QAAADcAAAADwAAAGRycy9kb3ducmV2LnhtbESPQU/DMAyF70j7D5GRuLGUImAqy6Zp&#10;YxLaCQba2TSmjUicLglb+ff4gMTN1nt+7/N8OQavTpSyi2zgZlqBIm6jddwZeH/bXs9A5YJs0Ucm&#10;Az+UYbmYXMyxsfHMr3Tal05JCOcGDfSlDI3Wue0pYJ7GgVi0z5gCFllTp23Cs4QHr+uqutcBHUtD&#10;jwOte2q/9t/BwMt2Zeu7nXvYeLd7Oh4+8q1P2Ziry3H1CKrQWP7Nf9fPVvBroZVnZAK9+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5APXxAAAANwAAAAPAAAAAAAAAAAA&#10;AAAAAKECAABkcnMvZG93bnJldi54bWxQSwUGAAAAAAQABAD5AAAAkgMAAAAA&#10;" strokecolor="#c0504d" strokeweight="2pt">
              <v:stroke endarrow="open"/>
              <v:shadow on="t" color="black" opacity="24903f" origin=",.5" offset="0,.55556mm"/>
            </v:shape>
            <v:rect id="Прямоугольник 129" o:spid="_x0000_s1042" style="position:absolute;left:37708;top:347;width:20955;height:52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6y+MQA&#10;AADcAAAADwAAAGRycy9kb3ducmV2LnhtbESPQWvDMAyF74X9B6PBLqF1lsNosjplDAal9LIsl95E&#10;rDkhsRxiL0n/fT0Y7Cbx3vf0dDiudhAzTb5zrOB5l4Igbpzu2Ciovz62exA+IGscHJOCG3k4lg+b&#10;AxbaLfxJcxWMiCHsC1TQhjAWUvqmJYt+50biqH27yWKI62SknnCJ4XaQWZq+SIsdxwstjvTeUtNX&#10;PzbWSGR9us2VPJse8/EyL+fkapR6elzfXkEEWsO/+Y8+6chlOfw+EyeQ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svjEAAAA3AAAAA8AAAAAAAAAAAAAAAAAmAIAAGRycy9k&#10;b3ducmV2LnhtbFBLBQYAAAAABAAEAPUAAACJAwAAAAA=&#10;" fillcolor="window" strokecolor="windowText" strokeweight="2pt">
              <v:textbox>
                <w:txbxContent>
                  <w:p w:rsidR="00DC1F7E" w:rsidRDefault="00DC1F7E" w:rsidP="00D1277B">
                    <w:pPr>
                      <w:jc w:val="center"/>
                      <w:rPr>
                        <w:sz w:val="24"/>
                        <w:szCs w:val="24"/>
                      </w:rPr>
                    </w:pPr>
                    <w:r>
                      <w:rPr>
                        <w:sz w:val="24"/>
                        <w:szCs w:val="24"/>
                      </w:rPr>
                      <w:t>Проведения межведомственных рейдов</w:t>
                    </w:r>
                  </w:p>
                </w:txbxContent>
              </v:textbox>
            </v:rect>
            <v:shape id="Прямая со стрелкой 130" o:spid="_x0000_s1043" type="#_x0000_t32" style="position:absolute;left:24931;top:5605;width:23254;height:785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MR28MAAADcAAAADwAAAGRycy9kb3ducmV2LnhtbESPQWvCQBCF7wX/wzKCt7qxgpToKhIQ&#10;KraHRr0P2TGJZmdDdk3Sf985FHqb4b1575vNbnSN6qkLtWcDi3kCirjwtubSwOV8eH0HFSKyxcYz&#10;GfihALvt5GWDqfUDf1Ofx1JJCIcUDVQxtqnWoajIYZj7lli0m+8cRlm7UtsOBwl3jX5LkpV2WLM0&#10;VNhSVlHxyJ/OQLbsP/GaZ1m/GFb0dYo43o9ozGw67tegIo3x3/x3/WEFfyn48oxMoL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rzEdvDAAAA3AAAAA8AAAAAAAAAAAAA&#10;AAAAoQIAAGRycy9kb3ducmV2LnhtbFBLBQYAAAAABAAEAPkAAACRAwAAAAA=&#10;">
              <v:stroke startarrow="open" endarrow="open"/>
            </v:shape>
            <v:rect id="Прямоугольник 131" o:spid="_x0000_s1044" style="position:absolute;left:29020;top:9472;width:19799;height:4562;rotation:-1271597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rycEA&#10;AADcAAAADwAAAGRycy9kb3ducmV2LnhtbERPTWvCQBC9F/wPywje6kYFKalraAVRhB6aVrwO2WkS&#10;kp2Nu5sY/31XKPQ2j/c5m2w0rRjI+dqygsU8AUFcWF1zqeD7a//8AsIHZI2tZVJwJw/ZdvK0wVTb&#10;G3/SkIdSxBD2KSqoQuhSKX1RkUE/tx1x5H6sMxgidKXUDm8x3LRymSRrabDm2FBhR7uKiibvjYKm&#10;Pzu6fMj3U2/lMOSaDV8PSs2m49sriEBj+Bf/uY86zl8t4PFMvE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q8nBAAAA3AAAAA8AAAAAAAAAAAAAAAAAmAIAAGRycy9kb3du&#10;cmV2LnhtbFBLBQYAAAAABAAEAPUAAACGAwAAAAA=&#10;" fillcolor="window" strokecolor="windowText" strokeweight="2pt">
              <v:textbox>
                <w:txbxContent>
                  <w:p w:rsidR="00DC1F7E" w:rsidRDefault="00DC1F7E" w:rsidP="00D1277B">
                    <w:pPr>
                      <w:spacing w:line="240" w:lineRule="auto"/>
                      <w:jc w:val="center"/>
                      <w:rPr>
                        <w:sz w:val="24"/>
                        <w:szCs w:val="24"/>
                      </w:rPr>
                    </w:pPr>
                    <w:r>
                      <w:rPr>
                        <w:sz w:val="24"/>
                        <w:szCs w:val="24"/>
                      </w:rPr>
                      <w:t>Проверяем поступившую информацию</w:t>
                    </w:r>
                  </w:p>
                </w:txbxContent>
              </v:textbox>
            </v:rect>
            <v:rect id="Прямоугольник 132" o:spid="_x0000_s1045" style="position:absolute;left:37803;top:14948;width:24156;height:84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O2VMMA&#10;AADcAAAADwAAAGRycy9kb3ducmV2LnhtbESPQYvCMBCF78L+hzALXkRTXRC3a5RFEES8WHvZ29CM&#10;abGZlCa29d8bYcHbDO99b96st4OtRUetrxwrmM8SEMSF0xUbBfllP12B8AFZY+2YFDzIw3bzMVpj&#10;ql3PZ+qyYEQMYZ+igjKEJpXSFyVZ9DPXEEft6lqLIa6tkbrFPobbWi6SZCktVhwvlNjQrqTilt1t&#10;rDGR+eHRZfJobvjdnLr+OPkzSo0/h98fEIGG8Db/0wcdua8FvJ6JE8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OO2VMMAAADcAAAADwAAAAAAAAAAAAAAAACYAgAAZHJzL2Rv&#10;d25yZXYueG1sUEsFBgAAAAAEAAQA9QAAAIgDAAAAAA==&#10;" fillcolor="window" strokecolor="windowText" strokeweight="2pt">
              <v:textbox>
                <w:txbxContent>
                  <w:p w:rsidR="00DC1F7E" w:rsidRDefault="00DC1F7E" w:rsidP="00D1277B">
                    <w:pPr>
                      <w:spacing w:line="240" w:lineRule="auto"/>
                      <w:jc w:val="center"/>
                      <w:rPr>
                        <w:sz w:val="24"/>
                        <w:szCs w:val="24"/>
                      </w:rPr>
                    </w:pPr>
                    <w:r>
                      <w:rPr>
                        <w:b/>
                        <w:sz w:val="24"/>
                        <w:szCs w:val="24"/>
                      </w:rPr>
                      <w:t>Состав:</w:t>
                    </w:r>
                    <w:r>
                      <w:rPr>
                        <w:sz w:val="24"/>
                        <w:szCs w:val="24"/>
                      </w:rPr>
                      <w:t xml:space="preserve"> специалисты органов и учреждений системы профилактики безнадзорности и</w:t>
                    </w:r>
                    <w:r>
                      <w:t xml:space="preserve"> </w:t>
                    </w:r>
                    <w:r>
                      <w:rPr>
                        <w:sz w:val="24"/>
                        <w:szCs w:val="24"/>
                      </w:rPr>
                      <w:t>правонарушений несовершеннолетних</w:t>
                    </w:r>
                  </w:p>
                </w:txbxContent>
              </v:textbox>
            </v:rect>
            <v:shape id="Прямая со стрелкой 133" o:spid="_x0000_s1046" type="#_x0000_t32" style="position:absolute;left:49385;top:5605;width:0;height:93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R8MEAAADcAAAADwAAAGRycy9kb3ducmV2LnhtbERP22rCQBB9L/gPywh9q5tWSCW6igiV&#10;QlGo+gFjdkxis7Mhs8b0711B8G0O5zqzRe9q1VErlWcD76MEFHHubcWFgcP+620CSgKyxdozGfgn&#10;gcV88DLDzPor/1K3C4WKISwZGihDaDKtJS/JoYx8Qxy5k28dhgjbQtsWrzHc1fojSVLtsOLYUGJD&#10;q5Lyv93FGeCNdD/bYpme1vZ4kNWn1Ok5N+Z12C+noAL14Sl+uL9tnD8ew/2ZeIGe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P5HwwQAAANwAAAAPAAAAAAAAAAAAAAAA&#10;AKECAABkcnMvZG93bnJldi54bWxQSwUGAAAAAAQABAD5AAAAjwMAAAAA&#10;">
              <v:stroke startarrow="open" endarrow="open"/>
            </v:shape>
            <v:line id="Прямая соединительная линия 135" o:spid="_x0000_s1047" style="position:absolute;visibility:visible;mso-wrap-style:square" from="28618,29479" to="97655,294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ZwosMAAADcAAAADwAAAGRycy9kb3ducmV2LnhtbERP22oCMRB9F/yHMELf3KwVa9maFRGE&#10;UhCqtdDHcTN7wWSybFJ369ebQqFvczjXWa0Ha8SVOt84VjBLUhDEhdMNVwpOH7vpMwgfkDUax6Tg&#10;hzys8/FohZl2PR/oegyViCHsM1RQh9BmUvqiJos+cS1x5ErXWQwRdpXUHfYx3Br5mKZP0mLDsaHG&#10;lrY1FZfjt1XQf54PTWr2ZWA3L87Lt93X+80o9TAZNi8gAg3hX/znftVx/nwBv8/EC2R+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WcKLDAAAA3AAAAA8AAAAAAAAAAAAA&#10;AAAAoQIAAGRycy9kb3ducmV2LnhtbFBLBQYAAAAABAAEAPkAAACRAwAAAAA=&#10;" strokecolor="windowText" strokeweight="2pt">
              <v:shadow on="t" color="black" opacity="24903f" origin=",.5" offset="0,.55556mm"/>
            </v:line>
            <v:shape id="Прямая со стрелкой 136" o:spid="_x0000_s1048" type="#_x0000_t32" style="position:absolute;left:58663;top:2827;width:8306;height:3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skiFcIAAADcAAAADwAAAGRycy9kb3ducmV2LnhtbERPTWvCQBC9F/wPywi91Y0WbE3dhFYQ&#10;9CSNPfQ4ZKdJanY27K4m+feuIHibx/ucdT6YVlzI+caygvksAUFcWt1wpeDnuH15B+EDssbWMikY&#10;yUOeTZ7WmGrb8zddilCJGMI+RQV1CF0qpS9rMuhntiOO3J91BkOErpLaYR/DTSsXSbKUBhuODTV2&#10;tKmpPBVno2A1bs+D/cfV/uvtt3X9rjh0xajU83T4/AARaAgP8d2903H+6xJuz8QLZH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skiFcIAAADcAAAADwAAAAAAAAAAAAAA&#10;AAChAgAAZHJzL2Rvd25yZXYueG1sUEsFBgAAAAAEAAQA+QAAAJADAAAAAA==&#10;" strokecolor="#c0504d" strokeweight="2pt">
              <v:stroke endarrow="open"/>
              <v:shadow on="t" color="black" opacity="24903f" origin=",.5" offset="0,.55556mm"/>
            </v:shape>
            <v:rect id="Прямоугольник 137" o:spid="_x0000_s1049" style="position:absolute;left:66969;top:347;width:20497;height:41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VzMQA&#10;AADcAAAADwAAAGRycy9kb3ducmV2LnhtbESPT4vCMBDF78J+hzALexFNdwX/VKMswoKIF6sXb0Mz&#10;psVmUprY1m+/EQRvM7z3e/NmteltJVpqfOlYwfc4AUGcO12yUXA+/Y3mIHxA1lg5JgUP8rBZfwxW&#10;mGrX8ZHaLBgRQ9inqKAIoU6l9HlBFv3Y1cRRu7rGYohrY6RusIvhtpI/STKVFkuOFwqsaVtQfsvu&#10;NtYYyvPu0WZyb264qA9ttx9ejFJfn/3vEkSgPrzNL3qnIzeZwfOZOIF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UFczEAAAA3AAAAA8AAAAAAAAAAAAAAAAAmAIAAGRycy9k&#10;b3ducmV2LnhtbFBLBQYAAAAABAAEAPUAAACJAwAAAAA=&#10;" fillcolor="window" strokecolor="windowText" strokeweight="2pt">
              <v:textbox>
                <w:txbxContent>
                  <w:p w:rsidR="00DC1F7E" w:rsidRDefault="00DC1F7E" w:rsidP="00D1277B">
                    <w:pPr>
                      <w:jc w:val="center"/>
                      <w:rPr>
                        <w:sz w:val="24"/>
                        <w:szCs w:val="24"/>
                      </w:rPr>
                    </w:pPr>
                    <w:r>
                      <w:rPr>
                        <w:sz w:val="24"/>
                        <w:szCs w:val="24"/>
                      </w:rPr>
                      <w:t>Принятие решения</w:t>
                    </w:r>
                  </w:p>
                </w:txbxContent>
              </v:textbox>
            </v:rect>
            <v:rect id="Прямоугольник 138" o:spid="_x0000_s1050" style="position:absolute;left:66969;top:4538;width:20497;height:336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uBvsQA&#10;AADcAAAADwAAAGRycy9kb3ducmV2LnhtbESPQWvCQBCF7wX/wzKCF9FNLZQaXUUKgkgvTb14G7Lj&#10;JpidDdk1if++cyj0No9535s32/3oG9VTF+vABl6XGSjiMtianYHLz3HxASomZItNYDLwpAj73eRl&#10;i7kNA39TXySnJIRjjgaqlNpc61hW5DEuQ0ssu1voPCaRndO2w0HCfaNXWfauPdYsFyps6bOi8l48&#10;vNSY68vp2Rf67O64br/64Ty/OmNm0/GwAZVoTP/mP/pkhXuTtvKMT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Lgb7EAAAA3AAAAA8AAAAAAAAAAAAAAAAAmAIAAGRycy9k&#10;b3ducmV2LnhtbFBLBQYAAAAABAAEAPUAAACJAwAAAAA=&#10;" fillcolor="window" strokecolor="windowText" strokeweight="2pt">
              <v:textbox>
                <w:txbxContent>
                  <w:p w:rsidR="00DC1F7E" w:rsidRDefault="00DC1F7E" w:rsidP="00D1277B">
                    <w:pPr>
                      <w:jc w:val="center"/>
                      <w:rPr>
                        <w:sz w:val="24"/>
                        <w:szCs w:val="24"/>
                      </w:rPr>
                    </w:pPr>
                    <w:r>
                      <w:rPr>
                        <w:sz w:val="24"/>
                        <w:szCs w:val="24"/>
                      </w:rPr>
                      <w:t>Учитываем критерии!</w:t>
                    </w:r>
                  </w:p>
                </w:txbxContent>
              </v:textbox>
            </v:rect>
            <v:shape id="Прямая со стрелкой 139" o:spid="_x0000_s1051" type="#_x0000_t32" style="position:absolute;left:71895;top:7907;width:5421;height:296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ywJcQAAADcAAAADwAAAGRycy9kb3ducmV2LnhtbERP22rCQBB9L/gPywi+1U20FI2uIpYW&#10;6UPFyweM2TEbzc7G7EbTv+8WCn2bw7nOfNnZStyp8aVjBekwAUGcO11yoeB4eH+egPABWWPlmBR8&#10;k4flovc0x0y7B+/ovg+FiCHsM1RgQqgzKX1uyKIfupo4cmfXWAwRNoXUDT5iuK3kKElepcWSY4PB&#10;mtaG8uu+tQpOdZp+Ts3248XfLu363La3zduXUoN+t5qBCNSFf/Gfe6Pj/PEUfp+JF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7LAlxAAAANwAAAAPAAAAAAAAAAAA&#10;AAAAAKECAABkcnMvZG93bnJldi54bWxQSwUGAAAAAAQABAD5AAAAkgMAAAAA&#10;" strokecolor="windowText" strokeweight="2pt">
              <v:stroke endarrow="open"/>
              <v:shadow on="t" color="black" opacity="24903f" origin=",.5" offset="0,.55556mm"/>
            </v:shape>
            <v:shape id="Прямая со стрелкой 140" o:spid="_x0000_s1052" type="#_x0000_t32" style="position:absolute;left:77316;top:7907;width:13242;height:30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k3qccQAAADcAAAADwAAAGRycy9kb3ducmV2LnhtbESPT08CMRDF7yZ8h2ZIvElX/JuFQohK&#10;YjghEs7jdthtbKdrW2H99s7BxNtM3pv3fjNfDsGrE6XsIhu4nlSgiJtoHbcG9u/rq0dQuSBb9JHJ&#10;wA9lWC5GF3OsbTzzG512pVUSwrlGA10pfa11bjoKmCexJxbtGFPAImtqtU14lvDg9bSq7nVAx9LQ&#10;YU9PHTWfu+9gYLte2endxj08e7d5+Tp85BufsjGX42E1A1VoKP/mv+tXK/i3gi/PyAR68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TepxxAAAANwAAAAPAAAAAAAAAAAA&#10;AAAAAKECAABkcnMvZG93bnJldi54bWxQSwUGAAAAAAQABAD5AAAAkgMAAAAA&#10;" strokecolor="#c0504d" strokeweight="2pt">
              <v:stroke endarrow="open"/>
              <v:shadow on="t" color="black" opacity="24903f" origin=",.5" offset="0,.55556mm"/>
            </v:shape>
            <v:rect id="Прямоугольник 141" o:spid="_x0000_s1053" style="position:absolute;left:63446;top:10921;width:15605;height:68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bXsUA&#10;AADcAAAADwAAAGRycy9kb3ducmV2LnhtbESPQWvDMAyF74P+B6PCLqF1MspY07qhDAYl7LKsl95E&#10;rDqhsRxiL0n//Two7Cbx3vf0tC9m24mRBt86VpCtUxDEtdMtGwXn74/VGwgfkDV2jknBnTwUh8XT&#10;HnPtJv6isQpGxBD2OSpoQuhzKX3dkEW/dj1x1K5usBjiOhipB5xiuO3kS5q+SostxwsN9vTeUH2r&#10;fmyskcjz6T5WsjQ33Paf41QmF6PU83I+7kAEmsO/+UGfdOQ2Gfw9EyeQh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N1texQAAANwAAAAPAAAAAAAAAAAAAAAAAJgCAABkcnMv&#10;ZG93bnJldi54bWxQSwUGAAAAAAQABAD1AAAAigMAAAAA&#10;" fillcolor="window" strokecolor="windowText" strokeweight="2pt">
              <v:textbox>
                <w:txbxContent>
                  <w:p w:rsidR="00DC1F7E" w:rsidRDefault="00DC1F7E" w:rsidP="00D1277B">
                    <w:pPr>
                      <w:spacing w:line="240" w:lineRule="auto"/>
                      <w:jc w:val="center"/>
                      <w:rPr>
                        <w:sz w:val="24"/>
                        <w:szCs w:val="24"/>
                      </w:rPr>
                    </w:pPr>
                    <w:r>
                      <w:rPr>
                        <w:sz w:val="24"/>
                        <w:szCs w:val="24"/>
                      </w:rPr>
                      <w:t>Отсутствуют основания для</w:t>
                    </w:r>
                    <w:r>
                      <w:t xml:space="preserve"> </w:t>
                    </w:r>
                    <w:r>
                      <w:rPr>
                        <w:sz w:val="24"/>
                        <w:szCs w:val="24"/>
                      </w:rPr>
                      <w:t>постановки на учёт</w:t>
                    </w:r>
                  </w:p>
                </w:txbxContent>
              </v:textbox>
            </v:rect>
            <v:rect id="Прямоугольник 142" o:spid="_x0000_s1054" style="position:absolute;left:79900;top:10921;width:21315;height:51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XFKcMA&#10;AADcAAAADwAAAGRycy9kb3ducmV2LnhtbESPQYvCMBCF78L+hzALXkRTZRG3a5RFEES8WHvZ29CM&#10;abGZlCa29d8bYcHbDO99b96st4OtRUetrxwrmM8SEMSF0xUbBfllP12B8AFZY+2YFDzIw3bzMVpj&#10;ql3PZ+qyYEQMYZ+igjKEJpXSFyVZ9DPXEEft6lqLIa6tkbrFPobbWi6SZCktVhwvlNjQrqTilt1t&#10;rDGR+eHRZfJobvjdnLr+OPkzSo0/h98fEIGG8Db/0wcdua8FvJ6JE8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XFKcMAAADcAAAADwAAAAAAAAAAAAAAAACYAgAAZHJzL2Rv&#10;d25yZXYueG1sUEsFBgAAAAAEAAQA9QAAAIgDAAAAAA==&#10;" fillcolor="window" strokecolor="windowText" strokeweight="2pt">
              <v:textbox>
                <w:txbxContent>
                  <w:p w:rsidR="00DC1F7E" w:rsidRDefault="00DC1F7E" w:rsidP="00D1277B">
                    <w:pPr>
                      <w:pStyle w:val="a9"/>
                    </w:pPr>
                    <w:r>
                      <w:rPr>
                        <w:rFonts w:eastAsia="Calibri"/>
                      </w:rPr>
                      <w:t>Присутствуют основания для</w:t>
                    </w:r>
                    <w:r>
                      <w:rPr>
                        <w:rFonts w:eastAsia="Calibri"/>
                        <w:sz w:val="28"/>
                        <w:szCs w:val="28"/>
                      </w:rPr>
                      <w:t xml:space="preserve"> </w:t>
                    </w:r>
                    <w:r>
                      <w:rPr>
                        <w:rFonts w:eastAsia="Calibri"/>
                      </w:rPr>
                      <w:t>постановки на учёт</w:t>
                    </w:r>
                  </w:p>
                </w:txbxContent>
              </v:textbox>
            </v:rect>
            <v:shape id="Прямая со стрелкой 143" o:spid="_x0000_s1055" type="#_x0000_t32" style="position:absolute;left:88592;top:16055;width:1966;height:309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jy8MIAAADcAAAADwAAAGRycy9kb3ducmV2LnhtbERPTWvCQBC9C/6HZQRvumkVW1NXqYKg&#10;JzHtocchO03SZmfD7mqSf+8Kgrd5vM9ZbTpTiys5X1lW8DJNQBDnVldcKPj+2k/eQfiArLG2TAp6&#10;8rBZDwcrTLVt+UzXLBQihrBPUUEZQpNK6fOSDPqpbYgj92udwRChK6R22MZwU8vXJFlIgxXHhhIb&#10;2pWU/2cXo2DZ7y+d/cPlcfv2U7v2kJ2arFdqPOo+P0AE6sJT/HAfdJw/n8H9mXiBX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rjy8MIAAADcAAAADwAAAAAAAAAAAAAA&#10;AAChAgAAZHJzL2Rvd25yZXYueG1sUEsFBgAAAAAEAAQA+QAAAJADAAAAAA==&#10;" strokecolor="#c0504d" strokeweight="2pt">
              <v:stroke endarrow="open"/>
              <v:shadow on="t" color="black" opacity="24903f" origin=",.5" offset="0,.55556mm"/>
            </v:shape>
            <v:rect id="Прямоугольник 144" o:spid="_x0000_s1056" style="position:absolute;left:65843;top:19150;width:30861;height:8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D4xsMA&#10;AADcAAAADwAAAGRycy9kb3ducmV2LnhtbESPQYvCMBCF78L+hzALXkRTRcTtGmURFkS8WHvZ29CM&#10;abGZlCbb1n9vBMHbDO99b95sdoOtRUetrxwrmM8SEMSF0xUbBfnld7oG4QOyxtoxKbiTh932Y7TB&#10;VLuez9RlwYgYwj5FBWUITSqlL0qy6GeuIY7a1bUWQ1xbI3WLfQy3tVwkyUparDheKLGhfUnFLfu3&#10;scZE5od7l8mjueFXc+r64+TPKDX+HH6+QQQawtv8og86csslPJ+JE8j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D4xsMAAADcAAAADwAAAAAAAAAAAAAAAACYAgAAZHJzL2Rv&#10;d25yZXYueG1sUEsFBgAAAAAEAAQA9QAAAIgDAAAAAA==&#10;" fillcolor="window" strokecolor="windowText" strokeweight="2pt">
              <v:textbox>
                <w:txbxContent>
                  <w:p w:rsidR="00DC1F7E" w:rsidRDefault="00DC1F7E" w:rsidP="00D1277B">
                    <w:pPr>
                      <w:spacing w:line="240" w:lineRule="auto"/>
                      <w:jc w:val="center"/>
                      <w:rPr>
                        <w:sz w:val="24"/>
                        <w:szCs w:val="24"/>
                      </w:rPr>
                    </w:pPr>
                    <w:r>
                      <w:rPr>
                        <w:b/>
                        <w:sz w:val="24"/>
                        <w:szCs w:val="24"/>
                      </w:rPr>
                      <w:t>Постановление</w:t>
                    </w:r>
                    <w:r>
                      <w:rPr>
                        <w:sz w:val="24"/>
                        <w:szCs w:val="24"/>
                      </w:rPr>
                      <w:t xml:space="preserve"> районной комиссии по делам несовершеннолетних и защите их прав о постановке семьи находящейся в СОПе </w:t>
                    </w:r>
                    <w:r>
                      <w:rPr>
                        <w:b/>
                        <w:sz w:val="24"/>
                        <w:szCs w:val="24"/>
                      </w:rPr>
                      <w:t>на учет</w:t>
                    </w:r>
                  </w:p>
                </w:txbxContent>
              </v:textbox>
            </v:rect>
            <v:rect id="Прямоугольник 145" o:spid="_x0000_s1057" style="position:absolute;left:67937;top:31244;width:27432;height:50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xdXcQA&#10;AADcAAAADwAAAGRycy9kb3ducmV2LnhtbESPQYvCMBCF78L+hzALexFNd1HRapRFWBDxYvXibWjG&#10;tNhMShPb+u83guBthve+N29Wm95WoqXGl44VfI8TEMS50yUbBefT32gOwgdkjZVjUvAgD5v1x2CF&#10;qXYdH6nNghExhH2KCooQ6lRKnxdk0Y9dTRy1q2sshrg2RuoGuxhuK/mTJDNpseR4ocCatgXlt+xu&#10;Y42hPO8ebSb35oaL+tB2++HFKPX12f8uQQTqw9v8onc6cpMpPJ+JE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MXV3EAAAA3AAAAA8AAAAAAAAAAAAAAAAAmAIAAGRycy9k&#10;b3ducmV2LnhtbFBLBQYAAAAABAAEAPUAAACJAwAAAAA=&#10;" fillcolor="window" strokecolor="windowText" strokeweight="2pt">
              <v:textbox>
                <w:txbxContent>
                  <w:p w:rsidR="00DC1F7E" w:rsidRDefault="00DC1F7E" w:rsidP="00D1277B">
                    <w:pPr>
                      <w:spacing w:line="240" w:lineRule="auto"/>
                      <w:jc w:val="center"/>
                      <w:rPr>
                        <w:sz w:val="24"/>
                        <w:szCs w:val="24"/>
                      </w:rPr>
                    </w:pPr>
                    <w:r>
                      <w:rPr>
                        <w:sz w:val="24"/>
                        <w:szCs w:val="24"/>
                      </w:rPr>
                      <w:t xml:space="preserve">Районная КПД и ЗП принимает решение о создании </w:t>
                    </w:r>
                    <w:r>
                      <w:rPr>
                        <w:b/>
                        <w:sz w:val="24"/>
                        <w:szCs w:val="24"/>
                      </w:rPr>
                      <w:t>рабочей группы</w:t>
                    </w:r>
                  </w:p>
                </w:txbxContent>
              </v:textbox>
            </v:rect>
            <v:shape id="Прямая со стрелкой 146" o:spid="_x0000_s1058" type="#_x0000_t32" style="position:absolute;left:81398;top:27532;width:0;height:37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Rvv8IAAADcAAAADwAAAGRycy9kb3ducmV2LnhtbERPzWrCQBC+F/oOywjemo1NG2x0lSoE&#10;egoYfYAhO01Ws7Mhu9XYp+8WCr3Nx/c76+1ke3Gl0RvHChZJCoK4cdpwq+B0LJ+WIHxA1tg7JgV3&#10;8rDdPD6ssdDuxge61qEVMYR9gQq6EIZCSt90ZNEnbiCO3KcbLYYIx1bqEW8x3PbyOU1zadFwbOhw&#10;oH1HzaX+sgqCKetqkWVn079Wumrepm867JSaz6b3FYhAU/gX/7k/dJz/ksPvM/EC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TRvv8IAAADcAAAADwAAAAAAAAAAAAAA&#10;AAChAgAAZHJzL2Rvd25yZXYueG1sUEsFBgAAAAAEAAQA+QAAAJADAAAAAA==&#10;" strokecolor="#c0504d" strokeweight="2pt">
              <v:stroke startarrow="open" endarrow="open"/>
              <v:shadow on="t" color="black" opacity="24903f" origin=",.5" offset="0,.55556mm"/>
            </v:shape>
            <v:line id="Прямая соединительная линия 147" o:spid="_x0000_s1059" style="position:absolute;flip:x;visibility:visible;mso-wrap-style:square" from="53805,23341" to="65843,32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o1fMIAAADcAAAADwAAAGRycy9kb3ducmV2LnhtbERPS2sCMRC+F/wPYYTeamIpra5GkZaC&#10;goe6iuBt2Iy7i5vJssk+/PeNUOhtPr7nLNeDrURHjS8da5hOFAjizJmScw2n4/fLDIQPyAYrx6Th&#10;Th7Wq9HTEhPjej5Ql4ZcxBD2CWooQqgTKX1WkEU/cTVx5K6usRgibHJpGuxjuK3kq1Lv0mLJsaHA&#10;mj4Lym5pazUotZ9fdkP3c1bhUqfttu2/etL6eTxsFiACDeFf/Ofemjj/7QMez8QL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Ho1fMIAAADcAAAADwAAAAAAAAAAAAAA&#10;AAChAgAAZHJzL2Rvd25yZXYueG1sUEsFBgAAAAAEAAQA+QAAAJADAAAAAA==&#10;" strokecolor="windowText" strokeweight="2pt">
              <v:shadow on="t" color="black" opacity="24903f" origin=",.5" offset="0,.55556mm"/>
            </v:line>
            <v:rect id="Прямоугольник 148" o:spid="_x0000_s1060" style="position:absolute;left:28762;top:30612;width:25043;height:64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3yw8QA&#10;AADcAAAADwAAAGRycy9kb3ducmV2LnhtbESPQWvCQBCF7wX/wzKCF9FNpZQaXUUKgkgvTb14G7Lj&#10;JpidDdk1if++cyj0No9535s32/3oG9VTF+vABl6XGSjiMtianYHLz3HxASomZItNYDLwpAj73eRl&#10;i7kNA39TXySnJIRjjgaqlNpc61hW5DEuQ0ssu1voPCaRndO2w0HCfaNXWfauPdYsFyps6bOi8l48&#10;vNSY68vp2Rf67O64br/64Ty/OmNm0/GwAZVoTP/mP/pkhXuTtvKMT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N8sPEAAAA3AAAAA8AAAAAAAAAAAAAAAAAmAIAAGRycy9k&#10;b3ducmV2LnhtbFBLBQYAAAAABAAEAPUAAACJAwAAAAA=&#10;" fillcolor="window" strokecolor="windowText" strokeweight="2pt">
              <v:textbox>
                <w:txbxContent>
                  <w:p w:rsidR="00DC1F7E" w:rsidRDefault="00DC1F7E" w:rsidP="00D1277B">
                    <w:pPr>
                      <w:spacing w:line="240" w:lineRule="auto"/>
                      <w:jc w:val="center"/>
                      <w:rPr>
                        <w:sz w:val="24"/>
                        <w:szCs w:val="24"/>
                      </w:rPr>
                    </w:pPr>
                    <w:r>
                      <w:rPr>
                        <w:sz w:val="24"/>
                        <w:szCs w:val="24"/>
                      </w:rPr>
                      <w:t xml:space="preserve">Проведение  обследования, направление акта обследования </w:t>
                    </w:r>
                    <w:r>
                      <w:rPr>
                        <w:b/>
                        <w:sz w:val="24"/>
                        <w:szCs w:val="24"/>
                      </w:rPr>
                      <w:t>(в течение 5 рабочих дней)</w:t>
                    </w:r>
                  </w:p>
                </w:txbxContent>
              </v:textbox>
            </v:rect>
            <v:shape id="Прямая со стрелкой 149" o:spid="_x0000_s1061" type="#_x0000_t32" style="position:absolute;left:81653;top:36273;width:0;height:27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dD7MIAAADcAAAADwAAAGRycy9kb3ducmV2LnhtbERPTU8CMRC9m/gfmjHhJl0BURYKIQKJ&#10;4YRoPA/bYbexna5tgfXfWxITb/PyPme26JwVZwrReFbw0C9AEFdeG64VfLxv7p9BxISs0XomBT8U&#10;YTG/vZlhqf2F3+i8T7XIIRxLVNCk1JZSxqohh7HvW+LMHX1wmDIMtdQBLzncWTkoirF0aDg3NNjS&#10;S0PV1/7kFOw2Sz143JqnlTXb9ffnIQ5tiEr17rrlFESiLv2L/9yvOs8fTeD6TL5Az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3dD7MIAAADcAAAADwAAAAAAAAAAAAAA&#10;AAChAgAAZHJzL2Rvd25yZXYueG1sUEsFBgAAAAAEAAQA+QAAAJADAAAAAA==&#10;" strokecolor="#c0504d" strokeweight="2pt">
              <v:stroke endarrow="open"/>
              <v:shadow on="t" color="black" opacity="24903f" origin=",.5" offset="0,.55556mm"/>
            </v:shape>
            <v:rect id="Прямоугольник 150" o:spid="_x0000_s1062" style="position:absolute;left:68097;top:39016;width:34479;height:8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JoGMQA&#10;AADcAAAADwAAAGRycy9kb3ducmV2LnhtbESPQWvCQBCF7wX/wzKCF9FNhZYaXUUKgkgvTb14G7Lj&#10;JpidDdk1if++cyj0No9535s32/3oG9VTF+vABl6XGSjiMtianYHLz3HxASomZItNYDLwpAj73eRl&#10;i7kNA39TXySnJIRjjgaqlNpc61hW5DEuQ0ssu1voPCaRndO2w0HCfaNXWfauPdYsFyps6bOi8l48&#10;vNSY68vp2Rf67O64br/64Ty/OmNm0/GwAZVoTP/mP/pkhXuT+vKMTKB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iaBjEAAAA3AAAAA8AAAAAAAAAAAAAAAAAmAIAAGRycy9k&#10;b3ducmV2LnhtbFBLBQYAAAAABAAEAPUAAACJAwAAAAA=&#10;" fillcolor="window" strokecolor="windowText" strokeweight="2pt">
              <v:textbox>
                <w:txbxContent>
                  <w:p w:rsidR="00DC1F7E" w:rsidRDefault="00DC1F7E" w:rsidP="00D1277B">
                    <w:pPr>
                      <w:spacing w:line="240" w:lineRule="auto"/>
                      <w:jc w:val="center"/>
                      <w:rPr>
                        <w:sz w:val="24"/>
                      </w:rPr>
                    </w:pPr>
                    <w:r>
                      <w:rPr>
                        <w:sz w:val="24"/>
                      </w:rPr>
                      <w:t xml:space="preserve">Составление мероприятий для включения в </w:t>
                    </w:r>
                    <w:r>
                      <w:rPr>
                        <w:color w:val="FF0000"/>
                        <w:sz w:val="24"/>
                      </w:rPr>
                      <w:t xml:space="preserve">Комплекс индивидуально-профилактических мероприятий по реабилитации семьи </w:t>
                    </w:r>
                    <w:r>
                      <w:rPr>
                        <w:b/>
                        <w:sz w:val="24"/>
                      </w:rPr>
                      <w:t>(каждым членом рабочей группы)</w:t>
                    </w:r>
                  </w:p>
                </w:txbxContent>
              </v:textbox>
            </v:rect>
            <v:shape id="Прямая со стрелкой 151" o:spid="_x0000_s1063" type="#_x0000_t32" style="position:absolute;left:62306;top:42270;width:57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9fwcIAAADcAAAADwAAAGRycy9kb3ducmV2LnhtbERPTWvCQBC9F/wPywje6iYFraZuxAqC&#10;nkqjhx6H7DRJzc6G3dUk/94tFHqbx/uczXYwrbiT841lBek8AUFcWt1wpeByPjyvQPiArLG1TApG&#10;8rDNJ08bzLTt+ZPuRahEDGGfoYI6hC6T0pc1GfRz2xFH7ts6gyFCV0ntsI/hppUvSbKUBhuODTV2&#10;tK+pvBY3o2A9Hm6D/cH16f31q3X9sfjoilGp2XTYvYEINIR/8Z/7qOP8RQq/z8QL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P9fwcIAAADcAAAADwAAAAAAAAAAAAAA&#10;AAChAgAAZHJzL2Rvd25yZXYueG1sUEsFBgAAAAAEAAQA+QAAAJADAAAAAA==&#10;" strokecolor="#c0504d" strokeweight="2pt">
              <v:stroke endarrow="open"/>
              <v:shadow on="t" color="black" opacity="24903f" origin=",.5" offset="0,.55556mm"/>
            </v:shape>
            <v:rect id="Прямоугольник 152" o:spid="_x0000_s1064" style="position:absolute;left:35331;top:38034;width:26975;height:83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xT9MMA&#10;AADcAAAADwAAAGRycy9kb3ducmV2LnhtbESPQYvCMBCF78L+hzALXkRThRW3a5RFEES8WHvZ29CM&#10;abGZlCa29d8bYcHbDO99b96st4OtRUetrxwrmM8SEMSF0xUbBfllP12B8AFZY+2YFDzIw3bzMVpj&#10;ql3PZ+qyYEQMYZ+igjKEJpXSFyVZ9DPXEEft6lqLIa6tkbrFPobbWi6SZCktVhwvlNjQrqTilt1t&#10;rDGR+eHRZfJobvjdnLr+OPkzSo0/h98fEIGG8Db/0wcdua8FvJ6JE8jN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xT9MMAAADcAAAADwAAAAAAAAAAAAAAAACYAgAAZHJzL2Rv&#10;d25yZXYueG1sUEsFBgAAAAAEAAQA9QAAAIgDAAAAAA==&#10;" fillcolor="window" strokecolor="windowText" strokeweight="2pt">
              <v:textbox>
                <w:txbxContent>
                  <w:p w:rsidR="00DC1F7E" w:rsidRDefault="00DC1F7E" w:rsidP="00D1277B">
                    <w:pPr>
                      <w:spacing w:line="240" w:lineRule="auto"/>
                      <w:jc w:val="center"/>
                    </w:pPr>
                    <w:r>
                      <w:rPr>
                        <w:sz w:val="24"/>
                        <w:szCs w:val="24"/>
                      </w:rPr>
                      <w:t xml:space="preserve">Разработка и согласование Комплекса мероприятий по реабилитации семьи </w:t>
                    </w:r>
                    <w:r>
                      <w:rPr>
                        <w:b/>
                        <w:sz w:val="24"/>
                        <w:szCs w:val="24"/>
                      </w:rPr>
                      <w:t>(на основе предложений членов рабочей</w:t>
                    </w:r>
                    <w:r>
                      <w:rPr>
                        <w:b/>
                      </w:rPr>
                      <w:t xml:space="preserve"> </w:t>
                    </w:r>
                    <w:r>
                      <w:rPr>
                        <w:b/>
                        <w:sz w:val="24"/>
                        <w:szCs w:val="24"/>
                      </w:rPr>
                      <w:t>группы)</w:t>
                    </w:r>
                  </w:p>
                </w:txbxContent>
              </v:textbox>
            </v:rect>
            <v:shape id="Прямая со стрелкой 153" o:spid="_x0000_s1065" type="#_x0000_t32" style="position:absolute;left:26913;top:42187;width:8418;height:1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FkLcIAAADcAAAADwAAAGRycy9kb3ducmV2LnhtbERPTWvCQBC9C/6HZQRvumlFW1NXqYKg&#10;JzHtocchO03SZmfD7mqSf+8Kgrd5vM9ZbTpTiys5X1lW8DJNQBDnVldcKPj+2k/eQfiArLG2TAp6&#10;8rBZDwcrTLVt+UzXLBQihrBPUUEZQpNK6fOSDPqpbYgj92udwRChK6R22MZwU8vXJFlIgxXHhhIb&#10;2pWU/2cXo2DZ7y+d/cPlcfv2U7v2kJ2arFdqPOo+P0AE6sJT/HAfdJw/n8H9mXiBX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2FkLcIAAADcAAAADwAAAAAAAAAAAAAA&#10;AAChAgAAZHJzL2Rvd25yZXYueG1sUEsFBgAAAAAEAAQA+QAAAJADAAAAAA==&#10;" strokecolor="#c0504d" strokeweight="2pt">
              <v:stroke endarrow="open"/>
              <v:shadow on="t" color="black" opacity="24903f" origin=",.5" offset="0,.55556mm"/>
            </v:shape>
            <v:rect id="Прямоугольник 154" o:spid="_x0000_s1066" style="position:absolute;left:929;top:38262;width:25984;height:80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luG8QA&#10;AADcAAAADwAAAGRycy9kb3ducmV2LnhtbESPQYvCMBCF78L+hzALexFNd1HRapRFWBDxYvXibWjG&#10;tNhMShPb+u83guBthve+N29Wm95WoqXGl44VfI8TEMS50yUbBefT32gOwgdkjZVjUvAgD5v1x2CF&#10;qXYdH6nNghExhH2KCooQ6lRKnxdk0Y9dTRy1q2sshrg2RuoGuxhuK/mTJDNpseR4ocCatgXlt+xu&#10;Y42hPO8ebSb35oaL+tB2++HFKPX12f8uQQTqw9v8onc6ctMJPJ+JE8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ZbhvEAAAA3AAAAA8AAAAAAAAAAAAAAAAAmAIAAGRycy9k&#10;b3ducmV2LnhtbFBLBQYAAAAABAAEAPUAAACJAwAAAAA=&#10;" fillcolor="window" strokecolor="windowText" strokeweight="2pt">
              <v:textbox>
                <w:txbxContent>
                  <w:p w:rsidR="00DC1F7E" w:rsidRDefault="00DC1F7E" w:rsidP="00D1277B">
                    <w:pPr>
                      <w:spacing w:line="240" w:lineRule="auto"/>
                      <w:jc w:val="center"/>
                      <w:rPr>
                        <w:sz w:val="24"/>
                        <w:szCs w:val="24"/>
                      </w:rPr>
                    </w:pPr>
                    <w:r>
                      <w:rPr>
                        <w:sz w:val="24"/>
                        <w:szCs w:val="24"/>
                      </w:rPr>
                      <w:t>Оценка эффективности и результативности реализации программы и результаты реализации</w:t>
                    </w:r>
                  </w:p>
                </w:txbxContent>
              </v:textbox>
            </v:rect>
            <w10:wrap type="square"/>
          </v:group>
        </w:pict>
      </w:r>
      <w:r w:rsidRPr="00D1277B">
        <w:rPr>
          <w:rFonts w:ascii="Times New Roman" w:hAnsi="Times New Roman"/>
          <w:sz w:val="28"/>
        </w:rPr>
        <w:t>ПРИЛОЖЕНИЕ М</w:t>
      </w:r>
    </w:p>
    <w:p w:rsidR="00D1277B" w:rsidRPr="00D1277B" w:rsidRDefault="00D1277B" w:rsidP="00D9795C">
      <w:pPr>
        <w:spacing w:after="0" w:line="240" w:lineRule="auto"/>
        <w:ind w:hanging="567"/>
        <w:contextualSpacing/>
        <w:jc w:val="center"/>
        <w:rPr>
          <w:rFonts w:ascii="Times New Roman" w:eastAsia="Times New Roman" w:hAnsi="Times New Roman"/>
          <w:sz w:val="28"/>
          <w:lang w:eastAsia="ko-KR"/>
        </w:rPr>
      </w:pPr>
      <w:r w:rsidRPr="00D1277B">
        <w:rPr>
          <w:rFonts w:ascii="Times New Roman" w:eastAsia="Times New Roman" w:hAnsi="Times New Roman"/>
          <w:sz w:val="28"/>
          <w:lang w:eastAsia="ko-KR"/>
        </w:rPr>
        <w:t>Источник: Порядок межведомственного взаимодействия по организации и проведению профилактической работы с семьями, находящимися в СОП</w:t>
      </w:r>
      <w:r w:rsidR="00D9795C">
        <w:rPr>
          <w:rFonts w:ascii="Times New Roman" w:eastAsia="Times New Roman" w:hAnsi="Times New Roman"/>
          <w:sz w:val="28"/>
          <w:lang w:eastAsia="ko-KR"/>
        </w:rPr>
        <w:t xml:space="preserve"> </w:t>
      </w:r>
      <w:r w:rsidRPr="00D1277B">
        <w:rPr>
          <w:rFonts w:ascii="Times New Roman" w:eastAsia="Times New Roman" w:hAnsi="Times New Roman"/>
          <w:sz w:val="28"/>
          <w:lang w:eastAsia="ko-KR"/>
        </w:rPr>
        <w:t>Рисунок 8 - Поэтапный процесс от выявления неблагополучной семьи до осуществления комплекса мероприятий с целью её реабилитации</w:t>
      </w:r>
    </w:p>
    <w:p w:rsidR="00D1277B" w:rsidRPr="00D1277B" w:rsidRDefault="00D1277B" w:rsidP="00D1277B">
      <w:pPr>
        <w:spacing w:after="0" w:line="360" w:lineRule="auto"/>
        <w:rPr>
          <w:rFonts w:ascii="Times New Roman" w:eastAsia="Times New Roman" w:hAnsi="Times New Roman"/>
          <w:sz w:val="28"/>
          <w:lang w:eastAsia="ko-KR"/>
        </w:rPr>
        <w:sectPr w:rsidR="00D1277B" w:rsidRPr="00D1277B">
          <w:pgSz w:w="16838" w:h="11906" w:orient="landscape"/>
          <w:pgMar w:top="1247" w:right="1247" w:bottom="1247" w:left="1247" w:header="709" w:footer="709" w:gutter="0"/>
          <w:pgNumType w:start="4"/>
          <w:cols w:space="720"/>
        </w:sectPr>
      </w:pPr>
    </w:p>
    <w:p w:rsidR="00D1277B" w:rsidRPr="00D1277B" w:rsidRDefault="00D1277B" w:rsidP="00D1277B">
      <w:pPr>
        <w:spacing w:after="0" w:line="360" w:lineRule="auto"/>
        <w:jc w:val="right"/>
        <w:rPr>
          <w:rFonts w:ascii="Times New Roman" w:eastAsia="Times New Roman" w:hAnsi="Times New Roman"/>
          <w:sz w:val="28"/>
          <w:lang w:eastAsia="ko-KR"/>
        </w:rPr>
      </w:pPr>
      <w:r w:rsidRPr="00D1277B">
        <w:rPr>
          <w:rFonts w:ascii="Times New Roman" w:eastAsia="Times New Roman" w:hAnsi="Times New Roman"/>
          <w:sz w:val="28"/>
          <w:lang w:eastAsia="ko-KR"/>
        </w:rPr>
        <w:lastRenderedPageBreak/>
        <w:t>ПРИЛОЖЕНИЕ Н</w:t>
      </w: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7 - Число семей, состоящих на учёте КПД и ЗП как находящиеся в социально-опасном положении в разрезе районов с 2012 по 2017 год</w:t>
      </w:r>
    </w:p>
    <w:tbl>
      <w:tblPr>
        <w:tblStyle w:val="130"/>
        <w:tblW w:w="0" w:type="auto"/>
        <w:tblInd w:w="108" w:type="dxa"/>
        <w:tblLook w:val="04A0" w:firstRow="1" w:lastRow="0" w:firstColumn="1" w:lastColumn="0" w:noHBand="0" w:noVBand="1"/>
      </w:tblPr>
      <w:tblGrid>
        <w:gridCol w:w="3524"/>
        <w:gridCol w:w="982"/>
        <w:gridCol w:w="982"/>
        <w:gridCol w:w="1120"/>
        <w:gridCol w:w="983"/>
        <w:gridCol w:w="982"/>
        <w:gridCol w:w="947"/>
      </w:tblGrid>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FF0000"/>
                <w:sz w:val="24"/>
                <w:szCs w:val="24"/>
                <w:lang w:eastAsia="ru-RU"/>
              </w:rPr>
            </w:pPr>
            <w:r w:rsidRPr="00D1277B">
              <w:rPr>
                <w:rFonts w:ascii="Times New Roman" w:hAnsi="Times New Roman"/>
                <w:b/>
                <w:bCs/>
                <w:color w:val="000000"/>
                <w:sz w:val="24"/>
                <w:szCs w:val="24"/>
                <w:lang w:eastAsia="ru-RU"/>
              </w:rPr>
              <w:t>Снято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2012</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2013</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2014</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2015</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2016</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2017</w:t>
            </w:r>
          </w:p>
        </w:tc>
      </w:tr>
      <w:tr w:rsidR="00D1277B" w:rsidRPr="00D1277B" w:rsidTr="00D1277B">
        <w:trPr>
          <w:trHeight w:val="68"/>
        </w:trPr>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Ленинский район</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57</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63</w:t>
            </w:r>
          </w:p>
        </w:tc>
        <w:tc>
          <w:tcPr>
            <w:tcW w:w="1134"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32</w:t>
            </w:r>
          </w:p>
        </w:tc>
        <w:tc>
          <w:tcPr>
            <w:tcW w:w="993"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45</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32</w:t>
            </w:r>
          </w:p>
        </w:tc>
        <w:tc>
          <w:tcPr>
            <w:tcW w:w="956"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35</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Первомайский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61</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37</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36</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50</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49</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35</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Первореченский район</w:t>
            </w:r>
          </w:p>
        </w:tc>
        <w:tc>
          <w:tcPr>
            <w:tcW w:w="992" w:type="dxa"/>
            <w:vMerge w:val="restart"/>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14"/>
                <w:szCs w:val="24"/>
              </w:rPr>
            </w:pPr>
          </w:p>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105</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44</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46</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45</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32</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32</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Фрунзенский район</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color w:val="000000"/>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39</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29</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30</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25</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21</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Советский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70</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62</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38</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39</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36</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44</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Всего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293</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245</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181</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color w:val="000000"/>
                <w:sz w:val="24"/>
                <w:szCs w:val="24"/>
              </w:rPr>
              <w:t>209</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174</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167</w:t>
            </w:r>
          </w:p>
        </w:tc>
      </w:tr>
    </w:tbl>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основании данных Управления</w:t>
      </w:r>
    </w:p>
    <w:p w:rsidR="00D1277B" w:rsidRPr="00D1277B" w:rsidRDefault="00D1277B" w:rsidP="00D1277B">
      <w:pPr>
        <w:spacing w:after="0" w:line="360" w:lineRule="auto"/>
        <w:jc w:val="both"/>
        <w:rPr>
          <w:rFonts w:ascii="Times New Roman" w:eastAsia="Times New Roman" w:hAnsi="Times New Roman"/>
          <w:sz w:val="10"/>
          <w:szCs w:val="24"/>
          <w:lang w:eastAsia="ko-KR"/>
        </w:rPr>
      </w:pP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8 - Число семей, снятых с учёта в разрезе районов с 2012 по 2017 год</w:t>
      </w:r>
    </w:p>
    <w:tbl>
      <w:tblPr>
        <w:tblStyle w:val="130"/>
        <w:tblW w:w="0" w:type="auto"/>
        <w:tblInd w:w="108" w:type="dxa"/>
        <w:tblLook w:val="04A0" w:firstRow="1" w:lastRow="0" w:firstColumn="1" w:lastColumn="0" w:noHBand="0" w:noVBand="1"/>
      </w:tblPr>
      <w:tblGrid>
        <w:gridCol w:w="3524"/>
        <w:gridCol w:w="982"/>
        <w:gridCol w:w="982"/>
        <w:gridCol w:w="1120"/>
        <w:gridCol w:w="983"/>
        <w:gridCol w:w="982"/>
        <w:gridCol w:w="947"/>
      </w:tblGrid>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FF0000"/>
                <w:sz w:val="24"/>
                <w:szCs w:val="24"/>
                <w:lang w:eastAsia="ru-RU"/>
              </w:rPr>
            </w:pPr>
            <w:r w:rsidRPr="00D1277B">
              <w:rPr>
                <w:rFonts w:ascii="Times New Roman" w:hAnsi="Times New Roman"/>
                <w:b/>
                <w:bCs/>
                <w:color w:val="000000"/>
                <w:sz w:val="24"/>
                <w:szCs w:val="24"/>
                <w:lang w:eastAsia="ru-RU"/>
              </w:rPr>
              <w:t>Снято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2012</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2013</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2014</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2015</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2016</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2017</w:t>
            </w:r>
          </w:p>
        </w:tc>
      </w:tr>
      <w:tr w:rsidR="00D1277B" w:rsidRPr="00D1277B" w:rsidTr="00D1277B">
        <w:trPr>
          <w:trHeight w:val="240"/>
        </w:trPr>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Ленинский район</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14</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24"/>
                <w:szCs w:val="24"/>
              </w:rPr>
            </w:pPr>
          </w:p>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10</w:t>
            </w:r>
          </w:p>
        </w:tc>
        <w:tc>
          <w:tcPr>
            <w:tcW w:w="1134"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b/>
                <w:color w:val="000000"/>
                <w:sz w:val="24"/>
                <w:szCs w:val="24"/>
              </w:rPr>
            </w:pPr>
          </w:p>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b/>
                <w:color w:val="000000"/>
                <w:sz w:val="24"/>
                <w:szCs w:val="24"/>
              </w:rPr>
            </w:pPr>
          </w:p>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18</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b/>
                <w:color w:val="000000"/>
                <w:sz w:val="24"/>
                <w:szCs w:val="24"/>
              </w:rPr>
            </w:pPr>
          </w:p>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18</w:t>
            </w:r>
          </w:p>
        </w:tc>
        <w:tc>
          <w:tcPr>
            <w:tcW w:w="956"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b/>
                <w:color w:val="000000"/>
                <w:sz w:val="24"/>
                <w:szCs w:val="24"/>
              </w:rPr>
            </w:pPr>
          </w:p>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31</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Первомайский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19</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2</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18</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17</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20</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22</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Первореченский район</w:t>
            </w:r>
          </w:p>
        </w:tc>
        <w:tc>
          <w:tcPr>
            <w:tcW w:w="992" w:type="dxa"/>
            <w:vMerge w:val="restart"/>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14"/>
                <w:szCs w:val="24"/>
              </w:rPr>
            </w:pPr>
          </w:p>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14</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24</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15</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14</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20</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6</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Фрунзенский район</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color w:val="000000"/>
                <w:sz w:val="24"/>
                <w:szCs w:val="24"/>
              </w:rPr>
            </w:pP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2</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9</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10</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8</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17</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4"/>
                <w:szCs w:val="24"/>
              </w:rPr>
            </w:pPr>
            <w:r w:rsidRPr="00D1277B">
              <w:rPr>
                <w:rFonts w:ascii="Times New Roman" w:hAnsi="Times New Roman"/>
                <w:sz w:val="24"/>
                <w:szCs w:val="24"/>
              </w:rPr>
              <w:t>Советский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23</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7</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color w:val="000000"/>
                <w:sz w:val="24"/>
                <w:szCs w:val="24"/>
              </w:rPr>
            </w:pPr>
            <w:r w:rsidRPr="00D1277B">
              <w:rPr>
                <w:rFonts w:ascii="Times New Roman" w:hAnsi="Times New Roman"/>
                <w:b/>
                <w:color w:val="000000"/>
                <w:sz w:val="24"/>
                <w:szCs w:val="24"/>
              </w:rPr>
              <w:t>23</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22</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16</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sz w:val="24"/>
                <w:szCs w:val="24"/>
              </w:rPr>
            </w:pPr>
            <w:r w:rsidRPr="00D1277B">
              <w:rPr>
                <w:rFonts w:ascii="Times New Roman" w:hAnsi="Times New Roman"/>
                <w:color w:val="000000"/>
                <w:sz w:val="24"/>
                <w:szCs w:val="24"/>
              </w:rPr>
              <w:t>15</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b/>
                <w:sz w:val="24"/>
                <w:szCs w:val="24"/>
              </w:rPr>
            </w:pPr>
            <w:r w:rsidRPr="00D1277B">
              <w:rPr>
                <w:rFonts w:ascii="Times New Roman" w:hAnsi="Times New Roman"/>
                <w:b/>
                <w:sz w:val="24"/>
                <w:szCs w:val="24"/>
              </w:rPr>
              <w:t>Всего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70</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45</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80</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81</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82</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4"/>
                <w:szCs w:val="24"/>
              </w:rPr>
            </w:pPr>
            <w:r w:rsidRPr="00D1277B">
              <w:rPr>
                <w:rFonts w:ascii="Times New Roman" w:hAnsi="Times New Roman"/>
                <w:b/>
                <w:sz w:val="24"/>
                <w:szCs w:val="24"/>
              </w:rPr>
              <w:t>91</w:t>
            </w:r>
          </w:p>
        </w:tc>
      </w:tr>
    </w:tbl>
    <w:p w:rsidR="00D1277B" w:rsidRPr="00D1277B" w:rsidRDefault="00D1277B" w:rsidP="00D1277B">
      <w:pPr>
        <w:spacing w:after="0" w:line="360" w:lineRule="auto"/>
        <w:jc w:val="both"/>
        <w:rPr>
          <w:rFonts w:ascii="Times New Roman" w:eastAsia="Times New Roman" w:hAnsi="Times New Roman"/>
          <w:sz w:val="6"/>
          <w:szCs w:val="24"/>
          <w:lang w:eastAsia="ko-KR"/>
        </w:rPr>
      </w:pPr>
    </w:p>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основании данных Управления</w:t>
      </w:r>
    </w:p>
    <w:p w:rsidR="00D1277B" w:rsidRPr="00D1277B" w:rsidRDefault="00D1277B" w:rsidP="00D1277B">
      <w:pPr>
        <w:spacing w:after="0" w:line="360" w:lineRule="auto"/>
        <w:jc w:val="center"/>
        <w:rPr>
          <w:rFonts w:ascii="Times New Roman" w:eastAsia="Times New Roman" w:hAnsi="Times New Roman"/>
          <w:sz w:val="24"/>
          <w:szCs w:val="24"/>
          <w:lang w:eastAsia="ko-KR"/>
        </w:rPr>
      </w:pPr>
      <w:r w:rsidRPr="00D1277B">
        <w:rPr>
          <w:b/>
          <w:noProof/>
          <w:lang w:eastAsia="ru-RU"/>
        </w:rPr>
        <w:drawing>
          <wp:inline distT="0" distB="0" distL="0" distR="0" wp14:anchorId="32726A77" wp14:editId="6A6B2ED2">
            <wp:extent cx="5400675" cy="2857500"/>
            <wp:effectExtent l="0" t="0" r="9525" b="1905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6"/>
              </a:graphicData>
            </a:graphic>
          </wp:inline>
        </w:drawing>
      </w:r>
    </w:p>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основе данных Управления</w:t>
      </w:r>
    </w:p>
    <w:p w:rsidR="00D1277B" w:rsidRPr="00D1277B" w:rsidRDefault="00D1277B" w:rsidP="00D1277B">
      <w:pPr>
        <w:spacing w:after="0" w:line="360" w:lineRule="auto"/>
        <w:jc w:val="center"/>
        <w:rPr>
          <w:rFonts w:ascii="Times New Roman" w:eastAsia="Times New Roman" w:hAnsi="Times New Roman"/>
          <w:sz w:val="28"/>
          <w:lang w:eastAsia="ko-KR"/>
        </w:rPr>
      </w:pPr>
      <w:r w:rsidRPr="00D1277B">
        <w:rPr>
          <w:rFonts w:ascii="Times New Roman" w:eastAsia="Times New Roman" w:hAnsi="Times New Roman"/>
          <w:sz w:val="28"/>
          <w:lang w:eastAsia="ko-KR"/>
        </w:rPr>
        <w:t>Рисунок 9 - Динамика семей, поставленных на учёт и снятых с учёта в городе Владивостоке</w:t>
      </w:r>
    </w:p>
    <w:p w:rsidR="00D1277B" w:rsidRPr="00D1277B" w:rsidRDefault="00D1277B" w:rsidP="00D1277B">
      <w:pPr>
        <w:spacing w:after="0" w:line="360" w:lineRule="auto"/>
        <w:rPr>
          <w:rFonts w:ascii="Times New Roman" w:eastAsia="Times New Roman" w:hAnsi="Times New Roman"/>
          <w:sz w:val="28"/>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jc w:val="right"/>
        <w:rPr>
          <w:rFonts w:ascii="Times New Roman" w:eastAsia="Times New Roman" w:hAnsi="Times New Roman"/>
          <w:sz w:val="28"/>
          <w:lang w:eastAsia="ko-KR"/>
        </w:rPr>
      </w:pPr>
      <w:r w:rsidRPr="00D1277B">
        <w:rPr>
          <w:rFonts w:ascii="Times New Roman" w:eastAsia="Times New Roman" w:hAnsi="Times New Roman"/>
          <w:sz w:val="28"/>
          <w:lang w:eastAsia="ko-KR"/>
        </w:rPr>
        <w:lastRenderedPageBreak/>
        <w:t>ПРИЛОЖЕНИЕ П</w:t>
      </w:r>
    </w:p>
    <w:p w:rsidR="00D1277B" w:rsidRPr="00D1277B" w:rsidRDefault="00D1277B" w:rsidP="00D1277B">
      <w:pPr>
        <w:spacing w:after="0" w:line="360" w:lineRule="auto"/>
        <w:ind w:firstLine="709"/>
        <w:jc w:val="both"/>
        <w:rPr>
          <w:rFonts w:ascii="Times New Roman" w:eastAsia="Times New Roman" w:hAnsi="Times New Roman"/>
          <w:sz w:val="10"/>
          <w:lang w:eastAsia="ko-KR"/>
        </w:rPr>
      </w:pPr>
    </w:p>
    <w:p w:rsidR="00D1277B" w:rsidRPr="00D1277B" w:rsidRDefault="00D1277B" w:rsidP="00D1277B">
      <w:pPr>
        <w:spacing w:after="0" w:line="360" w:lineRule="auto"/>
        <w:ind w:firstLine="284"/>
        <w:jc w:val="center"/>
        <w:rPr>
          <w:rFonts w:ascii="Times New Roman" w:eastAsia="Times New Roman" w:hAnsi="Times New Roman"/>
          <w:sz w:val="28"/>
          <w:lang w:eastAsia="ko-KR"/>
        </w:rPr>
      </w:pPr>
      <w:r w:rsidRPr="00D1277B">
        <w:rPr>
          <w:rFonts w:ascii="Times New Roman" w:eastAsia="Times New Roman" w:hAnsi="Times New Roman"/>
          <w:noProof/>
          <w:sz w:val="28"/>
          <w:lang w:eastAsia="ru-RU"/>
        </w:rPr>
        <w:drawing>
          <wp:inline distT="0" distB="0" distL="0" distR="0" wp14:anchorId="48097E30" wp14:editId="2F3AE2D0">
            <wp:extent cx="5429250" cy="2600325"/>
            <wp:effectExtent l="0" t="0" r="19050"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7"/>
              </a:graphicData>
            </a:graphic>
          </wp:inline>
        </w:drawing>
      </w:r>
    </w:p>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основе данных Управления</w:t>
      </w:r>
    </w:p>
    <w:p w:rsidR="00D1277B" w:rsidRPr="00D1277B" w:rsidRDefault="00D1277B" w:rsidP="00D1277B">
      <w:pPr>
        <w:spacing w:after="0" w:line="360" w:lineRule="auto"/>
        <w:jc w:val="center"/>
        <w:rPr>
          <w:rFonts w:ascii="Times New Roman" w:eastAsia="Times New Roman" w:hAnsi="Times New Roman"/>
          <w:sz w:val="28"/>
          <w:lang w:eastAsia="ko-KR"/>
        </w:rPr>
      </w:pPr>
      <w:r w:rsidRPr="00D1277B">
        <w:rPr>
          <w:rFonts w:ascii="Times New Roman" w:eastAsia="Times New Roman" w:hAnsi="Times New Roman"/>
          <w:sz w:val="28"/>
          <w:lang w:eastAsia="ko-KR"/>
        </w:rPr>
        <w:t>Рисунок 10 - Количество несовершеннолетних, в отношении которых проводилась индивидуальная профилактическая работа в течение отчетного периода (2015 и 2016 год)</w:t>
      </w:r>
    </w:p>
    <w:p w:rsidR="00D1277B" w:rsidRPr="00D1277B" w:rsidRDefault="00D1277B" w:rsidP="00D1277B">
      <w:pPr>
        <w:spacing w:after="0" w:line="360" w:lineRule="auto"/>
        <w:jc w:val="both"/>
        <w:rPr>
          <w:rFonts w:ascii="Times New Roman" w:eastAsia="Times New Roman" w:hAnsi="Times New Roman"/>
          <w:sz w:val="10"/>
          <w:highlight w:val="yellow"/>
          <w:lang w:eastAsia="ko-KR"/>
        </w:rPr>
      </w:pP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9 - Количество межведомственных рейдов, проводимых районными комиссиями по делам несовершеннолетних и защите их прав</w:t>
      </w:r>
    </w:p>
    <w:tbl>
      <w:tblPr>
        <w:tblStyle w:val="140"/>
        <w:tblW w:w="0" w:type="auto"/>
        <w:tblInd w:w="108" w:type="dxa"/>
        <w:tblLook w:val="04A0" w:firstRow="1" w:lastRow="0" w:firstColumn="1" w:lastColumn="0" w:noHBand="0" w:noVBand="1"/>
      </w:tblPr>
      <w:tblGrid>
        <w:gridCol w:w="3524"/>
        <w:gridCol w:w="982"/>
        <w:gridCol w:w="982"/>
        <w:gridCol w:w="1120"/>
        <w:gridCol w:w="983"/>
        <w:gridCol w:w="982"/>
        <w:gridCol w:w="947"/>
      </w:tblGrid>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FF0000"/>
                <w:sz w:val="20"/>
                <w:szCs w:val="20"/>
                <w:lang w:eastAsia="ru-RU"/>
              </w:rPr>
            </w:pPr>
            <w:r w:rsidRPr="00D1277B">
              <w:rPr>
                <w:rFonts w:ascii="Times New Roman" w:hAnsi="Times New Roman"/>
                <w:b/>
                <w:bCs/>
                <w:sz w:val="20"/>
                <w:szCs w:val="20"/>
                <w:lang w:eastAsia="ru-RU"/>
              </w:rPr>
              <w:t>Снято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sz w:val="20"/>
                <w:szCs w:val="20"/>
                <w:lang w:eastAsia="ru-RU"/>
              </w:rPr>
            </w:pPr>
            <w:r w:rsidRPr="00D1277B">
              <w:rPr>
                <w:rFonts w:ascii="Times New Roman" w:hAnsi="Times New Roman"/>
                <w:b/>
                <w:bCs/>
                <w:sz w:val="20"/>
                <w:szCs w:val="20"/>
                <w:lang w:eastAsia="ru-RU"/>
              </w:rPr>
              <w:t>2012</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sz w:val="20"/>
                <w:szCs w:val="20"/>
                <w:lang w:eastAsia="ru-RU"/>
              </w:rPr>
            </w:pPr>
            <w:r w:rsidRPr="00D1277B">
              <w:rPr>
                <w:rFonts w:ascii="Times New Roman" w:hAnsi="Times New Roman"/>
                <w:b/>
                <w:bCs/>
                <w:sz w:val="20"/>
                <w:szCs w:val="20"/>
                <w:lang w:eastAsia="ru-RU"/>
              </w:rPr>
              <w:t>2013</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sz w:val="20"/>
                <w:szCs w:val="20"/>
                <w:lang w:eastAsia="ru-RU"/>
              </w:rPr>
            </w:pPr>
            <w:r w:rsidRPr="00D1277B">
              <w:rPr>
                <w:rFonts w:ascii="Times New Roman" w:hAnsi="Times New Roman"/>
                <w:b/>
                <w:bCs/>
                <w:sz w:val="20"/>
                <w:szCs w:val="20"/>
                <w:lang w:eastAsia="ru-RU"/>
              </w:rPr>
              <w:t>2014</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sz w:val="20"/>
                <w:szCs w:val="20"/>
                <w:lang w:eastAsia="ru-RU"/>
              </w:rPr>
            </w:pPr>
            <w:r w:rsidRPr="00D1277B">
              <w:rPr>
                <w:rFonts w:ascii="Times New Roman" w:hAnsi="Times New Roman"/>
                <w:b/>
                <w:bCs/>
                <w:sz w:val="20"/>
                <w:szCs w:val="20"/>
                <w:lang w:eastAsia="ru-RU"/>
              </w:rPr>
              <w:t>2015</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sz w:val="20"/>
                <w:szCs w:val="20"/>
                <w:lang w:eastAsia="ru-RU"/>
              </w:rPr>
            </w:pPr>
            <w:r w:rsidRPr="00D1277B">
              <w:rPr>
                <w:rFonts w:ascii="Times New Roman" w:hAnsi="Times New Roman"/>
                <w:b/>
                <w:bCs/>
                <w:sz w:val="20"/>
                <w:szCs w:val="20"/>
                <w:lang w:eastAsia="ru-RU"/>
              </w:rPr>
              <w:t>2016</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sz w:val="20"/>
                <w:szCs w:val="20"/>
                <w:lang w:eastAsia="ru-RU"/>
              </w:rPr>
            </w:pPr>
            <w:r w:rsidRPr="00D1277B">
              <w:rPr>
                <w:rFonts w:ascii="Times New Roman" w:hAnsi="Times New Roman"/>
                <w:b/>
                <w:bCs/>
                <w:sz w:val="20"/>
                <w:szCs w:val="20"/>
                <w:lang w:eastAsia="ru-RU"/>
              </w:rPr>
              <w:t>2017</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Ленинский район</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6"/>
                <w:szCs w:val="20"/>
              </w:rPr>
            </w:pPr>
          </w:p>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25</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6"/>
                <w:szCs w:val="20"/>
              </w:rPr>
            </w:pPr>
          </w:p>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29</w:t>
            </w:r>
          </w:p>
        </w:tc>
        <w:tc>
          <w:tcPr>
            <w:tcW w:w="1134"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6"/>
                <w:szCs w:val="20"/>
              </w:rPr>
            </w:pPr>
          </w:p>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42</w:t>
            </w:r>
          </w:p>
        </w:tc>
        <w:tc>
          <w:tcPr>
            <w:tcW w:w="993"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6"/>
                <w:szCs w:val="20"/>
              </w:rPr>
            </w:pPr>
          </w:p>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45</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6"/>
                <w:szCs w:val="20"/>
              </w:rPr>
            </w:pPr>
          </w:p>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39</w:t>
            </w:r>
          </w:p>
        </w:tc>
        <w:tc>
          <w:tcPr>
            <w:tcW w:w="956"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6"/>
                <w:szCs w:val="20"/>
              </w:rPr>
            </w:pPr>
          </w:p>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33</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Первомайский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29</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28</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47</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49</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53</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32</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Первореченский район</w:t>
            </w:r>
          </w:p>
        </w:tc>
        <w:tc>
          <w:tcPr>
            <w:tcW w:w="992" w:type="dxa"/>
            <w:vMerge w:val="restart"/>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12"/>
                <w:szCs w:val="20"/>
              </w:rPr>
            </w:pPr>
          </w:p>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34</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29</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44</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41</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43</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33</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Фрунзенский район</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11</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42</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47</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39</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32</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Советский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25</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33</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46</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48</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47</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32</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0"/>
                <w:szCs w:val="20"/>
              </w:rPr>
            </w:pPr>
            <w:r w:rsidRPr="00D1277B">
              <w:rPr>
                <w:rFonts w:ascii="Times New Roman" w:hAnsi="Times New Roman"/>
                <w:b/>
                <w:sz w:val="20"/>
                <w:szCs w:val="20"/>
              </w:rPr>
              <w:t>Всего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113</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130</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221</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sz w:val="20"/>
                <w:szCs w:val="20"/>
              </w:rPr>
            </w:pPr>
            <w:r w:rsidRPr="00D1277B">
              <w:rPr>
                <w:rFonts w:ascii="Times New Roman" w:hAnsi="Times New Roman"/>
                <w:sz w:val="20"/>
                <w:szCs w:val="20"/>
              </w:rPr>
              <w:t>230</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0"/>
                <w:szCs w:val="20"/>
              </w:rPr>
            </w:pPr>
            <w:r w:rsidRPr="00D1277B">
              <w:rPr>
                <w:rFonts w:ascii="Times New Roman" w:hAnsi="Times New Roman"/>
                <w:b/>
                <w:sz w:val="20"/>
                <w:szCs w:val="20"/>
              </w:rPr>
              <w:t>221</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sz w:val="20"/>
                <w:szCs w:val="20"/>
              </w:rPr>
            </w:pPr>
            <w:r w:rsidRPr="00D1277B">
              <w:rPr>
                <w:rFonts w:ascii="Times New Roman" w:hAnsi="Times New Roman"/>
                <w:b/>
                <w:sz w:val="20"/>
                <w:szCs w:val="20"/>
              </w:rPr>
              <w:t>162</w:t>
            </w:r>
          </w:p>
        </w:tc>
      </w:tr>
    </w:tbl>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основе данных Управления</w:t>
      </w:r>
    </w:p>
    <w:p w:rsidR="00D1277B" w:rsidRPr="00D1277B" w:rsidRDefault="00D1277B" w:rsidP="00D1277B">
      <w:pPr>
        <w:spacing w:after="0" w:line="360" w:lineRule="auto"/>
        <w:jc w:val="both"/>
        <w:rPr>
          <w:rFonts w:ascii="Times New Roman" w:eastAsia="Times New Roman" w:hAnsi="Times New Roman"/>
          <w:sz w:val="24"/>
          <w:szCs w:val="24"/>
          <w:lang w:eastAsia="ko-KR"/>
        </w:rPr>
      </w:pP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10 - Общее количество материалов, поступивших в КПД и ЗП в отношении несовершеннолетних граждан</w:t>
      </w:r>
    </w:p>
    <w:tbl>
      <w:tblPr>
        <w:tblStyle w:val="150"/>
        <w:tblW w:w="0" w:type="auto"/>
        <w:tblInd w:w="108" w:type="dxa"/>
        <w:tblLook w:val="04A0" w:firstRow="1" w:lastRow="0" w:firstColumn="1" w:lastColumn="0" w:noHBand="0" w:noVBand="1"/>
      </w:tblPr>
      <w:tblGrid>
        <w:gridCol w:w="3524"/>
        <w:gridCol w:w="982"/>
        <w:gridCol w:w="982"/>
        <w:gridCol w:w="1120"/>
        <w:gridCol w:w="983"/>
        <w:gridCol w:w="982"/>
        <w:gridCol w:w="947"/>
      </w:tblGrid>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FF0000"/>
              </w:rPr>
            </w:pPr>
            <w:r w:rsidRPr="00D1277B">
              <w:rPr>
                <w:rFonts w:ascii="Times New Roman" w:hAnsi="Times New Roman"/>
                <w:b/>
                <w:bCs/>
                <w:color w:val="000000"/>
              </w:rPr>
              <w:t>Снято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2012</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2013</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2014</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2015</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2016</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2017</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Ленинский район</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6"/>
              </w:rPr>
            </w:pPr>
          </w:p>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135</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6"/>
              </w:rPr>
            </w:pPr>
          </w:p>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100</w:t>
            </w:r>
          </w:p>
        </w:tc>
        <w:tc>
          <w:tcPr>
            <w:tcW w:w="1134"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6"/>
              </w:rPr>
            </w:pPr>
          </w:p>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113</w:t>
            </w:r>
          </w:p>
        </w:tc>
        <w:tc>
          <w:tcPr>
            <w:tcW w:w="993"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6"/>
              </w:rPr>
            </w:pPr>
          </w:p>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101</w:t>
            </w:r>
          </w:p>
        </w:tc>
        <w:tc>
          <w:tcPr>
            <w:tcW w:w="992"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6"/>
              </w:rPr>
            </w:pPr>
          </w:p>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113</w:t>
            </w:r>
          </w:p>
        </w:tc>
        <w:tc>
          <w:tcPr>
            <w:tcW w:w="956"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sz w:val="6"/>
              </w:rPr>
            </w:pPr>
          </w:p>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101</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Первомайский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119</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104</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92</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91</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90</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97</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Первореченский район</w:t>
            </w:r>
          </w:p>
        </w:tc>
        <w:tc>
          <w:tcPr>
            <w:tcW w:w="992" w:type="dxa"/>
            <w:vMerge w:val="restart"/>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color w:val="000000"/>
              </w:rPr>
            </w:pPr>
          </w:p>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176</w:t>
            </w:r>
          </w:p>
        </w:tc>
        <w:tc>
          <w:tcPr>
            <w:tcW w:w="992" w:type="dxa"/>
            <w:vMerge w:val="restart"/>
            <w:tcBorders>
              <w:top w:val="single" w:sz="4" w:space="0" w:color="auto"/>
              <w:left w:val="single" w:sz="4" w:space="0" w:color="auto"/>
              <w:bottom w:val="single" w:sz="4" w:space="0" w:color="auto"/>
              <w:right w:val="single" w:sz="4" w:space="0" w:color="auto"/>
            </w:tcBorders>
          </w:tcPr>
          <w:p w:rsidR="00D1277B" w:rsidRPr="00D1277B" w:rsidRDefault="00D1277B" w:rsidP="00D1277B">
            <w:pPr>
              <w:tabs>
                <w:tab w:val="center" w:pos="742"/>
              </w:tabs>
              <w:spacing w:after="0" w:line="240" w:lineRule="auto"/>
              <w:jc w:val="center"/>
              <w:rPr>
                <w:rFonts w:ascii="Times New Roman" w:hAnsi="Times New Roman"/>
                <w:color w:val="000000"/>
              </w:rPr>
            </w:pPr>
          </w:p>
          <w:p w:rsidR="00D1277B" w:rsidRPr="00D1277B" w:rsidRDefault="00D1277B" w:rsidP="00D1277B">
            <w:pPr>
              <w:tabs>
                <w:tab w:val="center" w:pos="742"/>
              </w:tabs>
              <w:spacing w:after="0" w:line="240" w:lineRule="auto"/>
              <w:jc w:val="center"/>
              <w:rPr>
                <w:rFonts w:ascii="Times New Roman" w:hAnsi="Times New Roman"/>
                <w:color w:val="000000"/>
              </w:rPr>
            </w:pPr>
            <w:r w:rsidRPr="00D1277B">
              <w:rPr>
                <w:rFonts w:ascii="Times New Roman" w:hAnsi="Times New Roman"/>
                <w:color w:val="000000"/>
              </w:rPr>
              <w:t>191</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98</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91</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89</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91</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Фрунзенский район</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color w:val="00000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color w:val="000000"/>
              </w:rPr>
            </w:pP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67</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94</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44</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53</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Советский район</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126</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166</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145</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122</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99</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85</w:t>
            </w:r>
          </w:p>
        </w:tc>
      </w:tr>
      <w:tr w:rsidR="00D1277B" w:rsidRPr="00D1277B" w:rsidTr="00D1277B">
        <w:tc>
          <w:tcPr>
            <w:tcW w:w="35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rPr>
              <w:t>Всего</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556</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color w:val="000000"/>
              </w:rPr>
              <w:t>561</w:t>
            </w:r>
          </w:p>
        </w:tc>
        <w:tc>
          <w:tcPr>
            <w:tcW w:w="113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515</w:t>
            </w:r>
          </w:p>
        </w:tc>
        <w:tc>
          <w:tcPr>
            <w:tcW w:w="9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449</w:t>
            </w:r>
          </w:p>
        </w:tc>
        <w:tc>
          <w:tcPr>
            <w:tcW w:w="99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435</w:t>
            </w:r>
          </w:p>
        </w:tc>
        <w:tc>
          <w:tcPr>
            <w:tcW w:w="956"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rPr>
              <w:t>427</w:t>
            </w:r>
          </w:p>
        </w:tc>
      </w:tr>
    </w:tbl>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основе данных Управления</w:t>
      </w:r>
    </w:p>
    <w:p w:rsidR="00D1277B" w:rsidRPr="00D1277B" w:rsidRDefault="00D1277B" w:rsidP="00D1277B">
      <w:pPr>
        <w:spacing w:after="0" w:line="360" w:lineRule="auto"/>
        <w:rPr>
          <w:rFonts w:ascii="Times New Roman" w:eastAsia="Times New Roman" w:hAnsi="Times New Roman"/>
          <w:sz w:val="24"/>
          <w:szCs w:val="24"/>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jc w:val="right"/>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lastRenderedPageBreak/>
        <w:t>ОКОНЧАНИЕ ПРИЛОЖЕНИЯ П</w:t>
      </w:r>
    </w:p>
    <w:p w:rsidR="00D1277B" w:rsidRPr="00D1277B" w:rsidRDefault="00D1277B" w:rsidP="00D1277B">
      <w:pPr>
        <w:spacing w:after="0" w:line="360" w:lineRule="auto"/>
        <w:jc w:val="right"/>
        <w:rPr>
          <w:rFonts w:ascii="Times New Roman" w:eastAsia="Times New Roman" w:hAnsi="Times New Roman"/>
          <w:sz w:val="24"/>
          <w:szCs w:val="24"/>
          <w:lang w:eastAsia="ko-KR"/>
        </w:rPr>
      </w:pP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11 - Количество протоколов об административных правонарушениях в отношении несовершеннолетних лиц</w:t>
      </w:r>
    </w:p>
    <w:tbl>
      <w:tblPr>
        <w:tblStyle w:val="160"/>
        <w:tblW w:w="9639" w:type="dxa"/>
        <w:tblInd w:w="108" w:type="dxa"/>
        <w:tblLook w:val="04A0" w:firstRow="1" w:lastRow="0" w:firstColumn="1" w:lastColumn="0" w:noHBand="0" w:noVBand="1"/>
      </w:tblPr>
      <w:tblGrid>
        <w:gridCol w:w="4060"/>
        <w:gridCol w:w="1151"/>
        <w:gridCol w:w="992"/>
        <w:gridCol w:w="992"/>
        <w:gridCol w:w="1169"/>
        <w:gridCol w:w="1275"/>
      </w:tblGrid>
      <w:tr w:rsidR="00D1277B" w:rsidRPr="00D1277B" w:rsidTr="00D1277B">
        <w:trPr>
          <w:trHeight w:val="312"/>
        </w:trPr>
        <w:tc>
          <w:tcPr>
            <w:tcW w:w="406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FF0000"/>
                <w:sz w:val="24"/>
                <w:szCs w:val="24"/>
                <w:lang w:eastAsia="ru-RU"/>
              </w:rPr>
            </w:pPr>
            <w:r w:rsidRPr="00D1277B">
              <w:rPr>
                <w:rFonts w:ascii="Times New Roman" w:hAnsi="Times New Roman"/>
                <w:b/>
                <w:bCs/>
                <w:color w:val="FF0000"/>
                <w:sz w:val="24"/>
                <w:szCs w:val="24"/>
                <w:lang w:eastAsia="ru-RU"/>
              </w:rPr>
              <w:t> </w:t>
            </w:r>
          </w:p>
        </w:tc>
        <w:tc>
          <w:tcPr>
            <w:tcW w:w="11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2013</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2014</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2015</w:t>
            </w:r>
          </w:p>
        </w:tc>
        <w:tc>
          <w:tcPr>
            <w:tcW w:w="1169"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2016</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2017</w:t>
            </w:r>
          </w:p>
        </w:tc>
      </w:tr>
      <w:tr w:rsidR="00D1277B" w:rsidRPr="00D1277B" w:rsidTr="00D1277B">
        <w:trPr>
          <w:trHeight w:val="68"/>
        </w:trPr>
        <w:tc>
          <w:tcPr>
            <w:tcW w:w="406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szCs w:val="24"/>
                <w:lang w:eastAsia="ru-RU"/>
              </w:rPr>
            </w:pPr>
            <w:r w:rsidRPr="00D1277B">
              <w:rPr>
                <w:rFonts w:ascii="Times New Roman" w:hAnsi="Times New Roman"/>
                <w:bCs/>
                <w:color w:val="000000"/>
                <w:sz w:val="24"/>
                <w:szCs w:val="24"/>
                <w:lang w:eastAsia="ru-RU"/>
              </w:rPr>
              <w:t>Ленинский район</w:t>
            </w:r>
          </w:p>
        </w:tc>
        <w:tc>
          <w:tcPr>
            <w:tcW w:w="11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48</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51</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77</w:t>
            </w:r>
          </w:p>
        </w:tc>
        <w:tc>
          <w:tcPr>
            <w:tcW w:w="1169"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95</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78</w:t>
            </w:r>
          </w:p>
        </w:tc>
      </w:tr>
      <w:tr w:rsidR="00D1277B" w:rsidRPr="00D1277B" w:rsidTr="00D1277B">
        <w:trPr>
          <w:trHeight w:val="68"/>
        </w:trPr>
        <w:tc>
          <w:tcPr>
            <w:tcW w:w="406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szCs w:val="24"/>
                <w:lang w:eastAsia="ru-RU"/>
              </w:rPr>
            </w:pPr>
            <w:r w:rsidRPr="00D1277B">
              <w:rPr>
                <w:rFonts w:ascii="Times New Roman" w:hAnsi="Times New Roman"/>
                <w:bCs/>
                <w:color w:val="000000"/>
                <w:sz w:val="24"/>
                <w:szCs w:val="24"/>
                <w:lang w:eastAsia="ru-RU"/>
              </w:rPr>
              <w:t>Первомайский район</w:t>
            </w:r>
          </w:p>
        </w:tc>
        <w:tc>
          <w:tcPr>
            <w:tcW w:w="11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48</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50</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74</w:t>
            </w:r>
          </w:p>
        </w:tc>
        <w:tc>
          <w:tcPr>
            <w:tcW w:w="1169"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63</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75</w:t>
            </w:r>
          </w:p>
        </w:tc>
      </w:tr>
      <w:tr w:rsidR="00D1277B" w:rsidRPr="00D1277B" w:rsidTr="00D1277B">
        <w:trPr>
          <w:trHeight w:val="68"/>
        </w:trPr>
        <w:tc>
          <w:tcPr>
            <w:tcW w:w="406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szCs w:val="24"/>
                <w:lang w:eastAsia="ru-RU"/>
              </w:rPr>
            </w:pPr>
            <w:r w:rsidRPr="00D1277B">
              <w:rPr>
                <w:rFonts w:ascii="Times New Roman" w:hAnsi="Times New Roman"/>
                <w:bCs/>
                <w:color w:val="000000"/>
                <w:sz w:val="24"/>
                <w:szCs w:val="24"/>
                <w:lang w:eastAsia="ru-RU"/>
              </w:rPr>
              <w:t>Первореченский район</w:t>
            </w:r>
          </w:p>
        </w:tc>
        <w:tc>
          <w:tcPr>
            <w:tcW w:w="11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58</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54</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61</w:t>
            </w:r>
          </w:p>
        </w:tc>
        <w:tc>
          <w:tcPr>
            <w:tcW w:w="1169"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56</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67</w:t>
            </w:r>
          </w:p>
        </w:tc>
      </w:tr>
      <w:tr w:rsidR="00D1277B" w:rsidRPr="00D1277B" w:rsidTr="00D1277B">
        <w:trPr>
          <w:trHeight w:val="68"/>
        </w:trPr>
        <w:tc>
          <w:tcPr>
            <w:tcW w:w="406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szCs w:val="24"/>
                <w:lang w:eastAsia="ru-RU"/>
              </w:rPr>
            </w:pPr>
            <w:r w:rsidRPr="00D1277B">
              <w:rPr>
                <w:rFonts w:ascii="Times New Roman" w:hAnsi="Times New Roman"/>
                <w:bCs/>
                <w:color w:val="000000"/>
                <w:sz w:val="24"/>
                <w:szCs w:val="24"/>
                <w:lang w:eastAsia="ru-RU"/>
              </w:rPr>
              <w:t>Фрунзенский район</w:t>
            </w:r>
          </w:p>
        </w:tc>
        <w:tc>
          <w:tcPr>
            <w:tcW w:w="11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2</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15</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48</w:t>
            </w:r>
          </w:p>
        </w:tc>
        <w:tc>
          <w:tcPr>
            <w:tcW w:w="1169"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21</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33</w:t>
            </w:r>
          </w:p>
        </w:tc>
      </w:tr>
      <w:tr w:rsidR="00D1277B" w:rsidRPr="00D1277B" w:rsidTr="00D1277B">
        <w:trPr>
          <w:trHeight w:val="68"/>
        </w:trPr>
        <w:tc>
          <w:tcPr>
            <w:tcW w:w="406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szCs w:val="24"/>
                <w:lang w:eastAsia="ru-RU"/>
              </w:rPr>
            </w:pPr>
            <w:r w:rsidRPr="00D1277B">
              <w:rPr>
                <w:rFonts w:ascii="Times New Roman" w:hAnsi="Times New Roman"/>
                <w:bCs/>
                <w:color w:val="000000"/>
                <w:sz w:val="24"/>
                <w:szCs w:val="24"/>
                <w:lang w:eastAsia="ru-RU"/>
              </w:rPr>
              <w:t>Советский район</w:t>
            </w:r>
          </w:p>
        </w:tc>
        <w:tc>
          <w:tcPr>
            <w:tcW w:w="11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60</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72</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87</w:t>
            </w:r>
          </w:p>
        </w:tc>
        <w:tc>
          <w:tcPr>
            <w:tcW w:w="1169"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64</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sz w:val="24"/>
                <w:szCs w:val="24"/>
                <w:lang w:eastAsia="ru-RU"/>
              </w:rPr>
            </w:pPr>
            <w:r w:rsidRPr="00D1277B">
              <w:rPr>
                <w:rFonts w:ascii="Times New Roman" w:hAnsi="Times New Roman"/>
                <w:color w:val="000000"/>
                <w:sz w:val="24"/>
                <w:szCs w:val="24"/>
                <w:lang w:eastAsia="ru-RU"/>
              </w:rPr>
              <w:t>72</w:t>
            </w:r>
          </w:p>
        </w:tc>
      </w:tr>
      <w:tr w:rsidR="00D1277B" w:rsidRPr="00D1277B" w:rsidTr="00D1277B">
        <w:trPr>
          <w:trHeight w:val="68"/>
        </w:trPr>
        <w:tc>
          <w:tcPr>
            <w:tcW w:w="4060"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Всего</w:t>
            </w:r>
          </w:p>
        </w:tc>
        <w:tc>
          <w:tcPr>
            <w:tcW w:w="115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szCs w:val="24"/>
                <w:lang w:eastAsia="ru-RU"/>
              </w:rPr>
            </w:pPr>
            <w:r w:rsidRPr="00D1277B">
              <w:rPr>
                <w:rFonts w:ascii="Times New Roman" w:hAnsi="Times New Roman"/>
                <w:bCs/>
                <w:color w:val="000000"/>
                <w:sz w:val="24"/>
                <w:szCs w:val="24"/>
                <w:lang w:eastAsia="ru-RU"/>
              </w:rPr>
              <w:t>216</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242</w:t>
            </w:r>
          </w:p>
        </w:tc>
        <w:tc>
          <w:tcPr>
            <w:tcW w:w="992"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347</w:t>
            </w:r>
          </w:p>
        </w:tc>
        <w:tc>
          <w:tcPr>
            <w:tcW w:w="1169"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sz w:val="24"/>
                <w:szCs w:val="24"/>
                <w:lang w:eastAsia="ru-RU"/>
              </w:rPr>
            </w:pPr>
            <w:r w:rsidRPr="00D1277B">
              <w:rPr>
                <w:rFonts w:ascii="Times New Roman" w:hAnsi="Times New Roman"/>
                <w:bCs/>
                <w:color w:val="000000"/>
                <w:sz w:val="24"/>
                <w:szCs w:val="24"/>
                <w:lang w:eastAsia="ru-RU"/>
              </w:rPr>
              <w:t>299</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sz w:val="24"/>
                <w:szCs w:val="24"/>
                <w:lang w:eastAsia="ru-RU"/>
              </w:rPr>
            </w:pPr>
            <w:r w:rsidRPr="00D1277B">
              <w:rPr>
                <w:rFonts w:ascii="Times New Roman" w:hAnsi="Times New Roman"/>
                <w:b/>
                <w:bCs/>
                <w:color w:val="000000"/>
                <w:sz w:val="24"/>
                <w:szCs w:val="24"/>
                <w:lang w:eastAsia="ru-RU"/>
              </w:rPr>
              <w:t>325</w:t>
            </w:r>
          </w:p>
        </w:tc>
      </w:tr>
    </w:tbl>
    <w:p w:rsidR="00D1277B" w:rsidRPr="00D1277B" w:rsidRDefault="00D1277B" w:rsidP="00D1277B">
      <w:pPr>
        <w:spacing w:after="36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основе данных Управления</w:t>
      </w:r>
    </w:p>
    <w:p w:rsidR="00D1277B" w:rsidRPr="00D1277B" w:rsidRDefault="00D1277B" w:rsidP="00D1277B">
      <w:pPr>
        <w:spacing w:after="0" w:line="360" w:lineRule="auto"/>
        <w:jc w:val="both"/>
        <w:rPr>
          <w:rFonts w:ascii="Times New Roman" w:eastAsia="Times New Roman" w:hAnsi="Times New Roman"/>
          <w:sz w:val="28"/>
          <w:szCs w:val="28"/>
          <w:lang w:eastAsia="ko-KR"/>
        </w:rPr>
      </w:pPr>
      <w:r w:rsidRPr="00D1277B">
        <w:rPr>
          <w:rFonts w:ascii="Times New Roman" w:eastAsia="Times New Roman" w:hAnsi="Times New Roman"/>
          <w:sz w:val="28"/>
          <w:szCs w:val="28"/>
          <w:lang w:eastAsia="ko-KR"/>
        </w:rPr>
        <w:t>Таблица 12 - Количество протоколов об административных правонарушениях в отношении родителей (законных представителей) несовершеннолетних и иных взрослых лиц</w:t>
      </w:r>
    </w:p>
    <w:tbl>
      <w:tblPr>
        <w:tblStyle w:val="170"/>
        <w:tblW w:w="9639" w:type="dxa"/>
        <w:tblInd w:w="108" w:type="dxa"/>
        <w:tblLook w:val="04A0" w:firstRow="1" w:lastRow="0" w:firstColumn="1" w:lastColumn="0" w:noHBand="0" w:noVBand="1"/>
      </w:tblPr>
      <w:tblGrid>
        <w:gridCol w:w="4083"/>
        <w:gridCol w:w="1134"/>
        <w:gridCol w:w="935"/>
        <w:gridCol w:w="1021"/>
        <w:gridCol w:w="1191"/>
        <w:gridCol w:w="1275"/>
      </w:tblGrid>
      <w:tr w:rsidR="00D1277B" w:rsidRPr="00D1277B" w:rsidTr="00D1277B">
        <w:trPr>
          <w:trHeight w:val="312"/>
        </w:trPr>
        <w:tc>
          <w:tcPr>
            <w:tcW w:w="408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FF0000"/>
              </w:rPr>
            </w:pPr>
            <w:r w:rsidRPr="00D1277B">
              <w:rPr>
                <w:rFonts w:ascii="Times New Roman" w:hAnsi="Times New Roman"/>
                <w:b/>
                <w:bCs/>
                <w:color w:val="FF0000"/>
              </w:rPr>
              <w:t> </w:t>
            </w:r>
          </w:p>
        </w:tc>
        <w:tc>
          <w:tcPr>
            <w:tcW w:w="1134"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2013</w:t>
            </w:r>
          </w:p>
        </w:tc>
        <w:tc>
          <w:tcPr>
            <w:tcW w:w="93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2014</w:t>
            </w:r>
          </w:p>
        </w:tc>
        <w:tc>
          <w:tcPr>
            <w:tcW w:w="10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2015</w:t>
            </w:r>
          </w:p>
        </w:tc>
        <w:tc>
          <w:tcPr>
            <w:tcW w:w="119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2016</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2017</w:t>
            </w:r>
          </w:p>
        </w:tc>
      </w:tr>
      <w:tr w:rsidR="00D1277B" w:rsidRPr="00D1277B" w:rsidTr="00D1277B">
        <w:trPr>
          <w:trHeight w:val="68"/>
        </w:trPr>
        <w:tc>
          <w:tcPr>
            <w:tcW w:w="408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Ленинский район</w:t>
            </w:r>
          </w:p>
        </w:tc>
        <w:tc>
          <w:tcPr>
            <w:tcW w:w="1134"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126</w:t>
            </w:r>
          </w:p>
        </w:tc>
        <w:tc>
          <w:tcPr>
            <w:tcW w:w="93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178</w:t>
            </w:r>
          </w:p>
        </w:tc>
        <w:tc>
          <w:tcPr>
            <w:tcW w:w="10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211</w:t>
            </w:r>
          </w:p>
        </w:tc>
        <w:tc>
          <w:tcPr>
            <w:tcW w:w="119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222</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284</w:t>
            </w:r>
          </w:p>
        </w:tc>
      </w:tr>
      <w:tr w:rsidR="00D1277B" w:rsidRPr="00D1277B" w:rsidTr="00D1277B">
        <w:trPr>
          <w:trHeight w:val="68"/>
        </w:trPr>
        <w:tc>
          <w:tcPr>
            <w:tcW w:w="408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Первомайский район</w:t>
            </w:r>
          </w:p>
        </w:tc>
        <w:tc>
          <w:tcPr>
            <w:tcW w:w="1134"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362</w:t>
            </w:r>
          </w:p>
        </w:tc>
        <w:tc>
          <w:tcPr>
            <w:tcW w:w="93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342</w:t>
            </w:r>
          </w:p>
        </w:tc>
        <w:tc>
          <w:tcPr>
            <w:tcW w:w="10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420</w:t>
            </w:r>
          </w:p>
        </w:tc>
        <w:tc>
          <w:tcPr>
            <w:tcW w:w="119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373</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362</w:t>
            </w:r>
          </w:p>
        </w:tc>
      </w:tr>
      <w:tr w:rsidR="00D1277B" w:rsidRPr="00D1277B" w:rsidTr="00D1277B">
        <w:trPr>
          <w:trHeight w:val="68"/>
        </w:trPr>
        <w:tc>
          <w:tcPr>
            <w:tcW w:w="408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Первореченский район</w:t>
            </w:r>
          </w:p>
        </w:tc>
        <w:tc>
          <w:tcPr>
            <w:tcW w:w="1134"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135</w:t>
            </w:r>
          </w:p>
        </w:tc>
        <w:tc>
          <w:tcPr>
            <w:tcW w:w="93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102</w:t>
            </w:r>
          </w:p>
        </w:tc>
        <w:tc>
          <w:tcPr>
            <w:tcW w:w="10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126</w:t>
            </w:r>
          </w:p>
        </w:tc>
        <w:tc>
          <w:tcPr>
            <w:tcW w:w="119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114</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185</w:t>
            </w:r>
          </w:p>
        </w:tc>
      </w:tr>
      <w:tr w:rsidR="00D1277B" w:rsidRPr="00D1277B" w:rsidTr="00D1277B">
        <w:trPr>
          <w:trHeight w:val="68"/>
        </w:trPr>
        <w:tc>
          <w:tcPr>
            <w:tcW w:w="408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Фрунзенский район</w:t>
            </w:r>
          </w:p>
        </w:tc>
        <w:tc>
          <w:tcPr>
            <w:tcW w:w="1134"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18</w:t>
            </w:r>
          </w:p>
        </w:tc>
        <w:tc>
          <w:tcPr>
            <w:tcW w:w="93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109</w:t>
            </w:r>
          </w:p>
        </w:tc>
        <w:tc>
          <w:tcPr>
            <w:tcW w:w="10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117</w:t>
            </w:r>
          </w:p>
        </w:tc>
        <w:tc>
          <w:tcPr>
            <w:tcW w:w="119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112</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102</w:t>
            </w:r>
          </w:p>
        </w:tc>
      </w:tr>
      <w:tr w:rsidR="00D1277B" w:rsidRPr="00D1277B" w:rsidTr="00D1277B">
        <w:trPr>
          <w:trHeight w:val="68"/>
        </w:trPr>
        <w:tc>
          <w:tcPr>
            <w:tcW w:w="408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Советский район</w:t>
            </w:r>
          </w:p>
        </w:tc>
        <w:tc>
          <w:tcPr>
            <w:tcW w:w="1134"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159</w:t>
            </w:r>
          </w:p>
        </w:tc>
        <w:tc>
          <w:tcPr>
            <w:tcW w:w="93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242</w:t>
            </w:r>
          </w:p>
        </w:tc>
        <w:tc>
          <w:tcPr>
            <w:tcW w:w="10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299</w:t>
            </w:r>
          </w:p>
        </w:tc>
        <w:tc>
          <w:tcPr>
            <w:tcW w:w="119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276</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color w:val="000000"/>
              </w:rPr>
            </w:pPr>
            <w:r w:rsidRPr="00D1277B">
              <w:rPr>
                <w:rFonts w:ascii="Times New Roman" w:hAnsi="Times New Roman"/>
                <w:color w:val="000000"/>
              </w:rPr>
              <w:t>227</w:t>
            </w:r>
          </w:p>
        </w:tc>
      </w:tr>
      <w:tr w:rsidR="00D1277B" w:rsidRPr="00D1277B" w:rsidTr="00D1277B">
        <w:trPr>
          <w:trHeight w:val="68"/>
        </w:trPr>
        <w:tc>
          <w:tcPr>
            <w:tcW w:w="4083"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rPr>
                <w:rFonts w:ascii="Times New Roman" w:hAnsi="Times New Roman"/>
                <w:b/>
                <w:bCs/>
                <w:color w:val="000000"/>
              </w:rPr>
            </w:pPr>
            <w:r w:rsidRPr="00D1277B">
              <w:rPr>
                <w:rFonts w:ascii="Times New Roman" w:hAnsi="Times New Roman"/>
                <w:b/>
                <w:bCs/>
                <w:color w:val="000000"/>
              </w:rPr>
              <w:t>Всего</w:t>
            </w:r>
          </w:p>
        </w:tc>
        <w:tc>
          <w:tcPr>
            <w:tcW w:w="1134"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800</w:t>
            </w:r>
          </w:p>
        </w:tc>
        <w:tc>
          <w:tcPr>
            <w:tcW w:w="93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973</w:t>
            </w:r>
          </w:p>
        </w:tc>
        <w:tc>
          <w:tcPr>
            <w:tcW w:w="102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1173</w:t>
            </w:r>
          </w:p>
        </w:tc>
        <w:tc>
          <w:tcPr>
            <w:tcW w:w="1191"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
                <w:bCs/>
                <w:color w:val="000000"/>
              </w:rPr>
            </w:pPr>
            <w:r w:rsidRPr="00D1277B">
              <w:rPr>
                <w:rFonts w:ascii="Times New Roman" w:hAnsi="Times New Roman"/>
                <w:b/>
                <w:bCs/>
                <w:color w:val="000000"/>
              </w:rPr>
              <w:t>1097</w:t>
            </w:r>
          </w:p>
        </w:tc>
        <w:tc>
          <w:tcPr>
            <w:tcW w:w="1275" w:type="dxa"/>
            <w:tcBorders>
              <w:top w:val="single" w:sz="4" w:space="0" w:color="auto"/>
              <w:left w:val="single" w:sz="4" w:space="0" w:color="auto"/>
              <w:bottom w:val="single" w:sz="4" w:space="0" w:color="auto"/>
              <w:right w:val="single" w:sz="4" w:space="0" w:color="auto"/>
            </w:tcBorders>
            <w:noWrap/>
            <w:hideMark/>
          </w:tcPr>
          <w:p w:rsidR="00D1277B" w:rsidRPr="00D1277B" w:rsidRDefault="00D1277B" w:rsidP="00D1277B">
            <w:pPr>
              <w:spacing w:after="0" w:line="240" w:lineRule="auto"/>
              <w:jc w:val="center"/>
              <w:rPr>
                <w:rFonts w:ascii="Times New Roman" w:hAnsi="Times New Roman"/>
                <w:bCs/>
                <w:color w:val="000000"/>
              </w:rPr>
            </w:pPr>
            <w:r w:rsidRPr="00D1277B">
              <w:rPr>
                <w:rFonts w:ascii="Times New Roman" w:hAnsi="Times New Roman"/>
                <w:bCs/>
                <w:color w:val="000000"/>
              </w:rPr>
              <w:t>1160</w:t>
            </w:r>
          </w:p>
        </w:tc>
      </w:tr>
    </w:tbl>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основе данных Управления</w:t>
      </w:r>
    </w:p>
    <w:p w:rsidR="00D1277B" w:rsidRPr="00D1277B" w:rsidRDefault="00D1277B" w:rsidP="00D1277B">
      <w:pPr>
        <w:spacing w:after="0" w:line="360" w:lineRule="auto"/>
        <w:rPr>
          <w:rFonts w:ascii="Times New Roman" w:eastAsia="Times New Roman" w:hAnsi="Times New Roman"/>
          <w:sz w:val="24"/>
          <w:szCs w:val="24"/>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jc w:val="right"/>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lastRenderedPageBreak/>
        <w:t>ПРИЛОЖЕНИЕ Р</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В новом Федеральном законе необходимо закрепить следующие аспекты:</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w:t>
      </w:r>
      <w:r w:rsidRPr="00D1277B">
        <w:rPr>
          <w:rFonts w:ascii="Times New Roman" w:hAnsi="Times New Roman"/>
          <w:sz w:val="28"/>
          <w:lang w:eastAsia="ko-KR"/>
        </w:rPr>
        <w:tab/>
        <w:t>Цель создания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2.</w:t>
      </w:r>
      <w:r w:rsidRPr="00D1277B">
        <w:rPr>
          <w:rFonts w:ascii="Times New Roman" w:hAnsi="Times New Roman"/>
          <w:sz w:val="28"/>
          <w:lang w:eastAsia="ko-KR"/>
        </w:rPr>
        <w:tab/>
        <w:t>Содержание координирующей функции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3.</w:t>
      </w:r>
      <w:r w:rsidRPr="00D1277B">
        <w:rPr>
          <w:rFonts w:ascii="Times New Roman" w:hAnsi="Times New Roman"/>
          <w:sz w:val="28"/>
          <w:lang w:eastAsia="ko-KR"/>
        </w:rPr>
        <w:tab/>
        <w:t xml:space="preserve">Направления координирующей деятельности КПД и ЗП. </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4.</w:t>
      </w:r>
      <w:r w:rsidRPr="00D1277B">
        <w:rPr>
          <w:rFonts w:ascii="Times New Roman" w:hAnsi="Times New Roman"/>
          <w:sz w:val="28"/>
          <w:lang w:eastAsia="ko-KR"/>
        </w:rPr>
        <w:tab/>
        <w:t>Значение рабочих групп и роль аппарата комиссии в реализации ею функции координации.</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5.</w:t>
      </w:r>
      <w:r w:rsidRPr="00D1277B">
        <w:rPr>
          <w:rFonts w:ascii="Times New Roman" w:hAnsi="Times New Roman"/>
          <w:sz w:val="28"/>
          <w:lang w:eastAsia="ko-KR"/>
        </w:rPr>
        <w:tab/>
        <w:t>Порядок создания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6.</w:t>
      </w:r>
      <w:r w:rsidRPr="00D1277B">
        <w:rPr>
          <w:rFonts w:ascii="Times New Roman" w:hAnsi="Times New Roman"/>
          <w:sz w:val="28"/>
          <w:lang w:eastAsia="ko-KR"/>
        </w:rPr>
        <w:tab/>
        <w:t>Система комиссий с указанием функционирования Правительственной комиссии по делам несовершеннолетних и защите их прав.</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7.</w:t>
      </w:r>
      <w:r w:rsidRPr="00D1277B">
        <w:rPr>
          <w:rFonts w:ascii="Times New Roman" w:hAnsi="Times New Roman"/>
          <w:sz w:val="28"/>
          <w:lang w:eastAsia="ko-KR"/>
        </w:rPr>
        <w:tab/>
        <w:t>Правовые основы деятельности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8.</w:t>
      </w:r>
      <w:r w:rsidRPr="00D1277B">
        <w:rPr>
          <w:rFonts w:ascii="Times New Roman" w:hAnsi="Times New Roman"/>
          <w:sz w:val="28"/>
          <w:lang w:eastAsia="ko-KR"/>
        </w:rPr>
        <w:tab/>
        <w:t>Принципы деятельности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9.</w:t>
      </w:r>
      <w:r w:rsidRPr="00D1277B">
        <w:rPr>
          <w:rFonts w:ascii="Times New Roman" w:hAnsi="Times New Roman"/>
          <w:sz w:val="28"/>
          <w:lang w:eastAsia="ko-KR"/>
        </w:rPr>
        <w:tab/>
        <w:t>Задачи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10.</w:t>
      </w:r>
      <w:r w:rsidRPr="00D1277B">
        <w:rPr>
          <w:rFonts w:ascii="Times New Roman" w:hAnsi="Times New Roman"/>
          <w:sz w:val="28"/>
          <w:lang w:eastAsia="ko-KR"/>
        </w:rPr>
        <w:tab/>
        <w:t>Полномочия (права + обязанности КПД и ЗП, то есть должно быть две статьи, одна из них посвящённая исключительно правам, другая исключительно обязанностям комиссии).</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11.</w:t>
      </w:r>
      <w:r w:rsidRPr="00D1277B">
        <w:rPr>
          <w:rFonts w:ascii="Times New Roman" w:hAnsi="Times New Roman"/>
          <w:sz w:val="28"/>
          <w:lang w:eastAsia="ko-KR"/>
        </w:rPr>
        <w:tab/>
        <w:t>Формы взаимодействия КПД и ЗП с иными органами системы профилактики безнадзорности и правонарушений.</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12.</w:t>
      </w:r>
      <w:r w:rsidRPr="00D1277B">
        <w:rPr>
          <w:rFonts w:ascii="Times New Roman" w:hAnsi="Times New Roman"/>
          <w:sz w:val="28"/>
          <w:lang w:eastAsia="ko-KR"/>
        </w:rPr>
        <w:tab/>
        <w:t xml:space="preserve">Состав комиссий по делам несовершеннолетних и защите их прав (председатель комиссии, заместитель (и) председателя комиссии, ответственный секретарь комиссии, члены комиссии). Указать минимальное количество членов комиссии. </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13.</w:t>
      </w:r>
      <w:r w:rsidRPr="00D1277B">
        <w:rPr>
          <w:rFonts w:ascii="Times New Roman" w:hAnsi="Times New Roman"/>
          <w:sz w:val="28"/>
          <w:lang w:eastAsia="ko-KR"/>
        </w:rPr>
        <w:tab/>
        <w:t>Функции председателя, заместителя, ответственного секретаря и членов комиссии.</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14.</w:t>
      </w:r>
      <w:r w:rsidRPr="00D1277B">
        <w:rPr>
          <w:rFonts w:ascii="Times New Roman" w:hAnsi="Times New Roman"/>
          <w:sz w:val="28"/>
          <w:lang w:eastAsia="ko-KR"/>
        </w:rPr>
        <w:tab/>
        <w:t>Требования к специалистам, осуществляющих свою деятельность на постоянной штатной основе и освобождённых от других обязанностей.</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15.</w:t>
      </w:r>
      <w:r w:rsidRPr="00D1277B">
        <w:rPr>
          <w:rFonts w:ascii="Times New Roman" w:hAnsi="Times New Roman"/>
          <w:sz w:val="28"/>
          <w:lang w:eastAsia="ko-KR"/>
        </w:rPr>
        <w:tab/>
        <w:t>Подготовка заседания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16.</w:t>
      </w:r>
      <w:r w:rsidRPr="00D1277B">
        <w:rPr>
          <w:rFonts w:ascii="Times New Roman" w:hAnsi="Times New Roman"/>
          <w:sz w:val="28"/>
          <w:lang w:eastAsia="ko-KR"/>
        </w:rPr>
        <w:tab/>
        <w:t>Порядок проведения заседания КПД и ЗП.</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17.</w:t>
      </w:r>
      <w:r w:rsidRPr="00D1277B">
        <w:rPr>
          <w:rFonts w:ascii="Times New Roman" w:hAnsi="Times New Roman"/>
          <w:sz w:val="28"/>
          <w:lang w:eastAsia="ko-KR"/>
        </w:rPr>
        <w:tab/>
        <w:t>Меры по обеспечению проведения заседания комиссии по делам несовершеннолетних и защите их прав</w:t>
      </w:r>
    </w:p>
    <w:p w:rsidR="00D1277B" w:rsidRPr="00D1277B" w:rsidRDefault="00D1277B" w:rsidP="00D1277B">
      <w:pPr>
        <w:spacing w:after="0" w:line="240" w:lineRule="auto"/>
        <w:ind w:firstLine="709"/>
        <w:jc w:val="right"/>
        <w:rPr>
          <w:rFonts w:ascii="Times New Roman" w:hAnsi="Times New Roman"/>
          <w:sz w:val="28"/>
          <w:lang w:eastAsia="ko-KR"/>
        </w:rPr>
      </w:pPr>
      <w:r w:rsidRPr="00D1277B">
        <w:rPr>
          <w:rFonts w:ascii="Times New Roman" w:hAnsi="Times New Roman"/>
          <w:sz w:val="28"/>
          <w:lang w:eastAsia="ko-KR"/>
        </w:rPr>
        <w:t>ОКОНЧАНИЕ ПРИЛОЖЕНИЯ Р</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18.</w:t>
      </w:r>
      <w:r w:rsidRPr="00D1277B">
        <w:rPr>
          <w:rFonts w:ascii="Times New Roman" w:hAnsi="Times New Roman"/>
          <w:sz w:val="28"/>
          <w:lang w:eastAsia="ko-KR"/>
        </w:rPr>
        <w:tab/>
        <w:t xml:space="preserve">Меры воздействия, применяемые КПД и ЗП в отношении несовершеннолетнего и родителей (или иных законных представителей). </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19.</w:t>
      </w:r>
      <w:r w:rsidRPr="00D1277B">
        <w:rPr>
          <w:rFonts w:ascii="Times New Roman" w:hAnsi="Times New Roman"/>
          <w:sz w:val="28"/>
          <w:lang w:eastAsia="ko-KR"/>
        </w:rPr>
        <w:tab/>
        <w:t xml:space="preserve">Акты, принимаемые комиссиями по делам несовершеннолетних и защите их прав (постановления, определения, протоколы). Нередко в региональных законах встречается неправильное определение актов, которые может выносить КПД и ЗП. </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 xml:space="preserve">К примеру, в Законе Республики Саха (Якутия), в Законе Чукотского автономного округа о КПД и ЗП указано, что помимо постановлений комиссии вносят представления государственные органы, органы местного самоуправления, организации независимо от организационно-правовых форм по вопросам, касающимся прав и законных интересов несовершеннолетних, </w:t>
      </w:r>
      <w:r w:rsidRPr="00D1277B">
        <w:rPr>
          <w:rFonts w:ascii="Times New Roman" w:hAnsi="Times New Roman"/>
          <w:sz w:val="28"/>
          <w:lang w:eastAsia="ko-KR"/>
        </w:rPr>
        <w:lastRenderedPageBreak/>
        <w:t xml:space="preserve">однако это противоречит Федеральному закону № 120 и Примерному положению № 995 [72]. В законе Приморского края данная статья была упразднена в 2016 году. </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20.</w:t>
      </w:r>
      <w:r w:rsidRPr="00D1277B">
        <w:rPr>
          <w:rFonts w:ascii="Times New Roman" w:hAnsi="Times New Roman"/>
          <w:sz w:val="28"/>
          <w:lang w:eastAsia="ko-KR"/>
        </w:rPr>
        <w:tab/>
        <w:t>Отчеты КПД и ЗП о работе по профилактике безнадзорности и правонарушений несовершеннолетних.</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 xml:space="preserve">Отдельными приложениями необходимо закрепить: </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1.</w:t>
      </w:r>
      <w:r w:rsidRPr="00D1277B">
        <w:rPr>
          <w:rFonts w:ascii="Times New Roman" w:hAnsi="Times New Roman"/>
          <w:sz w:val="28"/>
          <w:lang w:eastAsia="ko-KR"/>
        </w:rPr>
        <w:tab/>
        <w:t xml:space="preserve">Порядок рассмотрения комиссией материалов (дел), не связанных с делами об административных правонарушениях. В Примерном положении закреплено, что порядок рассмотрения подобных дел определяется законодательством субъекта РФ, если иное не установлено федеральным законодательством (однако стоит заметить, что во многих регионах вообще отсутствует статья, посвящённая рассмотрению таких дел, что противоречит пункту 5 Примерного положения). На наш взгляд, будет полезным закрепить основной алгоритм рассмотрения данных дел федеральным актом. Таким образом, будет допускаться меньше ошибок специалистами, осуществляющими свою деятельность на постоянной штатной основе, особенно теми специалистами, которые не имеют высшего юридического образования. </w:t>
      </w:r>
    </w:p>
    <w:p w:rsidR="00D1277B" w:rsidRPr="00D1277B" w:rsidRDefault="00D1277B" w:rsidP="00D1277B">
      <w:pPr>
        <w:spacing w:after="0" w:line="240" w:lineRule="auto"/>
        <w:ind w:firstLine="709"/>
        <w:jc w:val="both"/>
        <w:rPr>
          <w:rFonts w:ascii="Times New Roman" w:hAnsi="Times New Roman"/>
          <w:sz w:val="28"/>
          <w:lang w:eastAsia="ko-KR"/>
        </w:rPr>
      </w:pPr>
      <w:r w:rsidRPr="00D1277B">
        <w:rPr>
          <w:rFonts w:ascii="Times New Roman" w:hAnsi="Times New Roman"/>
          <w:sz w:val="28"/>
          <w:lang w:eastAsia="ko-KR"/>
        </w:rPr>
        <w:t>2.</w:t>
      </w:r>
      <w:r w:rsidRPr="00D1277B">
        <w:rPr>
          <w:rFonts w:ascii="Times New Roman" w:hAnsi="Times New Roman"/>
          <w:sz w:val="28"/>
          <w:lang w:eastAsia="ko-KR"/>
        </w:rPr>
        <w:tab/>
        <w:t>Коэффициенты оценки эффективности деятельности комиссий по делам несовершеннолетних и защите их прав.</w:t>
      </w:r>
    </w:p>
    <w:p w:rsidR="00D1277B" w:rsidRPr="00D1277B" w:rsidRDefault="00D1277B" w:rsidP="00D1277B">
      <w:pPr>
        <w:spacing w:after="0" w:line="360" w:lineRule="auto"/>
        <w:rPr>
          <w:rFonts w:ascii="Times New Roman" w:hAnsi="Times New Roman"/>
          <w:sz w:val="28"/>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ind w:firstLine="709"/>
        <w:contextualSpacing/>
        <w:jc w:val="right"/>
        <w:rPr>
          <w:rFonts w:ascii="Times New Roman" w:hAnsi="Times New Roman"/>
          <w:sz w:val="28"/>
          <w:lang w:eastAsia="ko-KR"/>
        </w:rPr>
      </w:pPr>
      <w:r w:rsidRPr="00D1277B">
        <w:rPr>
          <w:rFonts w:ascii="Times New Roman" w:hAnsi="Times New Roman"/>
          <w:sz w:val="28"/>
          <w:lang w:eastAsia="ko-KR"/>
        </w:rPr>
        <w:lastRenderedPageBreak/>
        <w:t>ПРИЛОЖЕНИЕ С</w:t>
      </w:r>
    </w:p>
    <w:tbl>
      <w:tblPr>
        <w:tblStyle w:val="19"/>
        <w:tblW w:w="0" w:type="auto"/>
        <w:tblInd w:w="0" w:type="dxa"/>
        <w:tblLook w:val="04A0" w:firstRow="1" w:lastRow="0" w:firstColumn="1" w:lastColumn="0" w:noHBand="0" w:noVBand="1"/>
      </w:tblPr>
      <w:tblGrid>
        <w:gridCol w:w="1779"/>
        <w:gridCol w:w="7849"/>
      </w:tblGrid>
      <w:tr w:rsidR="00D1277B" w:rsidRPr="00D1277B" w:rsidTr="00D1277B">
        <w:tc>
          <w:tcPr>
            <w:tcW w:w="1809"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center"/>
              <w:rPr>
                <w:rFonts w:ascii="Times New Roman" w:hAnsi="Times New Roman"/>
                <w:b/>
                <w:sz w:val="28"/>
              </w:rPr>
            </w:pPr>
            <w:r w:rsidRPr="00D1277B">
              <w:rPr>
                <w:rFonts w:ascii="Times New Roman" w:hAnsi="Times New Roman"/>
                <w:b/>
                <w:sz w:val="28"/>
              </w:rPr>
              <w:t>№</w:t>
            </w:r>
          </w:p>
        </w:tc>
        <w:tc>
          <w:tcPr>
            <w:tcW w:w="822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center"/>
              <w:rPr>
                <w:rFonts w:ascii="Times New Roman" w:hAnsi="Times New Roman"/>
                <w:b/>
                <w:sz w:val="28"/>
              </w:rPr>
            </w:pPr>
            <w:r w:rsidRPr="00D1277B">
              <w:rPr>
                <w:rFonts w:ascii="Times New Roman" w:hAnsi="Times New Roman"/>
                <w:b/>
                <w:sz w:val="28"/>
              </w:rPr>
              <w:t>Сущность поправки</w:t>
            </w:r>
          </w:p>
        </w:tc>
      </w:tr>
      <w:tr w:rsidR="00D1277B" w:rsidRPr="00D1277B" w:rsidTr="00D1277B">
        <w:tc>
          <w:tcPr>
            <w:tcW w:w="1809"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10"/>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r w:rsidRPr="00D1277B">
              <w:rPr>
                <w:rFonts w:ascii="Times New Roman" w:hAnsi="Times New Roman"/>
                <w:sz w:val="28"/>
              </w:rPr>
              <w:t>Поправка 1</w:t>
            </w:r>
          </w:p>
        </w:tc>
        <w:tc>
          <w:tcPr>
            <w:tcW w:w="822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rPr>
            </w:pPr>
            <w:r w:rsidRPr="00D1277B">
              <w:rPr>
                <w:rFonts w:ascii="Times New Roman" w:hAnsi="Times New Roman"/>
                <w:sz w:val="28"/>
              </w:rPr>
              <w:t xml:space="preserve">Внести поправку в Постановление главы администрации города Владивостока от 17.02.2006 г. № 132 «О городской комиссии по делам несовершеннолетних и защите их прав администрации г. Владивостока» (в пункт 4.1 стати 4 «Организация деятельности комиссии»). </w:t>
            </w:r>
          </w:p>
          <w:p w:rsidR="00D1277B" w:rsidRPr="00D1277B" w:rsidRDefault="00D1277B" w:rsidP="00D1277B">
            <w:pPr>
              <w:spacing w:after="0" w:line="240" w:lineRule="auto"/>
              <w:contextualSpacing/>
              <w:jc w:val="both"/>
              <w:rPr>
                <w:rFonts w:ascii="Times New Roman" w:hAnsi="Times New Roman"/>
                <w:sz w:val="28"/>
              </w:rPr>
            </w:pPr>
            <w:r w:rsidRPr="00D1277B">
              <w:rPr>
                <w:rFonts w:ascii="Times New Roman" w:hAnsi="Times New Roman"/>
                <w:sz w:val="28"/>
              </w:rPr>
              <w:t xml:space="preserve">Необходимо исключить из формулировки цифры 4-12, правовая норма должна звучать следующим образом: «Комиссия формируется в составе председателя комиссии, одного или двух заместителей председателя комиссии, ответственного секретаря комиссии и других членов комиссии». </w:t>
            </w:r>
          </w:p>
          <w:p w:rsidR="00D1277B" w:rsidRPr="00D1277B" w:rsidRDefault="00D1277B" w:rsidP="00D1277B">
            <w:pPr>
              <w:spacing w:after="0" w:line="240" w:lineRule="auto"/>
              <w:contextualSpacing/>
              <w:jc w:val="both"/>
              <w:rPr>
                <w:rFonts w:ascii="Times New Roman" w:hAnsi="Times New Roman"/>
                <w:sz w:val="28"/>
              </w:rPr>
            </w:pPr>
            <w:r w:rsidRPr="00D1277B">
              <w:rPr>
                <w:rFonts w:ascii="Times New Roman" w:hAnsi="Times New Roman"/>
                <w:sz w:val="28"/>
              </w:rPr>
              <w:t>В Закон Приморского края данная поправка была внесена в статью 5 и 13 настоящего закона в 2016 году.</w:t>
            </w:r>
          </w:p>
        </w:tc>
      </w:tr>
      <w:tr w:rsidR="00D1277B" w:rsidRPr="00D1277B" w:rsidTr="00D1277B">
        <w:tc>
          <w:tcPr>
            <w:tcW w:w="1809"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12"/>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p>
          <w:p w:rsidR="00D1277B" w:rsidRPr="00D1277B" w:rsidRDefault="00D1277B" w:rsidP="00D1277B">
            <w:pPr>
              <w:spacing w:after="0" w:line="240" w:lineRule="auto"/>
              <w:contextualSpacing/>
              <w:jc w:val="center"/>
              <w:rPr>
                <w:rFonts w:ascii="Times New Roman" w:hAnsi="Times New Roman"/>
                <w:sz w:val="28"/>
              </w:rPr>
            </w:pPr>
            <w:r w:rsidRPr="00D1277B">
              <w:rPr>
                <w:rFonts w:ascii="Times New Roman" w:hAnsi="Times New Roman"/>
                <w:sz w:val="28"/>
              </w:rPr>
              <w:t>Поправка 2</w:t>
            </w:r>
          </w:p>
        </w:tc>
        <w:tc>
          <w:tcPr>
            <w:tcW w:w="8222"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contextualSpacing/>
              <w:jc w:val="both"/>
              <w:rPr>
                <w:rFonts w:ascii="Times New Roman" w:hAnsi="Times New Roman"/>
                <w:sz w:val="28"/>
              </w:rPr>
            </w:pPr>
            <w:r w:rsidRPr="00D1277B">
              <w:rPr>
                <w:rFonts w:ascii="Times New Roman" w:hAnsi="Times New Roman"/>
                <w:sz w:val="28"/>
              </w:rPr>
              <w:t xml:space="preserve">Внести поправки в Постановление главы администрации города Владивостока от 17.06.2006 №132 «О городской комиссии по делам несовершеннолетних и защите их прав администрации г. Владивостока» и в Постановление администрации города Владивостока от 11.04.2002 №528 «Об образовании районных комиссий по делам несовершеннолетних и защите их прав». </w:t>
            </w:r>
          </w:p>
          <w:p w:rsidR="00D1277B" w:rsidRPr="00D1277B" w:rsidRDefault="00D1277B" w:rsidP="00D1277B">
            <w:pPr>
              <w:spacing w:after="0" w:line="240" w:lineRule="auto"/>
              <w:contextualSpacing/>
              <w:jc w:val="both"/>
              <w:rPr>
                <w:rFonts w:ascii="Times New Roman" w:hAnsi="Times New Roman"/>
                <w:sz w:val="28"/>
              </w:rPr>
            </w:pPr>
            <w:r w:rsidRPr="00D1277B">
              <w:rPr>
                <w:rFonts w:ascii="Times New Roman" w:hAnsi="Times New Roman"/>
                <w:sz w:val="28"/>
              </w:rPr>
              <w:t>Пробелом является то, что ни в Постановлении администрации города Владивостока о городской комиссии, ни в Постановлении администрации города Владивостока об образовании районных комиссий по делам несовершеннолетних и защите их прав должным образом не разграничены права и обязанности, то есть имеют место быть коллизии между нормами.</w:t>
            </w:r>
          </w:p>
          <w:p w:rsidR="00D1277B" w:rsidRPr="00D1277B" w:rsidRDefault="00D1277B" w:rsidP="00D1277B">
            <w:pPr>
              <w:spacing w:after="0" w:line="240" w:lineRule="auto"/>
              <w:contextualSpacing/>
              <w:jc w:val="both"/>
              <w:rPr>
                <w:rFonts w:ascii="Times New Roman" w:hAnsi="Times New Roman"/>
                <w:sz w:val="28"/>
              </w:rPr>
            </w:pPr>
            <w:r w:rsidRPr="00D1277B">
              <w:rPr>
                <w:rFonts w:ascii="Times New Roman" w:hAnsi="Times New Roman"/>
                <w:sz w:val="28"/>
              </w:rPr>
              <w:t xml:space="preserve">Суть поправок будет заключаться в чётком разграничении прав и обязанностей, то есть одна статья будет называться «Права городской комиссии», другая «Обязанности городской комиссии», «Права районных комиссий» и «Обязанности районных комиссий». Подобного рода проблема обусловлена недоработками на федеральном уровне и, соответственно, на региональном уровне.  </w:t>
            </w:r>
          </w:p>
        </w:tc>
      </w:tr>
    </w:tbl>
    <w:p w:rsidR="00D1277B" w:rsidRPr="00D1277B" w:rsidRDefault="00D1277B" w:rsidP="00D1277B">
      <w:pPr>
        <w:spacing w:after="0" w:line="360" w:lineRule="auto"/>
        <w:contextualSpacing/>
        <w:jc w:val="both"/>
        <w:rPr>
          <w:rFonts w:ascii="Times New Roman" w:hAnsi="Times New Roman"/>
          <w:sz w:val="28"/>
          <w:lang w:eastAsia="ko-KR"/>
        </w:rPr>
      </w:pPr>
      <w:r w:rsidRPr="00D1277B">
        <w:rPr>
          <w:rFonts w:ascii="Times New Roman" w:hAnsi="Times New Roman"/>
          <w:sz w:val="28"/>
          <w:lang w:eastAsia="ko-KR"/>
        </w:rPr>
        <w:t>Источник: составлено автором</w:t>
      </w:r>
    </w:p>
    <w:p w:rsidR="00D1277B" w:rsidRPr="00D1277B" w:rsidRDefault="00D1277B" w:rsidP="00D1277B">
      <w:pPr>
        <w:spacing w:after="0" w:line="360" w:lineRule="auto"/>
        <w:contextualSpacing/>
        <w:jc w:val="both"/>
        <w:rPr>
          <w:rFonts w:ascii="Times New Roman" w:hAnsi="Times New Roman"/>
          <w:sz w:val="28"/>
          <w:lang w:eastAsia="ko-KR"/>
        </w:rPr>
      </w:pPr>
      <w:r w:rsidRPr="00D1277B">
        <w:rPr>
          <w:rFonts w:ascii="Times New Roman" w:hAnsi="Times New Roman"/>
          <w:sz w:val="28"/>
          <w:lang w:eastAsia="ko-KR"/>
        </w:rPr>
        <w:t xml:space="preserve"> </w:t>
      </w:r>
    </w:p>
    <w:p w:rsidR="00D1277B" w:rsidRPr="00D1277B" w:rsidRDefault="00D1277B" w:rsidP="00D1277B">
      <w:pPr>
        <w:spacing w:after="0" w:line="360" w:lineRule="auto"/>
        <w:rPr>
          <w:rFonts w:ascii="Times New Roman" w:hAnsi="Times New Roman"/>
          <w:sz w:val="28"/>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contextualSpacing/>
        <w:jc w:val="right"/>
        <w:rPr>
          <w:rFonts w:ascii="Times New Roman" w:hAnsi="Times New Roman"/>
          <w:sz w:val="28"/>
          <w:lang w:eastAsia="ko-KR"/>
        </w:rPr>
      </w:pPr>
      <w:r w:rsidRPr="00D1277B">
        <w:rPr>
          <w:rFonts w:ascii="Times New Roman" w:hAnsi="Times New Roman"/>
          <w:sz w:val="28"/>
          <w:lang w:eastAsia="ko-KR"/>
        </w:rPr>
        <w:lastRenderedPageBreak/>
        <w:t>ПРОДОЛЖЕНИЕ ПРИЛОЖЕНИЯ С</w:t>
      </w:r>
    </w:p>
    <w:p w:rsidR="00D1277B" w:rsidRPr="00D1277B" w:rsidRDefault="00D1277B" w:rsidP="00D1277B">
      <w:pPr>
        <w:spacing w:after="0" w:line="360" w:lineRule="auto"/>
        <w:rPr>
          <w:rFonts w:ascii="Times New Roman" w:eastAsia="Times New Roman" w:hAnsi="Times New Roman"/>
          <w:sz w:val="28"/>
          <w:lang w:eastAsia="ko-KR"/>
        </w:rPr>
      </w:pPr>
      <w:r w:rsidRPr="00D1277B">
        <w:rPr>
          <w:rFonts w:ascii="Times New Roman" w:eastAsia="Times New Roman" w:hAnsi="Times New Roman"/>
          <w:sz w:val="28"/>
          <w:lang w:eastAsia="ko-KR"/>
        </w:rPr>
        <w:t xml:space="preserve">Таблица 13 – Первый критерий оценки эффективности деятельности районных </w:t>
      </w:r>
    </w:p>
    <w:p w:rsidR="00D1277B" w:rsidRPr="00D1277B" w:rsidRDefault="00D1277B" w:rsidP="00D1277B">
      <w:pPr>
        <w:spacing w:after="0" w:line="360" w:lineRule="auto"/>
        <w:rPr>
          <w:rFonts w:ascii="Times New Roman" w:eastAsia="Times New Roman" w:hAnsi="Times New Roman"/>
          <w:sz w:val="28"/>
          <w:lang w:eastAsia="ko-KR"/>
        </w:rPr>
      </w:pPr>
      <w:r w:rsidRPr="00D1277B">
        <w:rPr>
          <w:rFonts w:ascii="Times New Roman" w:eastAsia="Times New Roman" w:hAnsi="Times New Roman"/>
          <w:sz w:val="28"/>
          <w:lang w:eastAsia="ko-KR"/>
        </w:rPr>
        <w:t>КПД и ЗП</w:t>
      </w:r>
    </w:p>
    <w:tbl>
      <w:tblPr>
        <w:tblStyle w:val="180"/>
        <w:tblW w:w="0" w:type="auto"/>
        <w:tblInd w:w="108" w:type="dxa"/>
        <w:tblLook w:val="04A0" w:firstRow="1" w:lastRow="0" w:firstColumn="1" w:lastColumn="0" w:noHBand="0" w:noVBand="1"/>
      </w:tblPr>
      <w:tblGrid>
        <w:gridCol w:w="4686"/>
        <w:gridCol w:w="4834"/>
      </w:tblGrid>
      <w:tr w:rsidR="00D1277B" w:rsidRPr="00D1277B" w:rsidTr="00D1277B">
        <w:tc>
          <w:tcPr>
            <w:tcW w:w="9923" w:type="dxa"/>
            <w:gridSpan w:val="2"/>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b/>
              </w:rPr>
              <w:t>Критерий 1.</w:t>
            </w:r>
            <w:r w:rsidRPr="00D1277B">
              <w:rPr>
                <w:rFonts w:ascii="Times New Roman" w:hAnsi="Times New Roman"/>
              </w:rPr>
              <w:t xml:space="preserve"> Организация комплексной индивидуально-профилактической работы с несовершеннолетними и семьями, находящимися в СОП</w:t>
            </w:r>
          </w:p>
        </w:tc>
      </w:tr>
      <w:tr w:rsidR="00D1277B" w:rsidRPr="00D1277B" w:rsidTr="00D1277B">
        <w:tc>
          <w:tcPr>
            <w:tcW w:w="4829"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rPr>
              <w:t>Показатели по критерию</w:t>
            </w:r>
          </w:p>
        </w:tc>
        <w:tc>
          <w:tcPr>
            <w:tcW w:w="509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rPr>
              <w:t>Способы оценки</w:t>
            </w:r>
          </w:p>
        </w:tc>
      </w:tr>
      <w:tr w:rsidR="00D1277B" w:rsidRPr="00D1277B" w:rsidTr="00D1277B">
        <w:tc>
          <w:tcPr>
            <w:tcW w:w="4829"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highlight w:val="yellow"/>
              </w:rPr>
            </w:pPr>
            <w:r w:rsidRPr="00D1277B">
              <w:rPr>
                <w:rFonts w:ascii="Times New Roman" w:hAnsi="Times New Roman"/>
                <w:sz w:val="21"/>
                <w:szCs w:val="21"/>
              </w:rPr>
              <w:t xml:space="preserve">Доля </w:t>
            </w:r>
            <w:r w:rsidRPr="00D1277B">
              <w:rPr>
                <w:rFonts w:ascii="Times New Roman" w:hAnsi="Times New Roman"/>
                <w:i/>
                <w:sz w:val="21"/>
                <w:szCs w:val="21"/>
              </w:rPr>
              <w:t>несовершеннолетних</w:t>
            </w:r>
            <w:r w:rsidRPr="00D1277B">
              <w:rPr>
                <w:rFonts w:ascii="Times New Roman" w:hAnsi="Times New Roman"/>
                <w:sz w:val="21"/>
                <w:szCs w:val="21"/>
              </w:rPr>
              <w:t>, с которых районной комиссией снят статус находящихся в СОП в связи с положительной динамикой проведения комплексной ИПР, в общем количестве несовершеннолетних, имевших статус находящихся в СОП.</w:t>
            </w:r>
          </w:p>
        </w:tc>
        <w:tc>
          <w:tcPr>
            <w:tcW w:w="509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ДН=А/В*100, где</w:t>
            </w:r>
          </w:p>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ДН – доля несовершеннолетних, с которых снят статус находящихся в СОП в связи с положительной динамикой;</w:t>
            </w:r>
          </w:p>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А – количество несовершеннолетних, с которых в ОП снят статус находящихся в СОП в связи с исправлением;</w:t>
            </w:r>
          </w:p>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В – количество несовершеннолетних, признанных в ОП находящимися в СОП.</w:t>
            </w:r>
          </w:p>
        </w:tc>
      </w:tr>
      <w:tr w:rsidR="00D1277B" w:rsidRPr="00D1277B" w:rsidTr="00D1277B">
        <w:tc>
          <w:tcPr>
            <w:tcW w:w="4829"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rPr>
            </w:pPr>
            <w:r w:rsidRPr="00D1277B">
              <w:rPr>
                <w:rFonts w:ascii="Times New Roman" w:hAnsi="Times New Roman"/>
                <w:sz w:val="21"/>
                <w:szCs w:val="21"/>
              </w:rPr>
              <w:t xml:space="preserve">Доля </w:t>
            </w:r>
            <w:r w:rsidRPr="00D1277B">
              <w:rPr>
                <w:rFonts w:ascii="Times New Roman" w:hAnsi="Times New Roman"/>
                <w:i/>
                <w:sz w:val="21"/>
                <w:szCs w:val="21"/>
              </w:rPr>
              <w:t>семей</w:t>
            </w:r>
            <w:r w:rsidRPr="00D1277B">
              <w:rPr>
                <w:rFonts w:ascii="Times New Roman" w:hAnsi="Times New Roman"/>
                <w:sz w:val="21"/>
                <w:szCs w:val="21"/>
              </w:rPr>
              <w:t>, c которых районной комиссией снят статус находящихся в СОП в связи с положительной динамикой проведения комплексной ИПР, в общем количестве семей, имевших статус находящихся в СОП.</w:t>
            </w:r>
          </w:p>
        </w:tc>
        <w:tc>
          <w:tcPr>
            <w:tcW w:w="509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ДС=А/В*100, где</w:t>
            </w:r>
          </w:p>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ДС – доля семей, с которых снят статус находящихся в СОП в связи с положительной динамикой;</w:t>
            </w:r>
          </w:p>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А – количество семей, с которых в ОП снят статус находящихся в СОП в связи с исправлением;</w:t>
            </w:r>
          </w:p>
          <w:p w:rsidR="00D1277B" w:rsidRPr="00D1277B" w:rsidRDefault="00D1277B" w:rsidP="00D1277B">
            <w:pPr>
              <w:spacing w:after="0" w:line="240" w:lineRule="auto"/>
              <w:rPr>
                <w:rFonts w:ascii="Times New Roman" w:hAnsi="Times New Roman"/>
                <w:sz w:val="21"/>
                <w:szCs w:val="21"/>
                <w:highlight w:val="yellow"/>
              </w:rPr>
            </w:pPr>
            <w:r w:rsidRPr="00D1277B">
              <w:rPr>
                <w:rFonts w:ascii="Times New Roman" w:hAnsi="Times New Roman"/>
                <w:sz w:val="21"/>
                <w:szCs w:val="21"/>
              </w:rPr>
              <w:t>В – количество семей, признанных в ОП находящимися в СОП.</w:t>
            </w:r>
          </w:p>
        </w:tc>
      </w:tr>
      <w:tr w:rsidR="00D1277B" w:rsidRPr="00D1277B" w:rsidTr="00D1277B">
        <w:tc>
          <w:tcPr>
            <w:tcW w:w="4829"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rPr>
            </w:pPr>
            <w:r w:rsidRPr="00D1277B">
              <w:rPr>
                <w:rFonts w:ascii="Times New Roman" w:hAnsi="Times New Roman"/>
                <w:sz w:val="21"/>
                <w:szCs w:val="21"/>
              </w:rPr>
              <w:t xml:space="preserve">Доля </w:t>
            </w:r>
            <w:r w:rsidRPr="00D1277B">
              <w:rPr>
                <w:rFonts w:ascii="Times New Roman" w:hAnsi="Times New Roman"/>
                <w:i/>
                <w:sz w:val="21"/>
                <w:szCs w:val="21"/>
              </w:rPr>
              <w:t>несовершеннолетних</w:t>
            </w:r>
            <w:r w:rsidRPr="00D1277B">
              <w:rPr>
                <w:rFonts w:ascii="Times New Roman" w:hAnsi="Times New Roman"/>
                <w:sz w:val="21"/>
                <w:szCs w:val="21"/>
              </w:rPr>
              <w:t>, признанных районной комиссией находящимися в СОП и совершивших преступления в период проведения с ними комплексной ИПР, от общего числа несовершеннолетних, имеющих статус находящихся в СОП.</w:t>
            </w:r>
          </w:p>
        </w:tc>
        <w:tc>
          <w:tcPr>
            <w:tcW w:w="5094"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ДНСП=А/В*100, где</w:t>
            </w:r>
          </w:p>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ДНСП – доля несовершеннолетних, признанных районной комиссией находящимися в СОП и совершивших преступления в период проведения с ними комплексной ИПР;</w:t>
            </w:r>
          </w:p>
          <w:p w:rsidR="00D1277B" w:rsidRPr="00D1277B" w:rsidRDefault="00D1277B" w:rsidP="00D1277B">
            <w:pPr>
              <w:spacing w:after="0" w:line="240" w:lineRule="auto"/>
              <w:rPr>
                <w:rFonts w:ascii="Times New Roman" w:hAnsi="Times New Roman"/>
                <w:sz w:val="21"/>
                <w:szCs w:val="21"/>
              </w:rPr>
            </w:pPr>
            <w:r w:rsidRPr="00D1277B">
              <w:rPr>
                <w:rFonts w:ascii="Times New Roman" w:hAnsi="Times New Roman"/>
                <w:sz w:val="21"/>
                <w:szCs w:val="21"/>
              </w:rPr>
              <w:t>А – количество несовершеннолетних, признанных находящимися в СОП и совершивших преступления в период проведения с ними комплексной ИПР</w:t>
            </w:r>
          </w:p>
          <w:p w:rsidR="00D1277B" w:rsidRPr="00D1277B" w:rsidRDefault="00D1277B" w:rsidP="00D1277B">
            <w:pPr>
              <w:spacing w:after="0" w:line="240" w:lineRule="auto"/>
              <w:rPr>
                <w:rFonts w:ascii="Times New Roman" w:hAnsi="Times New Roman"/>
                <w:sz w:val="21"/>
                <w:szCs w:val="21"/>
                <w:highlight w:val="yellow"/>
              </w:rPr>
            </w:pPr>
            <w:r w:rsidRPr="00D1277B">
              <w:rPr>
                <w:rFonts w:ascii="Times New Roman" w:hAnsi="Times New Roman"/>
                <w:sz w:val="21"/>
                <w:szCs w:val="21"/>
              </w:rPr>
              <w:t>В –  количество несовершеннолетних, имеющих статус находящихся в СОП.</w:t>
            </w:r>
          </w:p>
        </w:tc>
      </w:tr>
    </w:tbl>
    <w:p w:rsidR="00D1277B" w:rsidRPr="00D1277B" w:rsidRDefault="00D1277B" w:rsidP="00D1277B">
      <w:pPr>
        <w:spacing w:after="0" w:line="240" w:lineRule="auto"/>
        <w:jc w:val="both"/>
        <w:rPr>
          <w:rFonts w:ascii="Times New Roman" w:eastAsia="Times New Roman" w:hAnsi="Times New Roman"/>
          <w:sz w:val="24"/>
          <w:szCs w:val="28"/>
          <w:lang w:eastAsia="ko-KR"/>
        </w:rPr>
      </w:pPr>
      <w:r w:rsidRPr="00D1277B">
        <w:rPr>
          <w:rFonts w:ascii="Times New Roman" w:eastAsia="Times New Roman" w:hAnsi="Times New Roman"/>
          <w:sz w:val="24"/>
          <w:szCs w:val="28"/>
          <w:lang w:eastAsia="ko-KR"/>
        </w:rPr>
        <w:t>Источник:</w:t>
      </w:r>
      <w:r w:rsidRPr="00D1277B">
        <w:rPr>
          <w:rFonts w:ascii="Times New Roman" w:hAnsi="Times New Roman"/>
          <w:sz w:val="28"/>
        </w:rPr>
        <w:t xml:space="preserve"> </w:t>
      </w:r>
      <w:r w:rsidRPr="00D1277B">
        <w:rPr>
          <w:rFonts w:ascii="Times New Roman" w:eastAsia="Times New Roman" w:hAnsi="Times New Roman"/>
          <w:sz w:val="24"/>
          <w:szCs w:val="28"/>
          <w:lang w:eastAsia="ko-KR"/>
        </w:rPr>
        <w:t>составлено автором на основании: Борисова В.Ф., Ильгова Е.В., Кузнецова И.О. Оценка эффективности деятельности системы профилактики безнадзорности и правонарушений несовершеннолетних : коллективная монография : коллективная монография / В.Ф. Борисова, Е.В. Ильгова, И.О. Кузнецова ; ФГБОУ ВО «Саратовская государственная юридическая академия». Саратов: ИП Коваль Ю.В., 2015. – 124 с. – Электрон. дан. – Режим доступа:http://сгюа.рф/documents/structure/KDNiZP/Ilgovamonografia-Maket.pdf.</w:t>
      </w:r>
    </w:p>
    <w:p w:rsidR="00D1277B" w:rsidRPr="00D1277B" w:rsidRDefault="00D1277B" w:rsidP="00D1277B">
      <w:pPr>
        <w:spacing w:after="0" w:line="240" w:lineRule="auto"/>
        <w:rPr>
          <w:rFonts w:ascii="Times New Roman" w:eastAsia="Times New Roman" w:hAnsi="Times New Roman"/>
          <w:sz w:val="24"/>
          <w:szCs w:val="28"/>
          <w:lang w:eastAsia="ko-KR"/>
        </w:rPr>
        <w:sectPr w:rsidR="00D1277B" w:rsidRPr="00D1277B">
          <w:pgSz w:w="11906" w:h="16838"/>
          <w:pgMar w:top="1247" w:right="1247" w:bottom="1247" w:left="1247" w:header="709" w:footer="709" w:gutter="0"/>
          <w:cols w:space="720"/>
        </w:sectPr>
      </w:pPr>
    </w:p>
    <w:p w:rsidR="00D1277B" w:rsidRPr="00D1277B" w:rsidRDefault="00D1277B" w:rsidP="00D1277B">
      <w:pPr>
        <w:spacing w:after="0" w:line="360" w:lineRule="auto"/>
        <w:jc w:val="right"/>
        <w:rPr>
          <w:rFonts w:ascii="Times New Roman" w:eastAsia="Times New Roman" w:hAnsi="Times New Roman"/>
          <w:sz w:val="28"/>
          <w:lang w:eastAsia="ko-KR"/>
        </w:rPr>
      </w:pPr>
      <w:r w:rsidRPr="00D1277B">
        <w:rPr>
          <w:rFonts w:ascii="Times New Roman" w:eastAsia="Times New Roman" w:hAnsi="Times New Roman"/>
          <w:sz w:val="28"/>
          <w:lang w:eastAsia="ko-KR"/>
        </w:rPr>
        <w:lastRenderedPageBreak/>
        <w:t>ОКОНЧАНИЕ ПРИЛОЖЕНИЯ С</w:t>
      </w: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14 – Второй критерий оценки эффективности деятельности районных КПД и ЗП</w:t>
      </w:r>
    </w:p>
    <w:tbl>
      <w:tblPr>
        <w:tblStyle w:val="190"/>
        <w:tblW w:w="0" w:type="auto"/>
        <w:tblInd w:w="108" w:type="dxa"/>
        <w:tblLook w:val="04A0" w:firstRow="1" w:lastRow="0" w:firstColumn="1" w:lastColumn="0" w:noHBand="0" w:noVBand="1"/>
      </w:tblPr>
      <w:tblGrid>
        <w:gridCol w:w="4109"/>
        <w:gridCol w:w="5411"/>
      </w:tblGrid>
      <w:tr w:rsidR="00D1277B" w:rsidRPr="00D1277B" w:rsidTr="00D1277B">
        <w:tc>
          <w:tcPr>
            <w:tcW w:w="9923" w:type="dxa"/>
            <w:gridSpan w:val="2"/>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b/>
              </w:rPr>
              <w:t>Критерий 2.</w:t>
            </w:r>
            <w:r w:rsidRPr="00D1277B">
              <w:rPr>
                <w:rFonts w:ascii="Times New Roman" w:hAnsi="Times New Roman"/>
              </w:rPr>
              <w:t xml:space="preserve"> Реализация мер по защите прав и законных интересов несовершеннолетних</w:t>
            </w:r>
          </w:p>
        </w:tc>
      </w:tr>
      <w:tr w:rsidR="00D1277B" w:rsidRPr="00D1277B" w:rsidTr="00D1277B">
        <w:tc>
          <w:tcPr>
            <w:tcW w:w="4260"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rPr>
              <w:t>Показатели по критерию</w:t>
            </w:r>
          </w:p>
        </w:tc>
        <w:tc>
          <w:tcPr>
            <w:tcW w:w="566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rPr>
              <w:t>Способы оценки</w:t>
            </w:r>
          </w:p>
        </w:tc>
      </w:tr>
      <w:tr w:rsidR="00D1277B" w:rsidRPr="00D1277B" w:rsidTr="00D1277B">
        <w:tc>
          <w:tcPr>
            <w:tcW w:w="4260"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both"/>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highlight w:val="yellow"/>
              </w:rPr>
            </w:pPr>
            <w:r w:rsidRPr="00D1277B">
              <w:rPr>
                <w:rFonts w:ascii="Times New Roman" w:hAnsi="Times New Roman"/>
                <w:sz w:val="21"/>
                <w:szCs w:val="21"/>
              </w:rPr>
              <w:t xml:space="preserve">Доля </w:t>
            </w:r>
            <w:r w:rsidRPr="00D1277B">
              <w:rPr>
                <w:rFonts w:ascii="Times New Roman" w:hAnsi="Times New Roman"/>
                <w:i/>
                <w:sz w:val="21"/>
                <w:szCs w:val="21"/>
              </w:rPr>
              <w:t>несовершеннолетних</w:t>
            </w:r>
            <w:r w:rsidRPr="00D1277B">
              <w:rPr>
                <w:rFonts w:ascii="Times New Roman" w:hAnsi="Times New Roman"/>
                <w:sz w:val="21"/>
                <w:szCs w:val="21"/>
              </w:rPr>
              <w:t>, достигших 15-летнего возраста и оставивших образовательные организации до получения основного общего образования и устроенных для продолжения обучения, либо трудоустроенных, в общем количестве несовершеннолетних, оставивших образовательные организации по согласованию с районной комиссией (при наличии согласия родителей и органа местного самоуправления, осуществляющего управление в сфере образования).</w:t>
            </w:r>
          </w:p>
        </w:tc>
        <w:tc>
          <w:tcPr>
            <w:tcW w:w="566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ДНОО=А/В*100, где</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ДНОО – доля несовершеннолетних, достигших 15-летнего возраста и оставивших образовательные организации до получения основного общего образования и устроенных для продолжения обучения либо трудоустроенных;</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А – количество несовершеннолетних, достигших 15-летнего возраста и оставивших образовательные организации до получения основного общего образования и устроенных для продолжения обучения либо трудоустроенных;</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В –  количество несовершеннолетних, оставивших образовательные организации по согласованию с комиссией (при наличии согласия родителей и ОМС, осуществляющего управление в сфере образования).</w:t>
            </w:r>
          </w:p>
        </w:tc>
      </w:tr>
      <w:tr w:rsidR="00D1277B" w:rsidRPr="00D1277B" w:rsidTr="00D1277B">
        <w:tc>
          <w:tcPr>
            <w:tcW w:w="4260"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rPr>
            </w:pPr>
            <w:r w:rsidRPr="00D1277B">
              <w:rPr>
                <w:rFonts w:ascii="Times New Roman" w:hAnsi="Times New Roman"/>
                <w:sz w:val="21"/>
                <w:szCs w:val="21"/>
              </w:rPr>
              <w:t xml:space="preserve">Доля </w:t>
            </w:r>
            <w:r w:rsidRPr="00D1277B">
              <w:rPr>
                <w:rFonts w:ascii="Times New Roman" w:hAnsi="Times New Roman"/>
                <w:i/>
                <w:sz w:val="21"/>
                <w:szCs w:val="21"/>
              </w:rPr>
              <w:t>несовершеннолетних</w:t>
            </w:r>
            <w:r w:rsidRPr="00D1277B">
              <w:rPr>
                <w:rFonts w:ascii="Times New Roman" w:hAnsi="Times New Roman"/>
                <w:sz w:val="21"/>
                <w:szCs w:val="21"/>
              </w:rPr>
              <w:t>, имеющих статус находящихся в СОП и вовлеченных в различные виды занятости и досуга, от общего количества несовершеннолетних, учитываемых районной комиссией и нуждающихся в организации занятости и досуга.</w:t>
            </w:r>
          </w:p>
        </w:tc>
        <w:tc>
          <w:tcPr>
            <w:tcW w:w="566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ДНВЗ=А/В*100, где</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ДНВЗ – доля несовершеннолетних, имеющих статус находящихся в СОП и вовлеченных в различные виды занятости и досуга;</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А – количество несовершеннолетних, имеющих статус находящихся в СОП и вовлеченных в различные виды занятости и досуга;</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В –  количество несовершеннолетних, учитываемых районной комиссией и нуждающихся в организации занятости и досуга.</w:t>
            </w:r>
          </w:p>
        </w:tc>
      </w:tr>
    </w:tbl>
    <w:p w:rsidR="00D1277B" w:rsidRPr="00D1277B" w:rsidRDefault="00D1277B" w:rsidP="00D1277B">
      <w:pPr>
        <w:spacing w:after="0" w:line="360" w:lineRule="auto"/>
        <w:jc w:val="both"/>
        <w:rPr>
          <w:rFonts w:ascii="Times New Roman" w:eastAsia="Times New Roman" w:hAnsi="Times New Roman"/>
          <w:sz w:val="24"/>
          <w:szCs w:val="24"/>
          <w:lang w:eastAsia="ko-KR"/>
        </w:rPr>
      </w:pPr>
      <w:r w:rsidRPr="00D1277B">
        <w:rPr>
          <w:rFonts w:ascii="Times New Roman" w:eastAsia="Times New Roman" w:hAnsi="Times New Roman"/>
          <w:sz w:val="24"/>
          <w:szCs w:val="24"/>
          <w:lang w:eastAsia="ko-KR"/>
        </w:rPr>
        <w:t>Источник: составлено автором на основании (см. источник в таблице 13).</w:t>
      </w:r>
    </w:p>
    <w:p w:rsidR="00D1277B" w:rsidRPr="00D1277B" w:rsidRDefault="00D1277B" w:rsidP="00D1277B">
      <w:pPr>
        <w:spacing w:after="0" w:line="360" w:lineRule="auto"/>
        <w:jc w:val="both"/>
        <w:rPr>
          <w:rFonts w:ascii="Times New Roman" w:eastAsia="Times New Roman" w:hAnsi="Times New Roman"/>
          <w:sz w:val="24"/>
          <w:szCs w:val="24"/>
          <w:lang w:eastAsia="ko-KR"/>
        </w:rPr>
      </w:pPr>
    </w:p>
    <w:p w:rsidR="00D1277B" w:rsidRPr="00D1277B" w:rsidRDefault="00D1277B" w:rsidP="00D1277B">
      <w:pPr>
        <w:spacing w:after="0" w:line="360" w:lineRule="auto"/>
        <w:jc w:val="both"/>
        <w:rPr>
          <w:rFonts w:ascii="Times New Roman" w:eastAsia="Times New Roman" w:hAnsi="Times New Roman"/>
          <w:sz w:val="28"/>
          <w:lang w:eastAsia="ko-KR"/>
        </w:rPr>
      </w:pPr>
      <w:r w:rsidRPr="00D1277B">
        <w:rPr>
          <w:rFonts w:ascii="Times New Roman" w:eastAsia="Times New Roman" w:hAnsi="Times New Roman"/>
          <w:sz w:val="28"/>
          <w:lang w:eastAsia="ko-KR"/>
        </w:rPr>
        <w:t>Таблица 15 – Третий критерий оценки эффективности деятельности районных КПД и ЗП</w:t>
      </w:r>
    </w:p>
    <w:tbl>
      <w:tblPr>
        <w:tblStyle w:val="190"/>
        <w:tblW w:w="0" w:type="auto"/>
        <w:tblInd w:w="108" w:type="dxa"/>
        <w:tblLook w:val="04A0" w:firstRow="1" w:lastRow="0" w:firstColumn="1" w:lastColumn="0" w:noHBand="0" w:noVBand="1"/>
      </w:tblPr>
      <w:tblGrid>
        <w:gridCol w:w="4649"/>
        <w:gridCol w:w="4871"/>
      </w:tblGrid>
      <w:tr w:rsidR="00D1277B" w:rsidRPr="00D1277B" w:rsidTr="00D1277B">
        <w:trPr>
          <w:trHeight w:val="84"/>
        </w:trPr>
        <w:tc>
          <w:tcPr>
            <w:tcW w:w="9638" w:type="dxa"/>
            <w:gridSpan w:val="2"/>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rPr>
            </w:pPr>
            <w:r w:rsidRPr="00D1277B">
              <w:rPr>
                <w:rFonts w:ascii="Times New Roman" w:hAnsi="Times New Roman"/>
                <w:b/>
              </w:rPr>
              <w:t>Критерий 3.</w:t>
            </w:r>
            <w:r w:rsidRPr="00D1277B">
              <w:rPr>
                <w:rFonts w:ascii="Times New Roman" w:hAnsi="Times New Roman"/>
              </w:rPr>
              <w:t xml:space="preserve"> Рассмотрение обращений граждан (жалобы, заявления) комиссией</w:t>
            </w:r>
          </w:p>
        </w:tc>
      </w:tr>
      <w:tr w:rsidR="00D1277B" w:rsidRPr="00D1277B" w:rsidTr="00D1277B">
        <w:tc>
          <w:tcPr>
            <w:tcW w:w="470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rPr>
              <w:t>Показатели по критерию</w:t>
            </w:r>
          </w:p>
        </w:tc>
        <w:tc>
          <w:tcPr>
            <w:tcW w:w="4930"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center"/>
              <w:rPr>
                <w:rFonts w:ascii="Times New Roman" w:hAnsi="Times New Roman"/>
                <w:b/>
              </w:rPr>
            </w:pPr>
            <w:r w:rsidRPr="00D1277B">
              <w:rPr>
                <w:rFonts w:ascii="Times New Roman" w:hAnsi="Times New Roman"/>
                <w:b/>
              </w:rPr>
              <w:t>Способы оценки</w:t>
            </w:r>
          </w:p>
        </w:tc>
      </w:tr>
      <w:tr w:rsidR="00D1277B" w:rsidRPr="00D1277B" w:rsidTr="00D1277B">
        <w:tc>
          <w:tcPr>
            <w:tcW w:w="4708" w:type="dxa"/>
            <w:tcBorders>
              <w:top w:val="single" w:sz="4" w:space="0" w:color="auto"/>
              <w:left w:val="single" w:sz="4" w:space="0" w:color="auto"/>
              <w:bottom w:val="single" w:sz="4" w:space="0" w:color="auto"/>
              <w:right w:val="single" w:sz="4" w:space="0" w:color="auto"/>
            </w:tcBorders>
          </w:tcPr>
          <w:p w:rsidR="00D1277B" w:rsidRPr="00D1277B" w:rsidRDefault="00D1277B" w:rsidP="00D1277B">
            <w:pPr>
              <w:spacing w:after="0" w:line="240" w:lineRule="auto"/>
              <w:jc w:val="center"/>
              <w:rPr>
                <w:rFonts w:ascii="Times New Roman" w:hAnsi="Times New Roman"/>
                <w:sz w:val="21"/>
                <w:szCs w:val="21"/>
              </w:rPr>
            </w:pPr>
          </w:p>
          <w:p w:rsidR="00D1277B" w:rsidRPr="00D1277B" w:rsidRDefault="00D1277B" w:rsidP="00D1277B">
            <w:pPr>
              <w:spacing w:after="0" w:line="240" w:lineRule="auto"/>
              <w:jc w:val="center"/>
              <w:rPr>
                <w:rFonts w:ascii="Times New Roman" w:hAnsi="Times New Roman"/>
                <w:sz w:val="21"/>
                <w:szCs w:val="21"/>
              </w:rPr>
            </w:pPr>
            <w:r w:rsidRPr="00D1277B">
              <w:rPr>
                <w:rFonts w:ascii="Times New Roman" w:hAnsi="Times New Roman"/>
                <w:sz w:val="21"/>
                <w:szCs w:val="21"/>
              </w:rPr>
              <w:t>Доля рассмотренных обращений граждан (жалобы, заявления) комиссиями, поступивших в адрес председателя комиссии, членов комиссии, специалистов обеспечивающих деятельность комиссии в общем количестве рассмотренных обращений</w:t>
            </w:r>
          </w:p>
          <w:p w:rsidR="00D1277B" w:rsidRPr="00D1277B" w:rsidRDefault="00D1277B" w:rsidP="00D1277B">
            <w:pPr>
              <w:spacing w:after="0" w:line="240" w:lineRule="auto"/>
              <w:jc w:val="center"/>
              <w:rPr>
                <w:rFonts w:ascii="Times New Roman" w:hAnsi="Times New Roman"/>
                <w:sz w:val="21"/>
                <w:szCs w:val="21"/>
              </w:rPr>
            </w:pPr>
          </w:p>
        </w:tc>
        <w:tc>
          <w:tcPr>
            <w:tcW w:w="4930"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ДРОГАК=А/В*100, где</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ДРОГАК – доля рассмотренных обращений граждан, поступивших в адрес председателя комиссии, членов комиссии, специалистов обеспечивающих деятельность комиссии;</w:t>
            </w:r>
          </w:p>
          <w:p w:rsidR="00D1277B" w:rsidRPr="00D1277B" w:rsidRDefault="00D1277B" w:rsidP="00D1277B">
            <w:pPr>
              <w:spacing w:after="0" w:line="240" w:lineRule="auto"/>
              <w:jc w:val="both"/>
              <w:rPr>
                <w:rFonts w:ascii="Times New Roman" w:hAnsi="Times New Roman"/>
                <w:sz w:val="21"/>
                <w:szCs w:val="21"/>
              </w:rPr>
            </w:pPr>
            <w:r w:rsidRPr="00D1277B">
              <w:rPr>
                <w:rFonts w:ascii="Times New Roman" w:hAnsi="Times New Roman"/>
                <w:sz w:val="21"/>
                <w:szCs w:val="21"/>
              </w:rPr>
              <w:t>А – количество рассмотренных обращений граждан, поступивших в адрес председателя комиссии, членов комиссии, специалистов обеспечивающих деятельность комиссии;</w:t>
            </w:r>
          </w:p>
          <w:p w:rsidR="00D1277B" w:rsidRPr="00D1277B" w:rsidRDefault="00D1277B" w:rsidP="00D1277B">
            <w:pPr>
              <w:spacing w:after="0" w:line="240" w:lineRule="auto"/>
              <w:jc w:val="both"/>
              <w:rPr>
                <w:rFonts w:ascii="Times New Roman" w:hAnsi="Times New Roman"/>
                <w:sz w:val="21"/>
                <w:szCs w:val="21"/>
                <w:highlight w:val="yellow"/>
              </w:rPr>
            </w:pPr>
            <w:r w:rsidRPr="00D1277B">
              <w:rPr>
                <w:rFonts w:ascii="Times New Roman" w:hAnsi="Times New Roman"/>
                <w:sz w:val="21"/>
                <w:szCs w:val="21"/>
              </w:rPr>
              <w:t>В – общее количество рассмотренных обращений граждан комиссией.</w:t>
            </w:r>
          </w:p>
        </w:tc>
      </w:tr>
    </w:tbl>
    <w:p w:rsidR="00D1277B" w:rsidRPr="00D1277B" w:rsidRDefault="00D1277B" w:rsidP="00D1277B">
      <w:pPr>
        <w:spacing w:after="0" w:line="360" w:lineRule="auto"/>
        <w:contextualSpacing/>
        <w:jc w:val="both"/>
        <w:rPr>
          <w:rFonts w:ascii="Times New Roman" w:hAnsi="Times New Roman"/>
          <w:sz w:val="28"/>
          <w:lang w:eastAsia="ko-KR"/>
        </w:rPr>
      </w:pPr>
      <w:r w:rsidRPr="00D1277B">
        <w:rPr>
          <w:rFonts w:ascii="Times New Roman" w:eastAsia="Times New Roman" w:hAnsi="Times New Roman"/>
          <w:sz w:val="24"/>
          <w:szCs w:val="24"/>
          <w:lang w:eastAsia="ko-KR"/>
        </w:rPr>
        <w:t>Источник: составлено автором на основании (см. источник в таблице 13).</w:t>
      </w:r>
    </w:p>
    <w:p w:rsidR="00D1277B" w:rsidRPr="00D1277B" w:rsidRDefault="00D1277B" w:rsidP="00D1277B">
      <w:pPr>
        <w:spacing w:after="0" w:line="360" w:lineRule="auto"/>
        <w:contextualSpacing/>
        <w:jc w:val="both"/>
        <w:rPr>
          <w:rFonts w:ascii="Times New Roman" w:hAnsi="Times New Roman"/>
          <w:sz w:val="28"/>
          <w:lang w:eastAsia="ko-KR"/>
        </w:rPr>
      </w:pPr>
    </w:p>
    <w:p w:rsidR="00D1277B" w:rsidRPr="00D1277B" w:rsidRDefault="00D1277B" w:rsidP="00D1277B">
      <w:pPr>
        <w:widowControl w:val="0"/>
        <w:tabs>
          <w:tab w:val="left" w:pos="1134"/>
        </w:tabs>
        <w:spacing w:after="0" w:line="240" w:lineRule="auto"/>
        <w:jc w:val="both"/>
        <w:rPr>
          <w:rFonts w:ascii="Times New Roman" w:hAnsi="Times New Roman"/>
          <w:sz w:val="28"/>
          <w:szCs w:val="28"/>
        </w:rPr>
      </w:pPr>
    </w:p>
    <w:p w:rsidR="00D1277B" w:rsidRPr="00D1277B" w:rsidRDefault="00D1277B" w:rsidP="00D1277B">
      <w:pPr>
        <w:widowControl w:val="0"/>
        <w:spacing w:line="254" w:lineRule="auto"/>
        <w:jc w:val="center"/>
        <w:rPr>
          <w:rFonts w:ascii="Times New Roman" w:hAnsi="Times New Roman"/>
          <w:sz w:val="28"/>
          <w:szCs w:val="28"/>
        </w:rPr>
      </w:pPr>
      <w:r w:rsidRPr="00D1277B">
        <w:rPr>
          <w:rFonts w:ascii="Times New Roman" w:hAnsi="Times New Roman"/>
          <w:sz w:val="28"/>
          <w:szCs w:val="28"/>
        </w:rPr>
        <w:lastRenderedPageBreak/>
        <w:t>Уполномоченный по правам человека в Приморском крае</w:t>
      </w:r>
    </w:p>
    <w:p w:rsidR="00D1277B" w:rsidRPr="00D1277B" w:rsidRDefault="00D1277B" w:rsidP="00D1277B">
      <w:pPr>
        <w:widowControl w:val="0"/>
        <w:spacing w:line="254" w:lineRule="auto"/>
        <w:jc w:val="center"/>
        <w:rPr>
          <w:rFonts w:ascii="Times New Roman" w:hAnsi="Times New Roman"/>
          <w:sz w:val="28"/>
          <w:szCs w:val="28"/>
        </w:rPr>
      </w:pPr>
    </w:p>
    <w:p w:rsidR="00D1277B" w:rsidRPr="00D1277B" w:rsidRDefault="00D1277B" w:rsidP="00D1277B">
      <w:pPr>
        <w:widowControl w:val="0"/>
        <w:spacing w:line="254" w:lineRule="auto"/>
        <w:jc w:val="center"/>
        <w:rPr>
          <w:rFonts w:ascii="Times New Roman" w:hAnsi="Times New Roman"/>
          <w:sz w:val="28"/>
          <w:szCs w:val="28"/>
        </w:rPr>
      </w:pPr>
    </w:p>
    <w:p w:rsidR="00D1277B" w:rsidRPr="00D1277B" w:rsidRDefault="00D1277B" w:rsidP="00D1277B">
      <w:pPr>
        <w:widowControl w:val="0"/>
        <w:spacing w:line="254"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b/>
          <w:sz w:val="28"/>
          <w:szCs w:val="28"/>
        </w:rPr>
      </w:pPr>
      <w:r w:rsidRPr="00D1277B">
        <w:rPr>
          <w:rFonts w:ascii="Times New Roman" w:hAnsi="Times New Roman"/>
          <w:b/>
          <w:sz w:val="28"/>
          <w:szCs w:val="28"/>
        </w:rPr>
        <w:t>Защита прав граждан при возникновении</w:t>
      </w:r>
    </w:p>
    <w:p w:rsidR="00D1277B" w:rsidRPr="00D1277B" w:rsidRDefault="00D1277B" w:rsidP="00D1277B">
      <w:pPr>
        <w:widowControl w:val="0"/>
        <w:spacing w:after="0" w:line="360" w:lineRule="auto"/>
        <w:jc w:val="center"/>
        <w:rPr>
          <w:rFonts w:ascii="Times New Roman" w:hAnsi="Times New Roman"/>
          <w:b/>
          <w:sz w:val="28"/>
          <w:szCs w:val="28"/>
        </w:rPr>
      </w:pPr>
      <w:r w:rsidRPr="00D1277B">
        <w:rPr>
          <w:rFonts w:ascii="Times New Roman" w:hAnsi="Times New Roman"/>
          <w:b/>
          <w:sz w:val="28"/>
          <w:szCs w:val="28"/>
        </w:rPr>
        <w:t xml:space="preserve"> стихийных бедствий.</w:t>
      </w:r>
    </w:p>
    <w:p w:rsidR="00D1277B" w:rsidRPr="00D1277B" w:rsidRDefault="00D1277B" w:rsidP="00D1277B">
      <w:pPr>
        <w:widowControl w:val="0"/>
        <w:spacing w:after="0" w:line="360" w:lineRule="auto"/>
        <w:jc w:val="center"/>
        <w:rPr>
          <w:rFonts w:ascii="Times New Roman" w:hAnsi="Times New Roman"/>
          <w:b/>
          <w:sz w:val="28"/>
          <w:szCs w:val="28"/>
        </w:rPr>
      </w:pPr>
      <w:r w:rsidRPr="00D1277B">
        <w:rPr>
          <w:rFonts w:ascii="Times New Roman" w:hAnsi="Times New Roman"/>
          <w:b/>
          <w:sz w:val="28"/>
          <w:szCs w:val="28"/>
        </w:rPr>
        <w:t>Вопросы защиты прав граждан по опыту возмещения ущерба,</w:t>
      </w:r>
    </w:p>
    <w:p w:rsidR="00D1277B" w:rsidRPr="00D1277B" w:rsidRDefault="00D1277B" w:rsidP="00D1277B">
      <w:pPr>
        <w:widowControl w:val="0"/>
        <w:spacing w:after="0" w:line="360" w:lineRule="auto"/>
        <w:jc w:val="center"/>
        <w:rPr>
          <w:rFonts w:ascii="Times New Roman" w:hAnsi="Times New Roman"/>
          <w:b/>
          <w:sz w:val="28"/>
          <w:szCs w:val="28"/>
        </w:rPr>
      </w:pPr>
      <w:r w:rsidRPr="00D1277B">
        <w:rPr>
          <w:rFonts w:ascii="Times New Roman" w:hAnsi="Times New Roman"/>
          <w:b/>
          <w:sz w:val="28"/>
          <w:szCs w:val="28"/>
        </w:rPr>
        <w:t xml:space="preserve"> нанесенного стихией в Приморском крае</w:t>
      </w:r>
    </w:p>
    <w:p w:rsidR="00D1277B" w:rsidRPr="00D1277B" w:rsidRDefault="00D1277B" w:rsidP="00D1277B">
      <w:pPr>
        <w:widowControl w:val="0"/>
        <w:spacing w:after="0" w:line="360" w:lineRule="auto"/>
        <w:jc w:val="center"/>
        <w:rPr>
          <w:rFonts w:ascii="Times New Roman" w:hAnsi="Times New Roman"/>
          <w:b/>
          <w:sz w:val="28"/>
          <w:szCs w:val="28"/>
        </w:rPr>
      </w:pPr>
    </w:p>
    <w:p w:rsidR="00D1277B" w:rsidRPr="00D1277B" w:rsidRDefault="00D1277B" w:rsidP="00D1277B">
      <w:pPr>
        <w:widowControl w:val="0"/>
        <w:spacing w:after="0" w:line="360" w:lineRule="auto"/>
        <w:jc w:val="center"/>
        <w:rPr>
          <w:rFonts w:ascii="Times New Roman" w:hAnsi="Times New Roman"/>
          <w:b/>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r w:rsidRPr="00D1277B">
        <w:rPr>
          <w:rFonts w:ascii="Times New Roman" w:hAnsi="Times New Roman"/>
          <w:sz w:val="28"/>
          <w:szCs w:val="28"/>
        </w:rPr>
        <w:t>Конкурсная работа</w:t>
      </w: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b/>
          <w:sz w:val="28"/>
          <w:szCs w:val="28"/>
        </w:rPr>
      </w:pPr>
      <w:r w:rsidRPr="00D1277B">
        <w:rPr>
          <w:rFonts w:ascii="Times New Roman" w:hAnsi="Times New Roman"/>
          <w:b/>
          <w:sz w:val="28"/>
          <w:szCs w:val="28"/>
        </w:rPr>
        <w:t>Горбенко Ирины Викторовны</w:t>
      </w:r>
    </w:p>
    <w:p w:rsidR="00D1277B" w:rsidRPr="00D1277B" w:rsidRDefault="00D1277B" w:rsidP="00D1277B">
      <w:pPr>
        <w:widowControl w:val="0"/>
        <w:spacing w:after="0" w:line="360" w:lineRule="auto"/>
        <w:jc w:val="center"/>
        <w:rPr>
          <w:rFonts w:ascii="Times New Roman" w:hAnsi="Times New Roman"/>
          <w:b/>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r w:rsidRPr="00D1277B">
        <w:rPr>
          <w:rFonts w:ascii="Times New Roman" w:hAnsi="Times New Roman"/>
          <w:sz w:val="28"/>
          <w:szCs w:val="28"/>
        </w:rPr>
        <w:t>начальника отдела правового обеспечения департамента труда</w:t>
      </w:r>
    </w:p>
    <w:p w:rsidR="00D1277B" w:rsidRPr="00D1277B" w:rsidRDefault="00D1277B" w:rsidP="00D1277B">
      <w:pPr>
        <w:widowControl w:val="0"/>
        <w:spacing w:after="0" w:line="360" w:lineRule="auto"/>
        <w:jc w:val="center"/>
        <w:rPr>
          <w:rFonts w:ascii="Times New Roman" w:hAnsi="Times New Roman"/>
          <w:sz w:val="28"/>
          <w:szCs w:val="28"/>
        </w:rPr>
      </w:pPr>
      <w:r w:rsidRPr="00D1277B">
        <w:rPr>
          <w:rFonts w:ascii="Times New Roman" w:hAnsi="Times New Roman"/>
          <w:sz w:val="28"/>
          <w:szCs w:val="28"/>
        </w:rPr>
        <w:t xml:space="preserve"> и социального развития Приморского края </w:t>
      </w: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r w:rsidRPr="00D1277B">
        <w:rPr>
          <w:rFonts w:ascii="Times New Roman" w:hAnsi="Times New Roman"/>
          <w:sz w:val="28"/>
          <w:szCs w:val="28"/>
        </w:rPr>
        <w:t xml:space="preserve">Научный руководитель (консультант) </w:t>
      </w: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b/>
          <w:sz w:val="28"/>
          <w:szCs w:val="28"/>
        </w:rPr>
      </w:pPr>
      <w:r w:rsidRPr="00D1277B">
        <w:rPr>
          <w:rFonts w:ascii="Times New Roman" w:hAnsi="Times New Roman"/>
          <w:b/>
          <w:sz w:val="28"/>
          <w:szCs w:val="28"/>
        </w:rPr>
        <w:t>Магерчук Елена Михайловна</w:t>
      </w:r>
    </w:p>
    <w:p w:rsidR="00D1277B" w:rsidRPr="00D1277B" w:rsidRDefault="00D1277B" w:rsidP="00D1277B">
      <w:pPr>
        <w:widowControl w:val="0"/>
        <w:spacing w:after="0" w:line="360" w:lineRule="auto"/>
        <w:jc w:val="center"/>
        <w:rPr>
          <w:rFonts w:ascii="Times New Roman" w:hAnsi="Times New Roman"/>
          <w:sz w:val="28"/>
          <w:szCs w:val="28"/>
        </w:rPr>
      </w:pPr>
      <w:r w:rsidRPr="00D1277B">
        <w:rPr>
          <w:rFonts w:ascii="Times New Roman" w:hAnsi="Times New Roman"/>
          <w:sz w:val="28"/>
          <w:szCs w:val="28"/>
        </w:rPr>
        <w:t>заместитель директора департамента труда и социального развития</w:t>
      </w:r>
    </w:p>
    <w:p w:rsidR="00D1277B" w:rsidRPr="00D1277B" w:rsidRDefault="00D1277B" w:rsidP="00D1277B">
      <w:pPr>
        <w:widowControl w:val="0"/>
        <w:spacing w:after="0" w:line="360" w:lineRule="auto"/>
        <w:jc w:val="center"/>
        <w:rPr>
          <w:rFonts w:ascii="Times New Roman" w:hAnsi="Times New Roman"/>
          <w:sz w:val="28"/>
          <w:szCs w:val="28"/>
        </w:rPr>
      </w:pPr>
      <w:r w:rsidRPr="00D1277B">
        <w:rPr>
          <w:rFonts w:ascii="Times New Roman" w:hAnsi="Times New Roman"/>
          <w:sz w:val="28"/>
          <w:szCs w:val="28"/>
        </w:rPr>
        <w:t xml:space="preserve"> Приморского края</w:t>
      </w: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p>
    <w:p w:rsidR="00D1277B" w:rsidRPr="00D1277B" w:rsidRDefault="00D1277B" w:rsidP="00D1277B">
      <w:pPr>
        <w:widowControl w:val="0"/>
        <w:spacing w:after="0" w:line="360" w:lineRule="auto"/>
        <w:jc w:val="center"/>
        <w:rPr>
          <w:rFonts w:ascii="Times New Roman" w:hAnsi="Times New Roman"/>
          <w:sz w:val="28"/>
          <w:szCs w:val="28"/>
        </w:rPr>
      </w:pPr>
      <w:r w:rsidRPr="00D1277B">
        <w:rPr>
          <w:rFonts w:ascii="Times New Roman" w:hAnsi="Times New Roman"/>
          <w:sz w:val="28"/>
          <w:szCs w:val="28"/>
        </w:rPr>
        <w:t>Владивосток, 2018</w:t>
      </w:r>
    </w:p>
    <w:p w:rsidR="00D1277B" w:rsidRPr="00D1277B" w:rsidRDefault="00D1277B" w:rsidP="00190E82">
      <w:pPr>
        <w:widowControl w:val="0"/>
        <w:spacing w:after="240" w:line="240" w:lineRule="auto"/>
        <w:jc w:val="center"/>
        <w:rPr>
          <w:rFonts w:ascii="Times New Roman" w:hAnsi="Times New Roman"/>
          <w:b/>
          <w:sz w:val="28"/>
          <w:szCs w:val="28"/>
        </w:rPr>
      </w:pPr>
      <w:r w:rsidRPr="00D1277B">
        <w:rPr>
          <w:rFonts w:ascii="Times New Roman" w:hAnsi="Times New Roman"/>
          <w:b/>
          <w:sz w:val="28"/>
          <w:szCs w:val="28"/>
        </w:rPr>
        <w:lastRenderedPageBreak/>
        <w:t>Введение</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ab/>
        <w:t xml:space="preserve">Основной климатической особенностью Приморского края является теплое и влажное лето, приносящее обильные осадки и туман. Лето в Приморье – это пора тайфунов, которые ежегодно посещают край, принося огромный ущерб инфраструктуре, сельскому хозяйству и имуществу граждан.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Тема конкурсной работы «Защита прав граждан при возникновении стихийных бедствий. Вопросы защиты прав граждан по опыту возмещения ущерба, нанесенного стихией в Приморском крае» является крайне актуальной с точки зрения необходимости ее изучения и решения проблем, возникающих в деятельности органов местного самоуправления, органов исполнительный власти Приморского края и федеральных органов исполнительной власти, задействованных в ликвидации последствий чрезвычайных ситуаций, связанных, чаще всего, с продолжительными ливневыми дождями, вызванными тайфунами; необходимости оптимизации процедур и механизма межведомственного взаимодействия, используемых для решения вопросов оказания помощи пострадавшим гражданам, в том числе, для решения вопросов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резерва финансовых и материальных ресурсов для ликвидации чрезвычайных ситуаций природного и техногенного характера на территории Приморского края. Об актуальности выбранной темы также свидетельствует значительное число граждан, обратившихся в суд с исками или заявлениями об установлении фактов, обуславливающими возникновение права на разовую материальную и финансовую помощь; письменные и устные обращения от лиц, пострадавших от последствий ливневых дождей в августе </w:t>
      </w:r>
      <w:r w:rsidRPr="00D1277B">
        <w:rPr>
          <w:rFonts w:ascii="Times New Roman" w:hAnsi="Times New Roman"/>
          <w:sz w:val="28"/>
          <w:szCs w:val="28"/>
        </w:rPr>
        <w:br/>
        <w:t xml:space="preserve">2017 года и пострадавших в 2016 году от тайфуна «LIONROCK», отмеченные </w:t>
      </w:r>
      <w:r w:rsidRPr="00D1277B">
        <w:rPr>
          <w:rFonts w:ascii="Times New Roman" w:hAnsi="Times New Roman"/>
          <w:sz w:val="28"/>
          <w:szCs w:val="28"/>
        </w:rPr>
        <w:br/>
        <w:t>в Докладах о деятельности Уполномоченного по правам человека в Приморском крае в 2016  - 2017 гг.,  а также письменные обращения по данной тематике, поступившие в департамент труда и социального развития Приморского края за период 201-2018 гг.</w:t>
      </w:r>
      <w:r w:rsidRPr="00D1277B">
        <w:rPr>
          <w:rFonts w:ascii="Times New Roman" w:hAnsi="Times New Roman"/>
          <w:sz w:val="28"/>
          <w:szCs w:val="28"/>
          <w:vertAlign w:val="superscript"/>
        </w:rPr>
        <w:footnoteReference w:id="67"/>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Теоретическая часть исследования заявленной темы основана </w:t>
      </w:r>
      <w:r w:rsidRPr="00D1277B">
        <w:rPr>
          <w:rFonts w:ascii="Times New Roman" w:hAnsi="Times New Roman"/>
          <w:sz w:val="28"/>
          <w:szCs w:val="28"/>
        </w:rPr>
        <w:br/>
        <w:t xml:space="preserve">на нормативных правовых актах, регулирующих правоотношения, возникшие </w:t>
      </w:r>
      <w:r w:rsidRPr="00D1277B">
        <w:rPr>
          <w:rFonts w:ascii="Times New Roman" w:hAnsi="Times New Roman"/>
          <w:sz w:val="28"/>
          <w:szCs w:val="28"/>
        </w:rPr>
        <w:br/>
        <w:t>в связи с необходимостью оказания разовой материальной и финансовой помощи гражданам Российской Федерации: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местом жительства которых в августе - сентябре 2016 года являлись жилые дома, квартиры, находящиеся в многоквартирных домах, расположенные </w:t>
      </w:r>
      <w:r w:rsidRPr="00D1277B">
        <w:rPr>
          <w:rFonts w:ascii="Times New Roman" w:hAnsi="Times New Roman"/>
          <w:sz w:val="28"/>
          <w:szCs w:val="28"/>
        </w:rPr>
        <w:br/>
        <w:t xml:space="preserve">на территориях Артемовского, Дальнегорского, Дальнереченского, Лесозаводского, Находкинского, Партизанского, Уссурийского городских округов, Анучинского, Дальнереченского, Кавалеровского, Кировского, </w:t>
      </w:r>
      <w:r w:rsidRPr="00D1277B">
        <w:rPr>
          <w:rFonts w:ascii="Times New Roman" w:hAnsi="Times New Roman"/>
          <w:sz w:val="28"/>
          <w:szCs w:val="28"/>
        </w:rPr>
        <w:lastRenderedPageBreak/>
        <w:t>Красноармейского, Лазовского, Михайловского, Надеждинского, Октябрьского, Ольгинского, Партизанского, Пожарского, Тернейского, Ханкайского, Хасанского, Хорольского, Черниговского, Чугуевского, Шкотовского, Яковлевского муниципальных районов, оказавшихся в зоне чрезвычайной ситуации в связи с продолжительными ливневыми дождями на территории Приморского края, вызванными тайфуном «LIONROCK» на территории Приморского края;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местом жительства которых в августе 2017 года являлись жилые дома, квартиры, находящиеся в многоквартирных домах, расположенные на территориях Уссурийского городского округа, Михайловского, Надеждинского, Октябрьского, Пограничного и Хасанского муниципальных районов, оказавшихся в зоне чрезвычайной ситуации природного характера, возникшей в результате продолжительных ливневых дождей на территории Приморского края;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местом жительства которых в августе-сентябре 2018 года являлись жилые дома, квартиры, находящиеся в многоквартирных домах, расположенные </w:t>
      </w:r>
      <w:r w:rsidRPr="00D1277B">
        <w:rPr>
          <w:rFonts w:ascii="Times New Roman" w:hAnsi="Times New Roman"/>
          <w:sz w:val="28"/>
          <w:szCs w:val="28"/>
        </w:rPr>
        <w:br/>
        <w:t>на территориях Уссурийского, Лесозаводского городских округов, Октябрьского, Михайловского, Надеждинского, Черниговского, Ольгинского, Шкотовского, Яковлевского, Лазовского, Партизанского, Хорольского, Чугуевского, Красноармейского, Тернейского, Пожарского, Ханкайского, Кировского и Пограничного муниципальных районов, оказавшихся в зоне чрезвычайной ситуации природного характера, возникшей в результате проливных дождей.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Практическая часть - на опыте взаимодействия государственных гражданских служащих департамента труда и социального развития Приморского края с пострадавшими гражданами, органами местного самоуправления, органами исполнительной власти Приморского края, федеральными органами исполнительной власти, аудиторами Счетной палаты Российской Федерации, контролерами-ревизорами Федерального казначейства, судебными органами, </w:t>
      </w:r>
      <w:r w:rsidRPr="00D1277B">
        <w:rPr>
          <w:rFonts w:ascii="Times New Roman" w:hAnsi="Times New Roman"/>
          <w:sz w:val="28"/>
          <w:szCs w:val="28"/>
        </w:rPr>
        <w:br/>
        <w:t>а также на результатах рассмотрения судебных дел по искам и заявлениям пострадавших граждан за период с 2016 года по истекший период 2018 года.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 работе не будут затрагиваться вопросы оказания государственной поддержки гражданам, жилые помещения которых признаны непригодными </w:t>
      </w:r>
      <w:r w:rsidRPr="00D1277B">
        <w:rPr>
          <w:rFonts w:ascii="Times New Roman" w:hAnsi="Times New Roman"/>
          <w:sz w:val="28"/>
          <w:szCs w:val="28"/>
        </w:rPr>
        <w:br/>
        <w:t xml:space="preserve">для проживания в результате чрезвычайных ситуаций, вопросы организации </w:t>
      </w:r>
      <w:r w:rsidRPr="00D1277B">
        <w:rPr>
          <w:rFonts w:ascii="Times New Roman" w:hAnsi="Times New Roman"/>
          <w:sz w:val="28"/>
          <w:szCs w:val="28"/>
        </w:rPr>
        <w:br/>
        <w:t>и функционирования пунктов временного размещения пострадавших граждан, вопросы оказания гуманитарной помощи и др., поскольку данные вопросы должны являться предметом самостоятельного исследования и анализа в рамках другой работы.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Целью написания настоящей конкурсной работы является привлечение внимания к актуальным вопросам организации работы по защите прав граждан, пострадавших от чрезвычайных ситуаций, внесение предложений </w:t>
      </w:r>
      <w:r w:rsidRPr="00D1277B">
        <w:rPr>
          <w:rFonts w:ascii="Times New Roman" w:hAnsi="Times New Roman"/>
          <w:sz w:val="28"/>
          <w:szCs w:val="28"/>
        </w:rPr>
        <w:br/>
        <w:t xml:space="preserve">по совершенствованию действующего законодательства и возможным </w:t>
      </w:r>
      <w:r w:rsidRPr="00D1277B">
        <w:rPr>
          <w:rFonts w:ascii="Times New Roman" w:hAnsi="Times New Roman"/>
          <w:sz w:val="28"/>
          <w:szCs w:val="28"/>
        </w:rPr>
        <w:br/>
        <w:t>путям решения имеющихся проблем.</w:t>
      </w:r>
    </w:p>
    <w:p w:rsidR="00D1277B" w:rsidRPr="00D1277B" w:rsidRDefault="00D1277B" w:rsidP="00D1277B">
      <w:pPr>
        <w:widowControl w:val="0"/>
        <w:spacing w:after="0" w:line="240" w:lineRule="auto"/>
        <w:jc w:val="both"/>
        <w:rPr>
          <w:rFonts w:ascii="Times New Roman" w:hAnsi="Times New Roman"/>
          <w:sz w:val="28"/>
          <w:szCs w:val="28"/>
        </w:rPr>
      </w:pPr>
    </w:p>
    <w:p w:rsidR="00D1277B" w:rsidRPr="00D1277B" w:rsidRDefault="00D1277B" w:rsidP="00D1277B">
      <w:pPr>
        <w:widowControl w:val="0"/>
        <w:spacing w:after="0" w:line="240" w:lineRule="auto"/>
        <w:jc w:val="both"/>
        <w:rPr>
          <w:rFonts w:ascii="Times New Roman" w:hAnsi="Times New Roman"/>
          <w:b/>
          <w:sz w:val="28"/>
          <w:szCs w:val="28"/>
        </w:rPr>
      </w:pPr>
      <w:r w:rsidRPr="00D1277B">
        <w:rPr>
          <w:rFonts w:ascii="Times New Roman" w:hAnsi="Times New Roman"/>
          <w:b/>
          <w:sz w:val="28"/>
          <w:szCs w:val="28"/>
        </w:rPr>
        <w:lastRenderedPageBreak/>
        <w:t xml:space="preserve">1. Вопросы применения федеральных и региональных нормативных правовых актов, регулирующих правоотношения в связи с оказанием помощи пострадавшим гражданам. Развитие регионального законодательства в области защиты населения от чрезвычайных ситуаций природного и техногенного характера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b/>
          <w:sz w:val="28"/>
          <w:szCs w:val="28"/>
        </w:rPr>
        <w:tab/>
      </w:r>
      <w:r w:rsidRPr="00D1277B">
        <w:rPr>
          <w:rFonts w:ascii="Times New Roman" w:hAnsi="Times New Roman"/>
          <w:sz w:val="28"/>
          <w:szCs w:val="28"/>
        </w:rPr>
        <w:t xml:space="preserve">Документы, использовавшиеся в работе по оказанию помощи гражданам, пострадавшим от чрезвычайных ситуаций природного характера, возникших </w:t>
      </w:r>
      <w:r w:rsidRPr="00D1277B">
        <w:rPr>
          <w:rFonts w:ascii="Times New Roman" w:hAnsi="Times New Roman"/>
          <w:sz w:val="28"/>
          <w:szCs w:val="28"/>
        </w:rPr>
        <w:br/>
        <w:t xml:space="preserve">в 2016-2017 гг., изложены в Перечне документов, регулирующих вопросы организации работы по оказанию помощи пострадавшим гражданам </w:t>
      </w:r>
      <w:r w:rsidRPr="00D1277B">
        <w:rPr>
          <w:rFonts w:ascii="Times New Roman" w:hAnsi="Times New Roman"/>
          <w:sz w:val="28"/>
          <w:szCs w:val="28"/>
        </w:rPr>
        <w:br/>
        <w:t xml:space="preserve">на территории Приморского края (приложение № 1 к настоящей конкурсной работе). Речь идет о выплате материальной помощи пострадавшим гражданам </w:t>
      </w:r>
      <w:r w:rsidRPr="00D1277B">
        <w:rPr>
          <w:rFonts w:ascii="Times New Roman" w:hAnsi="Times New Roman"/>
          <w:sz w:val="28"/>
          <w:szCs w:val="28"/>
        </w:rPr>
        <w:br/>
        <w:t>в целях частичного покрытия расходов, а именно следующих видов выплат:</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 размере 25,0 тыс. рублей - на восстановление поврежденного жилого дома, квартиры, находящейся на первом этаже многоквартирного </w:t>
      </w:r>
      <w:r w:rsidRPr="00D1277B">
        <w:rPr>
          <w:rFonts w:ascii="Times New Roman" w:hAnsi="Times New Roman"/>
          <w:sz w:val="28"/>
          <w:szCs w:val="28"/>
        </w:rPr>
        <w:br/>
        <w:t>дома (сумма выплачивалась на один поврежденный жилой дом или квартиру);</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в размере 10,0 тыс. рублей - в связи с утратой урожая на придомовом земельном участке;</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 размере 10,0 тыс. рублей - в связи с утратой урожая сельскохозяйственных культур на земельном участке, предоставленном и (или) приобретенном </w:t>
      </w:r>
      <w:r w:rsidRPr="00D1277B">
        <w:rPr>
          <w:rFonts w:ascii="Times New Roman" w:hAnsi="Times New Roman"/>
          <w:sz w:val="28"/>
          <w:szCs w:val="28"/>
        </w:rPr>
        <w:br/>
        <w:t>для ведения личного подсобного хозяйства, расположенном на территориях муниципальных образований Приморского края, пострадавших от чрезвычайной ситуации в 2016 - 2017 гг.;</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в размере 10,0 тыс. рублей - в связи с утратой урожая на садовом, огородном земельных участках, а также на дачном земельном участке, предоставленном гражданину без права возведения жилого дома с правом регистрации проживания в нем, расположенных на территориях муниципальных образований Приморского края, пострадавших от чрезвычайной ситуации в 2016 - 2017 гг.;</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единовременную материальную и финансовую помощь, выплачиваемую </w:t>
      </w:r>
      <w:r w:rsidRPr="00D1277B">
        <w:rPr>
          <w:rFonts w:ascii="Times New Roman" w:hAnsi="Times New Roman"/>
          <w:sz w:val="28"/>
          <w:szCs w:val="28"/>
        </w:rPr>
        <w:br/>
        <w:t xml:space="preserve">за счет средств резервного фонда Правительства Российской Федерации </w:t>
      </w:r>
      <w:r w:rsidRPr="00D1277B">
        <w:rPr>
          <w:rFonts w:ascii="Times New Roman" w:hAnsi="Times New Roman"/>
          <w:sz w:val="28"/>
          <w:szCs w:val="28"/>
        </w:rPr>
        <w:br/>
        <w:t xml:space="preserve">по предупреждению и ликвидации чрезвычайных ситуаций и последствий стихийных бедствий, в размерах и в случаях, установленных </w:t>
      </w:r>
      <w:hyperlink r:id="rId208" w:history="1">
        <w:r w:rsidRPr="00D1277B">
          <w:rPr>
            <w:rFonts w:ascii="Times New Roman" w:hAnsi="Times New Roman"/>
            <w:u w:val="single"/>
          </w:rPr>
          <w:t xml:space="preserve">подпунктами </w:t>
        </w:r>
        <w:r w:rsidRPr="00D1277B">
          <w:rPr>
            <w:rFonts w:ascii="Times New Roman" w:hAnsi="Times New Roman"/>
            <w:sz w:val="28"/>
            <w:szCs w:val="28"/>
          </w:rPr>
          <w:br/>
        </w:r>
        <w:r w:rsidRPr="00D1277B">
          <w:rPr>
            <w:rFonts w:ascii="Times New Roman" w:hAnsi="Times New Roman"/>
            <w:u w:val="single"/>
          </w:rPr>
          <w:t>«г»,</w:t>
        </w:r>
      </w:hyperlink>
      <w:r w:rsidRPr="00D1277B">
        <w:rPr>
          <w:rFonts w:ascii="Times New Roman" w:hAnsi="Times New Roman"/>
          <w:sz w:val="28"/>
          <w:szCs w:val="28"/>
        </w:rPr>
        <w:t xml:space="preserve"> «д» Правил выделения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утвержденных постановлением Правительства Российской Федерации от 15 февраля 2014 года </w:t>
      </w:r>
      <w:r w:rsidRPr="00D1277B">
        <w:rPr>
          <w:rFonts w:ascii="Times New Roman" w:hAnsi="Times New Roman"/>
          <w:sz w:val="28"/>
          <w:szCs w:val="28"/>
        </w:rPr>
        <w:br/>
        <w:t>№ 110 «О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С точки зрения организации работы, направленной на обеспечение защиты прав пострадавших граждан в части разработки и принятия нормативных </w:t>
      </w:r>
      <w:r w:rsidRPr="00D1277B">
        <w:rPr>
          <w:rFonts w:ascii="Times New Roman" w:hAnsi="Times New Roman"/>
          <w:sz w:val="28"/>
          <w:szCs w:val="28"/>
        </w:rPr>
        <w:lastRenderedPageBreak/>
        <w:t xml:space="preserve">правовых актов, регулирующих порядок оказания материальной помощи пострадавшим гражданам, необходимо отметить, что такие акты были разработаны и приняты в течение 2-х календарных дней со дня введения режима чрезвычайной ситуации регионального характера постановлением Губернатора Приморского края, а 8 сентября 2016 года (после принятия соответствующего распоряжения Правительством Российской Федерации от 5 сентября 2016 года № 1860-р) и 15 августа 2017 года (после принятия соответствующего распоряжения Правительством Российской Федерации от 14 августа 2017 года № 1735-р) были внесены изменения, которыми предусматривались выплаты за счет средств резервного фонда Правительства Российской Федерации по предупреждению и ликвидации чрезвычайных ситуаций и последствий стихийных бедствий.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Для оказания помощи пострадавшим гражданам за счет средств резервного фонда Правительства Российской Федерации по предупреждению и ликвидации чрезвычайных ситуаций и последствий стихийных бедствий Правительством Российской Федерации принято в 2016 году 3 распоряжения (от 05.09.2016 № 1860-р – до 718 500,0 тыс. рублей; от 21.10.2016 № 2219-р – 249 684,6 тыс. рублей; от 18.11.2016 № 2444-р – 249 984,6 тыс. рублей); в 2017 году –4 распоряжения (от 17.03.2017 № 478-р – 155 923,9 тыс. рублей; от 05.05.2017 № 529-р – 616 750,1 тыс. рублей; от 26.05.2017 № 1057-р – 11 857,6 тыс. рублей; от 22.06.2017 № 1316-р – 43 114,9 тыс. рублей).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в распоряжение государственных органов и органов местного самоуправления весьма оперативно предоставлялся нормативный </w:t>
      </w:r>
      <w:r w:rsidRPr="00D1277B">
        <w:rPr>
          <w:rFonts w:ascii="Times New Roman" w:hAnsi="Times New Roman"/>
          <w:sz w:val="28"/>
          <w:szCs w:val="28"/>
        </w:rPr>
        <w:br/>
        <w:t>и правовой инструментарий, необходимый для обеспечения прав пострадавших граждан.</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Учитывая складывающуюся на территории края в течение последних </w:t>
      </w:r>
      <w:r w:rsidRPr="00D1277B">
        <w:rPr>
          <w:rFonts w:ascii="Times New Roman" w:hAnsi="Times New Roman"/>
          <w:sz w:val="28"/>
          <w:szCs w:val="28"/>
        </w:rPr>
        <w:br/>
        <w:t xml:space="preserve">лет ситуацию, а также в целях выработки единого подхода к предоставлению </w:t>
      </w:r>
      <w:r w:rsidRPr="00D1277B">
        <w:rPr>
          <w:rFonts w:ascii="Times New Roman" w:hAnsi="Times New Roman"/>
          <w:sz w:val="28"/>
          <w:szCs w:val="28"/>
        </w:rPr>
        <w:br/>
        <w:t xml:space="preserve">мер поддержки в связи с возникновением чрезвычайных ситуаций природного характера, в рамках реализации полномочий, предусмотренных статьей 11 Федерального закона от 21.12.1994 № 68-ФЗ «О защите населения и территорий от чрезвычайных ситуаций природного и техногенного характера», в 2018 году был разработан и утвержден нормативный правовой </w:t>
      </w:r>
      <w:r w:rsidRPr="00D1277B">
        <w:rPr>
          <w:rFonts w:ascii="Times New Roman" w:hAnsi="Times New Roman"/>
          <w:sz w:val="28"/>
          <w:szCs w:val="28"/>
        </w:rPr>
        <w:br/>
        <w:t>акт в форме постановления Администрации Приморского края от 15 мая 2018 года № 223-па, которым утверждены: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Положение о резервах финансовых и материальных ресурсов для ликвидации чрезвычайных ситуаций природного и техногенного характера на территории Приморского края;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Перечень органов исполнительной власти Приморского края, ответственных за создание, использование и восполнение резерва материальных ресурсов для ликвидации чрезвычайных ситуаций природного и техногенного характера на территории Приморского края;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Номенклатура и объемы резерва материальных ресурсов для ликвидации чрезвычайных ситуаций природного и техногенного характера на территории Приморского края.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lastRenderedPageBreak/>
        <w:t>В связи с принятием указанного постановления Администрации Приморского края источником, за счет которого осуществляется финансирование мероприятий по оказанию помощи пострадавшим в результате чрезвычайной ситуации, является финансовый резерв. Размер финансового резерва устанавливается законом Приморского края о краевом бюджете на очередной финансовый год и плановый период с учетом прогнозируемых видов и масштабов чрезвычайных ситуаций, предполагаемого объема работ по ликвидации их последствий, природных, экономических и иных особенностей территории Приморского края. До 2018 года источником, за счет которого осуществлялось финансирование таких мероприятий, являлся резервный фонд Администрации Приморского края.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Основными новеллами в связи с принятием указанного выше постановления Администрации Приморского края являются следующие положения постановления Администрации Приморского края от 15 мая 2018 года № 223-па.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Введена норма, регулирующая вопрос отнесения утраченного пострадавшими гражданами имущества к имуществу первой необходимости. Концептуальная направленность этой нормы обусловлена необходимостью устранения пробела в правовом регулировании, желанием создать единый подход в работе комиссий к определению степени утраты имущества на всех территориях муниципальных образований края, исключить необходимость разрешения данных вопросов в судебном порядке и, соответственно, ускорить принятие решений о выплатах пострадавшим гражданам.</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Так к имуществу первой отнесен минимальный набор непродовольственных товаров общесемейного пользования, необходимых для сохранения здоровья человека и обеспечения его жизнедеятельности: электроприборы </w:t>
      </w:r>
      <w:r w:rsidRPr="00D1277B">
        <w:rPr>
          <w:rFonts w:ascii="Times New Roman" w:hAnsi="Times New Roman"/>
          <w:sz w:val="28"/>
          <w:szCs w:val="28"/>
        </w:rPr>
        <w:br/>
        <w:t xml:space="preserve">для приготовления пищи (пароварка, мультиварка, кашеварка, скороварка), электрочайник, холодильник, газовая (электро-) плита, стол, шкаф </w:t>
      </w:r>
      <w:r w:rsidRPr="00D1277B">
        <w:rPr>
          <w:rFonts w:ascii="Times New Roman" w:hAnsi="Times New Roman"/>
          <w:sz w:val="28"/>
          <w:szCs w:val="28"/>
        </w:rPr>
        <w:br/>
        <w:t xml:space="preserve">для посуды, стиральная машина, телевизор, шкаф для одежды, кресло, кровать, диван, водонагреватель, котел отопительный (переносная печь), насос для подачи воды (в случае отсутствия центрального водоснабжения).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Под частичной утратой имущества первой необходимости понимается приведение в результате воздействия факторов чрезвычайной ситуации </w:t>
      </w:r>
      <w:r w:rsidRPr="00D1277B">
        <w:rPr>
          <w:rFonts w:ascii="Times New Roman" w:hAnsi="Times New Roman"/>
          <w:sz w:val="28"/>
          <w:szCs w:val="28"/>
        </w:rPr>
        <w:br/>
        <w:t xml:space="preserve">трех и более предметов из имущества первой необходимости в непригодное </w:t>
      </w:r>
      <w:r w:rsidRPr="00D1277B">
        <w:rPr>
          <w:rFonts w:ascii="Times New Roman" w:hAnsi="Times New Roman"/>
          <w:sz w:val="28"/>
          <w:szCs w:val="28"/>
        </w:rPr>
        <w:br/>
        <w:t xml:space="preserve">для использования состояние.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Под полной утратой имущества первой необходимости понимается приведение в результате воздействия факторов чрезвычайной ситуации </w:t>
      </w:r>
      <w:r w:rsidRPr="00D1277B">
        <w:rPr>
          <w:rFonts w:ascii="Times New Roman" w:hAnsi="Times New Roman"/>
          <w:sz w:val="28"/>
          <w:szCs w:val="28"/>
        </w:rPr>
        <w:br/>
        <w:t>всего имущества первой необходимости в непригодное для использования состояние.</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 первоначальной редакции (от 15.05.2018) этого постановления Администрации Приморского края возможность получения выплат в размере </w:t>
      </w:r>
      <w:r w:rsidRPr="00D1277B">
        <w:rPr>
          <w:rFonts w:ascii="Times New Roman" w:hAnsi="Times New Roman"/>
          <w:sz w:val="28"/>
          <w:szCs w:val="28"/>
        </w:rPr>
        <w:br/>
        <w:t xml:space="preserve">50,0 тыс. рублей (в связи с частичной утратой имущества первой необходимости) </w:t>
      </w:r>
      <w:r w:rsidRPr="00D1277B">
        <w:rPr>
          <w:rFonts w:ascii="Times New Roman" w:hAnsi="Times New Roman"/>
          <w:sz w:val="28"/>
          <w:szCs w:val="28"/>
        </w:rPr>
        <w:br/>
        <w:t xml:space="preserve">и 100,0 тыс. рублей (в связи с полной утратой имущества первой </w:t>
      </w:r>
      <w:r w:rsidRPr="00D1277B">
        <w:rPr>
          <w:rFonts w:ascii="Times New Roman" w:hAnsi="Times New Roman"/>
          <w:sz w:val="28"/>
          <w:szCs w:val="28"/>
        </w:rPr>
        <w:lastRenderedPageBreak/>
        <w:t xml:space="preserve">необходимости) была обусловлена наличием у пострадавшего гражданина на дату введения чрезвычайной ситуации договора страхования движимого имущества от рисков утраты (повреждения) в результате стихийных бедствий, однако, данные нормы были исключены постановлением Администрации Приморского края от 31.08.2018 № 407-па.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Применение документа в редакции от 15.05.2018 позволило </w:t>
      </w:r>
      <w:r w:rsidRPr="00D1277B">
        <w:rPr>
          <w:rFonts w:ascii="Times New Roman" w:hAnsi="Times New Roman"/>
          <w:sz w:val="28"/>
          <w:szCs w:val="28"/>
        </w:rPr>
        <w:br/>
        <w:t xml:space="preserve">бы существенным образом снять нагрузку с регионального бюджета </w:t>
      </w:r>
      <w:r w:rsidRPr="00D1277B">
        <w:rPr>
          <w:rFonts w:ascii="Times New Roman" w:hAnsi="Times New Roman"/>
          <w:sz w:val="28"/>
          <w:szCs w:val="28"/>
        </w:rPr>
        <w:br/>
        <w:t xml:space="preserve">по компенсации ущерба пострадавшим гражданам и переложить часть затрат </w:t>
      </w:r>
      <w:r w:rsidRPr="00D1277B">
        <w:rPr>
          <w:rFonts w:ascii="Times New Roman" w:hAnsi="Times New Roman"/>
          <w:sz w:val="28"/>
          <w:szCs w:val="28"/>
        </w:rPr>
        <w:br/>
        <w:t>на страховые компании, но почти полностью исключало возможность получения такой помощи пострадавшими гражданами, поскольку рынок страхования недвижимости от пожаров, наводнений и других чрезвычайных ситуаций в крае не развит.</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Скорее всего, к вопросу страхования имущества в связи с чрезвычайными ситуациями придется вернуться позднее, т.к. Президент Российской Федерации 05.07.2017 поручил Правительству Российской Федерации и Центробанку принять меры по повышению заинтересованности страховщиков и граждан в более широком использовании добровольного страхования, в том числе страхования имущества от утраты в результате чрезвычайных ситуаций техногенного и природного характера. Кроме того, президент поручил обеспечить доступность такого страхования для граждан, включая малообеспеченных, проживающих на территориях повышенного риска.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Например, федеральным законодателем в качестве законодательной инициативы 12.01.2015 в Государственную Думу был внесен законопроект </w:t>
      </w:r>
      <w:r w:rsidRPr="00D1277B">
        <w:rPr>
          <w:rFonts w:ascii="Times New Roman" w:hAnsi="Times New Roman"/>
          <w:sz w:val="28"/>
          <w:szCs w:val="28"/>
        </w:rPr>
        <w:br/>
        <w:t xml:space="preserve">№ 694881-6 «О внесении изменений в отдельные законодательные </w:t>
      </w:r>
      <w:r w:rsidRPr="00D1277B">
        <w:rPr>
          <w:rFonts w:ascii="Times New Roman" w:hAnsi="Times New Roman"/>
          <w:sz w:val="28"/>
          <w:szCs w:val="28"/>
        </w:rPr>
        <w:br/>
        <w:t xml:space="preserve">акты Российской Федерации в части упорядочивания механизма оказания помощи гражданам на восстановление (приобретение) имущества, утраченного </w:t>
      </w:r>
      <w:r w:rsidRPr="00D1277B">
        <w:rPr>
          <w:rFonts w:ascii="Times New Roman" w:hAnsi="Times New Roman"/>
          <w:sz w:val="28"/>
          <w:szCs w:val="28"/>
        </w:rPr>
        <w:br/>
        <w:t xml:space="preserve">в результате пожаров, наводнений и иных стихийных бедствий». </w:t>
      </w:r>
      <w:r w:rsidRPr="00D1277B">
        <w:rPr>
          <w:rFonts w:ascii="Times New Roman" w:hAnsi="Times New Roman"/>
          <w:sz w:val="28"/>
          <w:szCs w:val="28"/>
        </w:rPr>
        <w:br/>
        <w:t xml:space="preserve">Согласно пояснительной записке, данный законопроект предусматривает внесение изменений в  Жилищный кодекс Российской Федерации, Федеральный закон от 21 декабря 1994 года № 68-ФЗ «О защите населения и территорий от чрезвычайных ситуаций природного и техногенного характера» и Закон Российской Федерации от 27 ноября 1992 года № 4015-1 «Об организации страхового дела в Российской Федерации», статью 4 Закона Российской Федерации от 4 июля 1991 года № 1541-1 «О приватизации жилищного фонда в Российской Федерации» и пункт 2 статьи 26.3 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части создания законодательных основ для построения системы оказания помощи гражданам на восстановление (приобретение) имущества, утраченного в результате чрезвычайных ситуаций федерального, межрегионального, регионального характера, в том числе пожара, наводнения, иного стихийного бедствия, на </w:t>
      </w:r>
      <w:r w:rsidRPr="00D1277B">
        <w:rPr>
          <w:rFonts w:ascii="Times New Roman" w:hAnsi="Times New Roman"/>
          <w:sz w:val="28"/>
          <w:szCs w:val="28"/>
        </w:rPr>
        <w:lastRenderedPageBreak/>
        <w:t>принципах разграничения обязательств страховых организаций и Российской Федерации, субъектов Российской Федерации в целях сокращения расходов соответствующих бюджетов бюджетной системы Российской Федерации и повышения охвата страхованием принадлежащих гражданам (занимаемых ими) жилых помещений.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Проект федерального закона направлен на гармонизацию действующей системы добровольного страхования имущества, принадлежащего гражданам,</w:t>
      </w:r>
      <w:r w:rsidRPr="00D1277B">
        <w:rPr>
          <w:rFonts w:ascii="Times New Roman" w:hAnsi="Times New Roman"/>
          <w:sz w:val="28"/>
          <w:szCs w:val="28"/>
        </w:rPr>
        <w:br/>
        <w:t xml:space="preserve"> с функционирующими в ряде субъектов Российской Федерации (г. Москва, Краснодарский край) региональными программами страхования жилых помещений, а также оказываемой государством финансовой помощью гражданам, пострадавшим в результате чрезвычайных ситуаций федерального, межрегионального, регионального характера, в том числе пожара, наводнения, иного стихийного бедствия.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С этой целью проектом федерального закона предусмотрены, в частности: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возможность утверждения субъектами Российской Федерации программ защиты жилищных прав граждан с использованием механизма страхования </w:t>
      </w:r>
      <w:r w:rsidRPr="00D1277B">
        <w:rPr>
          <w:rFonts w:ascii="Times New Roman" w:hAnsi="Times New Roman"/>
          <w:sz w:val="28"/>
          <w:szCs w:val="28"/>
        </w:rPr>
        <w:br/>
        <w:t>путем разработки новых или изменения существующих программ в области жилищной политики;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минимальное содержание таких программ (защита граждан от рисков утраты жилого помещения в результате чрезвычайных ситуаций федерального, межрегионального и регионального характера), финансовое обеспечение которых предлагается осуществлять за счет средств федерального бюджета в пределах, предусмотренных на соответствующие цели в резервном фонде Правительства Российской Федерации по предупреждению и ликвидации чрезвычайных ситуаций и последствий стихийных бедствий;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право субъектов Российской Федерации в пределах бюджетных ассигнований, предусмотренных в бюджете субъекта Российской Федерации </w:t>
      </w:r>
      <w:r w:rsidRPr="00D1277B">
        <w:rPr>
          <w:rFonts w:ascii="Times New Roman" w:hAnsi="Times New Roman"/>
          <w:sz w:val="28"/>
          <w:szCs w:val="28"/>
        </w:rPr>
        <w:br/>
        <w:t>на соответствующий финансовый год и плановый период, расширять в программах гарантии защиты жилищных прав граждан с использованием механизма страхования;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полномочия органов государственной власти Российской Федерации </w:t>
      </w:r>
      <w:r w:rsidRPr="00D1277B">
        <w:rPr>
          <w:rFonts w:ascii="Times New Roman" w:hAnsi="Times New Roman"/>
          <w:sz w:val="28"/>
          <w:szCs w:val="28"/>
        </w:rPr>
        <w:br/>
        <w:t>по правовому регулированию, методическому и информационному обеспечению организации и реализации программ.</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В целях повышения ответственности граждан за обеспечение сохранности жилых помещений, сокращения расходов соответствующих бюджетов бюджетной системы Российской Федерации на ликвидацию последствий стихийных бедствий и повышения охвата страхованием принадлежащих гражданам (занимаемых ими) жилых помещений проектом федерального закона предусмотрено:</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1) поэтапное сокращение государственной финансовой помощи пострадавшим в результате чрезвычайных ситуаций гражданам, не заключившим договор страхования жилого помещения, путем:</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а) ограничения права обмена предоставленного им другого </w:t>
      </w:r>
      <w:r w:rsidRPr="00D1277B">
        <w:rPr>
          <w:rFonts w:ascii="Times New Roman" w:hAnsi="Times New Roman"/>
          <w:sz w:val="28"/>
          <w:szCs w:val="28"/>
        </w:rPr>
        <w:br/>
        <w:t>жилого помещения по договору социального найма;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lastRenderedPageBreak/>
        <w:t xml:space="preserve">б) введения запрета для собственников утраченных жилых помещений </w:t>
      </w:r>
      <w:r w:rsidRPr="00D1277B">
        <w:rPr>
          <w:rFonts w:ascii="Times New Roman" w:hAnsi="Times New Roman"/>
          <w:sz w:val="28"/>
          <w:szCs w:val="28"/>
        </w:rPr>
        <w:br/>
        <w:t>на приватизацию предоставленного им другого жилого помещения по договору социального найма (данная мера должна сопровождаться информационно-разъяснительными мероприятиями, пропагандирующими инструменты самостоятельного финансового обеспечения имущественных интересов граждан посредством страхования);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2) обеспечение прав граждан на доступную и эффективную систему страхования имущественных прав граждан (на жилье) от рисков утраты </w:t>
      </w:r>
      <w:r w:rsidRPr="00D1277B">
        <w:rPr>
          <w:rFonts w:ascii="Times New Roman" w:hAnsi="Times New Roman"/>
          <w:sz w:val="28"/>
          <w:szCs w:val="28"/>
        </w:rPr>
        <w:br/>
        <w:t xml:space="preserve">(полной гибели) жилого помещения в результате чрезвычайных ситуаций федерального, межрегионального, регионального характера, в том числе пожара, наводнения, иного стихийного бедствия.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Основными элементами такой системы страхования являются: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финансовое обеспечение за счет средств федерального бюджета федерального минимума защиты жилищных прав граждан с использованием механизма страхования от рисков утраты жилого помещения в результате чрезвычайных ситуаций федерального и межрегионального характера;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определение в утверждаемых субъектами Российской Федерации программах обязательств субъектов Российской Федерации с учетом специфики каждого субъекта Российской Федерации и уровня его финансовой обеспеченности;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участие субъекта Российской Федерации в возмещении ущерба </w:t>
      </w:r>
      <w:r w:rsidRPr="00D1277B">
        <w:rPr>
          <w:rFonts w:ascii="Times New Roman" w:hAnsi="Times New Roman"/>
          <w:sz w:val="28"/>
          <w:szCs w:val="28"/>
        </w:rPr>
        <w:br/>
        <w:t xml:space="preserve">путем предоставления субъектом Российской Федерации в соответствии </w:t>
      </w:r>
      <w:r w:rsidRPr="00D1277B">
        <w:rPr>
          <w:rFonts w:ascii="Times New Roman" w:hAnsi="Times New Roman"/>
          <w:sz w:val="28"/>
          <w:szCs w:val="28"/>
        </w:rPr>
        <w:br/>
        <w:t>с утвержденной им программой в дополнение к страховым выплатам финансового обеспечения в пределах предусмотренных бюджетных ассигнований на очередной год и плановый период;</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право субъектов Российской Федерации предоставлять финансовое обеспечение в дополнение к страховым выплатам по заключенным в рамках программ договорам страхования, предусматривающим более широкий набор рисков, в том числе риски повреждения жилого помещения в результате чрезвычайных ситуаций, аварий систем отопления, водоснабжения, канализации, внутренних водостоков и т.д. (эффективность программ, разработанных субъектами Российской Федерации, может являться фактором, предопределяющим закрепляемые в соответствующих нормативных правовых актах решения о выделении субъектам Российской Федерации межбюджетных трансфертов из федерального бюджета; требования к порядку предоставления жилого помещения, а также порядку предоставления субъектом Российской Федерации финансового обеспечения в дополнение к страховым выплатам будут закреплены в соответствующих нормативных правовых актах, регулирующих выделение бюджетных ассигнований на предупреждение и ликвидацию чрезвычайных ситуаций и последствий стихийных бедствий);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возможность предоставления субъектом Российской Федерации в случае утраты, гибели жилого помещения, застрахованного в рамках программы, другого жилого помещения при условии перечисления страховщиком на основании заявления страхователя в бюджет субъекта Российской Федерации </w:t>
      </w:r>
      <w:r w:rsidRPr="00D1277B">
        <w:rPr>
          <w:rFonts w:ascii="Times New Roman" w:hAnsi="Times New Roman"/>
          <w:sz w:val="28"/>
          <w:szCs w:val="28"/>
        </w:rPr>
        <w:lastRenderedPageBreak/>
        <w:t>суммы, причитающегося к выплате страхового возмещения;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оценка пригодности жилья для восстановления и установление факта полной гибели имущества осуществляется комиссией, в состав которой помимо представителей органа государственной власти субъекта Российской Федерации или органа местного самоуправления входят представители страховщика;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координация и информационное взаимодействие федеральных органов исполнительной власти, органов исполнительной власти субъектов Российской Федерации, органов местного самоуправления и страховых организаций </w:t>
      </w:r>
      <w:r w:rsidRPr="00D1277B">
        <w:rPr>
          <w:rFonts w:ascii="Times New Roman" w:hAnsi="Times New Roman"/>
          <w:sz w:val="28"/>
          <w:szCs w:val="28"/>
        </w:rPr>
        <w:br/>
        <w:t>при осуществлении страхования жилых помещений граждан в рамках программ;</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определение размера страховой выплаты в случае повреждения застрахованного в рамках программы жилого помещения исходя из средней стоимости восстановления одного квадратного метра общей площади жилого помещения в субъекте Российской Федерации и иных факторов по методике, установленной Правительством Российской Федерации;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установление Банком России требований к страховщикам, заключающим договоры страхования жилых помещений в рамках программ, с учетом количества страховщиков, осуществляющих страховую деятельность на территории субъекта Российской Федерации, соблюдения ими требований финансовой устойчивости и платежеспособности в целях обеспечения выполнения обязательств по программам и обеспечения доступности страхования жилых помещений граждан в субъекте Российской Федерации;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организация удобной и доступной системы заключения договора страхования посредством направления страховщиком оферты и ее акцепта страхователем уплатой страховой премии (страховых взносов) путем включения </w:t>
      </w:r>
      <w:r w:rsidRPr="00D1277B">
        <w:rPr>
          <w:rFonts w:ascii="Times New Roman" w:hAnsi="Times New Roman"/>
          <w:sz w:val="28"/>
          <w:szCs w:val="28"/>
        </w:rPr>
        <w:br/>
        <w:t xml:space="preserve">в качестве опции суммы страхового взноса в единый платежный документ, </w:t>
      </w:r>
      <w:r w:rsidRPr="00D1277B">
        <w:rPr>
          <w:rFonts w:ascii="Times New Roman" w:hAnsi="Times New Roman"/>
          <w:sz w:val="28"/>
          <w:szCs w:val="28"/>
        </w:rPr>
        <w:br/>
        <w:t xml:space="preserve">счет на оплату электроэнергии, возможность уплаты страховых взносов </w:t>
      </w:r>
      <w:r w:rsidRPr="00D1277B">
        <w:rPr>
          <w:rFonts w:ascii="Times New Roman" w:hAnsi="Times New Roman"/>
          <w:sz w:val="28"/>
          <w:szCs w:val="28"/>
        </w:rPr>
        <w:br/>
        <w:t>через отделения Почты России, Сбербанка России, иных организаций с крупной филиальной сетью, операторов сотовой или стационарной связи, платежные терминалы и т.д., не исключая традиционные способы заключения договоров страхования;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определение размера страховой премии с учетом требований к методике расчета страховых тарифов, в том числе к ее структуре и содержанию, к порядку использования статистических данных, которые вправе установить Банк России;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формирование системы информационного обеспечения, включая данные </w:t>
      </w:r>
      <w:r w:rsidRPr="00D1277B">
        <w:rPr>
          <w:rFonts w:ascii="Times New Roman" w:hAnsi="Times New Roman"/>
          <w:sz w:val="28"/>
          <w:szCs w:val="28"/>
        </w:rPr>
        <w:br/>
        <w:t xml:space="preserve">о заключенных договорах страхования, объектах страхования, уплаченных страховых премиях и страховых взносах, о произошедших страховых случаях </w:t>
      </w:r>
      <w:r w:rsidRPr="00D1277B">
        <w:rPr>
          <w:rFonts w:ascii="Times New Roman" w:hAnsi="Times New Roman"/>
          <w:sz w:val="28"/>
          <w:szCs w:val="28"/>
        </w:rPr>
        <w:br/>
        <w:t xml:space="preserve">и осуществленных страховых выплатах, данные о кадастровой оценке жилых помещений, их площади и типе, необходимые, в частности, для оценки страхового риска и определения страхового тарифа, информацию об оказанной финансовой помощи, определение участников информационного </w:t>
      </w:r>
      <w:r w:rsidRPr="00D1277B">
        <w:rPr>
          <w:rFonts w:ascii="Times New Roman" w:hAnsi="Times New Roman"/>
          <w:sz w:val="28"/>
          <w:szCs w:val="28"/>
        </w:rPr>
        <w:lastRenderedPageBreak/>
        <w:t>взаимодействия и оператора информационной системы.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Принятие предлагаемого федерального закона, по мнению авторов этого законопроекта, позволит построить цивилизованную, доступную и эффективную многоуровневую систему оказания помощи гражданам на восстановление (приобретение) имущества, утраченного в результате чрезвычайных ситуаций федерального, межрегионального, регионального характера, в том числе пожара, наводнения, иного стихийного бедствия, повысив количество застрахованных жилых помещений граждан и сократив расходы бюджетных средств на ликвидацию последствий пожаров, наводнений и иных стихийных бедствий.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По состоянию на ноябрь текущего года законопроект принят в первом чтении, дата принятия Комитетом Государственной Думы по финансовому рынку решения о представлении законопроекта в Совет Государственной Думы не определена.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Еще одной новеллой постановления Администрации Приморского края </w:t>
      </w:r>
      <w:r w:rsidRPr="00D1277B">
        <w:rPr>
          <w:rFonts w:ascii="Times New Roman" w:hAnsi="Times New Roman"/>
          <w:sz w:val="28"/>
          <w:szCs w:val="28"/>
        </w:rPr>
        <w:br/>
        <w:t xml:space="preserve">от 15 мая 2018 года № 223-па, которую позднее пришлось упразднять, была норма, содержащая условие о наличии у пострадавшего гражданина </w:t>
      </w:r>
      <w:r w:rsidRPr="00D1277B">
        <w:rPr>
          <w:rFonts w:ascii="Times New Roman" w:hAnsi="Times New Roman"/>
          <w:sz w:val="28"/>
          <w:szCs w:val="28"/>
        </w:rPr>
        <w:br/>
        <w:t xml:space="preserve">статуса правообладателя земельного участка во взаимосвязи с возникновением права на получение 10,0 тыс. рублей в связи с утратой урожая на земельном участке, расположенном в границах территории муниципального образования, на которой сложилась чрезвычайная ситуация. Практика работы комиссий, созданных органами местного самоуправления, показала, что у подавляющего большинства граждан, проживающих на территории сельских населенных пунктов, отсутствуют правоустанавливающие и/или правоудостоверяющие документы на земельные участки, включая придомовые земельные участки.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К сожалению, правовая культура граждан в части знания и стремления исполнять нормы, регулирующие возникновение права на земельные участки, которые они фактически используют в своей повседневной деятельности, является достаточно низкой. Эта же тенденция отмечается авторами учебной литературы по теории государства и права.</w:t>
      </w:r>
      <w:r w:rsidRPr="00D1277B">
        <w:rPr>
          <w:rFonts w:ascii="Times New Roman" w:hAnsi="Times New Roman"/>
          <w:sz w:val="28"/>
          <w:szCs w:val="28"/>
          <w:vertAlign w:val="superscript"/>
        </w:rPr>
        <w:footnoteReference w:id="68"/>
      </w:r>
      <w:r w:rsidRPr="00D1277B">
        <w:rPr>
          <w:rFonts w:ascii="Times New Roman" w:hAnsi="Times New Roman"/>
          <w:sz w:val="28"/>
          <w:szCs w:val="28"/>
        </w:rPr>
        <w:t xml:space="preserve"> По их мнению, значительная часть российского населения устойчивой привычкой к законопослушанию, к соблюдению правовых норм не обладает. Планомерная, целенаправленная работа по правовому воспитанию граждан не осуществляется. Озвученная позиция поддержана также авторами ряда статьей по данной проблематике.</w:t>
      </w:r>
      <w:r w:rsidRPr="00D1277B">
        <w:rPr>
          <w:rFonts w:ascii="Times New Roman" w:hAnsi="Times New Roman"/>
          <w:sz w:val="28"/>
          <w:szCs w:val="28"/>
          <w:vertAlign w:val="superscript"/>
        </w:rPr>
        <w:footnoteReference w:id="69"/>
      </w:r>
      <w:r w:rsidRPr="00D1277B">
        <w:rPr>
          <w:rFonts w:ascii="Times New Roman" w:hAnsi="Times New Roman"/>
          <w:sz w:val="28"/>
          <w:szCs w:val="28"/>
        </w:rPr>
        <w:t xml:space="preserve">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Согласно результатам всероссийского опроса, проведенного Аналитическим центром НАФИ (Национальное агентство финансовых исследований) в мае 2017 года совместно с Национальной Юридической Службой АМУЛЕКС, только 16% россиян полагают, что уровень их правовых знаний </w:t>
      </w:r>
      <w:r w:rsidRPr="00D1277B">
        <w:rPr>
          <w:rFonts w:ascii="Times New Roman" w:hAnsi="Times New Roman"/>
          <w:sz w:val="28"/>
          <w:szCs w:val="28"/>
        </w:rPr>
        <w:br/>
        <w:t xml:space="preserve">выше среднего или высокий. Наибольшая доля россиян с высокой </w:t>
      </w:r>
      <w:r w:rsidRPr="00D1277B">
        <w:rPr>
          <w:rFonts w:ascii="Times New Roman" w:hAnsi="Times New Roman"/>
          <w:sz w:val="28"/>
          <w:szCs w:val="28"/>
        </w:rPr>
        <w:lastRenderedPageBreak/>
        <w:t>самооценкой правовой грамотности – среди жителей городов - миллионников (24%); ниже всего свои знания в правовой сфере оценили жители малых городов с населением 50-100 тыс. чел – 38%.</w:t>
      </w:r>
      <w:r w:rsidRPr="00D1277B">
        <w:rPr>
          <w:rFonts w:ascii="Times New Roman" w:hAnsi="Times New Roman"/>
          <w:sz w:val="28"/>
          <w:szCs w:val="28"/>
          <w:vertAlign w:val="superscript"/>
        </w:rPr>
        <w:footnoteReference w:id="70"/>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ab/>
        <w:t>Правоприменитель установил сроки для обращения органов местного самоуправления муниципальных образований о выделении средств из финансового резерва для оказания разовой материальной помощи пострадавшим гражданам в случае возникновения чрезвычайной ситуации муниципального, межмуниципального и регионального характера, установив, что такое обращение должно быть направлено не позднее 10 календарных дней со дня возникновения чрезвычайной ситуации. В случае возникновения чрезвычайной ситуации муниципального характера органы местного самоуправления муниципальных образований вправе направить такое обращение только в случае недостаточности бюджетных ассигнований, предусмотренных в местных бюджетах для ликвидации чрезвычайной ситуации, и в случае, если объем запрашиваемых финансовых средств, связанных с ликвидацией чрезвычайной ситуации, составляет более 0,5 процента объема налоговых, неналоговых доходов местного бюджет и дотации на выравнивание бюджетной обеспеченности муниципального образования на текущий финансовый год.</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Обращение должно содержать обоснование необходимости выделения средств финансового резерва с указанием данных о количестве людей, нуждающихся в оказании разовой материальной помощи, размере разовой материальной помощи и информации об объемах расходов местных бюджетов, направленных на ликвидацию чрезвычайной ситуации.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 случае возникновения чрезвычайной ситуации межмуниципального </w:t>
      </w:r>
      <w:r w:rsidRPr="00D1277B">
        <w:rPr>
          <w:rFonts w:ascii="Times New Roman" w:hAnsi="Times New Roman"/>
          <w:sz w:val="28"/>
          <w:szCs w:val="28"/>
        </w:rPr>
        <w:br/>
        <w:t xml:space="preserve">или регионального характера обращение должно содержать обоснование необходимости выделения средств финансового резерва с указанием данных </w:t>
      </w:r>
      <w:r w:rsidRPr="00D1277B">
        <w:rPr>
          <w:rFonts w:ascii="Times New Roman" w:hAnsi="Times New Roman"/>
          <w:sz w:val="28"/>
          <w:szCs w:val="28"/>
        </w:rPr>
        <w:br/>
        <w:t>о количестве людей, нуждающихся в оказании разовой материальной помощи, и размере разовой материальной помощи.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Однако, как показывает практика, определить в столь короткие сроки количество пострадавших граждан и, соответственно, сумму необходимых средств, достаточно проблематично. Чаще всего это обусловлено невозможностью в сжатые сроки произвести осмотр и актирование пострадавших объектов, отсутствием граждан на момент проведения обследования комиссиями того или иного населенного пункта, поэтому списки пострадавших граждан продолжают формироваться спустя 4 и более месяцев после принятия решения о снятии режима чрезвычайной ситуации.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По мнению аудиторов Счетной палаты Российской Федерации, отраженному в представлении от 24.11.2017 №ПР14-285/1403, право граждан </w:t>
      </w:r>
      <w:r w:rsidRPr="00D1277B">
        <w:rPr>
          <w:rFonts w:ascii="Times New Roman" w:hAnsi="Times New Roman"/>
          <w:sz w:val="28"/>
          <w:szCs w:val="28"/>
        </w:rPr>
        <w:br/>
        <w:t xml:space="preserve">на получение выплат (в данном случае речь идет о выплатах единовременной материальной и финансовой помощи, выплачиваемой за счет средств резервного фонда Правительства Российской Федерации по предупреждению </w:t>
      </w:r>
      <w:r w:rsidRPr="00D1277B">
        <w:rPr>
          <w:rFonts w:ascii="Times New Roman" w:hAnsi="Times New Roman"/>
          <w:sz w:val="28"/>
          <w:szCs w:val="28"/>
        </w:rPr>
        <w:lastRenderedPageBreak/>
        <w:t xml:space="preserve">и ликвидации чрезвычайных ситуаций и последствий стихийных бедствий) </w:t>
      </w:r>
      <w:r w:rsidRPr="00D1277B">
        <w:rPr>
          <w:rFonts w:ascii="Times New Roman" w:hAnsi="Times New Roman"/>
          <w:sz w:val="28"/>
          <w:szCs w:val="28"/>
        </w:rPr>
        <w:br/>
        <w:t>не может быть ограничено какими-либо сроками.</w:t>
      </w:r>
    </w:p>
    <w:p w:rsidR="00D1277B" w:rsidRPr="00D1277B" w:rsidRDefault="00D1277B" w:rsidP="00D1277B">
      <w:pPr>
        <w:widowControl w:val="0"/>
        <w:spacing w:after="0" w:line="240" w:lineRule="auto"/>
        <w:jc w:val="both"/>
        <w:rPr>
          <w:rFonts w:ascii="Times New Roman" w:hAnsi="Times New Roman"/>
          <w:sz w:val="28"/>
          <w:szCs w:val="28"/>
        </w:rPr>
      </w:pPr>
    </w:p>
    <w:p w:rsidR="00D1277B" w:rsidRPr="00D1277B" w:rsidRDefault="00D1277B" w:rsidP="00D1277B">
      <w:pPr>
        <w:widowControl w:val="0"/>
        <w:spacing w:after="0" w:line="240" w:lineRule="auto"/>
        <w:jc w:val="both"/>
        <w:rPr>
          <w:rFonts w:ascii="Times New Roman" w:hAnsi="Times New Roman"/>
          <w:b/>
          <w:sz w:val="28"/>
          <w:szCs w:val="28"/>
        </w:rPr>
      </w:pPr>
      <w:r w:rsidRPr="00D1277B">
        <w:rPr>
          <w:rFonts w:ascii="Times New Roman" w:hAnsi="Times New Roman"/>
          <w:b/>
          <w:sz w:val="28"/>
          <w:szCs w:val="28"/>
        </w:rPr>
        <w:t xml:space="preserve">2. Проблемы соблюдения прав пострадавших граждан, связанные </w:t>
      </w:r>
      <w:r w:rsidRPr="00D1277B">
        <w:rPr>
          <w:rFonts w:ascii="Times New Roman" w:hAnsi="Times New Roman"/>
          <w:b/>
          <w:sz w:val="28"/>
          <w:szCs w:val="28"/>
        </w:rPr>
        <w:br/>
        <w:t>с реализацией нормативных правовых актов, регулирующих вопросы организации работы по оказанию помощи в период чрезвычайных ситуаций на территории края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b/>
          <w:sz w:val="28"/>
          <w:szCs w:val="28"/>
        </w:rPr>
        <w:tab/>
      </w:r>
      <w:r w:rsidRPr="00D1277B">
        <w:rPr>
          <w:rFonts w:ascii="Times New Roman" w:hAnsi="Times New Roman"/>
          <w:sz w:val="28"/>
          <w:szCs w:val="28"/>
        </w:rPr>
        <w:t xml:space="preserve">Основной и наиболее распространенной проблемой, с точки зрения возможности реализации прав пострадавших граждан на получение выплат </w:t>
      </w:r>
      <w:r w:rsidRPr="00D1277B">
        <w:rPr>
          <w:rFonts w:ascii="Times New Roman" w:hAnsi="Times New Roman"/>
          <w:sz w:val="28"/>
          <w:szCs w:val="28"/>
        </w:rPr>
        <w:br/>
        <w:t xml:space="preserve">за счет средств федерального и краевого бюджетов, является наличие </w:t>
      </w:r>
      <w:r w:rsidRPr="00D1277B">
        <w:rPr>
          <w:rFonts w:ascii="Times New Roman" w:hAnsi="Times New Roman"/>
          <w:sz w:val="28"/>
          <w:szCs w:val="28"/>
        </w:rPr>
        <w:br/>
        <w:t>в действующем законодательстве требования о необходимости предоставления документа, подтверждающего факт постоянного проживания в жилых помещениях, расположенных на территории муниципальных образований в границах зоны чрезвычайной ситуации. Об этом свидетельствует статистика обращений пострадавших граждан в судебные органы.</w:t>
      </w:r>
      <w:r w:rsidRPr="00D1277B">
        <w:rPr>
          <w:rFonts w:ascii="Times New Roman" w:hAnsi="Times New Roman"/>
          <w:sz w:val="28"/>
          <w:szCs w:val="28"/>
          <w:vertAlign w:val="superscript"/>
        </w:rPr>
        <w:footnoteReference w:id="71"/>
      </w:r>
      <w:r w:rsidRPr="00D1277B">
        <w:rPr>
          <w:rFonts w:ascii="Times New Roman" w:hAnsi="Times New Roman"/>
          <w:sz w:val="28"/>
          <w:szCs w:val="28"/>
        </w:rPr>
        <w:t xml:space="preserve"> Так, например, в 2017 году (Октябрьский МР; Пограничный МР; Михайловский МР; Уссурийский ГО; Надеждинский МР; Хасанский МР) было подтоплено с причинением ущерба 4074 домовладений, в которых проживали более 12 тыс. граждан. В судебные органы обратилось 1252 гражданина с заявлениями об установлении факта постоянного проживания на соответствующей территории на дату введения режима чрезвычайной ситуации. При этом, часть граждан, как было установлено </w:t>
      </w:r>
      <w:r w:rsidRPr="00D1277B">
        <w:rPr>
          <w:rFonts w:ascii="Times New Roman" w:hAnsi="Times New Roman"/>
          <w:sz w:val="28"/>
          <w:szCs w:val="28"/>
        </w:rPr>
        <w:br/>
        <w:t xml:space="preserve">в судебных заседаниях, являлась получателями иных мер социальной поддержки по месту жительства на территории других муниципальных образований края (в данном случае имеются ввиду иные меры социальной поддержки, получение которых обусловлено наличием постоянной регистрации в конкретном жилом помещении). Так, по данным за 2017 год, в удовлетворении заявленных требований судами было отказано 256 гражданам и, как следствие, этим гражданам также отказано в выплате материальной помощи.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ab/>
        <w:t xml:space="preserve">В этой части необходимо отметить, что постановление Правительства </w:t>
      </w:r>
      <w:r w:rsidRPr="00D1277B">
        <w:rPr>
          <w:rFonts w:ascii="Times New Roman" w:hAnsi="Times New Roman"/>
          <w:sz w:val="28"/>
          <w:szCs w:val="28"/>
        </w:rPr>
        <w:br/>
        <w:t xml:space="preserve">РФ от 15.02.2014 № 110 (ред. от 30.05.2018) «О выделении бюджетных ассигнований из резервного фонда Правительства Российской Федерации </w:t>
      </w:r>
      <w:r w:rsidRPr="00D1277B">
        <w:rPr>
          <w:rFonts w:ascii="Times New Roman" w:hAnsi="Times New Roman"/>
          <w:sz w:val="28"/>
          <w:szCs w:val="28"/>
        </w:rPr>
        <w:br/>
        <w:t>по предупреждению и ликвидации чрезвычайных ситуаций и последствий стихийных бедствий» дополнено позицией 2(1), в соответствии с которой выделение бюджетных ассигнований из резервного фонда на финансовое обеспечение мероприятий, связанных с оказанием гражданам единовременной материальной помощи в размере 10 тыс. рублей на человека, осуществляется при одновременном выполнении на день введения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 следующих условий: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lastRenderedPageBreak/>
        <w:t xml:space="preserve">постоянное проживание гражданина в жилом помещении, которое попало </w:t>
      </w:r>
      <w:r w:rsidRPr="00D1277B">
        <w:rPr>
          <w:rFonts w:ascii="Times New Roman" w:hAnsi="Times New Roman"/>
          <w:sz w:val="28"/>
          <w:szCs w:val="28"/>
        </w:rPr>
        <w:br/>
        <w:t>в зону чрезвычайной ситуации и в котором он зарегистрирован по месту жительства;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нарушение условий жизнедеятельности гражданина в результате воздействия поражающих факторов источника чрезвычайной ситуации.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Предметом рассмотрения Судебной коллегии по административным делам Верховного Суда Российской Федерации 22.03.2017 (дела № 56-АПГ17-1) являлось постановление Администрации Приморского края от 02.09.2016 № 413-па «О мерах по ликвидации последствий чрезвычайной ситуации природного характера в результате продолжительных ливневых дождей на территории Приморского края в августе-сентябре 2016 года за счет средств, выделяемых из федерального и краевого бюджетов» в связи обращением прокурора Приморского края в суд с административным исковым заявлением о признании недействующим его в части норм, ставящих в зависимость от регистрации гражданина по месту жительства его право на получение выплат. В соответствии с апелляционным определением решение Приморского краевого суда от 17.11.2016, которым прокурору отказано в удовлетворении заявленных требований, оставлено без изменения, апелляционное представление прокурора Приморского края – без удовлетворения. Указано на то, позиция прокурора в поддержку граждан, не зарегистрированных по месту жительства, то есть постоянно не проживающих на пострадавших территориях, противоречит целям правового регулирования рассматриваемых правоотношений на федеральном и региональном уровнях. Социальная поддержка в данном случае направлена на оказание помощи лицам, которые, постоянно проживая в пострадавших районах Приморского края, утратили полностью (или частично) свое жилье, урожай или имущество первой необходимости. Подтверждением факта постоянного проживания граждан в жилых домах и квартирах, расположенных в зоне чрезвычайно ситуации, является их регистрация по месту жительства. Наличие данной судебной практики необходимо учитывать и своевременно информировать население о необходимости соблюдения законодательства в сфере регистрационного учета.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 качестве общей проблематики, возникающей в работе органов местного самоуправления с пострадавшим населением, в значительной степени повлиявшей на оперативность принятия решений, можно отметить отсутствие единого подхода по вопросу возникновения права на выплату в размере 10 тыс. рублей.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Так, в 2016 году письмом Главного управления МЧС России по Приморскому краю от 13.09.2016 № 5830 было рекомендовано применять следующие критерии: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единовременная материальная помощь в размере 10 тыс. рублей выплачивается по заявлению: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гражданам, зарегистрированным до 31.08.2016 августа по месту жительства (по месту пребывания) в частных жилых домах, оказавшихся в зоне </w:t>
      </w:r>
      <w:r w:rsidRPr="00D1277B">
        <w:rPr>
          <w:rFonts w:ascii="Times New Roman" w:hAnsi="Times New Roman"/>
          <w:sz w:val="28"/>
          <w:szCs w:val="28"/>
        </w:rPr>
        <w:lastRenderedPageBreak/>
        <w:t xml:space="preserve">наводнения, если этот дом пострадал (размыт фундамент или вода поступила в подполье дома, и при этом произошло аварийное отключение не менее одной системы жизнеобеспечения (водоснабжение, электроснабжение, газоснабжение) </w:t>
      </w:r>
      <w:r w:rsidRPr="00D1277B">
        <w:rPr>
          <w:rFonts w:ascii="Times New Roman" w:hAnsi="Times New Roman"/>
          <w:sz w:val="28"/>
          <w:szCs w:val="28"/>
        </w:rPr>
        <w:br/>
        <w:t xml:space="preserve">на 1 сутки и более;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гражданам, зарегистрированным до 31.08.2016 по месту жительства </w:t>
      </w:r>
      <w:r w:rsidRPr="00D1277B">
        <w:rPr>
          <w:rFonts w:ascii="Times New Roman" w:hAnsi="Times New Roman"/>
          <w:sz w:val="28"/>
          <w:szCs w:val="28"/>
        </w:rPr>
        <w:br/>
        <w:t xml:space="preserve">(по месту пребывания) в многоэтажных (многоквартирных) жилых домах, оказавшихся в зоне наводнения, если этот дом пострадал (размыт фундамент </w:t>
      </w:r>
      <w:r w:rsidRPr="00D1277B">
        <w:rPr>
          <w:rFonts w:ascii="Times New Roman" w:hAnsi="Times New Roman"/>
          <w:sz w:val="28"/>
          <w:szCs w:val="28"/>
        </w:rPr>
        <w:br/>
        <w:t xml:space="preserve">или вода поступила в подполье дома), и при этом произошло аварийное отключение не менее одной системы жизнеобеспечения (водоснабжение, электроснабжение, газоснабжение) на 1 сутки и более.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В 2017 году письмом от 12.08.2017 № 6067 Главного управления МЧС России по Приморскому краю до глав муниципальных образований, подвергшихся воздействию чрезвычайной ситуации, была доведена следующая позиция в отношении этой же выплаты: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 списки на оказание единовременной материальной помощи (в размере </w:t>
      </w:r>
      <w:r w:rsidRPr="00D1277B">
        <w:rPr>
          <w:rFonts w:ascii="Times New Roman" w:hAnsi="Times New Roman"/>
          <w:sz w:val="28"/>
          <w:szCs w:val="28"/>
        </w:rPr>
        <w:br/>
        <w:t xml:space="preserve">10 тыс. рублей) рекомендовано включать граждан на основании их заявлений, постоянно проживающих и зарегистрированных по адресам домов (жилых помещений), находившихся в зоне чрезвычайной ситуации и включенных </w:t>
      </w:r>
      <w:r w:rsidRPr="00D1277B">
        <w:rPr>
          <w:rFonts w:ascii="Times New Roman" w:hAnsi="Times New Roman"/>
          <w:sz w:val="28"/>
          <w:szCs w:val="28"/>
        </w:rPr>
        <w:br/>
        <w:t>в муниципальный правовой акт, в котором указаны населенные пункты, улицы и адреса объектов, попавших в зону чрезвычайной ситуации.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Критерии отнесения таких объектов к пострадавшим в данном письме </w:t>
      </w:r>
      <w:r w:rsidRPr="00D1277B">
        <w:rPr>
          <w:rFonts w:ascii="Times New Roman" w:hAnsi="Times New Roman"/>
          <w:sz w:val="28"/>
          <w:szCs w:val="28"/>
        </w:rPr>
        <w:br/>
        <w:t>не оговорены.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Неурегулированность на законодательном уровне привела к тому, </w:t>
      </w:r>
      <w:r w:rsidRPr="00D1277B">
        <w:rPr>
          <w:rFonts w:ascii="Times New Roman" w:hAnsi="Times New Roman"/>
          <w:sz w:val="28"/>
          <w:szCs w:val="28"/>
        </w:rPr>
        <w:br/>
        <w:t xml:space="preserve">что количество выплат (по 10 тыс. рублей на человека), полученных гражданами, проживающими на территории Ольгинского муниципального района, за счет средств федерального бюджета (по данным на октябрь 2018 года), составило 5901 выплата при том, что общая численность населения Ольгинского муниципального района составляла в 2016 году 9708 чел. При этом право на выплаты, связанные с частичной или полной утратой имущества первой необходимости, что связанно с затоплением жилых помещений, как видно из представленных ниже данных о количестве выплат по Ольгинскому МР за 2016 год, возникло в только в 8 случаях (в связи с частичной утратой имущества первой необходимости). Полной утраты имущества первой необходимости комиссиями не зафиксировано.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Более того, по состоянию на октябрь текущего года в Ольгинский районный суд Приморского края подано еще около 50 исков от граждан, намеренных установить свое право на выплаты в связи с чрезвычайной ситуацией, возникшей </w:t>
      </w:r>
      <w:r w:rsidRPr="00D1277B">
        <w:rPr>
          <w:rFonts w:ascii="Times New Roman" w:hAnsi="Times New Roman"/>
          <w:sz w:val="28"/>
          <w:szCs w:val="28"/>
        </w:rPr>
        <w:br/>
        <w:t xml:space="preserve">в 2016 году. Анализ сложившейся ситуации позволяет сделать вывод </w:t>
      </w:r>
      <w:r w:rsidRPr="00D1277B">
        <w:rPr>
          <w:rFonts w:ascii="Times New Roman" w:hAnsi="Times New Roman"/>
          <w:sz w:val="28"/>
          <w:szCs w:val="28"/>
        </w:rPr>
        <w:br/>
        <w:t xml:space="preserve">о том, что, возможно, часть граждан претендует на данную выплату </w:t>
      </w:r>
      <w:r w:rsidRPr="00D1277B">
        <w:rPr>
          <w:rFonts w:ascii="Times New Roman" w:hAnsi="Times New Roman"/>
          <w:sz w:val="28"/>
          <w:szCs w:val="28"/>
        </w:rPr>
        <w:br/>
        <w:t xml:space="preserve">без достаточных оснований. </w:t>
      </w:r>
    </w:p>
    <w:p w:rsidR="00D1277B" w:rsidRDefault="00D1277B" w:rsidP="00D1277B">
      <w:pPr>
        <w:widowControl w:val="0"/>
        <w:spacing w:after="0" w:line="240" w:lineRule="auto"/>
        <w:jc w:val="both"/>
        <w:rPr>
          <w:rFonts w:ascii="Times New Roman" w:hAnsi="Times New Roman"/>
          <w:sz w:val="28"/>
          <w:szCs w:val="28"/>
        </w:rPr>
      </w:pPr>
    </w:p>
    <w:p w:rsidR="00DE653E" w:rsidRPr="00D1277B" w:rsidRDefault="00DE653E" w:rsidP="00D1277B">
      <w:pPr>
        <w:widowControl w:val="0"/>
        <w:spacing w:after="0" w:line="240" w:lineRule="auto"/>
        <w:jc w:val="both"/>
        <w:rPr>
          <w:rFonts w:ascii="Times New Roman" w:hAnsi="Times New Roman"/>
          <w:sz w:val="28"/>
          <w:szCs w:val="28"/>
        </w:rPr>
      </w:pP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lastRenderedPageBreak/>
        <w:t>Данные о количестве выплат по Ольгинскому МР (2016 год)</w:t>
      </w:r>
    </w:p>
    <w:tbl>
      <w:tblPr>
        <w:tblW w:w="5250" w:type="pct"/>
        <w:tblInd w:w="-572" w:type="dxa"/>
        <w:tblLook w:val="04A0" w:firstRow="1" w:lastRow="0" w:firstColumn="1" w:lastColumn="0" w:noHBand="0" w:noVBand="1"/>
      </w:tblPr>
      <w:tblGrid>
        <w:gridCol w:w="1242"/>
        <w:gridCol w:w="526"/>
        <w:gridCol w:w="526"/>
        <w:gridCol w:w="423"/>
        <w:gridCol w:w="492"/>
        <w:gridCol w:w="492"/>
        <w:gridCol w:w="526"/>
        <w:gridCol w:w="492"/>
        <w:gridCol w:w="526"/>
        <w:gridCol w:w="526"/>
        <w:gridCol w:w="526"/>
        <w:gridCol w:w="547"/>
        <w:gridCol w:w="547"/>
        <w:gridCol w:w="547"/>
        <w:gridCol w:w="423"/>
        <w:gridCol w:w="547"/>
        <w:gridCol w:w="526"/>
        <w:gridCol w:w="383"/>
        <w:gridCol w:w="383"/>
      </w:tblGrid>
      <w:tr w:rsidR="00D1277B" w:rsidRPr="00D1277B" w:rsidTr="00D1277B">
        <w:trPr>
          <w:trHeight w:val="567"/>
        </w:trPr>
        <w:tc>
          <w:tcPr>
            <w:tcW w:w="676" w:type="pct"/>
            <w:vMerge w:val="restart"/>
            <w:tcBorders>
              <w:top w:val="single" w:sz="4" w:space="0" w:color="auto"/>
              <w:left w:val="single" w:sz="4" w:space="0" w:color="auto"/>
              <w:bottom w:val="single" w:sz="4" w:space="0" w:color="000000"/>
              <w:right w:val="single" w:sz="4" w:space="0" w:color="auto"/>
            </w:tcBorders>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МО</w:t>
            </w:r>
          </w:p>
        </w:tc>
        <w:tc>
          <w:tcPr>
            <w:tcW w:w="271"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Подтоплено домовладений</w:t>
            </w:r>
          </w:p>
        </w:tc>
        <w:tc>
          <w:tcPr>
            <w:tcW w:w="271"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Подтоплено домовладений без ущерба</w:t>
            </w:r>
          </w:p>
        </w:tc>
        <w:tc>
          <w:tcPr>
            <w:tcW w:w="203"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Подтоплено домовладений с ущербом</w:t>
            </w:r>
          </w:p>
        </w:tc>
        <w:tc>
          <w:tcPr>
            <w:tcW w:w="203"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Кол-во граждан в подтопленных домах</w:t>
            </w:r>
          </w:p>
        </w:tc>
        <w:tc>
          <w:tcPr>
            <w:tcW w:w="203"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Постоянно зарегистрированные</w:t>
            </w:r>
          </w:p>
        </w:tc>
        <w:tc>
          <w:tcPr>
            <w:tcW w:w="271"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Подтоплено земельных участков</w:t>
            </w:r>
          </w:p>
        </w:tc>
        <w:tc>
          <w:tcPr>
            <w:tcW w:w="270" w:type="pct"/>
            <w:vMerge w:val="restart"/>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Численность населения Ольгинского МР в 2016 году*</w:t>
            </w:r>
          </w:p>
        </w:tc>
        <w:tc>
          <w:tcPr>
            <w:tcW w:w="270"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Всего граждан, получивших выплату из КБ и ФБ</w:t>
            </w:r>
          </w:p>
        </w:tc>
        <w:tc>
          <w:tcPr>
            <w:tcW w:w="271" w:type="pct"/>
            <w:vMerge w:val="restart"/>
            <w:tcBorders>
              <w:top w:val="single" w:sz="4" w:space="0" w:color="auto"/>
              <w:left w:val="single" w:sz="4" w:space="0" w:color="auto"/>
              <w:bottom w:val="single" w:sz="4" w:space="0" w:color="000000"/>
              <w:right w:val="single" w:sz="4" w:space="0" w:color="auto"/>
            </w:tcBorders>
            <w:shd w:val="clear" w:color="auto" w:fill="FF3300"/>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Всего выплат произведено из КБ и ФБ</w:t>
            </w:r>
          </w:p>
        </w:tc>
        <w:tc>
          <w:tcPr>
            <w:tcW w:w="1014" w:type="pct"/>
            <w:gridSpan w:val="4"/>
            <w:tcBorders>
              <w:top w:val="single" w:sz="4" w:space="0" w:color="auto"/>
              <w:left w:val="nil"/>
              <w:bottom w:val="single" w:sz="4" w:space="0" w:color="auto"/>
              <w:right w:val="single" w:sz="4" w:space="0" w:color="auto"/>
            </w:tcBorders>
            <w:shd w:val="clear" w:color="auto" w:fill="FFFFFF"/>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Краевой бюджет</w:t>
            </w:r>
          </w:p>
        </w:tc>
        <w:tc>
          <w:tcPr>
            <w:tcW w:w="1077" w:type="pct"/>
            <w:gridSpan w:val="5"/>
            <w:tcBorders>
              <w:top w:val="single" w:sz="4" w:space="0" w:color="auto"/>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Федеральный бюджет</w:t>
            </w:r>
          </w:p>
        </w:tc>
      </w:tr>
      <w:tr w:rsidR="00D1277B" w:rsidRPr="00D1277B" w:rsidTr="00D1277B">
        <w:trPr>
          <w:trHeight w:val="43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271" w:type="pct"/>
            <w:vMerge w:val="restart"/>
            <w:tcBorders>
              <w:top w:val="nil"/>
              <w:left w:val="single" w:sz="4" w:space="0" w:color="auto"/>
              <w:bottom w:val="single" w:sz="4" w:space="0" w:color="000000"/>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Всего граждан, получивших выплату из КБ</w:t>
            </w:r>
          </w:p>
        </w:tc>
        <w:tc>
          <w:tcPr>
            <w:tcW w:w="270" w:type="pct"/>
            <w:vMerge w:val="restart"/>
            <w:tcBorders>
              <w:top w:val="nil"/>
              <w:left w:val="single" w:sz="4" w:space="0" w:color="auto"/>
              <w:bottom w:val="single" w:sz="4" w:space="0" w:color="auto"/>
              <w:right w:val="single" w:sz="4" w:space="0" w:color="auto"/>
            </w:tcBorders>
            <w:shd w:val="clear" w:color="auto" w:fill="FFFF00"/>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Всего выплат</w:t>
            </w:r>
            <w:r w:rsidRPr="00DE653E">
              <w:rPr>
                <w:rFonts w:ascii="Times New Roman" w:eastAsia="Times New Roman" w:hAnsi="Times New Roman"/>
                <w:b/>
                <w:bCs/>
                <w:sz w:val="20"/>
                <w:szCs w:val="20"/>
                <w:lang w:eastAsia="ru-RU"/>
              </w:rPr>
              <w:br/>
              <w:t>произведено</w:t>
            </w:r>
          </w:p>
        </w:tc>
        <w:tc>
          <w:tcPr>
            <w:tcW w:w="473" w:type="pct"/>
            <w:gridSpan w:val="2"/>
            <w:tcBorders>
              <w:top w:val="single" w:sz="4" w:space="0" w:color="auto"/>
              <w:left w:val="nil"/>
              <w:bottom w:val="single" w:sz="4" w:space="0" w:color="auto"/>
              <w:right w:val="nil"/>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в том числе:</w:t>
            </w:r>
          </w:p>
        </w:tc>
        <w:tc>
          <w:tcPr>
            <w:tcW w:w="270" w:type="pct"/>
            <w:vMerge w:val="restart"/>
            <w:tcBorders>
              <w:top w:val="nil"/>
              <w:left w:val="single" w:sz="4" w:space="0" w:color="auto"/>
              <w:bottom w:val="single" w:sz="4" w:space="0" w:color="000000"/>
              <w:right w:val="nil"/>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Всего граждан, получивших выплату из ФБ</w:t>
            </w:r>
          </w:p>
        </w:tc>
        <w:tc>
          <w:tcPr>
            <w:tcW w:w="270" w:type="pct"/>
            <w:vMerge w:val="restart"/>
            <w:tcBorders>
              <w:top w:val="nil"/>
              <w:left w:val="single" w:sz="4" w:space="0" w:color="auto"/>
              <w:bottom w:val="single" w:sz="4" w:space="0" w:color="auto"/>
              <w:right w:val="single" w:sz="4" w:space="0" w:color="auto"/>
            </w:tcBorders>
            <w:shd w:val="clear" w:color="auto" w:fill="00B0F0"/>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Всего выплат</w:t>
            </w:r>
            <w:r w:rsidRPr="00DE653E">
              <w:rPr>
                <w:rFonts w:ascii="Times New Roman" w:eastAsia="Times New Roman" w:hAnsi="Times New Roman"/>
                <w:b/>
                <w:bCs/>
                <w:sz w:val="20"/>
                <w:szCs w:val="20"/>
                <w:lang w:eastAsia="ru-RU"/>
              </w:rPr>
              <w:br/>
              <w:t>произведено</w:t>
            </w:r>
          </w:p>
        </w:tc>
        <w:tc>
          <w:tcPr>
            <w:tcW w:w="537" w:type="pct"/>
            <w:gridSpan w:val="3"/>
            <w:tcBorders>
              <w:top w:val="single" w:sz="4" w:space="0" w:color="auto"/>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 </w:t>
            </w:r>
          </w:p>
        </w:tc>
      </w:tr>
      <w:tr w:rsidR="00D1277B" w:rsidRPr="00D1277B" w:rsidTr="00D1277B">
        <w:trPr>
          <w:trHeight w:val="2040"/>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nil"/>
              <w:left w:val="single" w:sz="4" w:space="0" w:color="auto"/>
              <w:bottom w:val="single" w:sz="4" w:space="0" w:color="000000"/>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202" w:type="pct"/>
            <w:tcBorders>
              <w:top w:val="nil"/>
              <w:left w:val="nil"/>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 xml:space="preserve">количество выплат по </w:t>
            </w:r>
            <w:r w:rsidRPr="00DE653E">
              <w:rPr>
                <w:rFonts w:ascii="Times New Roman" w:eastAsia="Times New Roman" w:hAnsi="Times New Roman"/>
                <w:b/>
                <w:bCs/>
                <w:sz w:val="20"/>
                <w:szCs w:val="20"/>
                <w:lang w:eastAsia="ru-RU"/>
              </w:rPr>
              <w:br/>
              <w:t>25 000</w:t>
            </w:r>
          </w:p>
        </w:tc>
        <w:tc>
          <w:tcPr>
            <w:tcW w:w="271" w:type="pct"/>
            <w:tcBorders>
              <w:top w:val="nil"/>
              <w:left w:val="nil"/>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 xml:space="preserve">количество выплат по </w:t>
            </w:r>
            <w:r w:rsidRPr="00DE653E">
              <w:rPr>
                <w:rFonts w:ascii="Times New Roman" w:eastAsia="Times New Roman" w:hAnsi="Times New Roman"/>
                <w:b/>
                <w:bCs/>
                <w:sz w:val="20"/>
                <w:szCs w:val="20"/>
                <w:lang w:eastAsia="ru-RU"/>
              </w:rPr>
              <w:br/>
              <w:t>10 000</w:t>
            </w:r>
          </w:p>
        </w:tc>
        <w:tc>
          <w:tcPr>
            <w:tcW w:w="0" w:type="auto"/>
            <w:vMerge/>
            <w:tcBorders>
              <w:top w:val="nil"/>
              <w:left w:val="single" w:sz="4" w:space="0" w:color="auto"/>
              <w:bottom w:val="single" w:sz="4" w:space="0" w:color="000000"/>
              <w:right w:val="nil"/>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0" w:type="auto"/>
            <w:vMerge/>
            <w:tcBorders>
              <w:top w:val="nil"/>
              <w:left w:val="single" w:sz="4" w:space="0" w:color="auto"/>
              <w:bottom w:val="single" w:sz="4" w:space="0" w:color="auto"/>
              <w:right w:val="single" w:sz="4" w:space="0" w:color="auto"/>
            </w:tcBorders>
            <w:vAlign w:val="center"/>
            <w:hideMark/>
          </w:tcPr>
          <w:p w:rsidR="00D1277B" w:rsidRPr="00DE653E" w:rsidRDefault="00D1277B" w:rsidP="00D1277B">
            <w:pPr>
              <w:spacing w:after="0" w:line="240" w:lineRule="auto"/>
              <w:rPr>
                <w:rFonts w:ascii="Times New Roman" w:eastAsia="Times New Roman" w:hAnsi="Times New Roman"/>
                <w:b/>
                <w:bCs/>
                <w:sz w:val="20"/>
                <w:szCs w:val="20"/>
                <w:lang w:eastAsia="ru-RU"/>
              </w:rPr>
            </w:pPr>
          </w:p>
        </w:tc>
        <w:tc>
          <w:tcPr>
            <w:tcW w:w="271" w:type="pct"/>
            <w:tcBorders>
              <w:top w:val="nil"/>
              <w:left w:val="nil"/>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количество выплат по 10 000</w:t>
            </w:r>
          </w:p>
        </w:tc>
        <w:tc>
          <w:tcPr>
            <w:tcW w:w="135" w:type="pct"/>
            <w:tcBorders>
              <w:top w:val="nil"/>
              <w:left w:val="nil"/>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количество выплат по 50 000</w:t>
            </w:r>
          </w:p>
        </w:tc>
        <w:tc>
          <w:tcPr>
            <w:tcW w:w="131" w:type="pct"/>
            <w:tcBorders>
              <w:top w:val="nil"/>
              <w:left w:val="nil"/>
              <w:bottom w:val="single" w:sz="4" w:space="0" w:color="auto"/>
              <w:right w:val="single" w:sz="4" w:space="0" w:color="auto"/>
            </w:tcBorders>
            <w:shd w:val="clear" w:color="auto" w:fill="FFFFFF"/>
            <w:textDirection w:val="btLr"/>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количество выплат по 100 000</w:t>
            </w:r>
          </w:p>
        </w:tc>
      </w:tr>
      <w:tr w:rsidR="00D1277B" w:rsidRPr="00D1277B" w:rsidTr="00D1277B">
        <w:trPr>
          <w:trHeight w:val="375"/>
        </w:trPr>
        <w:tc>
          <w:tcPr>
            <w:tcW w:w="676" w:type="pct"/>
            <w:tcBorders>
              <w:top w:val="nil"/>
              <w:left w:val="single" w:sz="4" w:space="0" w:color="auto"/>
              <w:bottom w:val="single" w:sz="4" w:space="0" w:color="auto"/>
              <w:right w:val="single" w:sz="4" w:space="0" w:color="auto"/>
            </w:tcBorders>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Ольгинский МР</w:t>
            </w:r>
          </w:p>
        </w:tc>
        <w:tc>
          <w:tcPr>
            <w:tcW w:w="271"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2 720</w:t>
            </w:r>
          </w:p>
        </w:tc>
        <w:tc>
          <w:tcPr>
            <w:tcW w:w="271"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2 073</w:t>
            </w:r>
          </w:p>
        </w:tc>
        <w:tc>
          <w:tcPr>
            <w:tcW w:w="203"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647</w:t>
            </w:r>
          </w:p>
        </w:tc>
        <w:tc>
          <w:tcPr>
            <w:tcW w:w="203"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7613</w:t>
            </w:r>
          </w:p>
        </w:tc>
        <w:tc>
          <w:tcPr>
            <w:tcW w:w="203"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7580</w:t>
            </w:r>
          </w:p>
        </w:tc>
        <w:tc>
          <w:tcPr>
            <w:tcW w:w="271" w:type="pct"/>
            <w:tcBorders>
              <w:top w:val="nil"/>
              <w:left w:val="nil"/>
              <w:bottom w:val="single" w:sz="4" w:space="0" w:color="auto"/>
              <w:right w:val="nil"/>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2 184</w:t>
            </w:r>
          </w:p>
        </w:tc>
        <w:tc>
          <w:tcPr>
            <w:tcW w:w="270" w:type="pct"/>
            <w:tcBorders>
              <w:top w:val="nil"/>
              <w:left w:val="single" w:sz="4" w:space="0" w:color="auto"/>
              <w:bottom w:val="single" w:sz="4" w:space="0" w:color="auto"/>
              <w:right w:val="nil"/>
            </w:tcBorders>
            <w:shd w:val="clear" w:color="auto" w:fill="92D050"/>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9708</w:t>
            </w:r>
          </w:p>
        </w:tc>
        <w:tc>
          <w:tcPr>
            <w:tcW w:w="270" w:type="pct"/>
            <w:tcBorders>
              <w:top w:val="nil"/>
              <w:left w:val="single" w:sz="4" w:space="0" w:color="auto"/>
              <w:bottom w:val="single" w:sz="4" w:space="0" w:color="auto"/>
              <w:right w:val="nil"/>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6 551</w:t>
            </w:r>
          </w:p>
        </w:tc>
        <w:tc>
          <w:tcPr>
            <w:tcW w:w="271" w:type="pct"/>
            <w:tcBorders>
              <w:top w:val="nil"/>
              <w:left w:val="single" w:sz="4" w:space="0" w:color="auto"/>
              <w:bottom w:val="single" w:sz="4" w:space="0" w:color="auto"/>
              <w:right w:val="nil"/>
            </w:tcBorders>
            <w:shd w:val="clear" w:color="auto" w:fill="FF3300"/>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8 733</w:t>
            </w:r>
          </w:p>
        </w:tc>
        <w:tc>
          <w:tcPr>
            <w:tcW w:w="271" w:type="pct"/>
            <w:tcBorders>
              <w:top w:val="nil"/>
              <w:left w:val="single" w:sz="4" w:space="0" w:color="auto"/>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2 310</w:t>
            </w:r>
          </w:p>
        </w:tc>
        <w:tc>
          <w:tcPr>
            <w:tcW w:w="270" w:type="pct"/>
            <w:tcBorders>
              <w:top w:val="nil"/>
              <w:left w:val="nil"/>
              <w:bottom w:val="single" w:sz="4" w:space="0" w:color="auto"/>
              <w:right w:val="single" w:sz="4" w:space="0" w:color="auto"/>
            </w:tcBorders>
            <w:shd w:val="clear" w:color="auto" w:fill="FFFF00"/>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2 832</w:t>
            </w:r>
          </w:p>
        </w:tc>
        <w:tc>
          <w:tcPr>
            <w:tcW w:w="202"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645</w:t>
            </w:r>
          </w:p>
        </w:tc>
        <w:tc>
          <w:tcPr>
            <w:tcW w:w="271"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2 187</w:t>
            </w:r>
          </w:p>
        </w:tc>
        <w:tc>
          <w:tcPr>
            <w:tcW w:w="270" w:type="pct"/>
            <w:tcBorders>
              <w:top w:val="nil"/>
              <w:left w:val="nil"/>
              <w:bottom w:val="single" w:sz="4" w:space="0" w:color="auto"/>
              <w:right w:val="single" w:sz="4" w:space="0" w:color="auto"/>
            </w:tcBorders>
            <w:shd w:val="clear" w:color="auto" w:fill="FFFFFF"/>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5 893</w:t>
            </w:r>
          </w:p>
        </w:tc>
        <w:tc>
          <w:tcPr>
            <w:tcW w:w="270" w:type="pct"/>
            <w:tcBorders>
              <w:top w:val="nil"/>
              <w:left w:val="nil"/>
              <w:bottom w:val="single" w:sz="4" w:space="0" w:color="auto"/>
              <w:right w:val="single" w:sz="4" w:space="0" w:color="auto"/>
            </w:tcBorders>
            <w:shd w:val="clear" w:color="auto" w:fill="00B0F0"/>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bCs/>
                <w:sz w:val="20"/>
                <w:szCs w:val="20"/>
                <w:lang w:eastAsia="ru-RU"/>
              </w:rPr>
            </w:pPr>
            <w:r w:rsidRPr="00DE653E">
              <w:rPr>
                <w:rFonts w:ascii="Times New Roman" w:eastAsia="Times New Roman" w:hAnsi="Times New Roman"/>
                <w:b/>
                <w:bCs/>
                <w:sz w:val="20"/>
                <w:szCs w:val="20"/>
                <w:lang w:eastAsia="ru-RU"/>
              </w:rPr>
              <w:t>5 901</w:t>
            </w:r>
          </w:p>
        </w:tc>
        <w:tc>
          <w:tcPr>
            <w:tcW w:w="271"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5 893</w:t>
            </w:r>
          </w:p>
        </w:tc>
        <w:tc>
          <w:tcPr>
            <w:tcW w:w="135"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8</w:t>
            </w:r>
          </w:p>
        </w:tc>
        <w:tc>
          <w:tcPr>
            <w:tcW w:w="131" w:type="pct"/>
            <w:tcBorders>
              <w:top w:val="nil"/>
              <w:left w:val="nil"/>
              <w:bottom w:val="single" w:sz="4" w:space="0" w:color="auto"/>
              <w:right w:val="single" w:sz="4" w:space="0" w:color="auto"/>
            </w:tcBorders>
            <w:shd w:val="clear" w:color="auto" w:fill="FFFFFF"/>
            <w:noWrap/>
            <w:vAlign w:val="center"/>
            <w:hideMark/>
          </w:tcPr>
          <w:p w:rsidR="00D1277B" w:rsidRPr="00DE653E" w:rsidRDefault="00D1277B" w:rsidP="00D1277B">
            <w:pPr>
              <w:widowControl w:val="0"/>
              <w:spacing w:after="0" w:line="240" w:lineRule="auto"/>
              <w:jc w:val="both"/>
              <w:rPr>
                <w:rFonts w:ascii="Times New Roman" w:eastAsia="Times New Roman" w:hAnsi="Times New Roman"/>
                <w:b/>
                <w:sz w:val="20"/>
                <w:szCs w:val="20"/>
                <w:lang w:eastAsia="ru-RU"/>
              </w:rPr>
            </w:pPr>
            <w:r w:rsidRPr="00DE653E">
              <w:rPr>
                <w:rFonts w:ascii="Times New Roman" w:eastAsia="Times New Roman" w:hAnsi="Times New Roman"/>
                <w:b/>
                <w:sz w:val="20"/>
                <w:szCs w:val="20"/>
                <w:lang w:eastAsia="ru-RU"/>
              </w:rPr>
              <w:t>0</w:t>
            </w:r>
          </w:p>
        </w:tc>
      </w:tr>
    </w:tbl>
    <w:p w:rsidR="00D1277B" w:rsidRPr="00D1277B" w:rsidRDefault="00D1277B" w:rsidP="00D1277B">
      <w:pPr>
        <w:widowControl w:val="0"/>
        <w:spacing w:after="0" w:line="240" w:lineRule="auto"/>
        <w:jc w:val="both"/>
        <w:rPr>
          <w:rFonts w:ascii="Times New Roman" w:hAnsi="Times New Roman"/>
          <w:sz w:val="28"/>
          <w:szCs w:val="28"/>
        </w:rPr>
      </w:pP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Федеральными законодателем внесены изменения, в соответствии </w:t>
      </w:r>
      <w:r w:rsidRPr="00D1277B">
        <w:rPr>
          <w:rFonts w:ascii="Times New Roman" w:hAnsi="Times New Roman"/>
          <w:sz w:val="28"/>
          <w:szCs w:val="28"/>
        </w:rPr>
        <w:br/>
        <w:t xml:space="preserve">с которыми действующая на сегодняшний день редакция постановления Правительства Российской Федерации от 15 февраля 2014 года № 110 </w:t>
      </w:r>
      <w:r w:rsidRPr="00D1277B">
        <w:rPr>
          <w:rFonts w:ascii="Times New Roman" w:hAnsi="Times New Roman"/>
          <w:sz w:val="28"/>
          <w:szCs w:val="28"/>
        </w:rPr>
        <w:br/>
        <w:t xml:space="preserve">«О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одним из условий </w:t>
      </w:r>
      <w:r w:rsidRPr="00D1277B">
        <w:rPr>
          <w:rFonts w:ascii="Times New Roman" w:hAnsi="Times New Roman"/>
          <w:sz w:val="28"/>
          <w:szCs w:val="28"/>
        </w:rPr>
        <w:br/>
        <w:t xml:space="preserve">для возникновения права на единовременную выплату в размере 10 тыс. рублей указывает на необходимость нарушения условий жизнедеятельности гражданина в результате воздействия поражающих факторов источника чрезвычайной ситуации.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Из анализа приложения № 9 к Правилам, утвержденным </w:t>
      </w:r>
      <w:r w:rsidRPr="00D1277B">
        <w:rPr>
          <w:rFonts w:ascii="Times New Roman" w:hAnsi="Times New Roman"/>
          <w:sz w:val="28"/>
          <w:szCs w:val="28"/>
        </w:rPr>
        <w:br/>
        <w:t xml:space="preserve">этим постановлением, следует, что для включения в списки на оказание единовременной материальной помощи в заявлении необходимо указать </w:t>
      </w:r>
      <w:r w:rsidRPr="00D1277B">
        <w:rPr>
          <w:rFonts w:ascii="Times New Roman" w:hAnsi="Times New Roman"/>
          <w:sz w:val="28"/>
          <w:szCs w:val="28"/>
        </w:rPr>
        <w:br/>
        <w:t>на наличие одновременно следующих условий: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проживание в жилом помещении; жилое помещение оказалось и пострадало в зоне чрезвычайной ситуации.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Однако, понятие «Нарушение условий жизнедеятельности гражданина </w:t>
      </w:r>
      <w:r w:rsidRPr="00D1277B">
        <w:rPr>
          <w:rFonts w:ascii="Times New Roman" w:hAnsi="Times New Roman"/>
          <w:sz w:val="28"/>
          <w:szCs w:val="28"/>
        </w:rPr>
        <w:br/>
        <w:t>в результате воздействия поражающих факторов источника чрезвычайной ситуации» не раскрывается.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Таким образом, необходимо сформировать единообразный подход к вопросу установления права на получение единовременной материальной помощи, установив:</w:t>
      </w:r>
      <w:r w:rsidR="00DE653E">
        <w:rPr>
          <w:rFonts w:ascii="Times New Roman" w:hAnsi="Times New Roman"/>
          <w:sz w:val="28"/>
          <w:szCs w:val="28"/>
        </w:rPr>
        <w:t xml:space="preserve"> </w:t>
      </w:r>
      <w:r w:rsidRPr="00D1277B">
        <w:rPr>
          <w:rFonts w:ascii="Times New Roman" w:hAnsi="Times New Roman"/>
          <w:sz w:val="28"/>
          <w:szCs w:val="28"/>
        </w:rPr>
        <w:t>что понимается под нарушением условий жизнедеятельности гражданина в результате воздействия поражающих факторов источника чрезвычайной ситуации;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 обязательно ли жилое помещение должно не только находиться </w:t>
      </w:r>
      <w:r w:rsidRPr="00D1277B">
        <w:rPr>
          <w:rFonts w:ascii="Times New Roman" w:hAnsi="Times New Roman"/>
          <w:sz w:val="28"/>
          <w:szCs w:val="28"/>
        </w:rPr>
        <w:br/>
        <w:t>в зоне чрезвычайной ситуации, но и пострадать в результате воздействия поражающих факторов источника чрезвычайной ситуации.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Кроме этого, практический опыт работы с органами муниципального самоуправления показал, что наиболее эффективным является использование унифицированных форм документов, т.е. требуется разработка и утверждение </w:t>
      </w:r>
      <w:r w:rsidRPr="00D1277B">
        <w:rPr>
          <w:rFonts w:ascii="Times New Roman" w:hAnsi="Times New Roman"/>
          <w:sz w:val="28"/>
          <w:szCs w:val="28"/>
        </w:rPr>
        <w:lastRenderedPageBreak/>
        <w:t>типовых форм документов, которые должны будут составить комиссии, создаваемые органами местного самоуправления (акт нарушения условий жизнедеятельности гражданина, акт обследования утраченного имущества (имущества первой необходимости) граждан, пострадавших в результате чрезвычайной ситуации).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Так, например, приказом МЧС России от 30.12.2011 № 795 «Об утверждении Порядка установления факта нарушения условий жизнедеятельности при аварии на опасном объекте, включая критерии, по которым устанавливается указанный факт» указанные вопросы урегулированы для случаев аварии на опасном объекте.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Второй по значимости проблемой являлось несогласие пострадавших граждан с выводами комиссий, созданных органами местного самоуправления </w:t>
      </w:r>
      <w:r w:rsidRPr="00D1277B">
        <w:rPr>
          <w:rFonts w:ascii="Times New Roman" w:hAnsi="Times New Roman"/>
          <w:sz w:val="28"/>
          <w:szCs w:val="28"/>
        </w:rPr>
        <w:br/>
        <w:t xml:space="preserve">для обследования пострадавших объектов, в части определения размера причиненного ущерба, что влекло необходимость обращения граждан в суд. Проблема была обусловлена, как отмечалось выше, пробелом в правовом регулировании данного вопроса, который был устранен в связи с принятием постановления Администрации Приморского края от 15 мая 2018 года № 223-па в части, касающейся выплат за счет средств краевого бюджета.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ab/>
        <w:t>Что касается выплат за счет средств федерального бюджета, то до 2018 года органы местного самоуправления руководствовались Методическими рекомендациями по оформлению дополнительных документов для рассмотрения вопроса 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(утв. МЧС России 03.10.2014 № 2-4-87-24-7), следующие рекомендации, не имеющие императивного характера: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ab/>
        <w:t xml:space="preserve"> «К имуществу первой необходимости рекомендуется относить минимальный набор непродовольственных товаров общесемейного пользования, необходимых для сохранения здоровья человека и обеспечения </w:t>
      </w:r>
      <w:r w:rsidRPr="00D1277B">
        <w:rPr>
          <w:rFonts w:ascii="Times New Roman" w:hAnsi="Times New Roman"/>
          <w:sz w:val="28"/>
          <w:szCs w:val="28"/>
        </w:rPr>
        <w:br/>
        <w:t>его жизнедеятельности, в том числе: холодильник, телевизор, шкаф для одежды, шкаф для посуды, кровать, диван, стол, кресло, табуретка, газовая плита (электроплита), водонагреватель или котел отопительный (переносная печь), насос для подачи воды в случае отсутствия централизованного водоснабжения, медицинские предметы для поддержания жизнедеятельности граждан с ограниченными возможностями.</w:t>
      </w:r>
    </w:p>
    <w:p w:rsidR="00D1277B" w:rsidRPr="00D1277B" w:rsidRDefault="00D1277B" w:rsidP="00D1277B">
      <w:pPr>
        <w:widowControl w:val="0"/>
        <w:autoSpaceDE w:val="0"/>
        <w:autoSpaceDN w:val="0"/>
        <w:adjustRightInd w:val="0"/>
        <w:spacing w:after="0" w:line="240" w:lineRule="auto"/>
        <w:jc w:val="both"/>
        <w:rPr>
          <w:rFonts w:ascii="Times New Roman" w:hAnsi="Times New Roman"/>
          <w:sz w:val="28"/>
          <w:szCs w:val="28"/>
        </w:rPr>
      </w:pPr>
      <w:r w:rsidRPr="00D1277B">
        <w:rPr>
          <w:rFonts w:ascii="Times New Roman" w:hAnsi="Times New Roman"/>
          <w:sz w:val="28"/>
          <w:szCs w:val="28"/>
        </w:rPr>
        <w:t>Под утратой имущества (имущества первой необходимости) понимается приведение имущества (имущества первой необходимости) в состояние, непригодное для использования, в результате чрезвычайной ситуации, террористического акта и (или) пресечения террористического акта правомерными действиями.</w:t>
      </w:r>
    </w:p>
    <w:p w:rsidR="00D1277B" w:rsidRPr="00D1277B" w:rsidRDefault="00D1277B" w:rsidP="00D1277B">
      <w:pPr>
        <w:widowControl w:val="0"/>
        <w:autoSpaceDE w:val="0"/>
        <w:autoSpaceDN w:val="0"/>
        <w:adjustRightInd w:val="0"/>
        <w:spacing w:after="0" w:line="240" w:lineRule="auto"/>
        <w:jc w:val="both"/>
        <w:rPr>
          <w:rFonts w:ascii="Times New Roman" w:hAnsi="Times New Roman"/>
          <w:sz w:val="28"/>
          <w:szCs w:val="28"/>
        </w:rPr>
      </w:pPr>
      <w:r w:rsidRPr="00D1277B">
        <w:rPr>
          <w:rFonts w:ascii="Times New Roman" w:hAnsi="Times New Roman"/>
          <w:sz w:val="28"/>
          <w:szCs w:val="28"/>
        </w:rPr>
        <w:t xml:space="preserve">При отсутствии у гражданина необходимых документов, подтверждающих право на получение единовременной материальной помощи и (или) финансовой помощи в связи с утратой им имущества первой необходимости </w:t>
      </w:r>
      <w:r w:rsidRPr="00D1277B">
        <w:rPr>
          <w:rFonts w:ascii="Times New Roman" w:hAnsi="Times New Roman"/>
          <w:sz w:val="28"/>
          <w:szCs w:val="28"/>
        </w:rPr>
        <w:lastRenderedPageBreak/>
        <w:t>(отсутствие регистрации по месту жительства) граждане включаются в списки на получение указанной финансовой помощи на основании принятых судебных решений.».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На уровне федерального законодательства в части, касающейся выплат </w:t>
      </w:r>
      <w:r w:rsidRPr="00D1277B">
        <w:rPr>
          <w:rFonts w:ascii="Times New Roman" w:hAnsi="Times New Roman"/>
          <w:sz w:val="28"/>
          <w:szCs w:val="28"/>
        </w:rPr>
        <w:br/>
        <w:t xml:space="preserve">за счет резервного фонда Правительства Российской Федерации </w:t>
      </w:r>
      <w:r w:rsidRPr="00D1277B">
        <w:rPr>
          <w:rFonts w:ascii="Times New Roman" w:hAnsi="Times New Roman"/>
          <w:sz w:val="28"/>
          <w:szCs w:val="28"/>
        </w:rPr>
        <w:br/>
        <w:t xml:space="preserve">по предупреждению и ликвидации чрезвычайных ситуаций и последствий стихийных бедствий, имеющийся до 2018 год пробел в законодательстве также урегулирован постановлением Правительства РФ от 30 мая 2018 года № 627 «О внесении изменений в Правила выделения бюджетных ассигнований из резервного фонда Правительства Российской Федерации по предупреждению </w:t>
      </w:r>
      <w:r w:rsidRPr="00D1277B">
        <w:rPr>
          <w:rFonts w:ascii="Times New Roman" w:hAnsi="Times New Roman"/>
          <w:sz w:val="28"/>
          <w:szCs w:val="28"/>
        </w:rPr>
        <w:br/>
        <w:t xml:space="preserve">и ликвидации чрезвычайных ситуаций и последствий стихийных бедствий» </w:t>
      </w:r>
      <w:r w:rsidRPr="00D1277B">
        <w:rPr>
          <w:rFonts w:ascii="Times New Roman" w:hAnsi="Times New Roman"/>
          <w:sz w:val="28"/>
          <w:szCs w:val="28"/>
        </w:rPr>
        <w:br/>
        <w:t>в части: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пункт 1 дополнен позицией 1(1) и введено понятие «Имущество первой необходимости», под которым понимается минимальный набор непродовольственных товаров общесемейного пользования, необходимых </w:t>
      </w:r>
      <w:r w:rsidRPr="00D1277B">
        <w:rPr>
          <w:rFonts w:ascii="Times New Roman" w:hAnsi="Times New Roman"/>
          <w:sz w:val="28"/>
          <w:szCs w:val="28"/>
        </w:rPr>
        <w:br/>
        <w:t>для сохранения здоровья человека и обеспечения его жизнедеятельности, включающий в себя: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предметы для хранения и приготовления пищи - холодильник, газовая плита (электроплита) и шкаф для посуды;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предметы мебели для приема пищи - стол и стул (табуретка);</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предметы мебели для сна - кровать (диван);</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предметы средств информирования граждан - телевизор (радио);</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предметы средств водоснабжения и отопления (в случае отсутствия централизованного водоснабжения и отопления) - насос для подачи воды, водонагреватель и котел отопительный (переносная печь).</w:t>
      </w:r>
      <w:r w:rsidRPr="00D1277B">
        <w:rPr>
          <w:rFonts w:ascii="Times New Roman" w:hAnsi="Times New Roman"/>
          <w:sz w:val="28"/>
          <w:szCs w:val="28"/>
          <w:vertAlign w:val="superscript"/>
        </w:rPr>
        <w:footnoteReference w:id="72"/>
      </w:r>
      <w:r w:rsidRPr="00D1277B">
        <w:rPr>
          <w:rFonts w:ascii="Times New Roman" w:hAnsi="Times New Roman"/>
          <w:sz w:val="28"/>
          <w:szCs w:val="28"/>
        </w:rPr>
        <w:t xml:space="preserve">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По данным, имеющимся в распоряжении департамента труда и социального развития Приморского края на ноябрь текущего года, судебные дела по данной категории споров в связи с ущербом от воздействия чрезвычайной ситуации 2018 года отсутствуют.</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Изложенные в настоящем разделе Конкурсной работы проблемы являются существенными факторами, оказывающими влияние на оперативность принятия решений органами местного самоуправления, в том числе, в вопросах определения объемов бюджетных ассигнований, требующихся для частичного покрытия расходов на финансовое обеспечение мероприятий, связанных с ликвидацией чрезвычайной ситуации. </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Это, в свою очередь, как показала выездная проверка Федерального казначейства по Хабаровскому краю в сентябре 2018 года, влечет некорректное определение суммы таких ассигнований в разрезе каждого вида </w:t>
      </w:r>
      <w:r w:rsidRPr="00D1277B">
        <w:rPr>
          <w:rFonts w:ascii="Times New Roman" w:hAnsi="Times New Roman"/>
          <w:sz w:val="28"/>
          <w:szCs w:val="28"/>
        </w:rPr>
        <w:lastRenderedPageBreak/>
        <w:t>выплат.</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Не может быть оставлен без внимания достаточно сложный и длительный </w:t>
      </w:r>
      <w:r w:rsidRPr="00D1277B">
        <w:rPr>
          <w:rFonts w:ascii="Times New Roman" w:hAnsi="Times New Roman"/>
          <w:sz w:val="28"/>
          <w:szCs w:val="28"/>
        </w:rPr>
        <w:br/>
        <w:t>по времени процесс согласования вопроса выделения бюджетных ассигнований (приложение № 2 к настоящей Конкурсной работе). В среднем вопрос о выделении средств за счет резервного фонда Правительства Российской Федерации по предупреждению и ликвидации чрезвычайных ситуаций и последствий стихийных бедствий решается 4-5 месяцев.</w:t>
      </w:r>
    </w:p>
    <w:p w:rsidR="00D1277B" w:rsidRPr="00D1277B" w:rsidRDefault="00D1277B" w:rsidP="00D1277B">
      <w:pPr>
        <w:widowControl w:val="0"/>
        <w:spacing w:after="0" w:line="240" w:lineRule="auto"/>
        <w:jc w:val="both"/>
        <w:rPr>
          <w:rFonts w:ascii="Times New Roman" w:hAnsi="Times New Roman"/>
          <w:sz w:val="28"/>
          <w:szCs w:val="28"/>
        </w:rPr>
      </w:pPr>
    </w:p>
    <w:p w:rsidR="00D1277B" w:rsidRPr="00D1277B" w:rsidRDefault="00D1277B" w:rsidP="00D1277B">
      <w:pPr>
        <w:widowControl w:val="0"/>
        <w:spacing w:after="0" w:line="240" w:lineRule="auto"/>
        <w:jc w:val="both"/>
        <w:rPr>
          <w:rFonts w:ascii="Times New Roman" w:hAnsi="Times New Roman"/>
          <w:b/>
          <w:sz w:val="28"/>
          <w:szCs w:val="28"/>
        </w:rPr>
      </w:pPr>
      <w:r w:rsidRPr="00D1277B">
        <w:rPr>
          <w:rFonts w:ascii="Times New Roman" w:hAnsi="Times New Roman"/>
          <w:b/>
          <w:sz w:val="28"/>
          <w:szCs w:val="28"/>
        </w:rPr>
        <w:t xml:space="preserve">3. Пути решения проблем соблюдения прав пострадавших граждан </w:t>
      </w:r>
      <w:r w:rsidRPr="00D1277B">
        <w:rPr>
          <w:rFonts w:ascii="Times New Roman" w:hAnsi="Times New Roman"/>
          <w:b/>
          <w:sz w:val="28"/>
          <w:szCs w:val="28"/>
        </w:rPr>
        <w:br/>
        <w:t>в ходе мероприятий, связанных с ликвидацией чрезвычайных ситуаций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b/>
          <w:sz w:val="28"/>
          <w:szCs w:val="28"/>
        </w:rPr>
        <w:tab/>
      </w:r>
      <w:r w:rsidRPr="00D1277B">
        <w:rPr>
          <w:rFonts w:ascii="Times New Roman" w:hAnsi="Times New Roman"/>
          <w:sz w:val="28"/>
          <w:szCs w:val="28"/>
        </w:rPr>
        <w:t>Для урегулирования проблем, изложенных в разделе 2 настоящей Конкурсной работы, предприняты следующие меры, в пределах полномочий, имеющихся у субъекта:</w:t>
      </w:r>
    </w:p>
    <w:p w:rsidR="00D1277B" w:rsidRPr="00D1277B" w:rsidRDefault="00D1277B" w:rsidP="007F4EC1">
      <w:pPr>
        <w:widowControl w:val="0"/>
        <w:numPr>
          <w:ilvl w:val="0"/>
          <w:numId w:val="51"/>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разработаны и утверждены нормативным правовым </w:t>
      </w:r>
      <w:r w:rsidRPr="00D1277B">
        <w:rPr>
          <w:rFonts w:ascii="Times New Roman" w:hAnsi="Times New Roman"/>
          <w:sz w:val="28"/>
          <w:szCs w:val="28"/>
        </w:rPr>
        <w:br/>
        <w:t>актом Администрации Приморского края унифицированные формы документов для организации работы комиссии, создаваемых органами муниципального самоуправления (формы списка пострадавших граждан, нуждающихся в оказании разовой материальной помощи в связи с утратой ими имущества первой необходимости; списка пострадавших граждан, нуждающихся с оказании разовой материальной помощи в связи с утратой урожая на земельном участке, расположенном в границах территории муниципального образования, на которой произошла чрезвычайная ситуация; заявления о включении пострадавших граждан в список на оказание разовой материальной помощи; акта обследования жилого дома, квартиры, находящейся на первом этаже многоквартирного дома, поврежденных в результате чрезвычайной ситуации; акта обследования утраченного имущества в результате чрезвычайной ситуации) – унифицированные формы документов весьма просты в использовании и удобны для формирования аналитической информации, подсчета и т.д., т.к. для их заполнения напротив нужной позиции проставляется знак "V";</w:t>
      </w:r>
      <w:r w:rsidRPr="00D1277B">
        <w:rPr>
          <w:rFonts w:ascii="Times New Roman" w:hAnsi="Times New Roman"/>
          <w:sz w:val="28"/>
          <w:szCs w:val="28"/>
          <w:vertAlign w:val="superscript"/>
        </w:rPr>
        <w:footnoteReference w:id="73"/>
      </w:r>
    </w:p>
    <w:p w:rsidR="00D1277B" w:rsidRPr="00D1277B" w:rsidRDefault="00D1277B" w:rsidP="007F4EC1">
      <w:pPr>
        <w:widowControl w:val="0"/>
        <w:numPr>
          <w:ilvl w:val="0"/>
          <w:numId w:val="51"/>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в региональное законодательство введены необходимые </w:t>
      </w:r>
      <w:r w:rsidRPr="00D1277B">
        <w:rPr>
          <w:rFonts w:ascii="Times New Roman" w:hAnsi="Times New Roman"/>
          <w:sz w:val="28"/>
          <w:szCs w:val="28"/>
        </w:rPr>
        <w:br/>
        <w:t>для единообразного толкования понятия («имущество первой необходимости», порядок определения степени утраты такого имущества и т.д.);</w:t>
      </w:r>
    </w:p>
    <w:p w:rsidR="00D1277B" w:rsidRPr="00D1277B" w:rsidRDefault="00D1277B" w:rsidP="007F4EC1">
      <w:pPr>
        <w:widowControl w:val="0"/>
        <w:numPr>
          <w:ilvl w:val="0"/>
          <w:numId w:val="51"/>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в МЧС России в направлены предложения по доработке законодательства, регулирующего вопросы организации работы по оказанию помощи пострадавшим гражданам;</w:t>
      </w:r>
    </w:p>
    <w:p w:rsidR="00D1277B" w:rsidRPr="00D1277B" w:rsidRDefault="00D1277B" w:rsidP="007F4EC1">
      <w:pPr>
        <w:widowControl w:val="0"/>
        <w:numPr>
          <w:ilvl w:val="0"/>
          <w:numId w:val="51"/>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организовано ведение персонифицированной базы данных </w:t>
      </w:r>
      <w:r w:rsidRPr="00D1277B">
        <w:rPr>
          <w:rFonts w:ascii="Times New Roman" w:hAnsi="Times New Roman"/>
          <w:sz w:val="28"/>
          <w:szCs w:val="28"/>
        </w:rPr>
        <w:lastRenderedPageBreak/>
        <w:t>пострадавших граждан – это позволило практически исключить случаи необоснованных выплат, а также весьма оперативно формировать сводные списки пострадавших граждан;</w:t>
      </w:r>
    </w:p>
    <w:p w:rsidR="00D1277B" w:rsidRPr="00D1277B" w:rsidRDefault="00D1277B" w:rsidP="007F4EC1">
      <w:pPr>
        <w:widowControl w:val="0"/>
        <w:numPr>
          <w:ilvl w:val="0"/>
          <w:numId w:val="51"/>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организовано осуществление методической помощи органам местного самоуправления по вопросам организации работы, связанной с оказанием помощи пострадавшим гражданам;</w:t>
      </w:r>
    </w:p>
    <w:p w:rsidR="00D1277B" w:rsidRPr="00D1277B" w:rsidRDefault="00D1277B" w:rsidP="007F4EC1">
      <w:pPr>
        <w:widowControl w:val="0"/>
        <w:numPr>
          <w:ilvl w:val="0"/>
          <w:numId w:val="51"/>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организовано осуществление юридической помощи пострадавшим гражданам (в том числе, разработаны типовые формы процессуальных документов, необходимых для обращения в судебные органы).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Для урегулирования проблем, изложенных в разделе 2 настоящей Конкурсной работы, необходимо принять следующие меры:</w:t>
      </w:r>
    </w:p>
    <w:p w:rsidR="00D1277B" w:rsidRPr="00D1277B" w:rsidRDefault="00D1277B" w:rsidP="007F4EC1">
      <w:pPr>
        <w:widowControl w:val="0"/>
        <w:numPr>
          <w:ilvl w:val="0"/>
          <w:numId w:val="52"/>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урегулировать на федеральном уровне понятие «Нарушение условий жизнедеятельности гражданина в результате воздействия поражающих факторов источника чрезвычайной ситуации»;</w:t>
      </w:r>
    </w:p>
    <w:p w:rsidR="00D1277B" w:rsidRPr="00D1277B" w:rsidRDefault="00D1277B" w:rsidP="007F4EC1">
      <w:pPr>
        <w:widowControl w:val="0"/>
        <w:numPr>
          <w:ilvl w:val="0"/>
          <w:numId w:val="52"/>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рассмотреть возможность внесения изменений в статью </w:t>
      </w:r>
      <w:r w:rsidRPr="00D1277B">
        <w:rPr>
          <w:rFonts w:ascii="Times New Roman" w:hAnsi="Times New Roman"/>
          <w:sz w:val="28"/>
          <w:szCs w:val="28"/>
        </w:rPr>
        <w:br/>
        <w:t xml:space="preserve">333.36 Налогового кодекса Российской Федерации в части освобождения </w:t>
      </w:r>
      <w:r w:rsidRPr="00D1277B">
        <w:rPr>
          <w:rFonts w:ascii="Times New Roman" w:hAnsi="Times New Roman"/>
          <w:sz w:val="28"/>
          <w:szCs w:val="28"/>
        </w:rPr>
        <w:br/>
        <w:t xml:space="preserve">от уплаты от уплаты государственной пошлины физических лиц, пострадавших </w:t>
      </w:r>
      <w:r w:rsidRPr="00D1277B">
        <w:rPr>
          <w:rFonts w:ascii="Times New Roman" w:hAnsi="Times New Roman"/>
          <w:sz w:val="28"/>
          <w:szCs w:val="28"/>
        </w:rPr>
        <w:br/>
        <w:t xml:space="preserve">в результате чрезвычайной ситуации, при подаче исков в связи с установлением права на получение выплат по аналогии с льготой, установленной </w:t>
      </w:r>
      <w:r w:rsidRPr="00D1277B">
        <w:rPr>
          <w:rFonts w:ascii="Times New Roman" w:hAnsi="Times New Roman"/>
          <w:sz w:val="28"/>
          <w:szCs w:val="28"/>
        </w:rPr>
        <w:br/>
        <w:t xml:space="preserve">ст.333.35 Налогового кодекса Российской Федерации, в соответствии с которой </w:t>
      </w:r>
      <w:r w:rsidRPr="00D1277B">
        <w:rPr>
          <w:rFonts w:ascii="Times New Roman" w:hAnsi="Times New Roman"/>
          <w:sz w:val="28"/>
          <w:szCs w:val="28"/>
        </w:rPr>
        <w:br/>
        <w:t>от уплаты государственной пошлины освобождаются физические лица, пострадавшие в результате чрезвычайной ситуации и обратившиеся за получением паспорта взамен утраченного или пришедшего в негодность вследствие такой чрезвычайной ситуации;</w:t>
      </w:r>
    </w:p>
    <w:p w:rsidR="00D1277B" w:rsidRPr="00D1277B" w:rsidRDefault="00D1277B" w:rsidP="007F4EC1">
      <w:pPr>
        <w:widowControl w:val="0"/>
        <w:numPr>
          <w:ilvl w:val="0"/>
          <w:numId w:val="52"/>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рассмотреть возможность упрощения механизма инициирования, согласования и принятия решений о выделения бюджетных ассигнований</w:t>
      </w:r>
      <w:r w:rsidRPr="00D1277B">
        <w:rPr>
          <w:rFonts w:ascii="Times New Roman" w:hAnsi="Times New Roman"/>
          <w:sz w:val="28"/>
          <w:szCs w:val="28"/>
        </w:rPr>
        <w:br/>
        <w:t xml:space="preserve">за счет резервного фонда Правительства Российской Федерации </w:t>
      </w:r>
      <w:r w:rsidRPr="00D1277B">
        <w:rPr>
          <w:rFonts w:ascii="Times New Roman" w:hAnsi="Times New Roman"/>
          <w:sz w:val="28"/>
          <w:szCs w:val="28"/>
        </w:rPr>
        <w:br/>
        <w:t xml:space="preserve">по предупреждению и ликвидации чрезвычайных ситуаций и последствий стихийных бедствий посредством разработки и использования программного продукта АИС ЧС, возможно, интегрированного в Единую государственную информационную систему социального обеспечения (т.к. выплаты пострадавшим гражданам по своей правовой природе являются мерами социальной поддержки). </w:t>
      </w:r>
      <w:r w:rsidRPr="00D1277B">
        <w:rPr>
          <w:rFonts w:ascii="Times New Roman" w:hAnsi="Times New Roman"/>
          <w:sz w:val="28"/>
          <w:szCs w:val="28"/>
        </w:rPr>
        <w:br/>
        <w:t xml:space="preserve">ЕГИССО уже содержит состав информации, необходимой для принятия решений о включении граждан в список пострадавших, кроме этого, источниками данной информации, например, о данных паспорта, являются информационные системы, оператором которых является Министерство внутренних дел Российской Федерации, и т.д. Доступ к АИС ЧС должен быть обеспечен органам муниципальной власти, уполномоченному органу исполнительной власти субъекта, органам МЧС России, Министерству финансов России </w:t>
      </w:r>
      <w:r w:rsidRPr="00D1277B">
        <w:rPr>
          <w:rFonts w:ascii="Times New Roman" w:hAnsi="Times New Roman"/>
          <w:sz w:val="28"/>
          <w:szCs w:val="28"/>
        </w:rPr>
        <w:br/>
      </w:r>
      <w:r w:rsidRPr="00D1277B">
        <w:rPr>
          <w:rFonts w:ascii="Times New Roman" w:hAnsi="Times New Roman"/>
          <w:sz w:val="28"/>
          <w:szCs w:val="28"/>
        </w:rPr>
        <w:lastRenderedPageBreak/>
        <w:t xml:space="preserve">и т.д., что обеспечит снижение временных затрат на составление списков пострадавших граждан за счет однократного внесения данных о пострадавших гражданах в базу АИС ЧС только на уровне первичного звена – органов местного самоуправления, проведение проверки достоверности данных о документах, удостоверяющих личность, о месте проживания и т.д., поскольку эти данные </w:t>
      </w:r>
      <w:r w:rsidRPr="00D1277B">
        <w:rPr>
          <w:rFonts w:ascii="Times New Roman" w:hAnsi="Times New Roman"/>
          <w:sz w:val="28"/>
          <w:szCs w:val="28"/>
        </w:rPr>
        <w:br/>
        <w:t xml:space="preserve">уже содержатся в ЕГИССО в отношении значительного количества граждан, </w:t>
      </w:r>
      <w:r w:rsidRPr="00D1277B">
        <w:rPr>
          <w:rFonts w:ascii="Times New Roman" w:hAnsi="Times New Roman"/>
          <w:sz w:val="28"/>
          <w:szCs w:val="28"/>
        </w:rPr>
        <w:br/>
        <w:t xml:space="preserve">являющихся получателями тех или иных мер социальной поддержки. </w:t>
      </w:r>
      <w:r w:rsidRPr="00D1277B">
        <w:rPr>
          <w:rFonts w:ascii="Times New Roman" w:hAnsi="Times New Roman"/>
          <w:sz w:val="28"/>
          <w:szCs w:val="28"/>
        </w:rPr>
        <w:br/>
        <w:t>Целями создания системы ЕГИССО являются: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а) предоставление мер социальной защиты (поддержки), социальных </w:t>
      </w:r>
      <w:r w:rsidRPr="00D1277B">
        <w:rPr>
          <w:rFonts w:ascii="Times New Roman" w:hAnsi="Times New Roman"/>
          <w:sz w:val="28"/>
          <w:szCs w:val="28"/>
        </w:rPr>
        <w:br/>
        <w:t>услуг в рамках социального обслуживания и государственной социальной помощи, иных социальных гарантий и выплат населению в Российской Федерации за счет средств бюджетов бюджетной системы Российской Федерации органами государственной власти, государственными внебюджетными фондами, органами местного самоуправления и организациями, предоставляющими меры социальной защиты (поддержки), в том числе с соблюдением принципа адресности и применением критериев нуждаемости;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б) унификация мер социальной защиты (поддержки), предоставляемых </w:t>
      </w:r>
      <w:r w:rsidRPr="00D1277B">
        <w:rPr>
          <w:rFonts w:ascii="Times New Roman" w:hAnsi="Times New Roman"/>
          <w:sz w:val="28"/>
          <w:szCs w:val="28"/>
        </w:rPr>
        <w:br/>
        <w:t>за счет средств бюджетов субъектов Российской Федерации и местных бюджетов;</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в) возможность прогнозирования расходов бюджетов бюджетной системы Российской Федерации в части выполнения социальных обязательств Российской Федерации, субъектов Российской Федерации, муниципальных образований;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г) повышение уровня информированности граждан о мерах социальной защиты (поддержки) и реализации права на них;</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д) формирование и ведение в соответствии с законодательством Российской Федерации базового государственного информационного ресурса </w:t>
      </w:r>
      <w:r w:rsidRPr="00D1277B">
        <w:rPr>
          <w:rFonts w:ascii="Times New Roman" w:hAnsi="Times New Roman"/>
          <w:sz w:val="28"/>
          <w:szCs w:val="28"/>
        </w:rPr>
        <w:br/>
        <w:t>в сфере социальной защиты населения.</w:t>
      </w:r>
      <w:r w:rsidRPr="00D1277B">
        <w:rPr>
          <w:rFonts w:ascii="Times New Roman" w:hAnsi="Times New Roman"/>
          <w:sz w:val="28"/>
          <w:szCs w:val="28"/>
          <w:vertAlign w:val="superscript"/>
        </w:rPr>
        <w:footnoteReference w:id="74"/>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Пожалуй, основной мерой, о которой бы хотелось упомянуть отдельно, </w:t>
      </w:r>
      <w:r w:rsidRPr="00D1277B">
        <w:rPr>
          <w:rFonts w:ascii="Times New Roman" w:hAnsi="Times New Roman"/>
          <w:sz w:val="28"/>
          <w:szCs w:val="28"/>
        </w:rPr>
        <w:br/>
        <w:t xml:space="preserve">это меры, направленные на формирование реестра населенных пунктов </w:t>
      </w:r>
      <w:r w:rsidRPr="00D1277B">
        <w:rPr>
          <w:rFonts w:ascii="Times New Roman" w:hAnsi="Times New Roman"/>
          <w:sz w:val="28"/>
          <w:szCs w:val="28"/>
        </w:rPr>
        <w:br/>
        <w:t xml:space="preserve">на территории Приморского края, попадающих в зону затопления (подтопления), вызванных различными гидрологическими и гидродинамическими явлениями </w:t>
      </w:r>
      <w:r w:rsidRPr="00D1277B">
        <w:rPr>
          <w:rFonts w:ascii="Times New Roman" w:hAnsi="Times New Roman"/>
          <w:sz w:val="28"/>
          <w:szCs w:val="28"/>
        </w:rPr>
        <w:br/>
        <w:t xml:space="preserve">и процессами в соответствии с Методическими рекомендации по формированию реестра населенных пунктов на территории РФ, попадающих в зону затопления (подтопления) вызванных различными гидрологическими и гидродинамическими явлениями и процессами, утвержденными МЧС России и опубликованными на сайте http://86.mchs.gov.ru по состоянию на </w:t>
      </w:r>
      <w:r w:rsidRPr="00D1277B">
        <w:rPr>
          <w:rFonts w:ascii="Times New Roman" w:hAnsi="Times New Roman"/>
          <w:sz w:val="28"/>
          <w:szCs w:val="28"/>
        </w:rPr>
        <w:lastRenderedPageBreak/>
        <w:t>24.10.2018. При отработке реестров рекомендовано учитывать следующие особенности:</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сведения указываются за каждый населенный пункт в отдельности, </w:t>
      </w:r>
      <w:r w:rsidRPr="00D1277B">
        <w:rPr>
          <w:rFonts w:ascii="Times New Roman" w:hAnsi="Times New Roman"/>
          <w:sz w:val="28"/>
          <w:szCs w:val="28"/>
        </w:rPr>
        <w:br/>
        <w:t>при этом указываются его географические координаты;</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критический уровень - это уровень, при котором происходит затопление пониженных частей (границ) населенных пунктов, промышленных и транспортных объектов;</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при оценке жилых зданий учитывать здания, попадающие в зону затопления, в которых проживают люди, в том числе здания, в которых прогнозируется подтопление только подвальных помещений;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при оценке социально значимых объектов учитывать все учреждения системы социальной защиты, здравоохранения и образования, а также образовательные учреждения;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при оценке объектов экономики и потенциально опасных объектов учитывать предприятия или учреждения производственного назначения;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при оценке объектов жизнеобеспечения учитывать объекты по производству электрической и тепловой энергии, тепловые сети, системы газораспределения, водоснабжения и водоотведения, очистные сооружения.</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Данные реестры можно рекомендовать составить в отношении муниципальных образований, указанных в приложении № 3 к настоящей Конкурсной работе. Это позволит иметь в распоряжении органов местного самоуправления заранее подготовленный перечень жилых объектов, точное количество лиц, зарегистрированных по месту жительства в таких объектах на дату внесения объектов в реестр и, при наступлении чрезвычайной ситуации, весьма корректно спрогнозировать сумму средств, необходимых для оказания помощи пострадавшим гражданам. Консолидированные сведения, полученные из таких реестров, также могут послужить основанием для формирования сводных данных о потребности в средствах резервного фонда Правительства Российской Федерации по предупреждению и ликвидации чрезвычайных ситуаций и последствий стихийных бедствий (в случае присвоения чрезвычайной ситуации федерального межрегионального или федерального характера).</w:t>
      </w:r>
    </w:p>
    <w:p w:rsidR="00D1277B" w:rsidRPr="00D1277B" w:rsidRDefault="00D1277B" w:rsidP="00DE653E">
      <w:pPr>
        <w:widowControl w:val="0"/>
        <w:spacing w:before="240" w:after="120" w:line="240" w:lineRule="auto"/>
        <w:jc w:val="center"/>
        <w:rPr>
          <w:rFonts w:ascii="Times New Roman" w:hAnsi="Times New Roman"/>
          <w:b/>
          <w:sz w:val="28"/>
          <w:szCs w:val="28"/>
        </w:rPr>
      </w:pPr>
      <w:r w:rsidRPr="00D1277B">
        <w:rPr>
          <w:rFonts w:ascii="Times New Roman" w:hAnsi="Times New Roman"/>
          <w:b/>
          <w:sz w:val="28"/>
          <w:szCs w:val="28"/>
        </w:rPr>
        <w:t>Заключение</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Таким образом, предлагаемые в настоящей Конкурсной работе </w:t>
      </w:r>
      <w:r w:rsidRPr="00D1277B">
        <w:rPr>
          <w:rFonts w:ascii="Times New Roman" w:hAnsi="Times New Roman"/>
          <w:sz w:val="28"/>
          <w:szCs w:val="28"/>
        </w:rPr>
        <w:br/>
        <w:t xml:space="preserve">меры направлены на оптимизацию работы органов государственной власти </w:t>
      </w:r>
      <w:r w:rsidRPr="00D1277B">
        <w:rPr>
          <w:rFonts w:ascii="Times New Roman" w:hAnsi="Times New Roman"/>
          <w:sz w:val="28"/>
          <w:szCs w:val="28"/>
        </w:rPr>
        <w:br/>
        <w:t xml:space="preserve">и органов местного самоуправления, защиту прав граждан при возникновении стихийных бедствий и, тем самым, нацелены на недопущение социальной напряженности при возникновении чрезвычайных ситуаций. Конкурсная работа основана, в том числе, на опыте личного участия в разработке нормативных правовых актов, методических рекомендаций для органов местного самоуправления, а также на опыте взаимодействия с органами прокуратуры, органами исполнительной власти Приморского края, контрольными органами и анализе судебных дел такой категории за период с </w:t>
      </w:r>
      <w:r w:rsidRPr="00D1277B">
        <w:rPr>
          <w:rFonts w:ascii="Times New Roman" w:hAnsi="Times New Roman"/>
          <w:sz w:val="28"/>
          <w:szCs w:val="28"/>
        </w:rPr>
        <w:lastRenderedPageBreak/>
        <w:t xml:space="preserve">2016 года по н.в. </w:t>
      </w:r>
    </w:p>
    <w:p w:rsidR="00D1277B" w:rsidRPr="00D1277B" w:rsidRDefault="00D1277B" w:rsidP="00D1277B">
      <w:pPr>
        <w:widowControl w:val="0"/>
        <w:spacing w:after="0" w:line="240" w:lineRule="auto"/>
        <w:jc w:val="both"/>
        <w:rPr>
          <w:rFonts w:ascii="Times New Roman" w:hAnsi="Times New Roman"/>
          <w:sz w:val="28"/>
          <w:szCs w:val="28"/>
        </w:rPr>
      </w:pPr>
    </w:p>
    <w:p w:rsidR="00D1277B" w:rsidRPr="00D1277B" w:rsidRDefault="00D1277B" w:rsidP="00DE653E">
      <w:pPr>
        <w:widowControl w:val="0"/>
        <w:spacing w:after="0" w:line="240" w:lineRule="auto"/>
        <w:jc w:val="center"/>
        <w:rPr>
          <w:rFonts w:ascii="Times New Roman" w:hAnsi="Times New Roman"/>
          <w:sz w:val="28"/>
          <w:szCs w:val="28"/>
        </w:rPr>
      </w:pPr>
      <w:r w:rsidRPr="00D1277B">
        <w:rPr>
          <w:rFonts w:ascii="Times New Roman" w:hAnsi="Times New Roman"/>
          <w:sz w:val="28"/>
          <w:szCs w:val="28"/>
        </w:rPr>
        <w:t>СОДЕРЖАНИЕ</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 Введение</w:t>
      </w:r>
    </w:p>
    <w:p w:rsidR="00D1277B" w:rsidRPr="00D1277B" w:rsidRDefault="00D1277B" w:rsidP="007F4EC1">
      <w:pPr>
        <w:widowControl w:val="0"/>
        <w:numPr>
          <w:ilvl w:val="0"/>
          <w:numId w:val="53"/>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Вопросы применения федеральных и региональных нормативных правовых актов, регулирующих правоотношения в связи с оказанием помощи пострадавшим гражданам. Развитие регионального законодательства в области защиты населения от чрезвычайных ситуаций природного и техногенного характера.</w:t>
      </w:r>
    </w:p>
    <w:p w:rsidR="00D1277B" w:rsidRPr="00D1277B" w:rsidRDefault="00D1277B" w:rsidP="007F4EC1">
      <w:pPr>
        <w:widowControl w:val="0"/>
        <w:numPr>
          <w:ilvl w:val="0"/>
          <w:numId w:val="53"/>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 Проблемы соблюдения прав пострадавших граждан, связанные </w:t>
      </w:r>
      <w:r w:rsidRPr="00D1277B">
        <w:rPr>
          <w:rFonts w:ascii="Times New Roman" w:hAnsi="Times New Roman"/>
          <w:sz w:val="28"/>
          <w:szCs w:val="28"/>
        </w:rPr>
        <w:br/>
        <w:t>с реализацией нормативных правовых актов, регулирующих вопросы организации работы по оказанию помощи в период чрезвычайных ситуаций на территории края.</w:t>
      </w:r>
    </w:p>
    <w:p w:rsidR="00D1277B" w:rsidRPr="00D1277B" w:rsidRDefault="00D1277B" w:rsidP="007F4EC1">
      <w:pPr>
        <w:widowControl w:val="0"/>
        <w:numPr>
          <w:ilvl w:val="0"/>
          <w:numId w:val="53"/>
        </w:numPr>
        <w:spacing w:after="0" w:line="240" w:lineRule="auto"/>
        <w:ind w:left="0" w:firstLine="0"/>
        <w:jc w:val="both"/>
        <w:rPr>
          <w:rFonts w:ascii="Times New Roman" w:hAnsi="Times New Roman"/>
          <w:sz w:val="28"/>
          <w:szCs w:val="28"/>
        </w:rPr>
      </w:pPr>
      <w:r w:rsidRPr="00D1277B">
        <w:rPr>
          <w:rFonts w:ascii="Times New Roman" w:hAnsi="Times New Roman"/>
          <w:sz w:val="28"/>
          <w:szCs w:val="28"/>
        </w:rPr>
        <w:t xml:space="preserve">Пути решения проблем соблюдения прав пострадавших граждан </w:t>
      </w:r>
      <w:r w:rsidRPr="00D1277B">
        <w:rPr>
          <w:rFonts w:ascii="Times New Roman" w:hAnsi="Times New Roman"/>
          <w:sz w:val="28"/>
          <w:szCs w:val="28"/>
        </w:rPr>
        <w:br/>
        <w:t>в ходе мероприятий, связанных с ликвидацией чрезвычайных ситуаций.</w:t>
      </w: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Заключение</w:t>
      </w:r>
    </w:p>
    <w:p w:rsidR="00D1277B" w:rsidRPr="00D1277B" w:rsidRDefault="00D1277B" w:rsidP="00D1277B">
      <w:pPr>
        <w:widowControl w:val="0"/>
        <w:spacing w:after="0" w:line="240" w:lineRule="auto"/>
        <w:jc w:val="both"/>
        <w:rPr>
          <w:rFonts w:ascii="Times New Roman" w:hAnsi="Times New Roman"/>
          <w:sz w:val="28"/>
          <w:szCs w:val="28"/>
        </w:rPr>
      </w:pPr>
    </w:p>
    <w:p w:rsidR="00D1277B" w:rsidRPr="00D1277B" w:rsidRDefault="00D1277B" w:rsidP="00D1277B">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Список использованных документов содержится в приложении </w:t>
      </w:r>
      <w:r w:rsidRPr="00D1277B">
        <w:rPr>
          <w:rFonts w:ascii="Times New Roman" w:hAnsi="Times New Roman"/>
          <w:sz w:val="28"/>
          <w:szCs w:val="28"/>
        </w:rPr>
        <w:br/>
        <w:t>№ 1 к настоящей Конкурсной работе.</w:t>
      </w:r>
    </w:p>
    <w:p w:rsidR="00D1277B" w:rsidRPr="00D1277B" w:rsidRDefault="00D1277B" w:rsidP="00D1277B">
      <w:pPr>
        <w:widowControl w:val="0"/>
        <w:spacing w:after="0" w:line="360" w:lineRule="auto"/>
        <w:ind w:left="708"/>
        <w:jc w:val="both"/>
        <w:rPr>
          <w:rFonts w:ascii="Times New Roman" w:hAnsi="Times New Roman"/>
          <w:sz w:val="28"/>
          <w:szCs w:val="28"/>
        </w:rPr>
      </w:pPr>
    </w:p>
    <w:p w:rsidR="00D1277B" w:rsidRPr="00D1277B" w:rsidRDefault="00D1277B" w:rsidP="00D1277B">
      <w:pPr>
        <w:widowControl w:val="0"/>
        <w:spacing w:after="0" w:line="240" w:lineRule="auto"/>
        <w:ind w:left="708"/>
        <w:jc w:val="both"/>
        <w:rPr>
          <w:rFonts w:ascii="Times New Roman" w:hAnsi="Times New Roman"/>
          <w:b/>
          <w:sz w:val="28"/>
          <w:szCs w:val="28"/>
        </w:rPr>
      </w:pPr>
      <w:r w:rsidRPr="00D1277B">
        <w:rPr>
          <w:rFonts w:ascii="Times New Roman" w:hAnsi="Times New Roman"/>
          <w:b/>
          <w:sz w:val="28"/>
          <w:szCs w:val="28"/>
        </w:rPr>
        <w:t>Аннотация к Конкурсной работе на тему:</w:t>
      </w:r>
      <w:r w:rsidRPr="00D1277B">
        <w:rPr>
          <w:b/>
        </w:rPr>
        <w:t xml:space="preserve"> «</w:t>
      </w:r>
      <w:r w:rsidRPr="00D1277B">
        <w:rPr>
          <w:rFonts w:ascii="Times New Roman" w:hAnsi="Times New Roman"/>
          <w:b/>
          <w:sz w:val="28"/>
          <w:szCs w:val="28"/>
        </w:rPr>
        <w:t xml:space="preserve">Защита прав граждан </w:t>
      </w:r>
      <w:r w:rsidRPr="00D1277B">
        <w:rPr>
          <w:rFonts w:ascii="Times New Roman" w:hAnsi="Times New Roman"/>
          <w:b/>
          <w:sz w:val="28"/>
          <w:szCs w:val="28"/>
        </w:rPr>
        <w:br/>
        <w:t xml:space="preserve">при возникновении стихийных бедствий. Вопросы защиты прав граждан по опыту возмещения ущерба, нанесенного стихией </w:t>
      </w:r>
      <w:r w:rsidRPr="00D1277B">
        <w:rPr>
          <w:rFonts w:ascii="Times New Roman" w:hAnsi="Times New Roman"/>
          <w:b/>
          <w:sz w:val="28"/>
          <w:szCs w:val="28"/>
        </w:rPr>
        <w:br/>
        <w:t>в Приморском крае», подготовленной начальником правового отдела департамента труда и социального развития Приморского края, Горбенко И.В.:</w:t>
      </w:r>
    </w:p>
    <w:p w:rsidR="00D1277B" w:rsidRPr="00D1277B" w:rsidRDefault="00D1277B" w:rsidP="00DE653E">
      <w:pPr>
        <w:widowControl w:val="0"/>
        <w:spacing w:after="0" w:line="240" w:lineRule="auto"/>
        <w:jc w:val="both"/>
        <w:rPr>
          <w:rFonts w:ascii="Times New Roman" w:hAnsi="Times New Roman"/>
          <w:sz w:val="28"/>
          <w:szCs w:val="28"/>
        </w:rPr>
      </w:pPr>
      <w:r w:rsidRPr="00D1277B">
        <w:rPr>
          <w:rFonts w:ascii="Times New Roman" w:hAnsi="Times New Roman"/>
          <w:sz w:val="28"/>
          <w:szCs w:val="28"/>
        </w:rPr>
        <w:tab/>
        <w:t xml:space="preserve">Конкурсная работа посвящена одной из наиболее важных </w:t>
      </w:r>
      <w:r w:rsidRPr="00D1277B">
        <w:rPr>
          <w:rFonts w:ascii="Times New Roman" w:hAnsi="Times New Roman"/>
          <w:sz w:val="28"/>
          <w:szCs w:val="28"/>
        </w:rPr>
        <w:br/>
        <w:t xml:space="preserve">тем, предложенных для подготовки конкурсных работ по вопросу </w:t>
      </w:r>
      <w:r w:rsidRPr="00D1277B">
        <w:rPr>
          <w:rFonts w:ascii="Times New Roman" w:hAnsi="Times New Roman"/>
          <w:sz w:val="28"/>
          <w:szCs w:val="28"/>
        </w:rPr>
        <w:br/>
        <w:t xml:space="preserve">защиты прав человека для участия в ежегодном конкурсе «Соблюдение </w:t>
      </w:r>
      <w:r w:rsidRPr="00D1277B">
        <w:rPr>
          <w:rFonts w:ascii="Times New Roman" w:hAnsi="Times New Roman"/>
          <w:sz w:val="28"/>
          <w:szCs w:val="28"/>
        </w:rPr>
        <w:br/>
        <w:t>прав и свобод человека в Приморском крае». Актуальность темы обусловлена складывающейся, особенно в последние три года, на территории края ситуацией в связи с прохождением опасных метеорологических явлений – очень сильных дождей, а также количеством граждан, признанных пострадавшими и нуждающимися в оказании разовой, материальной и (или) финансовой помощи, за указанный период.</w:t>
      </w:r>
    </w:p>
    <w:p w:rsidR="00D1277B" w:rsidRPr="00D1277B" w:rsidRDefault="00D1277B" w:rsidP="00DE653E">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Конкурсная работа основана на опыте практической работы автора с обращениями пострадавших граждан, органами местного самоуправления, государственными органами различного уровня, контролирующими органами и, что особенно ценно, опыте взаимодействия с органами судебной власти (включая Верховный Суд Российской Федерации) и содержит конкретные рекомендации, которые могут быть применены </w:t>
      </w:r>
      <w:r w:rsidRPr="00D1277B">
        <w:rPr>
          <w:rFonts w:ascii="Times New Roman" w:hAnsi="Times New Roman"/>
          <w:sz w:val="28"/>
          <w:szCs w:val="28"/>
        </w:rPr>
        <w:br/>
        <w:t>в практической деятельности.</w:t>
      </w:r>
    </w:p>
    <w:p w:rsidR="00D1277B" w:rsidRPr="00D1277B" w:rsidRDefault="00D1277B" w:rsidP="00DE653E">
      <w:pPr>
        <w:widowControl w:val="0"/>
        <w:spacing w:after="0" w:line="240" w:lineRule="auto"/>
        <w:jc w:val="both"/>
        <w:rPr>
          <w:rFonts w:ascii="Times New Roman" w:hAnsi="Times New Roman"/>
          <w:sz w:val="28"/>
          <w:szCs w:val="28"/>
        </w:rPr>
      </w:pPr>
      <w:r w:rsidRPr="00D1277B">
        <w:rPr>
          <w:rFonts w:ascii="Times New Roman" w:hAnsi="Times New Roman"/>
          <w:sz w:val="28"/>
          <w:szCs w:val="28"/>
        </w:rPr>
        <w:t xml:space="preserve">Заместитель директора департамента труда </w:t>
      </w:r>
    </w:p>
    <w:p w:rsidR="00D1277B" w:rsidRPr="00D1277B" w:rsidRDefault="00D1277B" w:rsidP="00DE653E">
      <w:pPr>
        <w:widowControl w:val="0"/>
        <w:spacing w:after="0" w:line="240" w:lineRule="auto"/>
        <w:jc w:val="both"/>
        <w:rPr>
          <w:rFonts w:ascii="Times New Roman" w:hAnsi="Times New Roman"/>
          <w:sz w:val="28"/>
          <w:szCs w:val="28"/>
        </w:rPr>
      </w:pPr>
      <w:r w:rsidRPr="00D1277B">
        <w:rPr>
          <w:rFonts w:ascii="Times New Roman" w:hAnsi="Times New Roman"/>
          <w:sz w:val="28"/>
          <w:szCs w:val="28"/>
        </w:rPr>
        <w:t>и социального развития Приморского края                               Е.М. Магерчук</w:t>
      </w:r>
    </w:p>
    <w:p w:rsidR="00D1277B" w:rsidRPr="00D1277B" w:rsidRDefault="00D1277B" w:rsidP="00D1277B">
      <w:pPr>
        <w:tabs>
          <w:tab w:val="left" w:pos="3969"/>
        </w:tabs>
        <w:spacing w:after="0" w:line="240" w:lineRule="auto"/>
        <w:jc w:val="center"/>
        <w:rPr>
          <w:rFonts w:ascii="Times New Roman" w:eastAsia="Times New Roman" w:hAnsi="Times New Roman"/>
          <w:sz w:val="32"/>
          <w:szCs w:val="20"/>
          <w:lang w:eastAsia="ru-RU"/>
        </w:rPr>
      </w:pPr>
      <w:r w:rsidRPr="00D1277B">
        <w:rPr>
          <w:rFonts w:ascii="Times New Roman" w:eastAsia="Times New Roman" w:hAnsi="Times New Roman"/>
          <w:sz w:val="32"/>
          <w:szCs w:val="20"/>
          <w:lang w:eastAsia="ru-RU"/>
        </w:rPr>
        <w:lastRenderedPageBreak/>
        <w:t>Уполномоченный по правам человека в Приморском крае</w:t>
      </w:r>
    </w:p>
    <w:p w:rsidR="00D1277B" w:rsidRPr="00D1277B" w:rsidRDefault="00D1277B" w:rsidP="00D1277B">
      <w:pPr>
        <w:spacing w:after="0" w:line="240" w:lineRule="auto"/>
        <w:jc w:val="center"/>
        <w:rPr>
          <w:rFonts w:ascii="Times New Roman" w:eastAsia="Times New Roman" w:hAnsi="Times New Roman"/>
          <w:b/>
          <w:bCs/>
          <w:sz w:val="28"/>
          <w:szCs w:val="20"/>
          <w:lang w:eastAsia="ru-RU"/>
        </w:rPr>
      </w:pPr>
    </w:p>
    <w:p w:rsidR="00D1277B" w:rsidRPr="00D1277B" w:rsidRDefault="00D1277B" w:rsidP="00D1277B">
      <w:pPr>
        <w:widowControl w:val="0"/>
        <w:spacing w:after="0" w:line="240" w:lineRule="auto"/>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b/>
          <w:color w:val="000000"/>
          <w:sz w:val="28"/>
          <w:szCs w:val="28"/>
        </w:rPr>
      </w:pPr>
      <w:r w:rsidRPr="00D1277B">
        <w:rPr>
          <w:rFonts w:ascii="Times New Roman" w:eastAsia="Times New Roman" w:hAnsi="Times New Roman"/>
          <w:b/>
          <w:sz w:val="28"/>
          <w:szCs w:val="28"/>
          <w:lang w:eastAsia="ru-RU"/>
        </w:rPr>
        <w:t>РЕАЛИЗАЦИЯ ПРАВА НЕСОВЕРШЕННОЛЕТНИХ ГРАЖДАН ПРИМОРСКОГО КРАЯ НА ОКАЗАНИЯ ПАЛЛИАТИВНОЙ ПОМОЩИ</w:t>
      </w:r>
    </w:p>
    <w:p w:rsidR="00D1277B" w:rsidRPr="00D1277B" w:rsidRDefault="00D1277B" w:rsidP="00D1277B">
      <w:pPr>
        <w:widowControl w:val="0"/>
        <w:spacing w:after="0" w:line="240" w:lineRule="auto"/>
        <w:ind w:firstLine="709"/>
        <w:jc w:val="center"/>
        <w:rPr>
          <w:rFonts w:ascii="Times New Roman" w:eastAsia="Times New Roman" w:hAnsi="Times New Roman"/>
          <w:color w:val="000000"/>
          <w:sz w:val="28"/>
          <w:szCs w:val="28"/>
        </w:rPr>
      </w:pPr>
    </w:p>
    <w:p w:rsidR="00D1277B" w:rsidRPr="00D1277B" w:rsidRDefault="00D1277B" w:rsidP="00D1277B">
      <w:pPr>
        <w:widowControl w:val="0"/>
        <w:spacing w:after="0" w:line="240" w:lineRule="auto"/>
        <w:ind w:firstLine="709"/>
        <w:jc w:val="center"/>
        <w:rPr>
          <w:rFonts w:ascii="Times New Roman" w:eastAsia="Times New Roman" w:hAnsi="Times New Roman"/>
          <w:color w:val="000000"/>
          <w:sz w:val="28"/>
          <w:szCs w:val="28"/>
        </w:rPr>
      </w:pPr>
    </w:p>
    <w:p w:rsidR="00D1277B" w:rsidRPr="00D1277B" w:rsidRDefault="00D1277B" w:rsidP="00D1277B">
      <w:pPr>
        <w:widowControl w:val="0"/>
        <w:spacing w:after="0" w:line="240" w:lineRule="auto"/>
        <w:ind w:firstLine="709"/>
        <w:jc w:val="center"/>
        <w:rPr>
          <w:rFonts w:ascii="Times New Roman" w:eastAsia="Times New Roman" w:hAnsi="Times New Roman"/>
          <w:color w:val="000000"/>
          <w:sz w:val="28"/>
          <w:szCs w:val="28"/>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bCs/>
          <w:sz w:val="28"/>
          <w:szCs w:val="28"/>
          <w:lang w:eastAsia="ru-RU"/>
        </w:rPr>
      </w:pPr>
      <w:r w:rsidRPr="00D1277B">
        <w:rPr>
          <w:rFonts w:ascii="Times New Roman" w:eastAsia="Times New Roman" w:hAnsi="Times New Roman"/>
          <w:bCs/>
          <w:sz w:val="28"/>
          <w:szCs w:val="28"/>
          <w:lang w:eastAsia="ru-RU"/>
        </w:rPr>
        <w:t>Конкурсная работа</w:t>
      </w:r>
    </w:p>
    <w:p w:rsidR="00D1277B" w:rsidRPr="00D1277B" w:rsidRDefault="00D1277B" w:rsidP="00D1277B">
      <w:pPr>
        <w:widowControl w:val="0"/>
        <w:spacing w:after="0" w:line="240" w:lineRule="auto"/>
        <w:ind w:firstLine="709"/>
        <w:jc w:val="center"/>
        <w:rPr>
          <w:rFonts w:ascii="Times New Roman" w:eastAsia="Times New Roman" w:hAnsi="Times New Roman"/>
          <w:bCs/>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bCs/>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b/>
          <w:sz w:val="28"/>
          <w:szCs w:val="28"/>
          <w:lang w:eastAsia="ru-RU"/>
        </w:rPr>
      </w:pPr>
      <w:r w:rsidRPr="00D1277B">
        <w:rPr>
          <w:rFonts w:ascii="Times New Roman" w:eastAsia="Times New Roman" w:hAnsi="Times New Roman"/>
          <w:b/>
          <w:sz w:val="28"/>
          <w:szCs w:val="28"/>
          <w:lang w:eastAsia="ru-RU"/>
        </w:rPr>
        <w:t>Медведева Юлия Денисовна</w:t>
      </w:r>
    </w:p>
    <w:p w:rsidR="00D1277B" w:rsidRPr="00D1277B" w:rsidRDefault="00D1277B" w:rsidP="00D1277B">
      <w:pPr>
        <w:widowControl w:val="0"/>
        <w:spacing w:after="0" w:line="240" w:lineRule="auto"/>
        <w:ind w:firstLine="709"/>
        <w:jc w:val="center"/>
        <w:rPr>
          <w:rFonts w:ascii="Times New Roman" w:eastAsia="Times New Roman" w:hAnsi="Times New Roman"/>
          <w:b/>
          <w:sz w:val="28"/>
          <w:szCs w:val="28"/>
          <w:lang w:eastAsia="ru-RU"/>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rPr>
      </w:pPr>
      <w:r w:rsidRPr="00D1277B">
        <w:rPr>
          <w:rFonts w:ascii="Times New Roman" w:eastAsia="Times New Roman" w:hAnsi="Times New Roman"/>
          <w:sz w:val="28"/>
          <w:szCs w:val="28"/>
        </w:rPr>
        <w:t>Студента 2 курса направления «Региональное и муниципальное управление» Школы экономики и менеджмента Дальневосточного Федерального Университета</w:t>
      </w: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rPr>
      </w:pP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rPr>
      </w:pPr>
      <w:r w:rsidRPr="00D1277B">
        <w:rPr>
          <w:rFonts w:ascii="Times New Roman" w:eastAsia="Times New Roman" w:hAnsi="Times New Roman"/>
          <w:sz w:val="28"/>
          <w:szCs w:val="28"/>
        </w:rPr>
        <w:t>Научный руководитель (консультант)</w:t>
      </w: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rPr>
      </w:pPr>
    </w:p>
    <w:p w:rsidR="00D1277B" w:rsidRPr="00D1277B" w:rsidRDefault="00D1277B" w:rsidP="00D1277B">
      <w:pPr>
        <w:widowControl w:val="0"/>
        <w:spacing w:after="0" w:line="240" w:lineRule="auto"/>
        <w:ind w:firstLine="709"/>
        <w:jc w:val="center"/>
        <w:rPr>
          <w:rFonts w:ascii="Times New Roman" w:eastAsia="Times New Roman" w:hAnsi="Times New Roman"/>
          <w:b/>
          <w:sz w:val="28"/>
          <w:szCs w:val="28"/>
        </w:rPr>
      </w:pPr>
      <w:r w:rsidRPr="00D1277B">
        <w:rPr>
          <w:rFonts w:ascii="Times New Roman" w:eastAsia="Times New Roman" w:hAnsi="Times New Roman"/>
          <w:b/>
          <w:sz w:val="28"/>
          <w:szCs w:val="28"/>
        </w:rPr>
        <w:t>Коваленко Светлана Витальевна</w:t>
      </w:r>
    </w:p>
    <w:p w:rsidR="00D1277B" w:rsidRPr="00D1277B" w:rsidRDefault="00D1277B" w:rsidP="00D1277B">
      <w:pPr>
        <w:widowControl w:val="0"/>
        <w:spacing w:after="0" w:line="240" w:lineRule="auto"/>
        <w:ind w:firstLine="709"/>
        <w:jc w:val="center"/>
        <w:rPr>
          <w:rFonts w:ascii="Times New Roman" w:eastAsia="Times New Roman" w:hAnsi="Times New Roman"/>
          <w:sz w:val="28"/>
          <w:szCs w:val="28"/>
        </w:rPr>
      </w:pPr>
      <w:r w:rsidRPr="00D1277B">
        <w:rPr>
          <w:rFonts w:ascii="Times New Roman" w:eastAsia="Times New Roman" w:hAnsi="Times New Roman"/>
          <w:sz w:val="28"/>
          <w:szCs w:val="28"/>
        </w:rPr>
        <w:t xml:space="preserve">Доцент кафедры государственного и муниципального управления Школы экономики и менеджмента ДВФУ, кандидат исторических наук </w:t>
      </w:r>
    </w:p>
    <w:p w:rsidR="00D1277B" w:rsidRPr="00D1277B" w:rsidRDefault="00D1277B" w:rsidP="00D1277B">
      <w:pPr>
        <w:spacing w:after="0" w:line="240" w:lineRule="auto"/>
        <w:jc w:val="center"/>
        <w:rPr>
          <w:rFonts w:ascii="Times New Roman" w:eastAsia="Times New Roman" w:hAnsi="Times New Roman"/>
          <w:b/>
          <w:bCs/>
          <w:sz w:val="28"/>
          <w:szCs w:val="28"/>
          <w:lang w:eastAsia="ar-SA"/>
        </w:rPr>
      </w:pPr>
    </w:p>
    <w:p w:rsidR="00D1277B" w:rsidRPr="00D1277B" w:rsidRDefault="00D1277B" w:rsidP="00D1277B">
      <w:pPr>
        <w:spacing w:after="0" w:line="240" w:lineRule="auto"/>
        <w:jc w:val="center"/>
        <w:rPr>
          <w:rFonts w:ascii="Times New Roman" w:eastAsia="Times New Roman" w:hAnsi="Times New Roman"/>
          <w:b/>
          <w:bCs/>
          <w:sz w:val="28"/>
          <w:szCs w:val="28"/>
          <w:lang w:eastAsia="ar-SA"/>
        </w:rPr>
      </w:pPr>
    </w:p>
    <w:p w:rsidR="00D1277B" w:rsidRPr="00D1277B" w:rsidRDefault="00D1277B" w:rsidP="00D1277B">
      <w:pPr>
        <w:spacing w:after="0" w:line="240" w:lineRule="auto"/>
        <w:jc w:val="center"/>
        <w:rPr>
          <w:rFonts w:ascii="Times New Roman" w:eastAsia="Times New Roman" w:hAnsi="Times New Roman"/>
          <w:b/>
          <w:bCs/>
          <w:sz w:val="28"/>
          <w:szCs w:val="28"/>
          <w:lang w:eastAsia="ar-SA"/>
        </w:rPr>
      </w:pPr>
    </w:p>
    <w:p w:rsidR="00D1277B" w:rsidRPr="00D1277B" w:rsidRDefault="00D1277B" w:rsidP="00D1277B">
      <w:pPr>
        <w:spacing w:after="0" w:line="240" w:lineRule="auto"/>
        <w:jc w:val="center"/>
        <w:rPr>
          <w:rFonts w:ascii="Times New Roman" w:eastAsia="Times New Roman" w:hAnsi="Times New Roman"/>
          <w:b/>
          <w:bCs/>
          <w:sz w:val="28"/>
          <w:szCs w:val="28"/>
          <w:lang w:eastAsia="ar-SA"/>
        </w:rPr>
      </w:pPr>
    </w:p>
    <w:p w:rsidR="00D1277B" w:rsidRPr="00D1277B" w:rsidRDefault="00D1277B" w:rsidP="00D1277B">
      <w:pPr>
        <w:spacing w:after="0" w:line="240" w:lineRule="auto"/>
        <w:jc w:val="center"/>
        <w:rPr>
          <w:rFonts w:ascii="Times New Roman" w:eastAsia="Times New Roman" w:hAnsi="Times New Roman"/>
          <w:b/>
          <w:bCs/>
          <w:sz w:val="28"/>
          <w:szCs w:val="28"/>
          <w:lang w:eastAsia="ar-SA"/>
        </w:rPr>
      </w:pPr>
    </w:p>
    <w:p w:rsidR="00D1277B" w:rsidRPr="00D1277B" w:rsidRDefault="00D1277B" w:rsidP="00D1277B">
      <w:pPr>
        <w:spacing w:after="0" w:line="240" w:lineRule="auto"/>
        <w:rPr>
          <w:rFonts w:ascii="Times New Roman" w:eastAsia="Times New Roman" w:hAnsi="Times New Roman"/>
          <w:b/>
          <w:bCs/>
          <w:sz w:val="28"/>
          <w:szCs w:val="28"/>
          <w:lang w:eastAsia="ar-SA"/>
        </w:rPr>
      </w:pPr>
    </w:p>
    <w:p w:rsidR="00D1277B" w:rsidRPr="00D1277B" w:rsidRDefault="00D1277B" w:rsidP="00D1277B">
      <w:pPr>
        <w:spacing w:after="0" w:line="240" w:lineRule="auto"/>
        <w:jc w:val="center"/>
        <w:rPr>
          <w:rFonts w:ascii="Times New Roman" w:eastAsia="Times New Roman" w:hAnsi="Times New Roman"/>
          <w:sz w:val="28"/>
          <w:szCs w:val="28"/>
        </w:rPr>
      </w:pPr>
    </w:p>
    <w:p w:rsidR="00D1277B" w:rsidRPr="00D1277B" w:rsidRDefault="00D1277B" w:rsidP="00D1277B">
      <w:pPr>
        <w:spacing w:after="0" w:line="240" w:lineRule="auto"/>
        <w:jc w:val="center"/>
        <w:rPr>
          <w:rFonts w:ascii="Times New Roman" w:eastAsia="Times New Roman" w:hAnsi="Times New Roman"/>
          <w:sz w:val="28"/>
          <w:szCs w:val="28"/>
        </w:rPr>
      </w:pPr>
    </w:p>
    <w:p w:rsidR="00D1277B" w:rsidRPr="00D1277B" w:rsidRDefault="00D1277B" w:rsidP="00D1277B">
      <w:pPr>
        <w:spacing w:after="0" w:line="240" w:lineRule="auto"/>
        <w:jc w:val="center"/>
        <w:rPr>
          <w:rFonts w:ascii="Times New Roman" w:eastAsia="Times New Roman" w:hAnsi="Times New Roman"/>
          <w:sz w:val="28"/>
          <w:szCs w:val="28"/>
        </w:rPr>
      </w:pPr>
    </w:p>
    <w:p w:rsidR="00D1277B" w:rsidRPr="00D1277B" w:rsidRDefault="00D1277B" w:rsidP="00D1277B">
      <w:pPr>
        <w:spacing w:after="0" w:line="240" w:lineRule="auto"/>
        <w:jc w:val="center"/>
        <w:rPr>
          <w:rFonts w:ascii="Times New Roman" w:eastAsia="Times New Roman" w:hAnsi="Times New Roman"/>
          <w:sz w:val="28"/>
          <w:szCs w:val="28"/>
        </w:rPr>
      </w:pPr>
    </w:p>
    <w:p w:rsidR="00D1277B" w:rsidRPr="00D1277B" w:rsidRDefault="00D1277B" w:rsidP="00D1277B">
      <w:pPr>
        <w:spacing w:after="0" w:line="240" w:lineRule="auto"/>
        <w:jc w:val="center"/>
        <w:rPr>
          <w:rFonts w:ascii="Times New Roman" w:eastAsia="Times New Roman" w:hAnsi="Times New Roman"/>
          <w:sz w:val="28"/>
          <w:szCs w:val="28"/>
        </w:rPr>
      </w:pPr>
    </w:p>
    <w:p w:rsidR="00D1277B" w:rsidRPr="00D1277B" w:rsidRDefault="00D1277B" w:rsidP="00D1277B">
      <w:pPr>
        <w:spacing w:after="0" w:line="240" w:lineRule="auto"/>
        <w:jc w:val="center"/>
        <w:rPr>
          <w:rFonts w:ascii="Times New Roman" w:eastAsia="Times New Roman" w:hAnsi="Times New Roman"/>
          <w:sz w:val="28"/>
          <w:szCs w:val="28"/>
        </w:rPr>
      </w:pPr>
    </w:p>
    <w:p w:rsidR="00D1277B" w:rsidRPr="00D1277B" w:rsidRDefault="00D1277B" w:rsidP="00D1277B">
      <w:pPr>
        <w:spacing w:after="0" w:line="240" w:lineRule="auto"/>
        <w:jc w:val="center"/>
        <w:rPr>
          <w:rFonts w:ascii="Times New Roman" w:eastAsia="Times New Roman" w:hAnsi="Times New Roman"/>
          <w:sz w:val="28"/>
          <w:szCs w:val="28"/>
        </w:rPr>
      </w:pPr>
      <w:r w:rsidRPr="00D1277B">
        <w:rPr>
          <w:rFonts w:ascii="Times New Roman" w:eastAsia="Times New Roman" w:hAnsi="Times New Roman"/>
          <w:sz w:val="28"/>
          <w:szCs w:val="28"/>
        </w:rPr>
        <w:t>Владивосток, 2018</w:t>
      </w:r>
    </w:p>
    <w:p w:rsidR="00D1277B" w:rsidRPr="00D1277B" w:rsidRDefault="00D1277B" w:rsidP="00BA78F1">
      <w:pPr>
        <w:keepNext/>
        <w:keepLines/>
        <w:spacing w:after="120" w:line="276" w:lineRule="auto"/>
        <w:jc w:val="center"/>
        <w:rPr>
          <w:rFonts w:ascii="Cambria" w:eastAsia="Times New Roman" w:hAnsi="Cambria"/>
          <w:b/>
          <w:bCs/>
          <w:sz w:val="28"/>
          <w:szCs w:val="28"/>
          <w:lang w:eastAsia="ru-RU"/>
        </w:rPr>
      </w:pPr>
      <w:bookmarkStart w:id="55" w:name="_Hlk517614626"/>
      <w:r w:rsidRPr="00D1277B">
        <w:rPr>
          <w:rFonts w:ascii="Times New Roman" w:eastAsia="Times New Roman" w:hAnsi="Times New Roman"/>
          <w:b/>
          <w:iCs/>
          <w:color w:val="000000"/>
          <w:sz w:val="28"/>
          <w:szCs w:val="28"/>
          <w:shd w:val="clear" w:color="auto" w:fill="FFFFFF"/>
          <w:lang w:eastAsia="ru-RU"/>
        </w:rPr>
        <w:lastRenderedPageBreak/>
        <w:t xml:space="preserve">              </w:t>
      </w:r>
      <w:r w:rsidRPr="00D1277B">
        <w:rPr>
          <w:rFonts w:ascii="Cambria" w:eastAsia="Times New Roman" w:hAnsi="Cambria"/>
          <w:b/>
          <w:bCs/>
          <w:sz w:val="28"/>
          <w:szCs w:val="28"/>
          <w:lang w:eastAsia="ru-RU"/>
        </w:rPr>
        <w:t>О</w:t>
      </w:r>
      <w:r w:rsidRPr="00D1277B">
        <w:rPr>
          <w:rFonts w:ascii="Times New Roman" w:eastAsia="Times New Roman" w:hAnsi="Times New Roman"/>
          <w:b/>
          <w:bCs/>
          <w:sz w:val="28"/>
          <w:szCs w:val="28"/>
          <w:lang w:eastAsia="ru-RU"/>
        </w:rPr>
        <w:t>главление</w:t>
      </w:r>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r w:rsidRPr="00337B1E">
        <w:rPr>
          <w:rFonts w:ascii="Times New Roman" w:hAnsi="Times New Roman"/>
          <w:sz w:val="28"/>
          <w:szCs w:val="28"/>
        </w:rPr>
        <w:fldChar w:fldCharType="begin"/>
      </w:r>
      <w:r w:rsidRPr="00337B1E">
        <w:rPr>
          <w:rFonts w:ascii="Times New Roman" w:eastAsia="Times New Roman" w:hAnsi="Times New Roman"/>
          <w:sz w:val="28"/>
          <w:szCs w:val="28"/>
          <w:lang w:eastAsia="ru-RU"/>
        </w:rPr>
        <w:instrText xml:space="preserve"> TOC \o "1-3" \h \z \u </w:instrText>
      </w:r>
      <w:r w:rsidRPr="00337B1E">
        <w:rPr>
          <w:rFonts w:ascii="Times New Roman" w:hAnsi="Times New Roman"/>
          <w:sz w:val="28"/>
          <w:szCs w:val="28"/>
        </w:rPr>
        <w:fldChar w:fldCharType="separate"/>
      </w:r>
      <w:hyperlink r:id="rId209" w:anchor="_Toc530347419" w:history="1">
        <w:r w:rsidRPr="00337B1E">
          <w:rPr>
            <w:rFonts w:ascii="Times New Roman" w:hAnsi="Times New Roman"/>
            <w:noProof/>
            <w:sz w:val="28"/>
            <w:szCs w:val="28"/>
            <w:lang w:eastAsia="ru-RU"/>
          </w:rPr>
          <w:t>Введение</w:t>
        </w:r>
        <w:r w:rsidRPr="00337B1E">
          <w:rPr>
            <w:rFonts w:ascii="Times New Roman" w:hAnsi="Times New Roman"/>
            <w:noProof/>
            <w:webHidden/>
            <w:sz w:val="28"/>
            <w:szCs w:val="28"/>
            <w:lang w:eastAsia="ru-RU"/>
          </w:rPr>
          <w:tab/>
        </w:r>
        <w:r w:rsidRPr="00337B1E">
          <w:rPr>
            <w:rFonts w:ascii="Times New Roman" w:hAnsi="Times New Roman"/>
            <w:sz w:val="28"/>
            <w:szCs w:val="28"/>
          </w:rPr>
          <w:fldChar w:fldCharType="begin"/>
        </w:r>
        <w:r w:rsidRPr="00337B1E">
          <w:rPr>
            <w:rFonts w:ascii="Times New Roman" w:hAnsi="Times New Roman"/>
            <w:noProof/>
            <w:webHidden/>
            <w:sz w:val="28"/>
            <w:szCs w:val="28"/>
            <w:lang w:eastAsia="ru-RU"/>
          </w:rPr>
          <w:instrText xml:space="preserve"> PAGEREF _Toc530347419 \h </w:instrText>
        </w:r>
        <w:r w:rsidRPr="00337B1E">
          <w:rPr>
            <w:rFonts w:ascii="Times New Roman" w:hAnsi="Times New Roman"/>
            <w:sz w:val="28"/>
            <w:szCs w:val="28"/>
          </w:rPr>
        </w:r>
        <w:r w:rsidRPr="00337B1E">
          <w:rPr>
            <w:rFonts w:ascii="Times New Roman" w:hAnsi="Times New Roman"/>
            <w:sz w:val="28"/>
            <w:szCs w:val="28"/>
          </w:rPr>
          <w:fldChar w:fldCharType="separate"/>
        </w:r>
        <w:r w:rsidRPr="00337B1E">
          <w:rPr>
            <w:rFonts w:ascii="Times New Roman" w:hAnsi="Times New Roman"/>
            <w:noProof/>
            <w:webHidden/>
            <w:sz w:val="28"/>
            <w:szCs w:val="28"/>
            <w:lang w:eastAsia="ru-RU"/>
          </w:rPr>
          <w:t>3</w:t>
        </w:r>
        <w:r w:rsidRPr="00337B1E">
          <w:rPr>
            <w:rFonts w:ascii="Times New Roman" w:hAnsi="Times New Roman"/>
            <w:sz w:val="28"/>
            <w:szCs w:val="28"/>
          </w:rPr>
          <w:fldChar w:fldCharType="end"/>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0" w:anchor="_Toc530347420" w:history="1">
        <w:r w:rsidRPr="00337B1E">
          <w:rPr>
            <w:rFonts w:ascii="Times New Roman" w:hAnsi="Times New Roman"/>
            <w:noProof/>
            <w:sz w:val="28"/>
            <w:szCs w:val="28"/>
            <w:bdr w:val="none" w:sz="0" w:space="0" w:color="auto" w:frame="1"/>
            <w:shd w:val="clear" w:color="auto" w:fill="FFFFFF"/>
            <w:lang w:eastAsia="ru-RU"/>
          </w:rPr>
          <w:t>Раздел 1. Анализ нормативно-правовой базы</w:t>
        </w:r>
        <w:r w:rsidRPr="00337B1E">
          <w:rPr>
            <w:rFonts w:ascii="Times New Roman" w:hAnsi="Times New Roman"/>
            <w:noProof/>
            <w:webHidden/>
            <w:sz w:val="28"/>
            <w:szCs w:val="28"/>
            <w:lang w:eastAsia="ru-RU"/>
          </w:rPr>
          <w:tab/>
          <w:t>6</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1" w:anchor="_Toc530347420" w:history="1">
        <w:r w:rsidRPr="00337B1E">
          <w:rPr>
            <w:rFonts w:ascii="Times New Roman" w:hAnsi="Times New Roman"/>
            <w:noProof/>
            <w:sz w:val="28"/>
            <w:szCs w:val="28"/>
            <w:bdr w:val="none" w:sz="0" w:space="0" w:color="auto" w:frame="1"/>
            <w:shd w:val="clear" w:color="auto" w:fill="FFFFFF"/>
            <w:lang w:eastAsia="ru-RU"/>
          </w:rPr>
          <w:t>1.1 Федеральный закон Российской Федерации от 21 ноября 2011 г. № 323-ФЗ «Об основах охраны здоровья граждан в Российской Федерации»</w:t>
        </w:r>
        <w:r w:rsidRPr="00337B1E">
          <w:rPr>
            <w:rFonts w:ascii="Times New Roman" w:hAnsi="Times New Roman"/>
            <w:noProof/>
            <w:webHidden/>
            <w:sz w:val="28"/>
            <w:szCs w:val="28"/>
            <w:lang w:eastAsia="ru-RU"/>
          </w:rPr>
          <w:tab/>
          <w:t>7</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2" w:anchor="_Toc530347420" w:history="1">
        <w:r w:rsidRPr="00337B1E">
          <w:rPr>
            <w:rFonts w:ascii="Times New Roman" w:hAnsi="Times New Roman"/>
            <w:noProof/>
            <w:sz w:val="28"/>
            <w:szCs w:val="28"/>
            <w:bdr w:val="none" w:sz="0" w:space="0" w:color="auto" w:frame="1"/>
            <w:shd w:val="clear" w:color="auto" w:fill="FFFFFF"/>
            <w:lang w:eastAsia="ru-RU"/>
          </w:rPr>
          <w:t>1.2 Постановление Правительства РФ от 15.04.2014 No294 «Об утверждении государственной программы РФ “Развитие здравоохранения”»</w:t>
        </w:r>
        <w:r w:rsidRPr="00337B1E">
          <w:rPr>
            <w:rFonts w:ascii="Times New Roman" w:hAnsi="Times New Roman"/>
            <w:noProof/>
            <w:webHidden/>
            <w:sz w:val="28"/>
            <w:szCs w:val="28"/>
            <w:lang w:eastAsia="ru-RU"/>
          </w:rPr>
          <w:tab/>
          <w:t>8</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3" w:anchor="_Toc530347420" w:history="1">
        <w:r w:rsidRPr="00337B1E">
          <w:rPr>
            <w:rFonts w:ascii="Times New Roman" w:hAnsi="Times New Roman"/>
            <w:noProof/>
            <w:sz w:val="28"/>
            <w:szCs w:val="28"/>
            <w:bdr w:val="none" w:sz="0" w:space="0" w:color="auto" w:frame="1"/>
            <w:shd w:val="clear" w:color="auto" w:fill="FFFFFF"/>
            <w:lang w:eastAsia="ru-RU"/>
          </w:rPr>
          <w:t>1.3 Приказ Минздрава России от 14.04.2015 №193н «Об утверждении порядка оказания паллиативной медицинской помощи детям»</w:t>
        </w:r>
        <w:r w:rsidRPr="00337B1E">
          <w:rPr>
            <w:rFonts w:ascii="Times New Roman" w:hAnsi="Times New Roman"/>
            <w:noProof/>
            <w:webHidden/>
            <w:sz w:val="28"/>
            <w:szCs w:val="28"/>
            <w:lang w:eastAsia="ru-RU"/>
          </w:rPr>
          <w:tab/>
          <w:t>10</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4" w:anchor="_Toc530347420" w:history="1">
        <w:r w:rsidRPr="00337B1E">
          <w:rPr>
            <w:rFonts w:ascii="Times New Roman" w:hAnsi="Times New Roman"/>
            <w:noProof/>
            <w:sz w:val="28"/>
            <w:szCs w:val="28"/>
            <w:bdr w:val="none" w:sz="0" w:space="0" w:color="auto" w:frame="1"/>
            <w:shd w:val="clear" w:color="auto" w:fill="FFFFFF"/>
            <w:lang w:eastAsia="ru-RU"/>
          </w:rPr>
          <w:t>Раздел 2. Потребность в детской паллиативной помощи в России и Приморском крае</w:t>
        </w:r>
        <w:r w:rsidRPr="00337B1E">
          <w:rPr>
            <w:rFonts w:ascii="Times New Roman" w:hAnsi="Times New Roman"/>
            <w:noProof/>
            <w:webHidden/>
            <w:sz w:val="28"/>
            <w:szCs w:val="28"/>
            <w:lang w:eastAsia="ru-RU"/>
          </w:rPr>
          <w:tab/>
          <w:t>12</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5" w:anchor="_Toc530347420" w:history="1">
        <w:r w:rsidRPr="00337B1E">
          <w:rPr>
            <w:rFonts w:ascii="Times New Roman" w:hAnsi="Times New Roman"/>
            <w:noProof/>
            <w:sz w:val="28"/>
            <w:szCs w:val="28"/>
            <w:bdr w:val="none" w:sz="0" w:space="0" w:color="auto" w:frame="1"/>
            <w:shd w:val="clear" w:color="auto" w:fill="FFFFFF"/>
            <w:lang w:eastAsia="ru-RU"/>
          </w:rPr>
          <w:t>Раздел 3. Анализ Российского и зарубежного опыта</w:t>
        </w:r>
        <w:r w:rsidRPr="00337B1E">
          <w:rPr>
            <w:rFonts w:ascii="Times New Roman" w:hAnsi="Times New Roman"/>
            <w:noProof/>
            <w:webHidden/>
            <w:sz w:val="28"/>
            <w:szCs w:val="28"/>
            <w:lang w:eastAsia="ru-RU"/>
          </w:rPr>
          <w:tab/>
          <w:t>14</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6" w:anchor="_Toc530347420" w:history="1">
        <w:r w:rsidRPr="00337B1E">
          <w:rPr>
            <w:rFonts w:ascii="Times New Roman" w:hAnsi="Times New Roman"/>
            <w:noProof/>
            <w:sz w:val="28"/>
            <w:szCs w:val="28"/>
            <w:bdr w:val="none" w:sz="0" w:space="0" w:color="auto" w:frame="1"/>
            <w:shd w:val="clear" w:color="auto" w:fill="FFFFFF"/>
            <w:lang w:eastAsia="ru-RU"/>
          </w:rPr>
          <w:t>Раздел 4. Банк интервью</w:t>
        </w:r>
        <w:r w:rsidRPr="00337B1E">
          <w:rPr>
            <w:rFonts w:ascii="Times New Roman" w:hAnsi="Times New Roman"/>
            <w:noProof/>
            <w:webHidden/>
            <w:sz w:val="28"/>
            <w:szCs w:val="28"/>
            <w:lang w:eastAsia="ru-RU"/>
          </w:rPr>
          <w:tab/>
          <w:t>16</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7" w:anchor="_Toc530347420" w:history="1">
        <w:r w:rsidRPr="00337B1E">
          <w:rPr>
            <w:rFonts w:ascii="Times New Roman" w:hAnsi="Times New Roman"/>
            <w:noProof/>
            <w:sz w:val="28"/>
            <w:szCs w:val="28"/>
            <w:bdr w:val="none" w:sz="0" w:space="0" w:color="auto" w:frame="1"/>
            <w:shd w:val="clear" w:color="auto" w:fill="FFFFFF"/>
            <w:lang w:eastAsia="ru-RU"/>
          </w:rPr>
          <w:t>Раздел 5. Модели оказания паллиативной помощи детям</w:t>
        </w:r>
        <w:r w:rsidRPr="00337B1E">
          <w:rPr>
            <w:rFonts w:ascii="Times New Roman" w:hAnsi="Times New Roman"/>
            <w:noProof/>
            <w:webHidden/>
            <w:sz w:val="28"/>
            <w:szCs w:val="28"/>
            <w:lang w:eastAsia="ru-RU"/>
          </w:rPr>
          <w:tab/>
          <w:t>20</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18" w:anchor="_Toc530347420" w:history="1">
        <w:r w:rsidRPr="00337B1E">
          <w:rPr>
            <w:rFonts w:ascii="Times New Roman" w:hAnsi="Times New Roman"/>
            <w:noProof/>
            <w:sz w:val="28"/>
            <w:szCs w:val="28"/>
            <w:bdr w:val="none" w:sz="0" w:space="0" w:color="auto" w:frame="1"/>
            <w:shd w:val="clear" w:color="auto" w:fill="FFFFFF"/>
            <w:lang w:eastAsia="ru-RU"/>
          </w:rPr>
          <w:t>5.1 Выездная паллиативная помощь детям</w:t>
        </w:r>
        <w:r w:rsidRPr="00337B1E">
          <w:rPr>
            <w:rFonts w:ascii="Times New Roman" w:hAnsi="Times New Roman"/>
            <w:noProof/>
            <w:webHidden/>
            <w:sz w:val="28"/>
            <w:szCs w:val="28"/>
            <w:lang w:eastAsia="ru-RU"/>
          </w:rPr>
          <w:tab/>
          <w:t>20</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r w:rsidRPr="00337B1E">
        <w:rPr>
          <w:rFonts w:ascii="Times New Roman" w:eastAsia="Times New Roman" w:hAnsi="Times New Roman"/>
          <w:noProof/>
          <w:sz w:val="28"/>
          <w:szCs w:val="28"/>
          <w:bdr w:val="none" w:sz="0" w:space="0" w:color="auto" w:frame="1"/>
          <w:shd w:val="clear" w:color="auto" w:fill="FFFFFF"/>
          <w:lang w:eastAsia="ru-RU"/>
        </w:rPr>
        <w:t xml:space="preserve">5.2 </w:t>
      </w:r>
      <w:hyperlink r:id="rId219" w:anchor="_Toc530347420" w:history="1">
        <w:r w:rsidRPr="00337B1E">
          <w:rPr>
            <w:rFonts w:ascii="Times New Roman" w:hAnsi="Times New Roman"/>
            <w:sz w:val="28"/>
            <w:szCs w:val="28"/>
            <w:lang w:eastAsia="ru-RU"/>
          </w:rPr>
          <w:t>Модель детского паллиативного хосписа на территории Приморского края.</w:t>
        </w:r>
        <w:r w:rsidRPr="00337B1E">
          <w:rPr>
            <w:rFonts w:ascii="Times New Roman" w:hAnsi="Times New Roman"/>
            <w:noProof/>
            <w:webHidden/>
            <w:sz w:val="28"/>
            <w:szCs w:val="28"/>
            <w:lang w:eastAsia="ru-RU"/>
          </w:rPr>
          <w:tab/>
          <w:t>2</w:t>
        </w:r>
      </w:hyperlink>
      <w:r w:rsidRPr="00337B1E">
        <w:rPr>
          <w:rFonts w:ascii="Times New Roman" w:eastAsia="Times New Roman" w:hAnsi="Times New Roman"/>
          <w:noProof/>
          <w:sz w:val="28"/>
          <w:szCs w:val="28"/>
          <w:lang w:eastAsia="ru-RU"/>
        </w:rPr>
        <w:t>4</w:t>
      </w:r>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20" w:anchor="_Toc530347432" w:history="1">
        <w:r w:rsidRPr="00337B1E">
          <w:rPr>
            <w:rFonts w:ascii="Times New Roman" w:hAnsi="Times New Roman"/>
            <w:noProof/>
            <w:sz w:val="28"/>
            <w:szCs w:val="28"/>
            <w:lang w:eastAsia="ru-RU"/>
          </w:rPr>
          <w:t>Заключение</w:t>
        </w:r>
        <w:r w:rsidRPr="00337B1E">
          <w:rPr>
            <w:rFonts w:ascii="Times New Roman" w:hAnsi="Times New Roman"/>
            <w:noProof/>
            <w:webHidden/>
            <w:sz w:val="28"/>
            <w:szCs w:val="28"/>
            <w:lang w:eastAsia="ru-RU"/>
          </w:rPr>
          <w:tab/>
        </w:r>
        <w:r w:rsidRPr="00337B1E">
          <w:rPr>
            <w:rFonts w:ascii="Times New Roman" w:hAnsi="Times New Roman"/>
            <w:noProof/>
            <w:webHidden/>
            <w:sz w:val="28"/>
            <w:szCs w:val="28"/>
            <w:lang w:val="en-US" w:eastAsia="ru-RU"/>
          </w:rPr>
          <w:t>29</w:t>
        </w:r>
      </w:hyperlink>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hyperlink r:id="rId221" w:anchor="_Toc530347433" w:history="1">
        <w:r w:rsidRPr="00337B1E">
          <w:rPr>
            <w:rFonts w:ascii="Times New Roman" w:hAnsi="Times New Roman"/>
            <w:noProof/>
            <w:sz w:val="28"/>
            <w:szCs w:val="28"/>
            <w:lang w:eastAsia="ru-RU"/>
          </w:rPr>
          <w:t>Список использованных источников</w:t>
        </w:r>
        <w:r w:rsidRPr="00337B1E">
          <w:rPr>
            <w:rFonts w:ascii="Times New Roman" w:hAnsi="Times New Roman"/>
            <w:noProof/>
            <w:webHidden/>
            <w:sz w:val="28"/>
            <w:szCs w:val="28"/>
            <w:lang w:eastAsia="ru-RU"/>
          </w:rPr>
          <w:tab/>
          <w:t>3</w:t>
        </w:r>
      </w:hyperlink>
      <w:r w:rsidRPr="00337B1E">
        <w:rPr>
          <w:rFonts w:ascii="Times New Roman" w:eastAsia="Times New Roman" w:hAnsi="Times New Roman"/>
          <w:noProof/>
          <w:sz w:val="28"/>
          <w:szCs w:val="28"/>
          <w:lang w:eastAsia="ru-RU"/>
        </w:rPr>
        <w:t>0</w:t>
      </w:r>
    </w:p>
    <w:p w:rsidR="00D1277B" w:rsidRPr="00337B1E" w:rsidRDefault="00D1277B" w:rsidP="00D1277B">
      <w:pPr>
        <w:tabs>
          <w:tab w:val="right" w:leader="dot" w:pos="9345"/>
        </w:tabs>
        <w:spacing w:after="0" w:line="240" w:lineRule="auto"/>
        <w:rPr>
          <w:rFonts w:ascii="Times New Roman" w:eastAsia="Times New Roman" w:hAnsi="Times New Roman"/>
          <w:noProof/>
          <w:sz w:val="28"/>
          <w:szCs w:val="28"/>
          <w:lang w:eastAsia="ru-RU"/>
        </w:rPr>
      </w:pPr>
      <w:r w:rsidRPr="00337B1E">
        <w:rPr>
          <w:rFonts w:ascii="Times New Roman" w:hAnsi="Times New Roman"/>
          <w:sz w:val="28"/>
          <w:szCs w:val="28"/>
        </w:rPr>
        <w:fldChar w:fldCharType="end"/>
      </w:r>
      <w:hyperlink r:id="rId222" w:anchor="_Toc530347433" w:history="1">
        <w:r w:rsidRPr="00337B1E">
          <w:rPr>
            <w:rFonts w:ascii="Times New Roman" w:hAnsi="Times New Roman"/>
            <w:noProof/>
            <w:sz w:val="28"/>
            <w:szCs w:val="28"/>
            <w:lang w:eastAsia="ru-RU"/>
          </w:rPr>
          <w:t>Приложение 1</w:t>
        </w:r>
        <w:r w:rsidRPr="00337B1E">
          <w:rPr>
            <w:rFonts w:ascii="Times New Roman" w:hAnsi="Times New Roman"/>
            <w:noProof/>
            <w:webHidden/>
            <w:sz w:val="28"/>
            <w:szCs w:val="28"/>
            <w:lang w:eastAsia="ru-RU"/>
          </w:rPr>
          <w:tab/>
          <w:t>3</w:t>
        </w:r>
      </w:hyperlink>
      <w:r w:rsidRPr="00337B1E">
        <w:rPr>
          <w:rFonts w:ascii="Times New Roman" w:eastAsia="Times New Roman" w:hAnsi="Times New Roman"/>
          <w:noProof/>
          <w:sz w:val="28"/>
          <w:szCs w:val="28"/>
          <w:lang w:eastAsia="ru-RU"/>
        </w:rPr>
        <w:t>2</w:t>
      </w:r>
    </w:p>
    <w:p w:rsidR="00D1277B" w:rsidRPr="00D1277B" w:rsidRDefault="00D1277B" w:rsidP="00D1277B">
      <w:pPr>
        <w:spacing w:after="0" w:line="276" w:lineRule="auto"/>
        <w:rPr>
          <w:rFonts w:ascii="Times New Roman" w:eastAsia="Times New Roman" w:hAnsi="Times New Roman"/>
          <w:sz w:val="28"/>
          <w:szCs w:val="28"/>
        </w:rPr>
      </w:pPr>
    </w:p>
    <w:p w:rsidR="00D1277B" w:rsidRPr="00D1277B" w:rsidRDefault="00D1277B" w:rsidP="00166D3A">
      <w:pPr>
        <w:spacing w:after="240" w:line="240" w:lineRule="auto"/>
        <w:jc w:val="both"/>
        <w:rPr>
          <w:rFonts w:ascii="Times New Roman" w:eastAsia="Times New Roman" w:hAnsi="Times New Roman"/>
          <w:sz w:val="28"/>
          <w:szCs w:val="28"/>
        </w:rPr>
      </w:pPr>
      <w:r w:rsidRPr="00D1277B">
        <w:rPr>
          <w:rFonts w:ascii="Times New Roman" w:eastAsia="Times New Roman" w:hAnsi="Times New Roman"/>
          <w:bCs/>
          <w:iCs/>
          <w:sz w:val="28"/>
          <w:szCs w:val="28"/>
          <w:shd w:val="clear" w:color="auto" w:fill="FFFFFF"/>
        </w:rPr>
        <w:br w:type="page"/>
      </w:r>
      <w:r w:rsidRPr="00D1277B">
        <w:rPr>
          <w:rFonts w:ascii="Times New Roman" w:eastAsia="Times New Roman" w:hAnsi="Times New Roman"/>
          <w:bCs/>
          <w:iCs/>
          <w:color w:val="000000"/>
          <w:sz w:val="28"/>
          <w:szCs w:val="28"/>
          <w:shd w:val="clear" w:color="auto" w:fill="FFFFFF"/>
        </w:rPr>
        <w:lastRenderedPageBreak/>
        <w:t xml:space="preserve">                                                            </w:t>
      </w:r>
      <w:r w:rsidRPr="00D1277B">
        <w:rPr>
          <w:rFonts w:ascii="Times New Roman" w:eastAsia="Times New Roman" w:hAnsi="Times New Roman"/>
          <w:b/>
          <w:iCs/>
          <w:color w:val="000000"/>
          <w:sz w:val="28"/>
          <w:szCs w:val="28"/>
          <w:shd w:val="clear" w:color="auto" w:fill="FFFFFF"/>
        </w:rPr>
        <w:t>Введение</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Паллиативная помощь – целостный подход, позволяющий улучшить качество жизни пациентов и членов их семей. В России система оказания паллиативной помощи только начала путь своего становления в целом, и несовершеннолетним гражданам отдельно. Лишь в 2011 году были заложены правовые основы организации паллиативной помощи детям на государственном уровне посредством принятия федерального закона №323-ФЗ «Об основах охраны здоровья граждан в РФ», где паллиативная медицинская помощь была признана одним из видов медицинской помощи, оказываемой населению.</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Следующим шагом к становлению системы был Указ Президента РФ от 1 июня 2012 г. №761 «О национальной стратегии действий в интересах детей на 2012-2017 годы», где было обозначено «Обеспечение создания сети учреждений (отделений), служб, оказывающих паллиативную медицинскую помощь детям, страдающим неизлечимыми заболеваниями». И только в 2015 году вышел Приказ Минздрава от 14 апреля 2015 №193н «Об утверждении порядка оказания паллиативной медицинской помощи детям». Таким образом, можно наблюдать отсутствие достаточной теории и практики в сфере оказания паллиативной помощи несовершеннолетнему населению в России, из-за позднего становления проблемы на федеральном уровне, а также несовершенство нормативно-правовых актов.</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Одной из проблем оказания паллиативной помощи детям в Приморском крае является противоречие между официальными данными и фактическим числом нуждающихся в оказании помощи. Это может быть связано с отсутствием системы учета детей, нуждающихся в паллиативной помощи.</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Создание детского хосписа на территории Приморского края позволит повысить качество жизни детей, страдающих от заболеваний несовместимых с жизнью, так же поможет обеспечить психосоциальную поддержку семьи во время болезни ребенка и после его ухода из жизни. Результаты данной работы могут быть полезны некоммерческим организациям, которые занимаются сферой защиты прав несовершеннолетним, детским фондам, занимающимся помощью детей с неизлечимыми болезнями, региональным органам власти (повышение демографических показателей в крае, развитие здравоохранения), специалистам врачебной помощи, а также населению края, попавшему в сложную жизненную ситуацию.</w:t>
      </w:r>
    </w:p>
    <w:bookmarkEnd w:id="55"/>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Цель: Эффективная система для оказания паллиативной помощи несовершеннолетним гражданам Приморского края, в частности создание проекта «Детский хоспис» на территории Приморского края.</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Задачи:</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1)</w:t>
      </w:r>
      <w:r w:rsidRPr="00D1277B">
        <w:rPr>
          <w:rFonts w:ascii="Times New Roman" w:eastAsia="Times New Roman" w:hAnsi="Times New Roman"/>
          <w:bCs/>
          <w:iCs/>
          <w:color w:val="000000"/>
          <w:sz w:val="28"/>
          <w:szCs w:val="28"/>
          <w:shd w:val="clear" w:color="auto" w:fill="FFFFFF"/>
        </w:rPr>
        <w:tab/>
        <w:t xml:space="preserve">изучить зарубежный и отечественный опыт оказания паллиативной помощи несовершеннолетним гражданам; </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2)</w:t>
      </w:r>
      <w:r w:rsidRPr="00D1277B">
        <w:rPr>
          <w:rFonts w:ascii="Times New Roman" w:eastAsia="Times New Roman" w:hAnsi="Times New Roman"/>
          <w:bCs/>
          <w:iCs/>
          <w:color w:val="000000"/>
          <w:sz w:val="28"/>
          <w:szCs w:val="28"/>
          <w:shd w:val="clear" w:color="auto" w:fill="FFFFFF"/>
        </w:rPr>
        <w:tab/>
        <w:t xml:space="preserve">определить количество несовершеннолетних граждан, нуждающихся в паллиативной помощи на территории Приморского края, с помощью </w:t>
      </w:r>
      <w:r w:rsidRPr="00D1277B">
        <w:rPr>
          <w:rFonts w:ascii="Times New Roman" w:eastAsia="Times New Roman" w:hAnsi="Times New Roman"/>
          <w:bCs/>
          <w:iCs/>
          <w:color w:val="000000"/>
          <w:sz w:val="28"/>
          <w:szCs w:val="28"/>
          <w:shd w:val="clear" w:color="auto" w:fill="FFFFFF"/>
        </w:rPr>
        <w:lastRenderedPageBreak/>
        <w:t>интервью со специалистами, оказывающими паллиативную помощь на территории ПК;</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3)</w:t>
      </w:r>
      <w:r w:rsidRPr="00D1277B">
        <w:rPr>
          <w:rFonts w:ascii="Times New Roman" w:eastAsia="Times New Roman" w:hAnsi="Times New Roman"/>
          <w:bCs/>
          <w:iCs/>
          <w:color w:val="000000"/>
          <w:sz w:val="28"/>
          <w:szCs w:val="28"/>
          <w:shd w:val="clear" w:color="auto" w:fill="FFFFFF"/>
        </w:rPr>
        <w:tab/>
        <w:t>определить всех участников системы в сфере оказания паллиативной помощи;</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4)</w:t>
      </w:r>
      <w:r w:rsidRPr="00D1277B">
        <w:rPr>
          <w:rFonts w:ascii="Times New Roman" w:eastAsia="Times New Roman" w:hAnsi="Times New Roman"/>
          <w:bCs/>
          <w:iCs/>
          <w:color w:val="000000"/>
          <w:sz w:val="28"/>
          <w:szCs w:val="28"/>
          <w:shd w:val="clear" w:color="auto" w:fill="FFFFFF"/>
        </w:rPr>
        <w:tab/>
        <w:t>определить барьеры, препятствующие полноценному оказанию паллиативной помощи.</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Теоретической рамкой работы являются:</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1) Кром, И.Л., Еругина, М.В., Шмеркевич, А.Б., 2015. Современные векторы паллиативной помощи (обзор). Саратовский научно-медицинский журнал, 11(4): 503-506.</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 xml:space="preserve">2) Кром И.Л., Еругина, М.В., Дорогойкин, Д.Л., Шмеркевич, А.Б., 2016. Тенденции институционализации паллиативной помощи в современной России: междисциплинарный анализ. Саратовский научно-медицинский журнал, 12 (2): 196-199. </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 xml:space="preserve">3) Кром, И.Л., Еругина, М.В., Шмеркевич, А.Б., 2015. Контент-анализ правовых актов и определение направлений оптимизации паллиативной помощи в современной России. Саратовский научно-медицинский журнал; 11 (4): 506-510. </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4) Микиртичан, Г.Л., 2012. Отношение общества к неизлечимо больным детям: историко-культуральный анализ. Вопросы современной педиатрии, т.11, №1: 188-196.</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5) Вишняков, Н.И., Кутырев, Е.М., Софиева, 2014. Медико-социальные проблемы хосписов в педиатрической практике Санкт-Петербурга. Педиатр, т.5, №1: 82-90.</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6) Ткаченко, А.Е., 2015. Необходимость государственно-частного партнерства для развития системы паллиативной помощи детям в регионах РФ. Материалы  VI съезда детских онкологов с международным участием: 354-355.</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Список сокращений:</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БФ – благотворительный фонд;</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ВОЗ – Всемирная организация здравоохранения;</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ОИТР – отделение интенсивной терапии и реанимации;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ПП – паллиативная помощь;</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ПМП – паллиативная медицинская помощь;</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ППД – паллиативная помощь детям;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ППДиП – паллиативная помощь детям и подросткам.</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p>
    <w:p w:rsidR="00D1277B" w:rsidRPr="00D1277B" w:rsidRDefault="00D1277B" w:rsidP="00166D3A">
      <w:pPr>
        <w:spacing w:after="240" w:line="240" w:lineRule="auto"/>
        <w:jc w:val="both"/>
        <w:rPr>
          <w:rFonts w:ascii="Times New Roman" w:hAnsi="Times New Roman"/>
          <w:color w:val="000000"/>
          <w:sz w:val="28"/>
          <w:szCs w:val="28"/>
          <w:lang w:eastAsia="ru-RU"/>
        </w:rPr>
      </w:pPr>
      <w:bookmarkStart w:id="56" w:name="_ncsi4melamy3"/>
      <w:bookmarkStart w:id="57" w:name="_9pp6torxgrsx"/>
      <w:bookmarkStart w:id="58" w:name="_v2dzisq6p5r2"/>
      <w:bookmarkEnd w:id="56"/>
      <w:bookmarkEnd w:id="57"/>
      <w:bookmarkEnd w:id="58"/>
      <w:r w:rsidRPr="00D1277B">
        <w:rPr>
          <w:rFonts w:ascii="Times New Roman" w:hAnsi="Times New Roman"/>
          <w:sz w:val="28"/>
          <w:szCs w:val="28"/>
          <w:lang w:eastAsia="ru-RU"/>
        </w:rPr>
        <w:t xml:space="preserve">                          </w:t>
      </w:r>
      <w:r w:rsidRPr="00D1277B">
        <w:rPr>
          <w:rFonts w:ascii="Times New Roman" w:eastAsia="Times New Roman" w:hAnsi="Times New Roman"/>
          <w:b/>
          <w:bCs/>
          <w:noProof/>
          <w:sz w:val="28"/>
          <w:szCs w:val="28"/>
          <w:lang w:eastAsia="x-none"/>
        </w:rPr>
        <w:t>Раздел 1. Анализ нормативно-правовой базы</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В паллиативной помощи нуждаются несовершеннолетние граждане страдающими различными заболеваниями, ограничивающими жизнь. В перечень этих болезней входит не только терминальная стадия рака, а также генетические аномалии, пороки развития и другие неизлечимые болезни. Помимо помощи эти дети нуждаются в поддержке, которая позволит </w:t>
      </w:r>
      <w:r w:rsidRPr="00D1277B">
        <w:rPr>
          <w:rFonts w:ascii="Times New Roman" w:eastAsia="Times New Roman" w:hAnsi="Times New Roman"/>
          <w:sz w:val="28"/>
          <w:szCs w:val="28"/>
        </w:rPr>
        <w:lastRenderedPageBreak/>
        <w:t xml:space="preserve">обеспечить им необходимые потребности, например, избавление от боли, адекватное лечение, возможность общение с родственниками и иные потребности, позволяющие обеспечить высокое качество жизни для них, их родителей и сиблингов.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Паллиативная помощь несовершеннолетним гражданам представляет собой новое, быстро развивающееся направление здравоохранения в России. Для планирования организационной структуры и финансирования детских паллиативных служб необходима информация о точном количестве таких пациентов на территории Приморского края, а также структура болезней, данные о числе специалистов команд, необходимых для оказания медицинских и немедицинских (социальных) услуг.</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Обеспечение должного подхода и помощи в первую очередь требует грамотного законодательного регулирования.</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Автором работы были изучены и проанализированы базовые нормативно-правовые акты, регламентирующие вопросы оказания ППД в России. Среди них: </w:t>
      </w:r>
    </w:p>
    <w:p w:rsidR="00D1277B" w:rsidRPr="00D1277B" w:rsidRDefault="00D1277B" w:rsidP="007F4EC1">
      <w:pPr>
        <w:numPr>
          <w:ilvl w:val="0"/>
          <w:numId w:val="54"/>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Федеральный закон от 21 ноября 2011 г. № 323-ФЗ «Об основах охраны здоровья граждан в Российской Федерации»;</w:t>
      </w:r>
    </w:p>
    <w:p w:rsidR="00D1277B" w:rsidRPr="00D1277B" w:rsidRDefault="00D1277B" w:rsidP="007F4EC1">
      <w:pPr>
        <w:numPr>
          <w:ilvl w:val="0"/>
          <w:numId w:val="54"/>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Указ Президента Российской Федерации от 1 июня 2012 г. № 761 «О национальной стратегии действий в интересах детей на 2012–2017 годы»;</w:t>
      </w:r>
    </w:p>
    <w:p w:rsidR="00D1277B" w:rsidRPr="00D1277B" w:rsidRDefault="00D1277B" w:rsidP="007F4EC1">
      <w:pPr>
        <w:numPr>
          <w:ilvl w:val="0"/>
          <w:numId w:val="54"/>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Постановление Правительства Российской Федерации от 15 апреля 2014 г. № 294 «Об утверждении Государственной программы Российской Федерации «Развитие здравоохранения»;</w:t>
      </w:r>
    </w:p>
    <w:p w:rsidR="00D1277B" w:rsidRPr="00D1277B" w:rsidRDefault="00D1277B" w:rsidP="007F4EC1">
      <w:pPr>
        <w:numPr>
          <w:ilvl w:val="0"/>
          <w:numId w:val="54"/>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Приказ Министерства здравоохранения от 14 апреля 2015 г. № 193н «Об утверждении Порядка оказания паллиативной медицинской помощи детям».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 отчете приведены основные положения некоторых из них.</w:t>
      </w:r>
    </w:p>
    <w:p w:rsidR="00D1277B" w:rsidRPr="00D1277B" w:rsidRDefault="00D1277B" w:rsidP="000B5F29">
      <w:pPr>
        <w:spacing w:before="360" w:after="240" w:line="240" w:lineRule="auto"/>
        <w:jc w:val="both"/>
        <w:rPr>
          <w:rFonts w:ascii="Times New Roman" w:eastAsia="Times New Roman" w:hAnsi="Times New Roman"/>
          <w:b/>
          <w:sz w:val="28"/>
          <w:szCs w:val="28"/>
        </w:rPr>
      </w:pPr>
      <w:r w:rsidRPr="00D1277B">
        <w:rPr>
          <w:rFonts w:ascii="Times New Roman" w:eastAsia="Times New Roman" w:hAnsi="Times New Roman"/>
          <w:b/>
          <w:sz w:val="28"/>
          <w:szCs w:val="28"/>
        </w:rPr>
        <w:t>1.1 Федеральный закон Российской Федерации от 21 ноября 2011 г. № 323-ФЗ «Об основах охраны здоровья граждан в Российской Федерации».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 статье 32 Федерального закона от 21 ноября 2011 г. №323-ФЗ перечислены виды медицинской помощи, где впервые была выделена паллиативная помощи как одна из видов</w:t>
      </w:r>
      <w:r w:rsidRPr="00D1277B">
        <w:rPr>
          <w:rFonts w:ascii="Times New Roman" w:eastAsia="Times New Roman" w:hAnsi="Times New Roman"/>
          <w:sz w:val="28"/>
          <w:szCs w:val="28"/>
          <w:vertAlign w:val="superscript"/>
        </w:rPr>
        <w:footnoteReference w:id="75"/>
      </w:r>
      <w:r w:rsidRPr="00D1277B">
        <w:rPr>
          <w:rFonts w:ascii="Times New Roman" w:eastAsia="Times New Roman" w:hAnsi="Times New Roman"/>
          <w:sz w:val="28"/>
          <w:szCs w:val="28"/>
        </w:rPr>
        <w:t xml:space="preserve">. Так же в статье 36 дается описание паллиативной помощи и способы ее оказания. Согласно ей, паллиативная медицинская помощь представляет собой комплекс медицинских вмешательств, направленных на избавление от боли и облегчение других тяжелых проявлений заболевания, в целях улучшения качества жизни неизлечимо больных граждан. И может оказываться в амбулаторных </w:t>
      </w:r>
      <w:r w:rsidRPr="00D1277B">
        <w:rPr>
          <w:rFonts w:ascii="Times New Roman" w:eastAsia="Times New Roman" w:hAnsi="Times New Roman"/>
          <w:sz w:val="28"/>
          <w:szCs w:val="28"/>
        </w:rPr>
        <w:lastRenderedPageBreak/>
        <w:t>условиях и стационарных условиях медицинскими работниками, прошедшими обучение по оказанию такой помощи</w:t>
      </w:r>
      <w:r w:rsidRPr="00D1277B">
        <w:rPr>
          <w:rFonts w:ascii="Times New Roman" w:eastAsia="Times New Roman" w:hAnsi="Times New Roman"/>
          <w:sz w:val="28"/>
          <w:szCs w:val="28"/>
          <w:vertAlign w:val="superscript"/>
        </w:rPr>
        <w:footnoteReference w:id="76"/>
      </w:r>
      <w:r w:rsidRPr="00D1277B">
        <w:rPr>
          <w:rFonts w:ascii="Times New Roman" w:eastAsia="Times New Roman" w:hAnsi="Times New Roman"/>
          <w:sz w:val="28"/>
          <w:szCs w:val="28"/>
        </w:rPr>
        <w:t>.</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Организация оказания ПМП подведомственными федеральным органам исполнительной власти медицинскими организациями находится в полномочии федеральных органов государственной власти в сфере охраны здоровья согласно статье 14 «Полномочия федеральных органов государственной власти в сфере охраны здоровья»</w:t>
      </w:r>
      <w:r w:rsidRPr="00D1277B">
        <w:rPr>
          <w:rFonts w:ascii="Times New Roman" w:eastAsia="Times New Roman" w:hAnsi="Times New Roman"/>
          <w:sz w:val="28"/>
          <w:szCs w:val="28"/>
          <w:vertAlign w:val="superscript"/>
        </w:rPr>
        <w:footnoteReference w:id="77"/>
      </w:r>
      <w:r w:rsidRPr="00D1277B">
        <w:rPr>
          <w:rFonts w:ascii="Times New Roman" w:eastAsia="Times New Roman" w:hAnsi="Times New Roman"/>
          <w:sz w:val="28"/>
          <w:szCs w:val="28"/>
        </w:rPr>
        <w:t>.</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Что касается органов государственной власти субъектов РФ, то статьей 16 предусмотрено, что организация оказания населению субъекта Российской Федерации ПМП в подведомственных исполнительным органам государственной власти субъекта РФ медицинских организациях находится в полномочии органов государственной власти субъектов Российской Федерации в сфере охраны здоровья</w:t>
      </w:r>
      <w:r w:rsidRPr="00D1277B">
        <w:rPr>
          <w:rFonts w:ascii="Times New Roman" w:eastAsia="Times New Roman" w:hAnsi="Times New Roman"/>
          <w:sz w:val="28"/>
          <w:szCs w:val="28"/>
          <w:vertAlign w:val="superscript"/>
        </w:rPr>
        <w:footnoteReference w:id="78"/>
      </w:r>
      <w:r w:rsidRPr="00D1277B">
        <w:rPr>
          <w:rFonts w:ascii="Times New Roman" w:eastAsia="Times New Roman" w:hAnsi="Times New Roman"/>
          <w:sz w:val="28"/>
          <w:szCs w:val="28"/>
        </w:rPr>
        <w:t>.</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Финансовое обеспечение паллиативной помощи предусмотрено статьями 80, 83 Федерального закона от 21 ноября 2011 г. №323-ФЗ.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Паллиативная медицинская помощь предоставляется в рамках Программы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при этом при оказании ПМП в стационарных условиях осуществляется обеспечение граждан лекарственными препаратами для медицинского применения, включенными в Перечень жизненно необходимых и важнейших лекарственных препаратов. Так же финансовое обеспечение осуществляется за счет бюджетных ассигнований бюджетов субъектов РФ, выделяемых в рамках территориальных программ государственных гарантий бесплатного оказания гражданам медицинской помощи и иных источников в соответствии с законом</w:t>
      </w:r>
      <w:r w:rsidRPr="00D1277B">
        <w:rPr>
          <w:rFonts w:ascii="Times New Roman" w:eastAsia="Times New Roman" w:hAnsi="Times New Roman"/>
          <w:sz w:val="28"/>
          <w:szCs w:val="28"/>
          <w:vertAlign w:val="superscript"/>
        </w:rPr>
        <w:footnoteReference w:id="79"/>
      </w:r>
      <w:r w:rsidRPr="00D1277B">
        <w:rPr>
          <w:rFonts w:ascii="Times New Roman" w:eastAsia="Times New Roman" w:hAnsi="Times New Roman"/>
          <w:sz w:val="28"/>
          <w:szCs w:val="28"/>
        </w:rPr>
        <w:t>.</w:t>
      </w:r>
    </w:p>
    <w:p w:rsidR="00D1277B" w:rsidRPr="00D1277B" w:rsidRDefault="00D1277B" w:rsidP="000B5F29">
      <w:pPr>
        <w:spacing w:before="360" w:after="240" w:line="240" w:lineRule="auto"/>
        <w:jc w:val="both"/>
        <w:rPr>
          <w:rFonts w:ascii="Times New Roman" w:eastAsia="Times New Roman" w:hAnsi="Times New Roman"/>
          <w:b/>
          <w:sz w:val="28"/>
          <w:szCs w:val="28"/>
        </w:rPr>
      </w:pPr>
      <w:r w:rsidRPr="00D1277B">
        <w:rPr>
          <w:rFonts w:ascii="Times New Roman" w:eastAsia="Times New Roman" w:hAnsi="Times New Roman"/>
          <w:b/>
          <w:sz w:val="28"/>
          <w:szCs w:val="28"/>
        </w:rPr>
        <w:t>1.2 Постановление Правительства РФ от 15.04.2014 No294 «Об утверждении государственной программы РФ “Развитие здравоохранения”».</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В постановлении содержится подпрограмма 6 «Оказание паллиативной помощи, в том числе детям» в Паспорте которой обозначено, что ответственным исполнителем является Минздрав России, а ее цель – повышение качества жизни неизлечимых больных за счет решения физических, психологических и духовных проблем, возникающих при развитии неизлечимого заболевания.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lastRenderedPageBreak/>
        <w:t>Для достижения цели постановлением определены задачи:</w:t>
      </w:r>
    </w:p>
    <w:p w:rsidR="00D1277B" w:rsidRPr="00D1277B" w:rsidRDefault="00D1277B" w:rsidP="007F4EC1">
      <w:pPr>
        <w:numPr>
          <w:ilvl w:val="0"/>
          <w:numId w:val="55"/>
        </w:numPr>
        <w:spacing w:after="0" w:line="240" w:lineRule="auto"/>
        <w:ind w:left="0"/>
        <w:jc w:val="both"/>
        <w:rPr>
          <w:rFonts w:ascii="Times New Roman" w:eastAsia="Times New Roman" w:hAnsi="Times New Roman"/>
          <w:sz w:val="28"/>
          <w:szCs w:val="28"/>
        </w:rPr>
      </w:pPr>
      <w:r w:rsidRPr="00D1277B">
        <w:rPr>
          <w:rFonts w:ascii="Times New Roman" w:eastAsia="Times New Roman" w:hAnsi="Times New Roman"/>
          <w:sz w:val="28"/>
          <w:szCs w:val="28"/>
        </w:rPr>
        <w:t>создание эффективной службы паллиативной помощи неизлечимым пациентам;</w:t>
      </w:r>
    </w:p>
    <w:p w:rsidR="00D1277B" w:rsidRPr="00D1277B" w:rsidRDefault="00D1277B" w:rsidP="007F4EC1">
      <w:pPr>
        <w:numPr>
          <w:ilvl w:val="0"/>
          <w:numId w:val="55"/>
        </w:numPr>
        <w:spacing w:after="0" w:line="240" w:lineRule="auto"/>
        <w:ind w:left="0"/>
        <w:jc w:val="both"/>
        <w:rPr>
          <w:rFonts w:ascii="Times New Roman" w:eastAsia="Times New Roman" w:hAnsi="Times New Roman"/>
          <w:sz w:val="28"/>
          <w:szCs w:val="28"/>
        </w:rPr>
      </w:pPr>
      <w:r w:rsidRPr="00D1277B">
        <w:rPr>
          <w:rFonts w:ascii="Times New Roman" w:eastAsia="Times New Roman" w:hAnsi="Times New Roman"/>
          <w:sz w:val="28"/>
          <w:szCs w:val="28"/>
        </w:rPr>
        <w:t>повышение качества жизни неизлечимых пациентов и их родственников;</w:t>
      </w:r>
    </w:p>
    <w:p w:rsidR="00D1277B" w:rsidRPr="00D1277B" w:rsidRDefault="00D1277B" w:rsidP="007F4EC1">
      <w:pPr>
        <w:numPr>
          <w:ilvl w:val="0"/>
          <w:numId w:val="55"/>
        </w:numPr>
        <w:spacing w:after="0" w:line="240" w:lineRule="auto"/>
        <w:ind w:left="0"/>
        <w:jc w:val="both"/>
        <w:rPr>
          <w:rFonts w:ascii="Times New Roman" w:eastAsia="Times New Roman" w:hAnsi="Times New Roman"/>
          <w:sz w:val="28"/>
          <w:szCs w:val="28"/>
        </w:rPr>
      </w:pPr>
      <w:r w:rsidRPr="00D1277B">
        <w:rPr>
          <w:rFonts w:ascii="Times New Roman" w:eastAsia="Times New Roman" w:hAnsi="Times New Roman"/>
          <w:sz w:val="28"/>
          <w:szCs w:val="28"/>
        </w:rPr>
        <w:t>обеспечение адекватного контроля хронической боли и других тягостных симптомов;</w:t>
      </w:r>
    </w:p>
    <w:p w:rsidR="00D1277B" w:rsidRPr="00D1277B" w:rsidRDefault="00D1277B" w:rsidP="007F4EC1">
      <w:pPr>
        <w:numPr>
          <w:ilvl w:val="0"/>
          <w:numId w:val="55"/>
        </w:numPr>
        <w:spacing w:after="0" w:line="240" w:lineRule="auto"/>
        <w:ind w:left="0"/>
        <w:jc w:val="both"/>
        <w:rPr>
          <w:rFonts w:ascii="Times New Roman" w:eastAsia="Times New Roman" w:hAnsi="Times New Roman"/>
          <w:sz w:val="28"/>
          <w:szCs w:val="28"/>
        </w:rPr>
      </w:pPr>
      <w:r w:rsidRPr="00D1277B">
        <w:rPr>
          <w:rFonts w:ascii="Times New Roman" w:eastAsia="Times New Roman" w:hAnsi="Times New Roman"/>
          <w:sz w:val="28"/>
          <w:szCs w:val="28"/>
        </w:rPr>
        <w:t>повышение удовлетворенности пациентов и их родственников качеством медицинской помощи.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Ожидаемыми результатами реализации подпрограммы являются увеличение обеспеченности паллиативными койками до 10 коек для взрослых и не менее чем до 2,08 койки для детей на 100 тыс. взрослого и на 100 тыс. детского населения.</w:t>
      </w:r>
    </w:p>
    <w:p w:rsidR="00D1277B" w:rsidRPr="00D1277B" w:rsidRDefault="00D1277B" w:rsidP="000B5F29">
      <w:pPr>
        <w:spacing w:before="360" w:after="240" w:line="240" w:lineRule="auto"/>
        <w:jc w:val="both"/>
        <w:rPr>
          <w:rFonts w:ascii="Times New Roman" w:eastAsia="Times New Roman" w:hAnsi="Times New Roman"/>
          <w:b/>
          <w:sz w:val="28"/>
          <w:szCs w:val="28"/>
        </w:rPr>
      </w:pPr>
      <w:r w:rsidRPr="00D1277B">
        <w:rPr>
          <w:rFonts w:ascii="Times New Roman" w:eastAsia="Times New Roman" w:hAnsi="Times New Roman"/>
          <w:b/>
          <w:sz w:val="28"/>
          <w:szCs w:val="28"/>
        </w:rPr>
        <w:t>1.3 Приказ Минздрава России от 14.04.2015 №193н «Об утверждении порядка оказания паллиативной медицинской помощи детям».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Утвержденный приказом порядок оказания паллиативной медицинской помощи детям впервые устанавливает правила оказания детям паллиативной медицинской помощи и организации деятельности, рекомендуемые штатные нормативы, стандарты оснащения выездной патронажной службы паллиативной медицинской помощи детям, отделения паллиативной медицинской помощи детям, хосписа (для детей)</w:t>
      </w:r>
      <w:r w:rsidRPr="00D1277B">
        <w:rPr>
          <w:rFonts w:ascii="Times New Roman" w:eastAsia="Times New Roman" w:hAnsi="Times New Roman"/>
          <w:b/>
          <w:sz w:val="28"/>
          <w:szCs w:val="28"/>
          <w:vertAlign w:val="superscript"/>
        </w:rPr>
        <w:t xml:space="preserve"> </w:t>
      </w:r>
      <w:r w:rsidRPr="00D1277B">
        <w:rPr>
          <w:rFonts w:ascii="Times New Roman" w:eastAsia="Times New Roman" w:hAnsi="Times New Roman"/>
          <w:b/>
          <w:sz w:val="28"/>
          <w:szCs w:val="28"/>
          <w:vertAlign w:val="superscript"/>
        </w:rPr>
        <w:footnoteReference w:id="80"/>
      </w:r>
      <w:r w:rsidRPr="00D1277B">
        <w:rPr>
          <w:rFonts w:ascii="Times New Roman" w:eastAsia="Times New Roman" w:hAnsi="Times New Roman"/>
          <w:sz w:val="28"/>
          <w:szCs w:val="28"/>
        </w:rPr>
        <w:t xml:space="preserve">.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Порядок устанавливает правила оказания ППД, направленной на избавление от боли и облегчение других тяжелых проявлений заболеваний на стадии, когда исчерпаны возможности радикального лечения, в целях улучшения качества жизни неизлечимо больных детей, за исключением больных ВИЧ-инфекцией.</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Согласно приказу, паллиативная помощь детям может оказываться в следующих условиях:</w:t>
      </w:r>
    </w:p>
    <w:p w:rsidR="00D1277B" w:rsidRPr="00D1277B" w:rsidRDefault="00D1277B" w:rsidP="007F4EC1">
      <w:pPr>
        <w:numPr>
          <w:ilvl w:val="0"/>
          <w:numId w:val="56"/>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амбулаторно (в условиях, не предусматривающих круглосуточное медицинское наблюдение и лечение), в т. ч. на дому при вызове медицинского работника; оказывается, выездной патронажной службой;</w:t>
      </w:r>
    </w:p>
    <w:p w:rsidR="00D1277B" w:rsidRPr="00D1277B" w:rsidRDefault="00D1277B" w:rsidP="007F4EC1">
      <w:pPr>
        <w:numPr>
          <w:ilvl w:val="0"/>
          <w:numId w:val="56"/>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стационарно (в условиях, обеспечивающих круглосуточное медицинское наблюдение и лечение); при наличии медицинских показаний ребенок направляется в медицинскую организацию, оказывающую ПМП в стационарных условиях: в отделениях (на койках) детям и хосписах.</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Согласно приказу, оказание паллиативной помощи несовершеннолетним гражданам осуществляется врачами-педиатрами, врачами общей практики, врачами по паллиативной медицинской помощи, прошедшими обучение по дополнительным профессиональным программам повышения квалификации по вопросам оказания ПМП, а также медицинскими работниками со средним </w:t>
      </w:r>
      <w:r w:rsidRPr="00D1277B">
        <w:rPr>
          <w:rFonts w:ascii="Times New Roman" w:eastAsia="Times New Roman" w:hAnsi="Times New Roman"/>
          <w:sz w:val="28"/>
          <w:szCs w:val="28"/>
        </w:rPr>
        <w:lastRenderedPageBreak/>
        <w:t>профессиональным образованием, прошедшими обучение по вопросам оказания ПМП детям.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Так же в приказе описывается, как принимается решение о направлении ребенка на оказание ПМП. Такое решение принимается врачебной комиссией, в которой осуществляется наблюдение и/или лечение ребенка, в состав которой включаются руководитель медицинской организации (заместитель), заведующий структурным подразделением и лечащий врач по профилю заболевания ребенка. Врачебной комиссией оформляет заключение о наличии показаний к оказанию ребенку ПМП, которое вносится в медицинскую документацию ребенка.</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При возникновении угрожающих жизни состояний, требующих оказания экстренной или неотложной медицинской помощи, выездная бригада скорой медицинской помощи доставляет детей в медицинские организации, обеспечивающие круглосуточное медицинское наблюдение и лечение по профилю заболевания пациента.</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При оказании ППД назначение и выписывание обезболивающих лекарственных препаратов, в т. ч. наркотических и психотропных лекарственных препаратов, включенных в списки II и III, осуществляется в соответствии с приказом Минздрава России от 20.12.2012 №1175н</w:t>
      </w:r>
      <w:r w:rsidRPr="00D1277B">
        <w:rPr>
          <w:rFonts w:ascii="Times New Roman" w:eastAsia="Times New Roman" w:hAnsi="Times New Roman"/>
          <w:sz w:val="28"/>
          <w:szCs w:val="28"/>
          <w:vertAlign w:val="superscript"/>
        </w:rPr>
        <w:footnoteReference w:id="81"/>
      </w:r>
      <w:r w:rsidRPr="00D1277B">
        <w:rPr>
          <w:rFonts w:ascii="Times New Roman" w:eastAsia="Times New Roman" w:hAnsi="Times New Roman"/>
          <w:sz w:val="28"/>
          <w:szCs w:val="28"/>
        </w:rPr>
        <w:t>.  В случае если проведение медицинских манипуляций, связанных с оказанием ПМП детям, может повлечь возникновение болевых ощущений у пациента, такие манипуляции должны проводиться с обезболиванием.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В заключении к данному разделу хотелось бы отметить, что согласно сведениям о медицинских организациях (структурных подразделениях), оказывающих паллиативную медицинскую помощь за 2017, составленных А.А. Денежем, Главным внештатным специалистом по паллиативной медицинской помощи департамента здравоохранения ПК в Приморском крае существовало 3 выездных патронажных службы для детей, отсутствовали отделения и койки ППД. Однако во время проведения исследования автором были получены данные о наличие коек для оказания ППД на территории Приморского края. Тем не менее, стоит отметить, что «Порядок оказания паллиативной помощи детям» не предусматривает койки, как отдельный вид стационарной помощи. </w:t>
      </w:r>
    </w:p>
    <w:p w:rsidR="00D1277B" w:rsidRPr="00D1277B" w:rsidRDefault="00D1277B" w:rsidP="000B5F29">
      <w:pPr>
        <w:spacing w:before="360" w:after="240" w:line="240" w:lineRule="auto"/>
        <w:jc w:val="both"/>
        <w:rPr>
          <w:rFonts w:ascii="Times New Roman" w:eastAsia="Times New Roman" w:hAnsi="Times New Roman"/>
          <w:b/>
          <w:sz w:val="28"/>
          <w:szCs w:val="28"/>
        </w:rPr>
      </w:pPr>
      <w:r w:rsidRPr="00D1277B">
        <w:rPr>
          <w:rFonts w:ascii="Times New Roman" w:eastAsia="Times New Roman" w:hAnsi="Times New Roman"/>
          <w:b/>
          <w:sz w:val="28"/>
          <w:szCs w:val="28"/>
        </w:rPr>
        <w:t>Раздел 2. Потребность в детской паллиативной помощи в России и Приморском крае</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Как уже было сказано в предыдущем разделе, в России понятие паллиативной медицинской помощи законодательно признали одним из видов медицинской помощи только в 2011 году. И только три года назад, в 2015 году </w:t>
      </w:r>
      <w:r w:rsidRPr="00D1277B">
        <w:rPr>
          <w:rFonts w:ascii="Times New Roman" w:eastAsia="Times New Roman" w:hAnsi="Times New Roman"/>
          <w:sz w:val="28"/>
          <w:szCs w:val="28"/>
        </w:rPr>
        <w:lastRenderedPageBreak/>
        <w:t xml:space="preserve">Министерство Здравоохранения РФ утвердило Порядок оказания паллиативной медицинской помощи детскому населению, в котором рекомендованы штатные нормативы, минимальный перечень оборудования и функции детских отделений паллиативной помощи и выездных патронажных служб. </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 xml:space="preserve">По результатам запроса в департамент здравоохранения ПК по состоянию на 01.05.2018 всего 18 детей нуждаются в паллиативной помощи. Однако два года назад только детей, страдающих муковисцитозом (системное наследственное заболевание, обусловленное мутацией гена трансмембранного регулятора муковисцидоза (МВТР) и характеризующееся поражением желез внешней секреции, тяжёлыми нарушениями функций органов дыхания и желудочно-кишечного тракта) в крае насчитывалось 32 человека. </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 xml:space="preserve">По данным проведенных интервью со специалистами детей нуждающихся в ПП в крае намного больше. По данным предоставленным нам Фондом помощи президентским грантам только в Артемовском Городском округе в паллиативной помощи нуждается 10 детей. Главврачом ГБУЗ "Краевая детская клиническая больница №2" – Инна Зеленкова так же сообщила, что минимум 15 детей с паллиативными состояниями поступило к ним в больницу сначала года.  Кроме того, большое количество детей в домах ребенка нуждаются в ПП.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Таким образом, выявлена проблема в противоречии официальных и фактических данных. По словам специалистов, это связано с несовершенством способов учета. Так же проблема заключается в том, что многие педиатры и другие специалисты по работе с детьми, не видят, когда дети, нуждаются в ПП, а когда нет, ведь если дело касается детей с детские церебральным параличом, то не все они являются нуждающимися в ППД.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Для того, чтобы данные стали более точными, необходимо совершенствовать способы учета несовершеннолетних граждан, нуждающихся в паллиативной помощи. Необходимо совместно со специалистами разработать системы оценивания состояния ребенка с помощью шкал боли, а так же разработать и усовершенствовать список болезней. Также необходимо проводить обучения персонала. Помимо этого, необходимо проводить информационно-просветительскую работу в районах края, потому что многие родители могут не знать о болезни своего ребенка или отрицать ее, не знать о мерах поддержки положенной им, что препятствует продлению и повешению качества жизни таких детей и их семьи.</w:t>
      </w:r>
    </w:p>
    <w:p w:rsidR="00D1277B" w:rsidRPr="00D1277B" w:rsidRDefault="00D1277B" w:rsidP="000B5F29">
      <w:pPr>
        <w:spacing w:before="360" w:after="240" w:line="240" w:lineRule="auto"/>
        <w:jc w:val="both"/>
        <w:rPr>
          <w:rFonts w:ascii="Times New Roman" w:eastAsia="Times New Roman" w:hAnsi="Times New Roman"/>
          <w:b/>
          <w:sz w:val="28"/>
          <w:szCs w:val="28"/>
        </w:rPr>
      </w:pPr>
      <w:r w:rsidRPr="00D1277B">
        <w:rPr>
          <w:rFonts w:ascii="Times New Roman" w:eastAsia="Times New Roman" w:hAnsi="Times New Roman"/>
          <w:b/>
          <w:sz w:val="28"/>
          <w:szCs w:val="28"/>
        </w:rPr>
        <w:t>Раздел 3. Анализ Российского и зарубежного опыта.</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Паллиативная помощь получила свое развитие с хосписного движения и в настоящее время имеет широкое распространение. Первый хоспис Святого Кристофера появился в Соединенном Королевстве в 1967 г. Он был основан Сесили Сондерс и по праву считается основателем современного движения </w:t>
      </w:r>
      <w:r w:rsidRPr="00D1277B">
        <w:rPr>
          <w:rFonts w:ascii="Times New Roman" w:eastAsia="Times New Roman" w:hAnsi="Times New Roman"/>
          <w:sz w:val="28"/>
          <w:szCs w:val="28"/>
        </w:rPr>
        <w:lastRenderedPageBreak/>
        <w:t>хосписов</w:t>
      </w:r>
      <w:r w:rsidRPr="00D1277B">
        <w:rPr>
          <w:rFonts w:ascii="Times New Roman" w:eastAsia="Times New Roman" w:hAnsi="Times New Roman"/>
          <w:sz w:val="28"/>
          <w:szCs w:val="28"/>
          <w:vertAlign w:val="superscript"/>
        </w:rPr>
        <w:footnoteReference w:id="82"/>
      </w:r>
      <w:r w:rsidRPr="00D1277B">
        <w:rPr>
          <w:rFonts w:ascii="Times New Roman" w:eastAsia="Times New Roman" w:hAnsi="Times New Roman"/>
          <w:sz w:val="28"/>
          <w:szCs w:val="28"/>
        </w:rPr>
        <w:t>. Сначала термины «хосписная помощь» и «паллиативная помощь» означали одно и то же – помощь в конце жизни. Позже - более широкое значение: помощь детям, которые, скорее всего, не доживут до взрослого возраста вследствие наличия, ограничивающего жизнь или угрожающего жизни заболевания.  Хосписная помощь стала составной частью детского паллиатива. Паллиативная помощь предусматривает более широкую медицинскую и психологическую помощь в отличие от хосписной помощи.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 России оказание хосписной помощи детям началось в 1993 г. с организации в Москве детским онкологом, проф. Е.И. Моисеенко «Хосписа на дому для детей с онкологическими заболеваниями». Позднее на этой основе возникла автономная некоммерческая организация «Первый хоспис для детей с онкологическими заболеваниями», который работает в сотрудничестве с Институтом детской онкологии Российского онкологического центра им. Н.Н. Блохина РАМН. Считается что именно эта организация была пионером в становлении ППД в России</w:t>
      </w:r>
      <w:r w:rsidRPr="00D1277B">
        <w:rPr>
          <w:rFonts w:ascii="Times New Roman" w:eastAsia="Times New Roman" w:hAnsi="Times New Roman"/>
          <w:sz w:val="28"/>
          <w:szCs w:val="28"/>
          <w:vertAlign w:val="superscript"/>
        </w:rPr>
        <w:footnoteReference w:id="83"/>
      </w:r>
      <w:r w:rsidRPr="00D1277B">
        <w:rPr>
          <w:rFonts w:ascii="Times New Roman" w:eastAsia="Times New Roman" w:hAnsi="Times New Roman"/>
          <w:sz w:val="28"/>
          <w:szCs w:val="28"/>
        </w:rPr>
        <w:t>.</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Стоит отметить, что всего на территории РФ</w:t>
      </w:r>
      <w:r w:rsidRPr="00D1277B">
        <w:rPr>
          <w:rFonts w:ascii="Times New Roman" w:eastAsia="Times New Roman" w:hAnsi="Times New Roman"/>
          <w:b/>
          <w:bCs/>
          <w:iCs/>
          <w:color w:val="000000"/>
          <w:sz w:val="28"/>
          <w:szCs w:val="28"/>
          <w:shd w:val="clear" w:color="auto" w:fill="FFFFFF"/>
        </w:rPr>
        <w:t xml:space="preserve"> </w:t>
      </w:r>
      <w:r w:rsidRPr="00D1277B">
        <w:rPr>
          <w:rFonts w:ascii="Times New Roman" w:eastAsia="Times New Roman" w:hAnsi="Times New Roman"/>
          <w:bCs/>
          <w:iCs/>
          <w:color w:val="000000"/>
          <w:sz w:val="28"/>
          <w:szCs w:val="28"/>
          <w:shd w:val="clear" w:color="auto" w:fill="FFFFFF"/>
        </w:rPr>
        <w:t>располагается 23 детских хосписа и детских отделений паллиативной помощи. Из них на территории ДФО 7 отделений паллиативной помощи (койки для детей и взрослых, выездные патронажные службы, платные клиники).</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 xml:space="preserve">Проанализировав опыт пяти детских хосписов на территории Российской Федерации, изучив их историю и их основную деятельность, командой был отмечен единственный на данный момент государственный детский хоспис </w:t>
      </w:r>
      <w:r w:rsidRPr="00D1277B">
        <w:rPr>
          <w:rFonts w:ascii="Times New Roman" w:eastAsia="Times New Roman" w:hAnsi="Times New Roman"/>
          <w:bCs/>
          <w:sz w:val="28"/>
          <w:szCs w:val="28"/>
          <w:bdr w:val="none" w:sz="0" w:space="0" w:color="auto" w:frame="1"/>
          <w:shd w:val="clear" w:color="auto" w:fill="FFFFFF"/>
        </w:rPr>
        <w:t>СПб ГАУЗ «Хоспис (детский)»</w:t>
      </w:r>
      <w:r w:rsidRPr="00D1277B">
        <w:rPr>
          <w:rFonts w:ascii="Times New Roman" w:eastAsia="Times New Roman" w:hAnsi="Times New Roman"/>
          <w:bCs/>
          <w:iCs/>
          <w:color w:val="000000"/>
          <w:sz w:val="28"/>
          <w:szCs w:val="28"/>
          <w:shd w:val="clear" w:color="auto" w:fill="FFFFFF"/>
        </w:rPr>
        <w:t xml:space="preserve"> и Московский хоспис «Дом с маяком». </w:t>
      </w:r>
    </w:p>
    <w:p w:rsidR="00D1277B" w:rsidRPr="00D1277B" w:rsidRDefault="00D1277B" w:rsidP="00D1277B">
      <w:pPr>
        <w:spacing w:after="0" w:line="240" w:lineRule="auto"/>
        <w:jc w:val="both"/>
        <w:rPr>
          <w:rFonts w:ascii="Times New Roman" w:eastAsia="Times New Roman" w:hAnsi="Times New Roman"/>
          <w:iCs/>
          <w:sz w:val="28"/>
          <w:szCs w:val="28"/>
          <w:bdr w:val="none" w:sz="0" w:space="0" w:color="auto" w:frame="1"/>
          <w:shd w:val="clear" w:color="auto" w:fill="FFFFFF"/>
        </w:rPr>
      </w:pPr>
      <w:r w:rsidRPr="00D1277B">
        <w:rPr>
          <w:rFonts w:ascii="Times New Roman" w:eastAsia="Times New Roman" w:hAnsi="Times New Roman"/>
          <w:iCs/>
          <w:sz w:val="28"/>
          <w:szCs w:val="28"/>
          <w:bdr w:val="none" w:sz="0" w:space="0" w:color="auto" w:frame="1"/>
          <w:shd w:val="clear" w:color="auto" w:fill="FFFFFF"/>
        </w:rPr>
        <w:t>По мнению автора, на данный момент, именно эти хосписы является лучшим примером успешной системы оказания паллиативной помощи несовершеннолетним гражданам</w:t>
      </w:r>
      <w:r w:rsidRPr="00D1277B">
        <w:rPr>
          <w:rFonts w:ascii="Times New Roman" w:eastAsia="Times New Roman" w:hAnsi="Times New Roman"/>
          <w:sz w:val="28"/>
          <w:szCs w:val="28"/>
        </w:rPr>
        <w:t>, который мог бы быть применен на территории Приморского края с доработками, касающиеся особенностей региона.</w:t>
      </w:r>
    </w:p>
    <w:p w:rsidR="00D1277B" w:rsidRPr="00D1277B" w:rsidRDefault="00D1277B" w:rsidP="000B5F29">
      <w:pPr>
        <w:spacing w:before="360" w:after="240" w:line="240" w:lineRule="auto"/>
        <w:jc w:val="both"/>
        <w:rPr>
          <w:rFonts w:ascii="Times New Roman" w:eastAsia="Times New Roman" w:hAnsi="Times New Roman"/>
          <w:b/>
          <w:bCs/>
          <w:sz w:val="28"/>
          <w:szCs w:val="28"/>
        </w:rPr>
      </w:pPr>
      <w:r w:rsidRPr="00D1277B">
        <w:rPr>
          <w:rFonts w:ascii="Times New Roman" w:eastAsia="Times New Roman" w:hAnsi="Times New Roman"/>
          <w:sz w:val="28"/>
          <w:szCs w:val="28"/>
        </w:rPr>
        <w:t xml:space="preserve">                          </w:t>
      </w:r>
      <w:r w:rsidRPr="00D1277B">
        <w:rPr>
          <w:rFonts w:ascii="Times New Roman" w:eastAsia="Times New Roman" w:hAnsi="Times New Roman"/>
          <w:b/>
          <w:bCs/>
          <w:sz w:val="28"/>
          <w:szCs w:val="28"/>
        </w:rPr>
        <w:t>Раздел 4. Банк интервью</w:t>
      </w:r>
    </w:p>
    <w:p w:rsidR="00D1277B" w:rsidRPr="00D1277B" w:rsidRDefault="00D1277B" w:rsidP="00D1277B">
      <w:pPr>
        <w:spacing w:after="0" w:line="240" w:lineRule="auto"/>
        <w:jc w:val="both"/>
        <w:rPr>
          <w:rFonts w:ascii="Times New Roman" w:eastAsia="Times New Roman" w:hAnsi="Times New Roman"/>
          <w:sz w:val="28"/>
          <w:szCs w:val="28"/>
        </w:rPr>
      </w:pPr>
      <w:bookmarkStart w:id="59" w:name="_Hlk517694099"/>
      <w:r w:rsidRPr="00D1277B">
        <w:rPr>
          <w:rFonts w:ascii="Times New Roman" w:eastAsia="Times New Roman" w:hAnsi="Times New Roman"/>
          <w:sz w:val="28"/>
          <w:szCs w:val="28"/>
        </w:rPr>
        <w:t xml:space="preserve">Исследование проводится с использованием метода полуформализованного экспертного интервью. </w:t>
      </w:r>
      <w:bookmarkEnd w:id="59"/>
      <w:r w:rsidRPr="00D1277B">
        <w:rPr>
          <w:rFonts w:ascii="Times New Roman" w:eastAsia="Times New Roman" w:hAnsi="Times New Roman"/>
          <w:sz w:val="28"/>
          <w:szCs w:val="28"/>
        </w:rPr>
        <w:t>Основой послужили положения В. А. Ядова об организации и проведении экспертного интервью.</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В качестве выбранных экспертов были проведены интервью с: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7478"/>
      </w:tblGrid>
      <w:tr w:rsidR="00D1277B" w:rsidRPr="00D1277B" w:rsidTr="00D1277B">
        <w:tc>
          <w:tcPr>
            <w:tcW w:w="20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ФИО респондента</w:t>
            </w:r>
          </w:p>
        </w:tc>
        <w:tc>
          <w:tcPr>
            <w:tcW w:w="74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Должность и организация</w:t>
            </w:r>
          </w:p>
        </w:tc>
      </w:tr>
      <w:tr w:rsidR="00D1277B" w:rsidRPr="00D1277B" w:rsidTr="00D1277B">
        <w:tc>
          <w:tcPr>
            <w:tcW w:w="20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Казакова М.В.</w:t>
            </w:r>
          </w:p>
        </w:tc>
        <w:tc>
          <w:tcPr>
            <w:tcW w:w="74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Президент «Приморского благотворительного фонда помощи хосписам» </w:t>
            </w:r>
          </w:p>
        </w:tc>
      </w:tr>
      <w:tr w:rsidR="00D1277B" w:rsidRPr="00D1277B" w:rsidTr="00D1277B">
        <w:tc>
          <w:tcPr>
            <w:tcW w:w="20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Зеленкова Н.С.</w:t>
            </w:r>
          </w:p>
        </w:tc>
        <w:tc>
          <w:tcPr>
            <w:tcW w:w="74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 xml:space="preserve"> Главный врач ГБУЗ "Краевая детская клиническая </w:t>
            </w:r>
            <w:r w:rsidRPr="00D1277B">
              <w:rPr>
                <w:rFonts w:ascii="Times New Roman" w:hAnsi="Times New Roman"/>
                <w:sz w:val="28"/>
                <w:szCs w:val="28"/>
              </w:rPr>
              <w:lastRenderedPageBreak/>
              <w:t>больница №2" г.Владивосток.</w:t>
            </w:r>
          </w:p>
        </w:tc>
      </w:tr>
      <w:tr w:rsidR="00D1277B" w:rsidRPr="00D1277B" w:rsidTr="00D1277B">
        <w:tc>
          <w:tcPr>
            <w:tcW w:w="20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lastRenderedPageBreak/>
              <w:t>Вартанова К.А.</w:t>
            </w:r>
          </w:p>
        </w:tc>
        <w:tc>
          <w:tcPr>
            <w:tcW w:w="74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Директор фонда «Детский паллиатив» - фонд развития паллиативной помощи, г.Москва</w:t>
            </w:r>
          </w:p>
        </w:tc>
      </w:tr>
      <w:tr w:rsidR="00D1277B" w:rsidRPr="00D1277B" w:rsidTr="00D1277B">
        <w:tc>
          <w:tcPr>
            <w:tcW w:w="20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Бугушева О.С.</w:t>
            </w:r>
          </w:p>
        </w:tc>
        <w:tc>
          <w:tcPr>
            <w:tcW w:w="74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Заместитель директора института вертеброневрологии и мануальной медицины, руководитель реабилитационного центра «Лео», мама болеющего ребенка.</w:t>
            </w:r>
          </w:p>
        </w:tc>
      </w:tr>
      <w:tr w:rsidR="00D1277B" w:rsidRPr="00D1277B" w:rsidTr="00D1277B">
        <w:tc>
          <w:tcPr>
            <w:tcW w:w="20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Савина Н.Н.</w:t>
            </w:r>
          </w:p>
        </w:tc>
        <w:tc>
          <w:tcPr>
            <w:tcW w:w="74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Кандидат медицинских наук, доцент, директор фонда «Детский паллиатив» по научно- методической работе, заместитель главного внештатного специалиста по паллиативной помощи- детский специалист паллиативной помощи департамента здравоохранения г. Москва</w:t>
            </w:r>
          </w:p>
        </w:tc>
      </w:tr>
      <w:tr w:rsidR="00D1277B" w:rsidRPr="00D1277B" w:rsidTr="00D1277B">
        <w:tc>
          <w:tcPr>
            <w:tcW w:w="2093"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Горковенко С.А.</w:t>
            </w:r>
          </w:p>
        </w:tc>
        <w:tc>
          <w:tcPr>
            <w:tcW w:w="7478"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Директор благотворительного фонда «Сохрани жизнь»</w:t>
            </w:r>
          </w:p>
        </w:tc>
      </w:tr>
    </w:tbl>
    <w:p w:rsidR="00D1277B" w:rsidRPr="00D1277B" w:rsidRDefault="00D1277B" w:rsidP="00D1277B">
      <w:pPr>
        <w:spacing w:after="0" w:line="240" w:lineRule="auto"/>
        <w:jc w:val="both"/>
        <w:rPr>
          <w:rFonts w:ascii="Times New Roman" w:eastAsia="Times New Roman" w:hAnsi="Times New Roman"/>
          <w:bCs/>
          <w:sz w:val="28"/>
          <w:szCs w:val="28"/>
        </w:rPr>
      </w:pPr>
    </w:p>
    <w:p w:rsidR="00D1277B" w:rsidRPr="00D1277B" w:rsidRDefault="00D1277B" w:rsidP="00D1277B">
      <w:pPr>
        <w:spacing w:after="0" w:line="240" w:lineRule="auto"/>
        <w:jc w:val="both"/>
        <w:rPr>
          <w:rFonts w:ascii="Times New Roman" w:eastAsia="Times New Roman" w:hAnsi="Times New Roman"/>
          <w:bCs/>
          <w:sz w:val="28"/>
          <w:szCs w:val="28"/>
        </w:rPr>
      </w:pPr>
      <w:r w:rsidRPr="00D1277B">
        <w:rPr>
          <w:rFonts w:ascii="Times New Roman" w:eastAsia="Times New Roman" w:hAnsi="Times New Roman"/>
          <w:bCs/>
          <w:sz w:val="28"/>
          <w:szCs w:val="28"/>
        </w:rPr>
        <w:t>Обобщение результатов интервью и выводы:</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По результатам проведённых интервью, посвящённых оценке необходимых шагов и мнения специалистов по созданию в Приморском крае центра паллиативной помощи детям (детского хосписа), можно сделать следующие выводы.</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1.Проанализировав все интервью, мы однозначно пришли к выводу, что необходимость создания детского хосписа созрела ещё очень давно, и ранее существовали сложности для её воплощения, прежде всего, со стороны государственной власти. Так, все специалисты единолично высказывают мнение, что система оказания паллиативной помощи должна быть интегрирована в государственную систему здравоохранения, что государство должно обеспечивать необходимый минимум по финансированию: зарплаты, коммунальные платежи, минимальные расходные материалы и т.д., всё остальное должно покрываться за счёт некоммерческих организаций и благотворительных фондов.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2.Все опрошенные специалисты считают, что поддержка НКО и фондов в осуществлении проекта центра паллиативной помощи для детей (детского хосписа) играет определяющую роль, так как финансирования государства, даже если его можно и добиться, в любом случае, будет недостаточно. Отличие детского хосписа от очередного учреждения в том, что он должен быть уютным местом пребывания детей, чтобы им было комфортно, хорошо, как дома, чтобы в их дом могли прийти не только родители, но и все, кому этот ребёнок дорог, и кто дорог ему. Поэтому создание детского хосписа, считают специалисты, должно быть организовано с особым подходом. По словам директора БФ «Сохрани жизнь», детский хоспис должен быть «уютным деревянным домом на берегу моря… Интерьер должен быть обязательно домашний, уютный ни в коем случае не напоминающий больницу…». Опрошенные НКО согласны с готовностью оказать любую помощь в рамках их направлений деятельности, компетенций и возможностей.</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lastRenderedPageBreak/>
        <w:t>3.Несколько экспертов высказали однозначное мнение, что стационар не решает всех проблем, и далеко не все дети и их родители согласны на стационарное содержание, поэтому в составе детского хосписа обязательно должна быть и выездная помощь, так как многим удобнее и привычнее всего получать её на дому, никуда специально не переселять ребёнка. В связи с этим опрошенные эксперты посоветовали нам в необходимости разрабатывать проект с учётом как стационарной, так и выездной помощи в соответствии со всеми стандартами оказания паллиативной помощи детям, которые приведены в Приказе Минздрава № 193н.</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4.Два опрошенных эксперта – Зеленкова Н.С. и Казакова М.В. – в своём интервью оповестили нас, что вопрос о строительстве детского хосписа практически решён, его делают на базе реконструируемого роддома № 5 на улице Черёмуховой, поэтому исследовательский вопрос они предложили поставить по-другому. Вместо обоснования строительства такого заведения было предложено рассмотреть организационные проблемы функционирования центра паллиативной медицины.</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5.В целом, специалисты-медики уточнили, что есть разграничение между детским хосписом и оказанием паллиативной помощи. Хоспис – это крайняя степень паллиативной помощи, которая подразумевает уход уже за умирающими людьми, паллиативная помощь, как таковая, – это медицинская деятельность больным с неизлечимыми заболеваниями, которое направленно на улучшение качества жизни. По словам Зеленковой Н.С.  именно детский хоспис в Приморском крае и не особо нужен, так как большинство родителей очень сложно расстаются со своими детьми, а вот развитие паллиативной медицины очень нужно, особенно в формате отдельного специализированного учреждения.</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6.Две самые основные и наиважнейшие проблемы без раздумий назвали единогласно все опрошенные эксперты – это финансирование и кадры. Недостаток финансирования ставится возможным решить, в первую очередь, за счёт включения центра паллиативной медицины на государственное обеспечение, во вторую очередь, весомая часть финансирования должна приходится на внебюджетное обеспечение: за счёт помощи НКО, пожертвований, спонсорства и так далее. Проблема кадрового обеспечения должна решаться, как считают специалисты, на системном уровне. Паллиативная медицина должна быть включена в программы медицинских учебных заведений и образовательных центров, должны быть разработаны и широко распространены курсы для врачей-специалистов по оказанию паллиативной помощи. Всё это должно делаться на уровне государства, прежде всего, оно должно быть не только заинтересовано в этом, но и должно принимать непосредственное участие в этом.</w:t>
      </w:r>
    </w:p>
    <w:p w:rsidR="00D1277B" w:rsidRPr="00D1277B" w:rsidRDefault="00D1277B" w:rsidP="00D1277B">
      <w:pPr>
        <w:spacing w:after="0" w:line="240" w:lineRule="auto"/>
        <w:jc w:val="both"/>
        <w:rPr>
          <w:rFonts w:ascii="Times New Roman" w:eastAsia="Times New Roman" w:hAnsi="Times New Roman"/>
          <w:sz w:val="28"/>
          <w:szCs w:val="28"/>
        </w:rPr>
      </w:pPr>
      <w:bookmarkStart w:id="60" w:name="_Hlk517694173"/>
      <w:r w:rsidRPr="00D1277B">
        <w:rPr>
          <w:rFonts w:ascii="Times New Roman" w:eastAsia="Times New Roman" w:hAnsi="Times New Roman"/>
          <w:sz w:val="28"/>
          <w:szCs w:val="28"/>
        </w:rPr>
        <w:t xml:space="preserve">Таким образом, результаты интервью позволили понять отношение специалистов и заинтересованных лиц, по-новому взглянуть на проблему отсутствия детского хосписа в Приморском крае и сместить фокус внимания </w:t>
      </w:r>
      <w:r w:rsidRPr="00D1277B">
        <w:rPr>
          <w:rFonts w:ascii="Times New Roman" w:eastAsia="Times New Roman" w:hAnsi="Times New Roman"/>
          <w:sz w:val="28"/>
          <w:szCs w:val="28"/>
        </w:rPr>
        <w:lastRenderedPageBreak/>
        <w:t>в область исследования организационных проблем при создании и функционировании детского хосписа.</w:t>
      </w:r>
    </w:p>
    <w:p w:rsidR="00D1277B" w:rsidRPr="00D1277B" w:rsidRDefault="00D1277B" w:rsidP="000B5F29">
      <w:pPr>
        <w:spacing w:before="360" w:after="240" w:line="240" w:lineRule="auto"/>
        <w:jc w:val="both"/>
        <w:rPr>
          <w:rFonts w:ascii="Times New Roman" w:eastAsia="Times New Roman" w:hAnsi="Times New Roman"/>
          <w:b/>
          <w:sz w:val="28"/>
          <w:szCs w:val="28"/>
        </w:rPr>
      </w:pPr>
      <w:bookmarkStart w:id="61" w:name="_Hlk517690204"/>
      <w:bookmarkEnd w:id="60"/>
      <w:r w:rsidRPr="00D1277B">
        <w:rPr>
          <w:rFonts w:ascii="Times New Roman" w:eastAsia="Times New Roman" w:hAnsi="Times New Roman"/>
          <w:sz w:val="28"/>
          <w:szCs w:val="28"/>
        </w:rPr>
        <w:t xml:space="preserve">       </w:t>
      </w:r>
      <w:r w:rsidRPr="00D1277B">
        <w:rPr>
          <w:rFonts w:ascii="Times New Roman" w:eastAsia="Times New Roman" w:hAnsi="Times New Roman"/>
          <w:b/>
          <w:sz w:val="28"/>
          <w:szCs w:val="28"/>
        </w:rPr>
        <w:t>Раздел 5. Модели оказания паллиативной помощи детям</w:t>
      </w:r>
    </w:p>
    <w:p w:rsidR="00D1277B" w:rsidRPr="00D1277B" w:rsidRDefault="00D1277B" w:rsidP="00D1277B">
      <w:pPr>
        <w:spacing w:after="0" w:line="240" w:lineRule="auto"/>
        <w:jc w:val="both"/>
        <w:rPr>
          <w:rFonts w:ascii="Times New Roman" w:eastAsia="Times New Roman" w:hAnsi="Times New Roman"/>
          <w:bCs/>
          <w:iCs/>
          <w:color w:val="000000"/>
          <w:sz w:val="28"/>
          <w:szCs w:val="28"/>
          <w:shd w:val="clear" w:color="auto" w:fill="FFFFFF"/>
        </w:rPr>
      </w:pPr>
      <w:r w:rsidRPr="00D1277B">
        <w:rPr>
          <w:rFonts w:ascii="Times New Roman" w:eastAsia="Times New Roman" w:hAnsi="Times New Roman"/>
          <w:bCs/>
          <w:iCs/>
          <w:color w:val="000000"/>
          <w:sz w:val="28"/>
          <w:szCs w:val="28"/>
          <w:shd w:val="clear" w:color="auto" w:fill="FFFFFF"/>
        </w:rPr>
        <w:t>Как уже было описано выше, согласно Приказу Минздрава России от 14.04.2015 N 193н "Об утверждении Порядка оказания паллиативной медицинской помощи детям" паллиативная медицинская помощь детям может оказываться амбулаторно и стационарно</w:t>
      </w:r>
      <w:r w:rsidRPr="00D1277B">
        <w:rPr>
          <w:rFonts w:ascii="Times New Roman" w:hAnsi="Times New Roman"/>
          <w:sz w:val="28"/>
          <w:szCs w:val="28"/>
          <w:vertAlign w:val="superscript"/>
        </w:rPr>
        <w:footnoteReference w:id="84"/>
      </w:r>
      <w:r w:rsidRPr="00D1277B">
        <w:rPr>
          <w:rFonts w:ascii="Times New Roman" w:eastAsia="Times New Roman" w:hAnsi="Times New Roman"/>
          <w:bCs/>
          <w:iCs/>
          <w:color w:val="000000"/>
          <w:sz w:val="28"/>
          <w:szCs w:val="28"/>
          <w:shd w:val="clear" w:color="auto" w:fill="FFFFFF"/>
        </w:rPr>
        <w:t xml:space="preserve">.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Данные условия предполагают семь моделей оказания ППД, а именно:</w:t>
      </w:r>
    </w:p>
    <w:p w:rsidR="00D1277B" w:rsidRPr="00D1277B" w:rsidRDefault="00D1277B" w:rsidP="007F4EC1">
      <w:pPr>
        <w:numPr>
          <w:ilvl w:val="0"/>
          <w:numId w:val="57"/>
        </w:numPr>
        <w:tabs>
          <w:tab w:val="left" w:pos="1134"/>
        </w:tabs>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Детская паллиативная помощь в рамках общей программы паллиативной помощи или программы хосписа.</w:t>
      </w:r>
    </w:p>
    <w:p w:rsidR="00D1277B" w:rsidRPr="00D1277B" w:rsidRDefault="00D1277B" w:rsidP="007F4EC1">
      <w:pPr>
        <w:numPr>
          <w:ilvl w:val="0"/>
          <w:numId w:val="57"/>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Стационарные отделения паллиативной помощи.</w:t>
      </w:r>
    </w:p>
    <w:p w:rsidR="00D1277B" w:rsidRPr="00D1277B" w:rsidRDefault="00D1277B" w:rsidP="007F4EC1">
      <w:pPr>
        <w:numPr>
          <w:ilvl w:val="0"/>
          <w:numId w:val="57"/>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Программы дневного пребывания (дневные центры).</w:t>
      </w:r>
    </w:p>
    <w:p w:rsidR="00D1277B" w:rsidRPr="00D1277B" w:rsidRDefault="00D1277B" w:rsidP="007F4EC1">
      <w:pPr>
        <w:numPr>
          <w:ilvl w:val="0"/>
          <w:numId w:val="57"/>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Команды паллиативной помощи детям при больницах.</w:t>
      </w:r>
    </w:p>
    <w:p w:rsidR="00D1277B" w:rsidRPr="00D1277B" w:rsidRDefault="00D1277B" w:rsidP="007F4EC1">
      <w:pPr>
        <w:numPr>
          <w:ilvl w:val="0"/>
          <w:numId w:val="57"/>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Центр паллиативной помощи детям.</w:t>
      </w:r>
    </w:p>
    <w:p w:rsidR="00D1277B" w:rsidRPr="00D1277B" w:rsidRDefault="00D1277B" w:rsidP="007F4EC1">
      <w:pPr>
        <w:numPr>
          <w:ilvl w:val="0"/>
          <w:numId w:val="57"/>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Выездная патронажная служба ППД.</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7. Детский хоспис.</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 рамках конкурсной работы подробнее были рассмотрены две последние модели. Выездная паллиативная помощь и детский хоспис.</w:t>
      </w:r>
    </w:p>
    <w:p w:rsidR="00D1277B" w:rsidRPr="00D1277B" w:rsidRDefault="00D1277B" w:rsidP="000B5F29">
      <w:pPr>
        <w:spacing w:before="360" w:after="240" w:line="240" w:lineRule="auto"/>
        <w:jc w:val="both"/>
        <w:rPr>
          <w:rFonts w:ascii="Times New Roman" w:eastAsia="Times New Roman" w:hAnsi="Times New Roman"/>
          <w:b/>
          <w:sz w:val="28"/>
          <w:szCs w:val="28"/>
        </w:rPr>
      </w:pPr>
      <w:r w:rsidRPr="00D1277B">
        <w:rPr>
          <w:rFonts w:ascii="Times New Roman" w:eastAsia="Times New Roman" w:hAnsi="Times New Roman"/>
          <w:b/>
          <w:sz w:val="28"/>
          <w:szCs w:val="28"/>
        </w:rPr>
        <w:t>5.1 Выездная паллиативная помощь детям.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Согласно рекомендациям Европейской ассоциации паллиативной помощи (ЕАПП), помощь на дому считается одной из самых эффективных форм паллиативной помощи. Такая помощь может в полной мере обеспечиваться именно с помощью выездных (мобильных) служб, которые осуществляют специализированную паллиативную помощь пациентам на дому и поддержку членов их семей и лиц, осуществляющих уход за пациентами.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Положительными качествами такой службы является то, что: </w:t>
      </w:r>
    </w:p>
    <w:p w:rsidR="00D1277B" w:rsidRPr="00D1277B" w:rsidRDefault="00D1277B" w:rsidP="007F4EC1">
      <w:pPr>
        <w:numPr>
          <w:ilvl w:val="0"/>
          <w:numId w:val="58"/>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Дети и их родители, как правило, предпочитают находиться в домашних условиях, среди знакомого окружения. Предпочтение находиться дома высказывают до 80% семей-респондентов. За счет этого так же снижается риск разобщения членов семьи между собой.</w:t>
      </w:r>
    </w:p>
    <w:p w:rsidR="00D1277B" w:rsidRPr="00D1277B" w:rsidRDefault="00D1277B" w:rsidP="007F4EC1">
      <w:pPr>
        <w:numPr>
          <w:ilvl w:val="0"/>
          <w:numId w:val="58"/>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Наличие возможности помощи в регулировании социальных, в том числе трудовых и финансовых вопросов.</w:t>
      </w:r>
    </w:p>
    <w:p w:rsidR="00D1277B" w:rsidRPr="00D1277B" w:rsidRDefault="00D1277B" w:rsidP="007F4EC1">
      <w:pPr>
        <w:numPr>
          <w:ilvl w:val="0"/>
          <w:numId w:val="58"/>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Снижение государственных затрат путем перехода со стационарного паллиативного лечения на амбулаторное (исследование снижения затрат проводилось БФ «Детский паллиатив», в которых доказывалось реальное снижение затрат).</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lastRenderedPageBreak/>
        <w:t>Структура выездной службы паллиативной помощи детям и штатная численность сотрудников рассчитываются в зависимости от количества пациентов, находящихся под опекой.</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Среди персонала выделяют: руководителя, администратора, врачи (терапевт, педиатр, онколог), старшая медицинская сестра, медицинские сестры, массажисты, социальные работники, сиделки, психологи (для работы с детьми и для работы со взрослыми).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Виды помощи, осуществляемые службой.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6"/>
        <w:gridCol w:w="7275"/>
      </w:tblGrid>
      <w:tr w:rsidR="00D1277B" w:rsidRPr="00D1277B" w:rsidTr="00D1277B">
        <w:trPr>
          <w:trHeight w:val="160"/>
        </w:trPr>
        <w:tc>
          <w:tcPr>
            <w:tcW w:w="2296" w:type="dxa"/>
            <w:vMerge w:val="restart"/>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Медицинская</w:t>
            </w: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eastAsia="Times New Roman" w:hAnsi="Times New Roman"/>
                <w:sz w:val="28"/>
                <w:szCs w:val="28"/>
              </w:rPr>
              <w:t>Визиты врача-педиатра и медсестер, с целью осуществления контроля симптомов болезни, уменьшение их остроты, снижение страданий пациента.</w:t>
            </w:r>
          </w:p>
        </w:tc>
      </w:tr>
      <w:tr w:rsidR="00D1277B" w:rsidRPr="00D1277B" w:rsidTr="00D1277B">
        <w:trPr>
          <w:trHeight w:val="1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eastAsia="Times New Roman" w:hAnsi="Times New Roman"/>
                <w:sz w:val="28"/>
                <w:szCs w:val="28"/>
              </w:rPr>
              <w:t xml:space="preserve">Организация качественного ухода за больным в домашних условиях, обучение родителей правилам ухода за детьми, массаж. </w:t>
            </w:r>
          </w:p>
        </w:tc>
      </w:tr>
      <w:tr w:rsidR="00D1277B" w:rsidRPr="00D1277B" w:rsidTr="00D1277B">
        <w:trPr>
          <w:trHeight w:val="70"/>
        </w:trPr>
        <w:tc>
          <w:tcPr>
            <w:tcW w:w="2296" w:type="dxa"/>
            <w:vMerge w:val="restart"/>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Социальная</w:t>
            </w: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Всесторонний анализ потребностей семей и поиск возможностей для их реализации</w:t>
            </w:r>
          </w:p>
        </w:tc>
      </w:tr>
      <w:tr w:rsidR="00D1277B" w:rsidRPr="00D1277B" w:rsidTr="00D1277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Помощь в оформлении необходимых документов, например оформление инвалидности.</w:t>
            </w:r>
          </w:p>
        </w:tc>
      </w:tr>
      <w:tr w:rsidR="00D1277B" w:rsidRPr="00D1277B" w:rsidTr="00D1277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Работа социального работника с ребенком и содействие в обучении ребенка на дому.</w:t>
            </w:r>
          </w:p>
        </w:tc>
      </w:tr>
      <w:tr w:rsidR="00D1277B" w:rsidRPr="00D1277B" w:rsidTr="00D1277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Помощь в получении юридических консультаций.</w:t>
            </w:r>
          </w:p>
        </w:tc>
      </w:tr>
      <w:tr w:rsidR="00D1277B" w:rsidRPr="00D1277B" w:rsidTr="00D1277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Организация социальной передышки для семьи</w:t>
            </w:r>
          </w:p>
        </w:tc>
      </w:tr>
      <w:tr w:rsidR="00D1277B" w:rsidRPr="00D1277B" w:rsidTr="00D1277B">
        <w:trPr>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По возможности координация работы служб, участвующих в оказании помощи ребенку, например помощь в налаживании отношений с местными школами, поликлиниками, центрами социального обеспечения и т.д.</w:t>
            </w:r>
          </w:p>
        </w:tc>
      </w:tr>
      <w:tr w:rsidR="00D1277B" w:rsidRPr="00D1277B" w:rsidTr="00D1277B">
        <w:trPr>
          <w:trHeight w:val="84"/>
        </w:trPr>
        <w:tc>
          <w:tcPr>
            <w:tcW w:w="2296" w:type="dxa"/>
            <w:vMerge w:val="restart"/>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Психологическая</w:t>
            </w: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Визиты психолога, консультирование всех членов семьи и индивидуальная работа с детьми. Работа с семьями (родители и сиблинги).</w:t>
            </w:r>
          </w:p>
        </w:tc>
      </w:tr>
      <w:tr w:rsidR="00D1277B" w:rsidRPr="00D1277B" w:rsidTr="00D1277B">
        <w:trPr>
          <w:trHeight w:val="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Занятия с детьми арт-терапией, игротерапией, коррекционно-развивающей деятельностью.</w:t>
            </w:r>
          </w:p>
        </w:tc>
      </w:tr>
      <w:tr w:rsidR="00D1277B" w:rsidRPr="00D1277B" w:rsidTr="00D1277B">
        <w:trPr>
          <w:trHeight w:val="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Обеспечение психологической поддержки и организация мероприятий для всей семьи.</w:t>
            </w:r>
          </w:p>
        </w:tc>
      </w:tr>
      <w:tr w:rsidR="00D1277B" w:rsidRPr="00D1277B" w:rsidTr="00D1277B">
        <w:trPr>
          <w:trHeight w:val="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277B" w:rsidRPr="00D1277B" w:rsidRDefault="00D1277B" w:rsidP="00D1277B">
            <w:pPr>
              <w:spacing w:after="0" w:line="240" w:lineRule="auto"/>
              <w:rPr>
                <w:rFonts w:ascii="Times New Roman" w:hAnsi="Times New Roman"/>
                <w:sz w:val="28"/>
                <w:szCs w:val="28"/>
              </w:rPr>
            </w:pPr>
          </w:p>
        </w:tc>
        <w:tc>
          <w:tcPr>
            <w:tcW w:w="7275" w:type="dxa"/>
            <w:tcBorders>
              <w:top w:val="single" w:sz="4" w:space="0" w:color="auto"/>
              <w:left w:val="single" w:sz="4" w:space="0" w:color="auto"/>
              <w:bottom w:val="single" w:sz="4" w:space="0" w:color="auto"/>
              <w:right w:val="single" w:sz="4" w:space="0" w:color="auto"/>
            </w:tcBorders>
            <w:hideMark/>
          </w:tcPr>
          <w:p w:rsidR="00D1277B" w:rsidRPr="00D1277B" w:rsidRDefault="00D1277B" w:rsidP="00D1277B">
            <w:pPr>
              <w:spacing w:after="0" w:line="240" w:lineRule="auto"/>
              <w:jc w:val="both"/>
              <w:rPr>
                <w:rFonts w:ascii="Times New Roman" w:hAnsi="Times New Roman"/>
                <w:sz w:val="28"/>
                <w:szCs w:val="28"/>
              </w:rPr>
            </w:pPr>
            <w:r w:rsidRPr="00D1277B">
              <w:rPr>
                <w:rFonts w:ascii="Times New Roman" w:hAnsi="Times New Roman"/>
                <w:sz w:val="28"/>
                <w:szCs w:val="28"/>
              </w:rPr>
              <w:t>Психологическая поддержка семьи в период утраты  ребенка.</w:t>
            </w:r>
          </w:p>
        </w:tc>
      </w:tr>
    </w:tbl>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Таблица 1 – Виды помощи.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Так же, по мнению автора, в случае создания выездной службы на территории Приморского края, необходимо помимо персонала учитывать работу волонтеров, которые помимо помощи в административной части работы выездных служб, могли бы содействовать программе «социальной передышки» для родителей детей, нуждающихся в паллиативной помощи.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Так же необходимо рассмотреть существующие виды финансирования выездной службы. Среди них:</w:t>
      </w:r>
    </w:p>
    <w:p w:rsidR="00D1277B" w:rsidRPr="00D1277B" w:rsidRDefault="00D1277B" w:rsidP="007F4EC1">
      <w:pPr>
        <w:numPr>
          <w:ilvl w:val="0"/>
          <w:numId w:val="59"/>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Государственное (бюджетное) финансирование.</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lastRenderedPageBreak/>
        <w:t xml:space="preserve">Преимуществами являются стабильность с оплатой труда, </w:t>
      </w:r>
      <w:r w:rsidRPr="00D1277B">
        <w:rPr>
          <w:rFonts w:ascii="Times New Roman" w:eastAsia="Times New Roman" w:hAnsi="Times New Roman"/>
          <w:sz w:val="28"/>
          <w:szCs w:val="28"/>
        </w:rPr>
        <w:tab/>
        <w:t>госгарантии сотрудникам, минимальная или льготная аренда и коммунальные платежи.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Ограничения заключаются в регламентированность управленческих и финансовых схем, отсутствии гибкости, сложности в использовании индивидуального подхода к семьям с больными детьми.</w:t>
      </w:r>
    </w:p>
    <w:p w:rsidR="00D1277B" w:rsidRPr="00D1277B" w:rsidRDefault="00D1277B" w:rsidP="007F4EC1">
      <w:pPr>
        <w:numPr>
          <w:ilvl w:val="0"/>
          <w:numId w:val="59"/>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Государственное (бюджетное) финансирование с привлечением внебюджетных средств.</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Помимо преимуществ государственного финансирования без привлечения внебюджетных средств включает в себя увеличение степени материальной независимости и гибкости, возможности для расширения спектра услуг.</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Ограничениями являются большие затраты времени и сил на привлечение дополнительных финансов, повышение нагрузки на специалистов, увеличение объемов отчетности.</w:t>
      </w:r>
    </w:p>
    <w:p w:rsidR="00D1277B" w:rsidRPr="00D1277B" w:rsidRDefault="00D1277B" w:rsidP="007F4EC1">
      <w:pPr>
        <w:numPr>
          <w:ilvl w:val="0"/>
          <w:numId w:val="59"/>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Негосударственная организация (гранты, частные и/или корпоративные пожертвования). </w:t>
      </w:r>
    </w:p>
    <w:p w:rsidR="00D1277B" w:rsidRPr="00D1277B" w:rsidRDefault="00D1277B" w:rsidP="00D1277B">
      <w:pPr>
        <w:tabs>
          <w:tab w:val="num" w:pos="720"/>
        </w:tabs>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Преимуществами данного вида являются возможность привлечения более квалифицированных специалистов за счет более высокая оплата труда, возможность обеспечения материальной составляющей, улучшение качества услуг.</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К ограничениям относится то, что данный тип финансирования не является стабильным и гарантированным, большие затраты времени и сил на привлечение дополнительных финансов, повышение нагрузки на специалистов</w:t>
      </w:r>
      <w:r w:rsidRPr="00D1277B">
        <w:rPr>
          <w:rFonts w:ascii="Times New Roman" w:hAnsi="Times New Roman"/>
          <w:sz w:val="28"/>
          <w:szCs w:val="28"/>
          <w:vertAlign w:val="superscript"/>
        </w:rPr>
        <w:footnoteReference w:id="85"/>
      </w:r>
      <w:r w:rsidRPr="00D1277B">
        <w:rPr>
          <w:rFonts w:ascii="Times New Roman" w:eastAsia="Times New Roman" w:hAnsi="Times New Roman"/>
          <w:sz w:val="28"/>
          <w:szCs w:val="28"/>
        </w:rPr>
        <w:t>.</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Так же стоит отметить, что в большинстве стран мира финансирование паллиативной помощи вообще и выездных служб в частности носит частно-государственный характер. Партнерство государства и некоммерческих организаций, социальный заказ от государства – одна из самых перспективных форм.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Стоить отметить, что автор работы выделяет выездную службу паллиативной помощи, как составляющую часть хосписа.</w:t>
      </w:r>
    </w:p>
    <w:p w:rsidR="00D1277B" w:rsidRPr="00D1277B" w:rsidRDefault="00D1277B" w:rsidP="000B5F29">
      <w:pPr>
        <w:spacing w:before="360" w:after="240" w:line="240" w:lineRule="auto"/>
        <w:jc w:val="both"/>
        <w:rPr>
          <w:rFonts w:ascii="Times New Roman" w:eastAsia="Times New Roman" w:hAnsi="Times New Roman"/>
          <w:b/>
          <w:sz w:val="28"/>
          <w:szCs w:val="28"/>
        </w:rPr>
      </w:pPr>
      <w:r w:rsidRPr="00D1277B">
        <w:rPr>
          <w:rFonts w:ascii="Times New Roman" w:eastAsia="Times New Roman" w:hAnsi="Times New Roman"/>
          <w:b/>
          <w:sz w:val="28"/>
          <w:szCs w:val="28"/>
        </w:rPr>
        <w:t>5.2 Модель детского паллиативного хосписа на территории Приморского края.</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rPr>
      </w:pPr>
      <w:r w:rsidRPr="00D1277B">
        <w:rPr>
          <w:rFonts w:ascii="Times New Roman" w:eastAsia="Times New Roman" w:hAnsi="Times New Roman"/>
          <w:color w:val="000000"/>
          <w:sz w:val="28"/>
          <w:szCs w:val="28"/>
          <w:shd w:val="clear" w:color="auto" w:fill="FFFFFF"/>
        </w:rPr>
        <w:t xml:space="preserve">Все преимущества хосписа в том, что он дает возможность выбора, и вселяет новую надежду в пациента и его близких.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Правила организации деятельности, рекомендуемые штатные нормативы и стандарт оснащения хосписа (для детей) установлены Приложениями 7–9 к Порядку оказания паллиативной медицинской помощи детям. Указанные нормы определяют обязательный минимум услуг, который может быть расширен при наличии дополнительных средств.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lastRenderedPageBreak/>
        <w:t>За основу детского хосписа в ПК принята структура СПб ГАУЗ «Хоспис (детский)», имеющего большой опыт предоставления всего комплекса услуг паллиативной помощи детям.</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Структура хосписа. Хоспис и прилегающая территория могут включать в себя следующие помещения и зоны (в зависимости от размеров учреждения):</w:t>
      </w:r>
      <w:r w:rsidRPr="00D1277B">
        <w:rPr>
          <w:rFonts w:ascii="Times New Roman" w:eastAsia="Times New Roman" w:hAnsi="Times New Roman"/>
          <w:color w:val="333333"/>
          <w:sz w:val="28"/>
          <w:szCs w:val="28"/>
          <w:lang w:eastAsia="ru-RU"/>
        </w:rPr>
        <w:t> </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62" w:name="dst100442"/>
      <w:bookmarkEnd w:id="62"/>
      <w:r w:rsidRPr="00D1277B">
        <w:rPr>
          <w:rFonts w:ascii="Times New Roman" w:eastAsia="Times New Roman" w:hAnsi="Times New Roman"/>
          <w:sz w:val="28"/>
          <w:szCs w:val="28"/>
          <w:lang w:eastAsia="ru-RU"/>
        </w:rPr>
        <w:t xml:space="preserve">стационарное </w:t>
      </w:r>
      <w:r w:rsidRPr="00D1277B">
        <w:rPr>
          <w:rFonts w:ascii="Times New Roman" w:eastAsia="Times New Roman" w:hAnsi="Times New Roman"/>
          <w:sz w:val="28"/>
          <w:szCs w:val="28"/>
        </w:rPr>
        <w:t>отделение паллиативной</w:t>
      </w:r>
      <w:r w:rsidRPr="00D1277B">
        <w:rPr>
          <w:rFonts w:ascii="Times New Roman" w:eastAsia="Times New Roman" w:hAnsi="Times New Roman"/>
          <w:sz w:val="28"/>
          <w:szCs w:val="28"/>
          <w:lang w:eastAsia="ru-RU"/>
        </w:rPr>
        <w:t xml:space="preserve"> медицинской помощи детям;</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63" w:name="dst100443"/>
      <w:bookmarkEnd w:id="63"/>
      <w:r w:rsidRPr="00D1277B">
        <w:rPr>
          <w:rFonts w:ascii="Times New Roman" w:eastAsia="Times New Roman" w:hAnsi="Times New Roman"/>
          <w:sz w:val="28"/>
          <w:szCs w:val="28"/>
          <w:lang w:eastAsia="ru-RU"/>
        </w:rPr>
        <w:t>отделение выездной патронажной службы паллиативной медицинской помощи детям;</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64" w:name="dst100444"/>
      <w:bookmarkEnd w:id="64"/>
      <w:r w:rsidRPr="00D1277B">
        <w:rPr>
          <w:rFonts w:ascii="Times New Roman" w:eastAsia="Times New Roman" w:hAnsi="Times New Roman"/>
          <w:sz w:val="28"/>
          <w:szCs w:val="28"/>
          <w:lang w:eastAsia="ru-RU"/>
        </w:rPr>
        <w:t>процедурную</w:t>
      </w:r>
      <w:bookmarkStart w:id="65" w:name="dst100445"/>
      <w:bookmarkEnd w:id="65"/>
      <w:r w:rsidRPr="00D1277B">
        <w:rPr>
          <w:rFonts w:ascii="Times New Roman" w:eastAsia="Times New Roman" w:hAnsi="Times New Roman"/>
          <w:sz w:val="28"/>
          <w:szCs w:val="28"/>
          <w:lang w:eastAsia="ru-RU"/>
        </w:rPr>
        <w:t>, перевязочную;</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66" w:name="dst100446"/>
      <w:bookmarkEnd w:id="66"/>
      <w:r w:rsidRPr="00D1277B">
        <w:rPr>
          <w:rFonts w:ascii="Times New Roman" w:eastAsia="Times New Roman" w:hAnsi="Times New Roman"/>
          <w:sz w:val="28"/>
          <w:szCs w:val="28"/>
          <w:lang w:eastAsia="ru-RU"/>
        </w:rPr>
        <w:t>кабинеты по лечебной физкультуре и массажу</w:t>
      </w:r>
      <w:bookmarkStart w:id="67" w:name="dst100447"/>
      <w:bookmarkEnd w:id="67"/>
      <w:r w:rsidRPr="00D1277B">
        <w:rPr>
          <w:rFonts w:ascii="Times New Roman" w:eastAsia="Times New Roman" w:hAnsi="Times New Roman"/>
          <w:sz w:val="28"/>
          <w:szCs w:val="28"/>
          <w:lang w:eastAsia="ru-RU"/>
        </w:rPr>
        <w:t>, для психологического консультирования;</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68" w:name="dst100448"/>
      <w:bookmarkStart w:id="69" w:name="dst100449"/>
      <w:bookmarkEnd w:id="68"/>
      <w:bookmarkEnd w:id="69"/>
      <w:r w:rsidRPr="00D1277B">
        <w:rPr>
          <w:rFonts w:ascii="Times New Roman" w:eastAsia="Times New Roman" w:hAnsi="Times New Roman"/>
          <w:sz w:val="28"/>
          <w:szCs w:val="28"/>
          <w:lang w:eastAsia="ru-RU"/>
        </w:rPr>
        <w:t>организационно-методический отдел;</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70" w:name="dst100450"/>
      <w:bookmarkEnd w:id="70"/>
      <w:r w:rsidRPr="00D1277B">
        <w:rPr>
          <w:rFonts w:ascii="Times New Roman" w:eastAsia="Times New Roman" w:hAnsi="Times New Roman"/>
          <w:sz w:val="28"/>
          <w:szCs w:val="28"/>
          <w:lang w:eastAsia="ru-RU"/>
        </w:rPr>
        <w:t>административно-хозяйственное отделение;</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71" w:name="dst100451"/>
      <w:bookmarkEnd w:id="71"/>
      <w:r w:rsidRPr="00D1277B">
        <w:rPr>
          <w:rFonts w:ascii="Times New Roman" w:eastAsia="Times New Roman" w:hAnsi="Times New Roman"/>
          <w:sz w:val="28"/>
          <w:szCs w:val="28"/>
          <w:lang w:eastAsia="ru-RU"/>
        </w:rPr>
        <w:t xml:space="preserve">кабинеты главного врача и </w:t>
      </w:r>
      <w:bookmarkStart w:id="72" w:name="dst100452"/>
      <w:bookmarkEnd w:id="72"/>
      <w:r w:rsidRPr="00D1277B">
        <w:rPr>
          <w:rFonts w:ascii="Times New Roman" w:eastAsia="Times New Roman" w:hAnsi="Times New Roman"/>
          <w:sz w:val="28"/>
          <w:szCs w:val="28"/>
          <w:lang w:eastAsia="ru-RU"/>
        </w:rPr>
        <w:t>заведующего, старшей медицинской сестры;</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73" w:name="dst100453"/>
      <w:bookmarkEnd w:id="73"/>
      <w:r w:rsidRPr="00D1277B">
        <w:rPr>
          <w:rFonts w:ascii="Times New Roman" w:eastAsia="Times New Roman" w:hAnsi="Times New Roman"/>
          <w:sz w:val="28"/>
          <w:szCs w:val="28"/>
          <w:lang w:eastAsia="ru-RU"/>
        </w:rPr>
        <w:t>помещение для врачей и медицинских работников со средним медицинским образованием;</w:t>
      </w:r>
      <w:bookmarkStart w:id="74" w:name="dst100455"/>
      <w:bookmarkEnd w:id="74"/>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75" w:name="dst100456"/>
      <w:bookmarkEnd w:id="75"/>
      <w:r w:rsidRPr="00D1277B">
        <w:rPr>
          <w:rFonts w:ascii="Times New Roman" w:eastAsia="Times New Roman" w:hAnsi="Times New Roman"/>
          <w:sz w:val="28"/>
          <w:szCs w:val="28"/>
          <w:lang w:eastAsia="ru-RU"/>
        </w:rPr>
        <w:t>комнаты для хранения лекарственных препаратов и их утилизации</w:t>
      </w:r>
      <w:bookmarkStart w:id="76" w:name="dst100457"/>
      <w:bookmarkEnd w:id="76"/>
      <w:r w:rsidRPr="00D1277B">
        <w:rPr>
          <w:rFonts w:ascii="Times New Roman" w:eastAsia="Times New Roman" w:hAnsi="Times New Roman"/>
          <w:sz w:val="28"/>
          <w:szCs w:val="28"/>
          <w:lang w:eastAsia="ru-RU"/>
        </w:rPr>
        <w:t>, для хранения наркотических средств</w:t>
      </w:r>
      <w:bookmarkStart w:id="77" w:name="dst100458"/>
      <w:bookmarkEnd w:id="77"/>
      <w:r w:rsidRPr="00D1277B">
        <w:rPr>
          <w:rFonts w:ascii="Times New Roman" w:eastAsia="Times New Roman" w:hAnsi="Times New Roman"/>
          <w:sz w:val="28"/>
          <w:szCs w:val="28"/>
          <w:lang w:eastAsia="ru-RU"/>
        </w:rPr>
        <w:t>, для хранения медицинского оборудования;</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78" w:name="dst100459"/>
      <w:bookmarkStart w:id="79" w:name="dst100460"/>
      <w:bookmarkStart w:id="80" w:name="dst100461"/>
      <w:bookmarkStart w:id="81" w:name="dst100462"/>
      <w:bookmarkEnd w:id="78"/>
      <w:bookmarkEnd w:id="79"/>
      <w:bookmarkEnd w:id="80"/>
      <w:bookmarkEnd w:id="81"/>
      <w:r w:rsidRPr="00D1277B">
        <w:rPr>
          <w:rFonts w:ascii="Times New Roman" w:eastAsia="Times New Roman" w:hAnsi="Times New Roman"/>
          <w:sz w:val="28"/>
          <w:szCs w:val="28"/>
          <w:lang w:eastAsia="ru-RU"/>
        </w:rPr>
        <w:t>душевую и туалет для медицинского персонала, и для пациентов;</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82" w:name="dst100463"/>
      <w:bookmarkStart w:id="83" w:name="dst100464"/>
      <w:bookmarkStart w:id="84" w:name="dst100465"/>
      <w:bookmarkEnd w:id="82"/>
      <w:bookmarkEnd w:id="83"/>
      <w:bookmarkEnd w:id="84"/>
      <w:r w:rsidRPr="00D1277B">
        <w:rPr>
          <w:rFonts w:ascii="Times New Roman" w:eastAsia="Times New Roman" w:hAnsi="Times New Roman"/>
          <w:sz w:val="28"/>
          <w:szCs w:val="28"/>
          <w:lang w:eastAsia="ru-RU"/>
        </w:rPr>
        <w:t>игровую комнату;</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85" w:name="dst100466"/>
      <w:bookmarkEnd w:id="85"/>
      <w:r w:rsidRPr="00D1277B">
        <w:rPr>
          <w:rFonts w:ascii="Times New Roman" w:eastAsia="Times New Roman" w:hAnsi="Times New Roman"/>
          <w:sz w:val="28"/>
          <w:szCs w:val="28"/>
          <w:lang w:eastAsia="ru-RU"/>
        </w:rPr>
        <w:t>учебный класс;</w:t>
      </w:r>
    </w:p>
    <w:p w:rsidR="00D1277B" w:rsidRPr="00D1277B" w:rsidRDefault="00D1277B" w:rsidP="007F4EC1">
      <w:pPr>
        <w:numPr>
          <w:ilvl w:val="0"/>
          <w:numId w:val="60"/>
        </w:numPr>
        <w:shd w:val="clear" w:color="auto" w:fill="FFFFFF"/>
        <w:spacing w:after="0" w:line="240" w:lineRule="auto"/>
        <w:ind w:left="0" w:firstLine="0"/>
        <w:jc w:val="both"/>
        <w:rPr>
          <w:rFonts w:ascii="Times New Roman" w:eastAsia="Times New Roman" w:hAnsi="Times New Roman"/>
          <w:sz w:val="28"/>
          <w:szCs w:val="28"/>
          <w:lang w:eastAsia="ru-RU"/>
        </w:rPr>
      </w:pPr>
      <w:bookmarkStart w:id="86" w:name="dst100467"/>
      <w:bookmarkStart w:id="87" w:name="dst100468"/>
      <w:bookmarkEnd w:id="86"/>
      <w:bookmarkEnd w:id="87"/>
      <w:r w:rsidRPr="00D1277B">
        <w:rPr>
          <w:rFonts w:ascii="Times New Roman" w:eastAsia="Times New Roman" w:hAnsi="Times New Roman"/>
          <w:sz w:val="28"/>
          <w:szCs w:val="28"/>
          <w:lang w:eastAsia="ru-RU"/>
        </w:rPr>
        <w:t>комнату для отдыха родителей.</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Все хосписы выше одного этажа оборудуются подъемами для колясок, лифтами, и системами вызова медсестер. Стационарные или портативные трекерные системы имеются во всех комнатах и коридорах, где могут находиться пациенты.</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Конечно, список, приведенный выше это необязательные комнаты для детского хосписа, а лишь возможные из них. </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По мнению автора, все данные отделения, за исключением некоторых должны быть в структуре Приморского детского хосписа. </w:t>
      </w:r>
    </w:p>
    <w:p w:rsidR="00D1277B" w:rsidRPr="00D1277B" w:rsidRDefault="00D1277B" w:rsidP="009F1ACD">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Так стационарное отделение паллиативной медицинской помощи детям является структурным подразделением детского хосписа, предназначено для оказания врачами-специалистами паллиативной медицинской помощи пациентам, страдающим неизлечимыми заболеваниями, исчерпавшими реабилитационный потенциал, с целью улучшения качества их жизни.</w:t>
      </w:r>
    </w:p>
    <w:p w:rsidR="00D1277B" w:rsidRPr="00D1277B" w:rsidRDefault="00D1277B" w:rsidP="009F1ACD">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Стационар будет осуществлять следующие функции:</w:t>
      </w:r>
    </w:p>
    <w:p w:rsidR="00D1277B" w:rsidRPr="00D1277B" w:rsidRDefault="00D1277B" w:rsidP="007F4EC1">
      <w:pPr>
        <w:numPr>
          <w:ilvl w:val="0"/>
          <w:numId w:val="61"/>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оказание паллиативной медицинской помощи, включающей: проведение комплексного лечения, требующего круглосуточно врачебного и сестринского медицинского наблюдения; проведение лабораторных обследований; проведение сложных и комплексных лечебных процедур, связанных с необходимостью специальной подготовки пациента и медицинского наблюдения после проведения лечебных мероприятий; проведение внутривенного капельного введения лекарственных препаратов, в </w:t>
      </w:r>
      <w:r w:rsidRPr="00D1277B">
        <w:rPr>
          <w:rFonts w:ascii="Times New Roman" w:eastAsia="Times New Roman" w:hAnsi="Times New Roman"/>
          <w:sz w:val="28"/>
          <w:szCs w:val="28"/>
        </w:rPr>
        <w:lastRenderedPageBreak/>
        <w:t>том числе длительных инфузий; назначение с целью обезболивания наркотических средств, психотропных веществ.</w:t>
      </w:r>
    </w:p>
    <w:p w:rsidR="00D1277B" w:rsidRPr="00D1277B" w:rsidRDefault="00D1277B" w:rsidP="007F4EC1">
      <w:pPr>
        <w:numPr>
          <w:ilvl w:val="0"/>
          <w:numId w:val="62"/>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оказание консультативной помощи врачам-специалистам по вопросам оказания паллиативной медицинской помощи детям. </w:t>
      </w:r>
    </w:p>
    <w:p w:rsidR="00D1277B" w:rsidRPr="00D1277B" w:rsidRDefault="00D1277B" w:rsidP="007F4EC1">
      <w:pPr>
        <w:numPr>
          <w:ilvl w:val="0"/>
          <w:numId w:val="62"/>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оказание социальной и психологической помощи пациентам и членам их семей.</w:t>
      </w:r>
    </w:p>
    <w:p w:rsidR="00D1277B" w:rsidRPr="00D1277B" w:rsidRDefault="00D1277B" w:rsidP="007F4EC1">
      <w:pPr>
        <w:numPr>
          <w:ilvl w:val="0"/>
          <w:numId w:val="62"/>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rPr>
        <w:t>консультирование родственников детей, нуждающихся в паллиативной медицинской помощи, и обучение их навыкам ухода.</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 структуру стационарного отделения должны входить палаты, оснащенные необходимым оборудованием, процедурный кабинет, перевязочный кабинет, кабинет по ЛФК и массажу, комната для хранения наркотических средств и психотропных веществ.</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Социально-психологическая служба. В состав социально-психологической службы входят: педагоги-психологи, социальные педагоги, дефектолог (может быть нанимаемым врачом, работающим по необходимости), специалист по социальной работе. При необходимости для предоставления услуг социально-психологической службы могут привлекаться врачи, специалисты других структурных подразделений детского хосписа и других учреждений здравоохранения.</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Как уже было отмечено, паллиативную помощь детям следует рассматривать шире, чем оказание только медицинских услуг. Важную роль в практическом воплощении этого принципа играет именно социально-психологическая служба, которая обслуживает как пациентов стационарного отделения, так и детей, находящихся в домашних условиях, в тесном взаимодействии с выездной патронажной службой.</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Финансирование детского хосписа. Программа государственных гарантий бесплатного оказания гражданам медицинской помощи не покрывает весь спектр услуг, необходимых детям, страдающим неизлечимыми и ограничивающими срок жизни заболеваниями, а также их родителям. В то же время внедрение паллиативной медицинской помощи в спектр государственных услуг создает определенную базу, расширяя которую, возможно обеспечить детям всестороннюю помощь.</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Следует понимать, что в рамках использования бюджетного финансирования (исполнения государственного задания или использования средств ОМС) медицинское учреждение может предоставлять только гарантированные государством услуги. Для всех дополнительных услуг необходимо изыскивать дополнительное финансирование, что важно предусмотреть еще на этапе планирования. Практический опыт показывает, что необходимо привлечение благотворительных средств на постоянной основе.</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Практика показывает, что в текущей ситуации субъекты РФ не могут позволить себе финансирование целого ряда необходимых расходов, например, дорогостоящее оборудование, которое требуется на дому.</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Возможны два варианта финансового обеспечения услуг паллиативной медицинской помощи из регионального бюджета: субсидия на финансовое </w:t>
      </w:r>
      <w:r w:rsidRPr="00D1277B">
        <w:rPr>
          <w:rFonts w:ascii="Times New Roman" w:eastAsia="Times New Roman" w:hAnsi="Times New Roman"/>
          <w:sz w:val="28"/>
          <w:szCs w:val="28"/>
        </w:rPr>
        <w:lastRenderedPageBreak/>
        <w:t>обеспечение выполнения государственного задания или оплата оказанной медицинской помощи в соответствии с установленными тарифами на оплату медицинской помощи по ОМС в случае, если соответствующие финансовые ассигнования переданы из регионального бюджета трансфертом в территориальный фонд ОМС.</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 первом случае в соответствии с региональным законодательством формируются государственные задания в разрезе региональных перечней услуг. Финансовое обеспечение выполнения государственного задания бюджетными и автономными учреждениями осуществляется в виде субсидии из регионального бюджета. Указанные субсидии рассчитываются с учетом нормативных затрат на оказание государственных услуг и нормативных затрат на содержание государственного имущества. Общие требования к определению нормативных затрат на оказание государственных услуг в сфере здравоохранения.</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Во втором случае, если на региональном уровне принято решение передать паллиативную медицинскую помощь в систему ОМС, способы оплаты ПМП, а также размер и структура тарифов на оплату ПМП устанавливаются региональным тарифным соглашением об оплате медицинской помощи.</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Поэтому одним из самых удачных вариантов является сотрудничество трех организаций:</w:t>
      </w:r>
    </w:p>
    <w:p w:rsidR="00D1277B" w:rsidRPr="00D1277B" w:rsidRDefault="00D1277B" w:rsidP="007F4EC1">
      <w:pPr>
        <w:numPr>
          <w:ilvl w:val="0"/>
          <w:numId w:val="63"/>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shd w:val="clear" w:color="auto" w:fill="FFFFFF"/>
        </w:rPr>
        <w:t>Благотворительный фонд «Сохрани жизнь»;</w:t>
      </w:r>
    </w:p>
    <w:p w:rsidR="00D1277B" w:rsidRPr="00D1277B" w:rsidRDefault="00D1277B" w:rsidP="007F4EC1">
      <w:pPr>
        <w:numPr>
          <w:ilvl w:val="0"/>
          <w:numId w:val="63"/>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shd w:val="clear" w:color="auto" w:fill="FFFFFF"/>
        </w:rPr>
        <w:t>Государственное автономное учреждения здравоохранения;</w:t>
      </w:r>
    </w:p>
    <w:p w:rsidR="00D1277B" w:rsidRPr="00D1277B" w:rsidRDefault="00D1277B" w:rsidP="007F4EC1">
      <w:pPr>
        <w:numPr>
          <w:ilvl w:val="0"/>
          <w:numId w:val="63"/>
        </w:numPr>
        <w:spacing w:after="0" w:line="240" w:lineRule="auto"/>
        <w:ind w:left="0" w:firstLine="0"/>
        <w:jc w:val="both"/>
        <w:rPr>
          <w:rFonts w:ascii="Times New Roman" w:eastAsia="Times New Roman" w:hAnsi="Times New Roman"/>
          <w:sz w:val="28"/>
          <w:szCs w:val="28"/>
        </w:rPr>
      </w:pPr>
      <w:r w:rsidRPr="00D1277B">
        <w:rPr>
          <w:rFonts w:ascii="Times New Roman" w:eastAsia="Times New Roman" w:hAnsi="Times New Roman"/>
          <w:sz w:val="28"/>
          <w:szCs w:val="28"/>
          <w:shd w:val="clear" w:color="auto" w:fill="FFFFFF"/>
        </w:rPr>
        <w:t>Приморский фонд помощи хосписам, который в скором времени планирует стать автономной некоммерческой организацией.</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При таком партнерстве финансирование детский хоспис сможет существовать за счет государственных и фандрайзинговых средств.</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Последним, но не менее важным, фактором модели детского хосписа является кадровое обеспечение. Рекомендуемые штатные нормативы хосписа (для детей) прописаны так же в Порядке оказания паллиативной помощи детям. </w:t>
      </w:r>
    </w:p>
    <w:bookmarkEnd w:id="61"/>
    <w:p w:rsidR="00D1277B" w:rsidRPr="00D1277B" w:rsidRDefault="00D1277B" w:rsidP="009F1ACD">
      <w:pPr>
        <w:spacing w:before="360" w:after="240" w:line="240" w:lineRule="auto"/>
        <w:jc w:val="center"/>
        <w:rPr>
          <w:rFonts w:ascii="Times New Roman" w:eastAsia="Times New Roman" w:hAnsi="Times New Roman"/>
          <w:b/>
          <w:bCs/>
          <w:sz w:val="28"/>
          <w:szCs w:val="28"/>
          <w:shd w:val="clear" w:color="auto" w:fill="FFFFFF"/>
        </w:rPr>
      </w:pPr>
      <w:r w:rsidRPr="00D1277B">
        <w:rPr>
          <w:rFonts w:ascii="Times New Roman" w:eastAsia="Times New Roman" w:hAnsi="Times New Roman"/>
          <w:b/>
          <w:bCs/>
          <w:sz w:val="28"/>
          <w:szCs w:val="28"/>
          <w:shd w:val="clear" w:color="auto" w:fill="FFFFFF"/>
        </w:rPr>
        <w:t>Заключение</w:t>
      </w:r>
    </w:p>
    <w:p w:rsidR="00D1277B" w:rsidRPr="00D1277B" w:rsidRDefault="00D1277B" w:rsidP="00D1277B">
      <w:pPr>
        <w:spacing w:after="0" w:line="240" w:lineRule="auto"/>
        <w:jc w:val="both"/>
        <w:rPr>
          <w:rFonts w:ascii="Times New Roman" w:eastAsia="Times New Roman" w:hAnsi="Times New Roman"/>
          <w:sz w:val="28"/>
          <w:szCs w:val="28"/>
        </w:rPr>
      </w:pPr>
      <w:bookmarkStart w:id="88" w:name="_Hlk517692904"/>
      <w:r w:rsidRPr="00D1277B">
        <w:rPr>
          <w:rFonts w:ascii="Times New Roman" w:eastAsia="Times New Roman" w:hAnsi="Times New Roman"/>
          <w:color w:val="000000"/>
          <w:sz w:val="28"/>
          <w:szCs w:val="28"/>
        </w:rPr>
        <w:t>«Каждый проживает свою жизнь. Сроков ее не знает никто», — гласит одна из заповедей хосписа. Беда может прийти в любой дом, и каждый может однажды стать неизлечимым пациентом. Однако в России говорить о смерти и тяжелых болезнях не принято до сих пор. Но замалчивая эти темы, мы лишаемся возможности узнать, как помочь своим близким в случае беды.</w:t>
      </w:r>
    </w:p>
    <w:p w:rsidR="00D1277B" w:rsidRPr="00D1277B" w:rsidRDefault="00D1277B" w:rsidP="00D1277B">
      <w:pPr>
        <w:spacing w:after="0" w:line="240" w:lineRule="auto"/>
        <w:jc w:val="both"/>
        <w:rPr>
          <w:rFonts w:ascii="Times New Roman" w:eastAsia="Times New Roman" w:hAnsi="Times New Roman"/>
          <w:sz w:val="28"/>
          <w:szCs w:val="28"/>
        </w:rPr>
      </w:pPr>
      <w:bookmarkStart w:id="89" w:name="_Hlk517692575"/>
      <w:r w:rsidRPr="00D1277B">
        <w:rPr>
          <w:rFonts w:ascii="Times New Roman" w:eastAsia="Times New Roman" w:hAnsi="Times New Roman"/>
          <w:sz w:val="28"/>
          <w:szCs w:val="28"/>
        </w:rPr>
        <w:t>Мировой опыт показал, что для повышения эффективности работы существенным моментом оказывается предоставление родителям тяжелобольных детей права выбора места, в котором осуществляется уход за ребенком (дома или в медицинской организации).</w:t>
      </w:r>
    </w:p>
    <w:bookmarkEnd w:id="89"/>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 xml:space="preserve">Некоторые </w:t>
      </w:r>
      <w:bookmarkStart w:id="90" w:name="_Hlk517692342"/>
      <w:r w:rsidRPr="00D1277B">
        <w:rPr>
          <w:rFonts w:ascii="Times New Roman" w:eastAsia="Times New Roman" w:hAnsi="Times New Roman"/>
          <w:sz w:val="28"/>
          <w:szCs w:val="28"/>
        </w:rPr>
        <w:t xml:space="preserve">специалисты выделяют детский хоспис как одну из наиболее эффективных моделей оказания ППД. В условиях хосписа удобнее всего выбрать стратегию паллиативной помощи, наиболее подходящую ребенку и </w:t>
      </w:r>
      <w:r w:rsidRPr="00D1277B">
        <w:rPr>
          <w:rFonts w:ascii="Times New Roman" w:eastAsia="Times New Roman" w:hAnsi="Times New Roman"/>
          <w:sz w:val="28"/>
          <w:szCs w:val="28"/>
        </w:rPr>
        <w:lastRenderedPageBreak/>
        <w:t>его семье, соответствующую их потребностям, позволяющую обеспечить всестороннюю помощь, включая не только медицинский, но и социально-психологический, а также духовные аспекты.</w:t>
      </w:r>
    </w:p>
    <w:bookmarkEnd w:id="90"/>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В хосписе ребенку и его близким доступны не только все необходимые медицинские процедуры, но и специальным образом организованная среда, дружественная ребенку и его семье, предоставляющая возможность в полном объеме реализовать основную идею паллиативной помощи: тяжелобольной ребенок не доживает жизнь, а живет полной, активной и насыщенной жизнью.</w:t>
      </w:r>
    </w:p>
    <w:p w:rsidR="00D1277B" w:rsidRPr="00D1277B" w:rsidRDefault="00D1277B" w:rsidP="00D1277B">
      <w:pPr>
        <w:spacing w:after="0" w:line="240" w:lineRule="auto"/>
        <w:jc w:val="both"/>
        <w:rPr>
          <w:rFonts w:ascii="Times New Roman" w:eastAsia="Times New Roman" w:hAnsi="Times New Roman"/>
          <w:sz w:val="28"/>
          <w:szCs w:val="28"/>
        </w:rPr>
      </w:pPr>
      <w:r w:rsidRPr="00D1277B">
        <w:rPr>
          <w:rFonts w:ascii="Times New Roman" w:eastAsia="Times New Roman" w:hAnsi="Times New Roman"/>
          <w:sz w:val="28"/>
          <w:szCs w:val="28"/>
        </w:rPr>
        <w:t>Именно создание детского хосписа на территории Приморского края, а так же создание способы учета несовершеннолетних граждан, нуждающихся в паллиативной помощи, и проведение информационно-просветительских мероприятий поможет создать эффективную систему оказания ПП, тем самым обеспечит и реализует права несовершеннолетних граждан на паллиативную помощь.</w:t>
      </w:r>
    </w:p>
    <w:bookmarkEnd w:id="88"/>
    <w:p w:rsidR="00D1277B" w:rsidRPr="00D1277B" w:rsidRDefault="00D1277B" w:rsidP="009F1ACD">
      <w:pPr>
        <w:spacing w:before="360" w:after="240" w:line="240" w:lineRule="auto"/>
        <w:jc w:val="both"/>
        <w:rPr>
          <w:rFonts w:ascii="Times New Roman" w:eastAsia="Times New Roman" w:hAnsi="Times New Roman"/>
          <w:b/>
          <w:bCs/>
          <w:sz w:val="28"/>
          <w:szCs w:val="28"/>
          <w:shd w:val="clear" w:color="auto" w:fill="FFFFFF"/>
        </w:rPr>
      </w:pPr>
      <w:r w:rsidRPr="00D1277B">
        <w:rPr>
          <w:rFonts w:ascii="Times New Roman" w:eastAsia="Times New Roman" w:hAnsi="Times New Roman"/>
          <w:sz w:val="28"/>
          <w:szCs w:val="28"/>
          <w:shd w:val="clear" w:color="auto" w:fill="FFFFFF"/>
        </w:rPr>
        <w:t xml:space="preserve">                                     </w:t>
      </w:r>
      <w:r w:rsidRPr="00D1277B">
        <w:rPr>
          <w:rFonts w:ascii="Times New Roman" w:eastAsia="Times New Roman" w:hAnsi="Times New Roman"/>
          <w:b/>
          <w:bCs/>
          <w:sz w:val="28"/>
          <w:szCs w:val="28"/>
          <w:shd w:val="clear" w:color="auto" w:fill="FFFFFF"/>
        </w:rPr>
        <w:t>Список литературы</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bookmarkStart w:id="91" w:name="_Hlk517692877"/>
      <w:r w:rsidRPr="00D1277B">
        <w:rPr>
          <w:rFonts w:ascii="Times New Roman" w:eastAsia="Times New Roman" w:hAnsi="Times New Roman"/>
          <w:sz w:val="28"/>
          <w:szCs w:val="28"/>
          <w:lang w:eastAsia="ru-RU"/>
        </w:rPr>
        <w:t>Федеральный закон от 21 ноября 2011 г. № 323-ФЗ «Об основах охраны здоровья граждан в Российской Федерации»;</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Указ Президента Российской Федерации от 1 июня 2012 г. № 761 «О национальной стратегии действий в интересах детей на 2012–2017 годы»;</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Постановление Правительства Российской Федерации от 15 апреля 2014 г. № 294 «Об утверждении Государственной программы Российской Федерации «Развитие здравоохранения»;</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Приказ Министерства здравоохранения от 14 апреля 2015 г. № 193н «Об утверждении Порядка оказания паллиативной медицинской помощи детям».</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Притыко, Д.А., Климов, Д.Е., Гусев Л.И. Паллиативная помощь детям. История развития, проблемы и пути их решения / Д.А. Притыко, Д.Е. Климов, Л.И. Гусев – М.: Здравоохранение Российской Федерации, 2015. –  43-48.</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Кром, И.Л., Еругина, М.В., Шмеркевич, А.Б., 2015. Современные векторы паллиативной помощи (обзор). Саратовский научно-медицинский журнал, 11(4): 503-506.</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 xml:space="preserve">Кром И.Л., Еругина, М.В., Дорогойкин, Д.Л., Шмеркевич, А.Б., 2016. Тенденции институционализации паллиативной помощи в современной России: междисциплинарный анализ. Саратовский научно-медицинский журнал, 12 (2): 196-199. </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 xml:space="preserve">Кром, И.Л., Еругина, М.В., Шмеркевич, А.Б., 2015. Контент-анализ правовых актов и определение направлений оптимизации паллиативной помощи в современной России. Саратовский научно-медицинский журнал; 11 (4): 506-510. </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lastRenderedPageBreak/>
        <w:t>Микиртичан, Г.Л., 2012. Отношение общества к неизлечимо больным детям: историко-культуральный анализ. Вопросы современной педиатрии, т.11, №1: 188-196.</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Вишняков, Н.И., Кутырев, Е.М., Софиева, 2014. Медико-социальные проблемы хосписов в педиатрической практике Санкт-Петербурга. Педиатр, т.5, №1: 82-90.</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Ткаченко, А.Е., 2015. Необходимость государственно-частного партнерства для развития системы паллиативной помощи детям в регионах РФ. Материалы  VI съезда детских онклогов с международным участием: 354-355.</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Савва, Н. Н., 2015. Паллиативная помощь детям в России: потребность, состояние, концепция развития. БФ развития паллиативной помощи «Детский паллиатив»: 100 с.</w:t>
      </w:r>
    </w:p>
    <w:p w:rsidR="00D1277B" w:rsidRPr="00D1277B" w:rsidRDefault="00D1277B" w:rsidP="007F4EC1">
      <w:pPr>
        <w:numPr>
          <w:ilvl w:val="0"/>
          <w:numId w:val="64"/>
        </w:numPr>
        <w:spacing w:after="0" w:line="240" w:lineRule="auto"/>
        <w:ind w:left="0" w:firstLine="0"/>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Вартанова, К.А. Развитие паллиативной помощи детям в РФ. Модель оказания выездной паллиативной помощи детям. / К.А. Вартанова / Детский паллиатив, 2016.</w:t>
      </w:r>
    </w:p>
    <w:bookmarkEnd w:id="91"/>
    <w:p w:rsidR="00D1277B" w:rsidRPr="00D1277B" w:rsidRDefault="00D1277B" w:rsidP="00D1277B">
      <w:pPr>
        <w:spacing w:after="200" w:line="360" w:lineRule="auto"/>
        <w:jc w:val="both"/>
        <w:rPr>
          <w:rFonts w:ascii="Times New Roman" w:eastAsia="Times New Roman" w:hAnsi="Times New Roman"/>
          <w:b/>
          <w:bCs/>
          <w:sz w:val="28"/>
          <w:szCs w:val="28"/>
        </w:rPr>
      </w:pPr>
      <w:r w:rsidRPr="00D1277B">
        <w:rPr>
          <w:rFonts w:ascii="Times New Roman" w:eastAsia="Times New Roman" w:hAnsi="Times New Roman"/>
          <w:sz w:val="28"/>
          <w:szCs w:val="28"/>
        </w:rPr>
        <w:br w:type="page"/>
      </w:r>
      <w:r w:rsidRPr="00D1277B">
        <w:rPr>
          <w:rFonts w:ascii="Times New Roman" w:eastAsia="Times New Roman" w:hAnsi="Times New Roman"/>
          <w:sz w:val="28"/>
          <w:szCs w:val="28"/>
        </w:rPr>
        <w:lastRenderedPageBreak/>
        <w:t xml:space="preserve">                                                     </w:t>
      </w:r>
      <w:r w:rsidRPr="00D1277B">
        <w:rPr>
          <w:rFonts w:ascii="Times New Roman" w:eastAsia="Times New Roman" w:hAnsi="Times New Roman"/>
          <w:b/>
          <w:bCs/>
          <w:sz w:val="28"/>
          <w:szCs w:val="28"/>
        </w:rPr>
        <w:t>Приложение 1</w:t>
      </w:r>
    </w:p>
    <w:p w:rsidR="00D1277B" w:rsidRPr="00D1277B" w:rsidRDefault="00D1277B" w:rsidP="00D1277B">
      <w:pPr>
        <w:spacing w:after="0" w:line="276" w:lineRule="auto"/>
        <w:ind w:right="5857"/>
        <w:rPr>
          <w:rFonts w:ascii="Times New Roman" w:eastAsia="Times New Roman" w:hAnsi="Times New Roman"/>
          <w:sz w:val="28"/>
          <w:szCs w:val="28"/>
          <w:lang w:eastAsia="ru-RU"/>
        </w:rPr>
      </w:pPr>
      <w:r>
        <w:rPr>
          <w:noProof/>
        </w:rPr>
        <w:pict>
          <v:shapetype id="_x0000_t202" coordsize="21600,21600" o:spt="202" path="m,l,21600r21600,l21600,xe">
            <v:stroke joinstyle="miter"/>
            <v:path gradientshapeok="t" o:connecttype="rect"/>
          </v:shapetype>
          <v:shape id="Text Box 209" o:spid="_x0000_s1031" type="#_x0000_t202" style="position:absolute;margin-left:205.1pt;margin-top:254.5pt;width:90pt;height:18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" filled="f" stroked="f">
            <v:textbox inset=",2mm,,0">
              <w:txbxContent>
                <w:p w:rsidR="00DC1F7E" w:rsidRDefault="00DC1F7E" w:rsidP="00D1277B">
                  <w:r>
                    <w:t>18-5359</w:t>
                  </w:r>
                </w:p>
              </w:txbxContent>
            </v:textbox>
            <w10:wrap anchorx="page" anchory="page"/>
          </v:shape>
        </w:pict>
      </w:r>
      <w:r>
        <w:rPr>
          <w:noProof/>
        </w:rPr>
        <w:pict>
          <v:shape id="Text Box 208" o:spid="_x0000_s1030" type="#_x0000_t202" style="position:absolute;margin-left:115.1pt;margin-top:254.5pt;width:90pt;height:18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" filled="f" stroked="f">
            <v:textbox inset=",2mm,,0">
              <w:txbxContent>
                <w:p w:rsidR="00DC1F7E" w:rsidRDefault="00DC1F7E" w:rsidP="00D1277B">
                  <w:r>
                    <w:t xml:space="preserve">  24.05.2018</w:t>
                  </w:r>
                </w:p>
              </w:txbxContent>
            </v:textbox>
            <w10:wrap anchorx="page" anchory="page"/>
          </v:shape>
        </w:pict>
      </w:r>
      <w:r>
        <w:rPr>
          <w:noProof/>
        </w:rPr>
      </w:r>
      <w:r>
        <w:pict>
          <v:shape id="Text Box 106" o:spid="_x0000_s1029" type="#_x0000_t202" style="width:513pt;height:226.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" stroked="f">
            <v:textbox inset="0,0">
              <w:txbxContent>
                <w:tbl>
                  <w:tblPr>
                    <w:tblW w:w="0" w:type="auto"/>
                    <w:tblInd w:w="-432" w:type="dxa"/>
                    <w:tblLayout w:type="fixed"/>
                    <w:tblLook w:val="04A0" w:firstRow="1" w:lastRow="0" w:firstColumn="1" w:lastColumn="0" w:noHBand="0" w:noVBand="1"/>
                  </w:tblPr>
                  <w:tblGrid>
                    <w:gridCol w:w="4860"/>
                    <w:gridCol w:w="1634"/>
                    <w:gridCol w:w="2686"/>
                    <w:gridCol w:w="1425"/>
                  </w:tblGrid>
                  <w:tr w:rsidR="00DC1F7E">
                    <w:trPr>
                      <w:trHeight w:val="4670"/>
                    </w:trPr>
                    <w:tc>
                      <w:tcPr>
                        <w:tcW w:w="4860" w:type="dxa"/>
                      </w:tcPr>
                      <w:p w:rsidR="00DC1F7E" w:rsidRDefault="00DC1F7E">
                        <w:pPr>
                          <w:tabs>
                            <w:tab w:val="left" w:pos="1662"/>
                            <w:tab w:val="left" w:pos="2832"/>
                          </w:tabs>
                          <w:ind w:left="792"/>
                          <w:jc w:val="center"/>
                        </w:pPr>
                        <w:r>
                          <w:object w:dxaOrig="1185" w:dyaOrig="1185">
                            <v:shape id="_x0000_i1026" type="#_x0000_t75" style="width:59.25pt;height:59.25pt" o:ole="" fillcolor="window">
                              <v:imagedata r:id="rId223" o:title=""/>
                            </v:shape>
                            <o:OLEObject Type="Embed" ProgID="CDraw4" ShapeID="_x0000_i1026" DrawAspect="Content" ObjectID="_1623938267" r:id="rId224">
                              <o:FieldCodes>\s \* MERGEFORMAT</o:FieldCodes>
                            </o:OLEObject>
                          </w:object>
                        </w:r>
                      </w:p>
                      <w:p w:rsidR="00DC1F7E" w:rsidRDefault="00DC1F7E">
                        <w:pPr>
                          <w:spacing w:before="160" w:after="0" w:line="240" w:lineRule="auto"/>
                          <w:ind w:left="792"/>
                          <w:jc w:val="center"/>
                          <w:rPr>
                            <w:rFonts w:ascii="Times New Roman" w:hAnsi="Times New Roman"/>
                            <w:b/>
                            <w:caps/>
                            <w:spacing w:val="60"/>
                            <w:sz w:val="24"/>
                            <w:szCs w:val="24"/>
                            <w:lang w:eastAsia="ru-RU"/>
                          </w:rPr>
                        </w:pPr>
                        <w:r>
                          <w:rPr>
                            <w:rFonts w:ascii="Times New Roman" w:hAnsi="Times New Roman"/>
                            <w:b/>
                            <w:caps/>
                            <w:spacing w:val="60"/>
                            <w:sz w:val="24"/>
                            <w:szCs w:val="24"/>
                            <w:lang w:eastAsia="ru-RU"/>
                          </w:rPr>
                          <w:t xml:space="preserve">Департамент Здравоохранения </w:t>
                        </w:r>
                      </w:p>
                      <w:p w:rsidR="00DC1F7E" w:rsidRDefault="00DC1F7E">
                        <w:pPr>
                          <w:spacing w:before="160" w:after="0" w:line="240" w:lineRule="auto"/>
                          <w:ind w:left="792"/>
                          <w:jc w:val="center"/>
                          <w:rPr>
                            <w:rFonts w:ascii="Times New Roman" w:hAnsi="Times New Roman"/>
                            <w:b/>
                            <w:caps/>
                            <w:spacing w:val="60"/>
                            <w:sz w:val="24"/>
                            <w:szCs w:val="24"/>
                            <w:lang w:eastAsia="ru-RU"/>
                          </w:rPr>
                        </w:pPr>
                        <w:r>
                          <w:rPr>
                            <w:rFonts w:ascii="Times New Roman" w:hAnsi="Times New Roman"/>
                            <w:b/>
                            <w:caps/>
                            <w:spacing w:val="60"/>
                            <w:sz w:val="24"/>
                            <w:szCs w:val="24"/>
                            <w:lang w:eastAsia="ru-RU"/>
                          </w:rPr>
                          <w:t>ПРИМОРСКОГО КРАЯ</w:t>
                        </w:r>
                      </w:p>
                      <w:p w:rsidR="00DC1F7E" w:rsidRDefault="00DC1F7E">
                        <w:pPr>
                          <w:spacing w:after="0" w:line="200" w:lineRule="exact"/>
                          <w:ind w:left="792"/>
                          <w:jc w:val="center"/>
                          <w:rPr>
                            <w:rFonts w:ascii="Times New Roman" w:hAnsi="Times New Roman"/>
                            <w:sz w:val="18"/>
                            <w:szCs w:val="24"/>
                            <w:lang w:eastAsia="ru-RU"/>
                          </w:rPr>
                        </w:pPr>
                        <w:r>
                          <w:rPr>
                            <w:rFonts w:ascii="Times New Roman" w:hAnsi="Times New Roman"/>
                            <w:sz w:val="18"/>
                            <w:szCs w:val="24"/>
                            <w:lang w:eastAsia="ru-RU"/>
                          </w:rPr>
                          <w:t xml:space="preserve">ул. 1-я  Морская, 2, г. Владивосток, 690007 </w:t>
                        </w:r>
                      </w:p>
                      <w:p w:rsidR="00DC1F7E" w:rsidRDefault="00DC1F7E">
                        <w:pPr>
                          <w:spacing w:after="0" w:line="200" w:lineRule="exact"/>
                          <w:ind w:left="792"/>
                          <w:jc w:val="center"/>
                          <w:rPr>
                            <w:rFonts w:ascii="Times New Roman" w:hAnsi="Times New Roman"/>
                            <w:sz w:val="18"/>
                            <w:szCs w:val="24"/>
                            <w:lang w:eastAsia="ru-RU"/>
                          </w:rPr>
                        </w:pPr>
                        <w:r>
                          <w:rPr>
                            <w:rFonts w:ascii="Times New Roman" w:hAnsi="Times New Roman"/>
                            <w:sz w:val="18"/>
                            <w:szCs w:val="24"/>
                            <w:lang w:eastAsia="ru-RU"/>
                          </w:rPr>
                          <w:t>Телефон: (423)241-35-14, факс: (423)241-28-94</w:t>
                        </w:r>
                      </w:p>
                      <w:p w:rsidR="00DC1F7E" w:rsidRDefault="00DC1F7E">
                        <w:pPr>
                          <w:spacing w:after="0" w:line="200" w:lineRule="exact"/>
                          <w:ind w:left="792"/>
                          <w:jc w:val="center"/>
                          <w:rPr>
                            <w:rFonts w:ascii="Times New Roman" w:hAnsi="Times New Roman"/>
                            <w:sz w:val="18"/>
                            <w:szCs w:val="24"/>
                            <w:lang w:eastAsia="ru-RU"/>
                          </w:rPr>
                        </w:pPr>
                        <w:r>
                          <w:rPr>
                            <w:rFonts w:ascii="Times New Roman" w:hAnsi="Times New Roman"/>
                            <w:sz w:val="18"/>
                            <w:szCs w:val="24"/>
                            <w:lang w:eastAsia="ru-RU"/>
                          </w:rPr>
                          <w:t xml:space="preserve">E-mail: </w:t>
                        </w:r>
                        <w:hyperlink r:id="rId225" w:history="1">
                          <w:r>
                            <w:rPr>
                              <w:rStyle w:val="17"/>
                              <w:rFonts w:ascii="Times New Roman" w:hAnsi="Times New Roman"/>
                              <w:szCs w:val="24"/>
                              <w:lang w:eastAsia="ru-RU"/>
                            </w:rPr>
                            <w:t>dza@primorsky.ru</w:t>
                          </w:r>
                        </w:hyperlink>
                      </w:p>
                      <w:p w:rsidR="00DC1F7E" w:rsidRDefault="00DC1F7E">
                        <w:pPr>
                          <w:spacing w:after="0" w:line="200" w:lineRule="exact"/>
                          <w:ind w:left="792"/>
                          <w:jc w:val="center"/>
                          <w:rPr>
                            <w:rFonts w:ascii="Times New Roman" w:hAnsi="Times New Roman"/>
                            <w:sz w:val="18"/>
                            <w:szCs w:val="24"/>
                            <w:lang w:eastAsia="ru-RU"/>
                          </w:rPr>
                        </w:pPr>
                        <w:r>
                          <w:rPr>
                            <w:rFonts w:ascii="Times New Roman" w:hAnsi="Times New Roman"/>
                            <w:sz w:val="18"/>
                            <w:szCs w:val="24"/>
                            <w:lang w:eastAsia="ru-RU"/>
                          </w:rPr>
                          <w:t>ОКПО 00089572, ОГРН 1072540000103</w:t>
                        </w:r>
                      </w:p>
                      <w:p w:rsidR="00DC1F7E" w:rsidRDefault="00DC1F7E">
                        <w:pPr>
                          <w:spacing w:after="0" w:line="200" w:lineRule="exact"/>
                          <w:ind w:left="792"/>
                          <w:jc w:val="center"/>
                          <w:rPr>
                            <w:rFonts w:ascii="Times New Roman" w:hAnsi="Times New Roman"/>
                            <w:sz w:val="18"/>
                            <w:szCs w:val="24"/>
                            <w:lang w:eastAsia="ru-RU"/>
                          </w:rPr>
                        </w:pPr>
                        <w:r>
                          <w:rPr>
                            <w:rFonts w:ascii="Times New Roman" w:hAnsi="Times New Roman"/>
                            <w:sz w:val="18"/>
                            <w:szCs w:val="24"/>
                            <w:lang w:eastAsia="ru-RU"/>
                          </w:rPr>
                          <w:t>ИНН/КПП 2540018454/254001001</w:t>
                        </w:r>
                      </w:p>
                      <w:p w:rsidR="00DC1F7E" w:rsidRDefault="00DC1F7E">
                        <w:pPr>
                          <w:spacing w:before="180" w:after="0" w:line="240" w:lineRule="auto"/>
                          <w:ind w:left="792"/>
                          <w:rPr>
                            <w:sz w:val="20"/>
                          </w:rPr>
                        </w:pPr>
                        <w:r>
                          <w:rPr>
                            <w:sz w:val="20"/>
                          </w:rPr>
                          <w:t xml:space="preserve">  </w:t>
                        </w:r>
                        <w:r>
                          <w:rPr>
                            <w:rFonts w:ascii="Times New Roman" w:hAnsi="Times New Roman"/>
                            <w:sz w:val="20"/>
                            <w:szCs w:val="24"/>
                            <w:lang w:eastAsia="ru-RU"/>
                          </w:rPr>
                          <w:t>От</w:t>
                        </w:r>
                        <w:r>
                          <w:rPr>
                            <w:sz w:val="20"/>
                          </w:rPr>
                          <w:t xml:space="preserve"> _______________</w:t>
                        </w:r>
                        <w:r>
                          <w:rPr>
                            <w:rFonts w:ascii="Times New Roman" w:hAnsi="Times New Roman"/>
                            <w:sz w:val="20"/>
                            <w:szCs w:val="24"/>
                            <w:lang w:eastAsia="ru-RU"/>
                          </w:rPr>
                          <w:t>№</w:t>
                        </w:r>
                        <w:r>
                          <w:rPr>
                            <w:sz w:val="20"/>
                          </w:rPr>
                          <w:t>________________</w:t>
                        </w:r>
                      </w:p>
                      <w:p w:rsidR="00DC1F7E" w:rsidRDefault="00DC1F7E">
                        <w:pPr>
                          <w:spacing w:before="180" w:after="0" w:line="240" w:lineRule="auto"/>
                          <w:ind w:left="792"/>
                          <w:rPr>
                            <w:rFonts w:ascii="Times New Roman" w:hAnsi="Times New Roman"/>
                            <w:sz w:val="20"/>
                            <w:szCs w:val="20"/>
                            <w:u w:val="single"/>
                            <w:lang w:eastAsia="ru-RU"/>
                          </w:rPr>
                        </w:pPr>
                        <w:r>
                          <w:rPr>
                            <w:rFonts w:ascii="Times New Roman" w:hAnsi="Times New Roman"/>
                            <w:sz w:val="20"/>
                            <w:szCs w:val="20"/>
                            <w:lang w:eastAsia="ru-RU"/>
                          </w:rPr>
                          <w:t xml:space="preserve">  На №</w:t>
                        </w:r>
                        <w:r>
                          <w:rPr>
                            <w:rFonts w:ascii="Times New Roman" w:hAnsi="Times New Roman"/>
                            <w:sz w:val="20"/>
                            <w:szCs w:val="20"/>
                            <w:u w:val="single"/>
                            <w:lang w:eastAsia="ru-RU"/>
                          </w:rPr>
                          <w:t xml:space="preserve"> 60-02-14/136_ </w:t>
                        </w:r>
                        <w:r>
                          <w:rPr>
                            <w:rFonts w:ascii="Times New Roman" w:hAnsi="Times New Roman"/>
                            <w:sz w:val="20"/>
                            <w:szCs w:val="20"/>
                            <w:lang w:eastAsia="ru-RU"/>
                          </w:rPr>
                          <w:t xml:space="preserve"> от</w:t>
                        </w:r>
                        <w:r>
                          <w:rPr>
                            <w:rFonts w:ascii="Times New Roman" w:hAnsi="Times New Roman"/>
                            <w:sz w:val="20"/>
                            <w:szCs w:val="20"/>
                            <w:u w:val="single"/>
                            <w:lang w:eastAsia="ru-RU"/>
                          </w:rPr>
                          <w:t xml:space="preserve"> _14.05.2018___.</w:t>
                        </w:r>
                      </w:p>
                      <w:p w:rsidR="00DC1F7E" w:rsidRDefault="00DC1F7E">
                        <w:pPr>
                          <w:spacing w:before="180" w:line="254" w:lineRule="auto"/>
                          <w:ind w:left="792"/>
                        </w:pPr>
                      </w:p>
                    </w:tc>
                    <w:tc>
                      <w:tcPr>
                        <w:tcW w:w="1634" w:type="dxa"/>
                      </w:tcPr>
                      <w:p w:rsidR="00DC1F7E" w:rsidRDefault="00DC1F7E">
                        <w:pPr>
                          <w:spacing w:line="254" w:lineRule="auto"/>
                          <w:jc w:val="right"/>
                        </w:pPr>
                      </w:p>
                    </w:tc>
                    <w:tc>
                      <w:tcPr>
                        <w:tcW w:w="4111" w:type="dxa"/>
                        <w:gridSpan w:val="2"/>
                      </w:tcPr>
                      <w:p w:rsidR="00DC1F7E" w:rsidRDefault="00DC1F7E"/>
                      <w:p w:rsidR="00DC1F7E" w:rsidRDefault="00DC1F7E">
                        <w:pPr>
                          <w:rPr>
                            <w:sz w:val="28"/>
                            <w:szCs w:val="28"/>
                          </w:rPr>
                        </w:pPr>
                      </w:p>
                      <w:p w:rsidR="00DC1F7E" w:rsidRDefault="00DC1F7E">
                        <w:r>
                          <w:rPr>
                            <w:sz w:val="28"/>
                            <w:szCs w:val="28"/>
                          </w:rPr>
                          <w:t xml:space="preserve"> </w:t>
                        </w:r>
                        <w:r>
                          <w:t xml:space="preserve"> </w:t>
                        </w:r>
                      </w:p>
                      <w:p w:rsidR="00DC1F7E" w:rsidRDefault="00DC1F7E">
                        <w:pPr>
                          <w:spacing w:after="0" w:line="240" w:lineRule="auto"/>
                          <w:rPr>
                            <w:rFonts w:ascii="Times New Roman" w:hAnsi="Times New Roman"/>
                            <w:sz w:val="28"/>
                            <w:szCs w:val="28"/>
                            <w:lang w:eastAsia="ru-RU"/>
                          </w:rPr>
                        </w:pPr>
                        <w:r>
                          <w:rPr>
                            <w:rFonts w:ascii="Times New Roman" w:hAnsi="Times New Roman"/>
                            <w:sz w:val="28"/>
                            <w:szCs w:val="28"/>
                            <w:lang w:eastAsia="ru-RU"/>
                          </w:rPr>
                          <w:t>Директору Школы экономики и менеджмента</w:t>
                        </w:r>
                      </w:p>
                      <w:p w:rsidR="00DC1F7E" w:rsidRDefault="00DC1F7E">
                        <w:pPr>
                          <w:spacing w:after="0" w:line="240" w:lineRule="auto"/>
                          <w:rPr>
                            <w:rFonts w:ascii="Times New Roman" w:hAnsi="Times New Roman"/>
                            <w:sz w:val="28"/>
                            <w:szCs w:val="28"/>
                            <w:lang w:eastAsia="ru-RU"/>
                          </w:rPr>
                        </w:pPr>
                        <w:r>
                          <w:rPr>
                            <w:rFonts w:ascii="Times New Roman" w:hAnsi="Times New Roman"/>
                            <w:sz w:val="28"/>
                            <w:szCs w:val="28"/>
                            <w:lang w:eastAsia="ru-RU"/>
                          </w:rPr>
                          <w:t>ФГАУ ВО ДВФУ</w:t>
                        </w:r>
                      </w:p>
                      <w:p w:rsidR="00DC1F7E" w:rsidRDefault="00DC1F7E">
                        <w:pPr>
                          <w:spacing w:after="0" w:line="240" w:lineRule="auto"/>
                          <w:rPr>
                            <w:rFonts w:ascii="Times New Roman" w:hAnsi="Times New Roman"/>
                            <w:sz w:val="28"/>
                            <w:szCs w:val="28"/>
                            <w:lang w:eastAsia="ru-RU"/>
                          </w:rPr>
                        </w:pPr>
                      </w:p>
                      <w:p w:rsidR="00DC1F7E" w:rsidRDefault="00DC1F7E">
                        <w:pPr>
                          <w:spacing w:after="0" w:line="240" w:lineRule="auto"/>
                          <w:rPr>
                            <w:sz w:val="28"/>
                            <w:szCs w:val="28"/>
                          </w:rPr>
                        </w:pPr>
                        <w:r>
                          <w:rPr>
                            <w:rFonts w:ascii="Times New Roman" w:hAnsi="Times New Roman"/>
                            <w:sz w:val="28"/>
                            <w:szCs w:val="28"/>
                            <w:lang w:eastAsia="ru-RU"/>
                          </w:rPr>
                          <w:t>Е.Б. Гаффоровой</w:t>
                        </w:r>
                      </w:p>
                    </w:tc>
                  </w:tr>
                  <w:tr w:rsidR="00DC1F7E">
                    <w:trPr>
                      <w:gridAfter w:val="1"/>
                      <w:wAfter w:w="1425" w:type="dxa"/>
                      <w:trHeight w:val="4670"/>
                    </w:trPr>
                    <w:tc>
                      <w:tcPr>
                        <w:tcW w:w="4860" w:type="dxa"/>
                      </w:tcPr>
                      <w:p w:rsidR="00DC1F7E" w:rsidRDefault="00DC1F7E">
                        <w:pPr>
                          <w:tabs>
                            <w:tab w:val="left" w:pos="1662"/>
                            <w:tab w:val="left" w:pos="2832"/>
                          </w:tabs>
                        </w:pPr>
                      </w:p>
                      <w:p w:rsidR="00DC1F7E" w:rsidRDefault="00DC1F7E">
                        <w:pPr>
                          <w:tabs>
                            <w:tab w:val="left" w:pos="1662"/>
                            <w:tab w:val="left" w:pos="2832"/>
                          </w:tabs>
                          <w:spacing w:line="254" w:lineRule="auto"/>
                          <w:ind w:left="792"/>
                          <w:jc w:val="center"/>
                        </w:pPr>
                      </w:p>
                    </w:tc>
                    <w:tc>
                      <w:tcPr>
                        <w:tcW w:w="1634" w:type="dxa"/>
                      </w:tcPr>
                      <w:p w:rsidR="00DC1F7E" w:rsidRDefault="00DC1F7E">
                        <w:pPr>
                          <w:spacing w:line="254" w:lineRule="auto"/>
                          <w:jc w:val="right"/>
                        </w:pPr>
                      </w:p>
                    </w:tc>
                    <w:tc>
                      <w:tcPr>
                        <w:tcW w:w="2686" w:type="dxa"/>
                      </w:tcPr>
                      <w:p w:rsidR="00DC1F7E" w:rsidRDefault="00DC1F7E">
                        <w:pPr>
                          <w:spacing w:line="254" w:lineRule="auto"/>
                        </w:pPr>
                      </w:p>
                    </w:tc>
                  </w:tr>
                </w:tbl>
                <w:p w:rsidR="00DC1F7E" w:rsidRDefault="00DC1F7E" w:rsidP="00D1277B">
                  <w:r>
                    <w:t xml:space="preserve">Главному </w:t>
                  </w:r>
                </w:p>
              </w:txbxContent>
            </v:textbox>
            <w10:wrap type="none"/>
            <w10:anchorlock/>
          </v:shape>
        </w:pict>
      </w:r>
    </w:p>
    <w:p w:rsidR="00D1277B" w:rsidRPr="00D1277B" w:rsidRDefault="00D1277B" w:rsidP="00D1277B">
      <w:pPr>
        <w:spacing w:after="0" w:line="360" w:lineRule="auto"/>
        <w:jc w:val="center"/>
        <w:rPr>
          <w:rFonts w:ascii="Times New Roman" w:eastAsia="Times New Roman" w:hAnsi="Times New Roman"/>
          <w:sz w:val="28"/>
          <w:szCs w:val="28"/>
          <w:lang w:eastAsia="ru-RU"/>
        </w:rPr>
      </w:pPr>
    </w:p>
    <w:p w:rsidR="00D1277B" w:rsidRPr="00D1277B" w:rsidRDefault="00D1277B" w:rsidP="00D1277B">
      <w:pPr>
        <w:spacing w:after="0" w:line="360" w:lineRule="auto"/>
        <w:jc w:val="center"/>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Уважаемая Елена Борисовна!</w:t>
      </w:r>
    </w:p>
    <w:p w:rsidR="00D1277B" w:rsidRPr="00D1277B" w:rsidRDefault="00D1277B" w:rsidP="00D1277B">
      <w:pPr>
        <w:spacing w:after="0" w:line="360" w:lineRule="auto"/>
        <w:jc w:val="center"/>
        <w:rPr>
          <w:rFonts w:ascii="Times New Roman" w:eastAsia="Times New Roman" w:hAnsi="Times New Roman"/>
          <w:sz w:val="28"/>
          <w:szCs w:val="28"/>
          <w:lang w:eastAsia="ru-RU"/>
        </w:rPr>
      </w:pPr>
    </w:p>
    <w:p w:rsidR="00D1277B" w:rsidRPr="00D1277B" w:rsidRDefault="00D1277B" w:rsidP="00D1277B">
      <w:pPr>
        <w:spacing w:after="0" w:line="360" w:lineRule="auto"/>
        <w:ind w:firstLine="709"/>
        <w:jc w:val="both"/>
        <w:rPr>
          <w:rFonts w:ascii="Times New Roman" w:eastAsia="Times New Roman" w:hAnsi="Times New Roman"/>
          <w:sz w:val="28"/>
          <w:szCs w:val="24"/>
          <w:lang w:eastAsia="ru-RU"/>
        </w:rPr>
      </w:pPr>
      <w:r w:rsidRPr="00D1277B">
        <w:rPr>
          <w:rFonts w:ascii="Times New Roman" w:eastAsia="Times New Roman" w:hAnsi="Times New Roman"/>
          <w:sz w:val="28"/>
          <w:szCs w:val="28"/>
          <w:lang w:eastAsia="ru-RU"/>
        </w:rPr>
        <w:t xml:space="preserve">В соответствии с Вашим запросом департамент здравоохранения Приморского края информирует Вас о том, что в </w:t>
      </w:r>
      <w:r w:rsidRPr="00D1277B">
        <w:rPr>
          <w:rFonts w:ascii="Times New Roman" w:eastAsia="Times New Roman" w:hAnsi="Times New Roman"/>
          <w:sz w:val="28"/>
          <w:szCs w:val="24"/>
          <w:lang w:eastAsia="ru-RU"/>
        </w:rPr>
        <w:t xml:space="preserve">Приморском крае по состоянию на 01.05.2018 18 детей нуждаются в получении паллиативной медицинской помощи. </w:t>
      </w:r>
    </w:p>
    <w:p w:rsidR="00D1277B" w:rsidRPr="00D1277B" w:rsidRDefault="00D1277B" w:rsidP="00D1277B">
      <w:pPr>
        <w:spacing w:after="0" w:line="276" w:lineRule="auto"/>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 xml:space="preserve">Заместитель директора департамента     </w:t>
      </w:r>
      <w:r w:rsidRPr="00D1277B">
        <w:rPr>
          <w:noProof/>
          <w:lang w:eastAsia="ru-RU"/>
        </w:rPr>
        <w:drawing>
          <wp:inline distT="0" distB="0" distL="0" distR="0" wp14:anchorId="0FDEBF39" wp14:editId="6F5A9438">
            <wp:extent cx="1019175" cy="6000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019175" cy="600075"/>
                    </a:xfrm>
                    <a:prstGeom prst="rect">
                      <a:avLst/>
                    </a:prstGeom>
                    <a:noFill/>
                    <a:ln>
                      <a:noFill/>
                    </a:ln>
                  </pic:spPr>
                </pic:pic>
              </a:graphicData>
            </a:graphic>
          </wp:inline>
        </w:drawing>
      </w:r>
      <w:r w:rsidRPr="00D1277B">
        <w:rPr>
          <w:rFonts w:ascii="Times New Roman" w:eastAsia="Times New Roman" w:hAnsi="Times New Roman"/>
          <w:sz w:val="28"/>
          <w:szCs w:val="28"/>
          <w:lang w:eastAsia="ru-RU"/>
        </w:rPr>
        <w:t xml:space="preserve">          Т.Л. Курченко</w:t>
      </w: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8"/>
          <w:szCs w:val="28"/>
          <w:lang w:eastAsia="ru-RU"/>
        </w:rPr>
      </w:pPr>
    </w:p>
    <w:p w:rsidR="00D1277B" w:rsidRPr="00D1277B" w:rsidRDefault="00D1277B" w:rsidP="00D1277B">
      <w:pPr>
        <w:spacing w:after="0" w:line="240" w:lineRule="auto"/>
        <w:jc w:val="both"/>
        <w:rPr>
          <w:rFonts w:ascii="Times New Roman" w:eastAsia="Times New Roman" w:hAnsi="Times New Roman"/>
          <w:sz w:val="24"/>
          <w:szCs w:val="24"/>
          <w:lang w:eastAsia="ru-RU"/>
        </w:rPr>
      </w:pPr>
      <w:r w:rsidRPr="00D1277B">
        <w:rPr>
          <w:rFonts w:ascii="Times New Roman" w:eastAsia="Times New Roman" w:hAnsi="Times New Roman"/>
          <w:sz w:val="24"/>
          <w:szCs w:val="24"/>
          <w:lang w:eastAsia="ru-RU"/>
        </w:rPr>
        <w:t>Н.А. Виткалова</w:t>
      </w:r>
    </w:p>
    <w:p w:rsidR="00D1277B" w:rsidRPr="00D1277B" w:rsidRDefault="00D1277B" w:rsidP="00D1277B">
      <w:pPr>
        <w:spacing w:after="0" w:line="240" w:lineRule="auto"/>
        <w:jc w:val="both"/>
        <w:rPr>
          <w:rFonts w:ascii="Times New Roman" w:eastAsia="Times New Roman" w:hAnsi="Times New Roman"/>
          <w:sz w:val="24"/>
          <w:szCs w:val="24"/>
          <w:lang w:eastAsia="ru-RU"/>
        </w:rPr>
      </w:pPr>
      <w:r w:rsidRPr="00D1277B">
        <w:rPr>
          <w:rFonts w:ascii="Times New Roman" w:eastAsia="Times New Roman" w:hAnsi="Times New Roman"/>
          <w:sz w:val="24"/>
          <w:szCs w:val="24"/>
          <w:lang w:eastAsia="ru-RU"/>
        </w:rPr>
        <w:t>(423) 241- 21 -55</w:t>
      </w:r>
    </w:p>
    <w:p w:rsidR="00D1277B" w:rsidRPr="00D1277B" w:rsidRDefault="00D1277B" w:rsidP="00D1277B">
      <w:pPr>
        <w:widowControl w:val="0"/>
        <w:tabs>
          <w:tab w:val="left" w:pos="1134"/>
        </w:tabs>
        <w:spacing w:after="0" w:line="240" w:lineRule="auto"/>
        <w:jc w:val="both"/>
        <w:rPr>
          <w:rFonts w:ascii="Times New Roman" w:hAnsi="Times New Roman"/>
          <w:sz w:val="28"/>
          <w:szCs w:val="28"/>
        </w:rPr>
      </w:pPr>
    </w:p>
    <w:p w:rsidR="00D1277B" w:rsidRPr="00D1277B" w:rsidRDefault="00D1277B" w:rsidP="00D1277B">
      <w:pPr>
        <w:spacing w:after="0" w:line="240" w:lineRule="auto"/>
        <w:jc w:val="center"/>
        <w:rPr>
          <w:rFonts w:ascii="Times New Roman" w:hAnsi="Times New Roman"/>
          <w:sz w:val="28"/>
          <w:szCs w:val="28"/>
          <w:lang w:eastAsia="ru-RU"/>
        </w:rPr>
      </w:pPr>
      <w:r w:rsidRPr="00D1277B">
        <w:rPr>
          <w:rFonts w:ascii="Times New Roman" w:eastAsia="Times New Roman" w:hAnsi="Times New Roman"/>
          <w:sz w:val="28"/>
          <w:szCs w:val="28"/>
          <w:lang w:eastAsia="ru-RU"/>
        </w:rPr>
        <w:lastRenderedPageBreak/>
        <w:t>Уполномоченный по правам человека в Приморском крае</w:t>
      </w: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b/>
          <w:sz w:val="40"/>
          <w:szCs w:val="40"/>
          <w:lang w:eastAsia="ru-RU"/>
        </w:rPr>
      </w:pPr>
      <w:r w:rsidRPr="00D1277B">
        <w:rPr>
          <w:rFonts w:ascii="Times New Roman" w:hAnsi="Times New Roman"/>
          <w:b/>
          <w:sz w:val="40"/>
          <w:szCs w:val="40"/>
          <w:lang w:eastAsia="ru-RU"/>
        </w:rPr>
        <w:t xml:space="preserve">Правовое регулирование защиты прав пациентов </w:t>
      </w:r>
    </w:p>
    <w:p w:rsidR="00D1277B" w:rsidRPr="00D1277B" w:rsidRDefault="00D1277B" w:rsidP="00D1277B">
      <w:pPr>
        <w:spacing w:after="0" w:line="240" w:lineRule="auto"/>
        <w:jc w:val="center"/>
        <w:rPr>
          <w:rFonts w:ascii="Times New Roman" w:hAnsi="Times New Roman"/>
          <w:b/>
          <w:sz w:val="40"/>
          <w:szCs w:val="40"/>
          <w:lang w:eastAsia="ru-RU"/>
        </w:rPr>
      </w:pPr>
      <w:r w:rsidRPr="00D1277B">
        <w:rPr>
          <w:rFonts w:ascii="Times New Roman" w:hAnsi="Times New Roman"/>
          <w:b/>
          <w:sz w:val="40"/>
          <w:szCs w:val="40"/>
          <w:lang w:eastAsia="ru-RU"/>
        </w:rPr>
        <w:t>как потребителей медицинских услуг</w:t>
      </w: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32"/>
          <w:szCs w:val="32"/>
          <w:lang w:eastAsia="ru-RU"/>
        </w:rPr>
      </w:pPr>
      <w:r w:rsidRPr="00D1277B">
        <w:rPr>
          <w:rFonts w:ascii="Times New Roman" w:hAnsi="Times New Roman"/>
          <w:sz w:val="32"/>
          <w:szCs w:val="32"/>
          <w:lang w:eastAsia="ru-RU"/>
        </w:rPr>
        <w:t>Конкурсная работа</w:t>
      </w: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b/>
          <w:sz w:val="28"/>
          <w:szCs w:val="28"/>
          <w:lang w:eastAsia="ru-RU"/>
        </w:rPr>
      </w:pPr>
      <w:r w:rsidRPr="00D1277B">
        <w:rPr>
          <w:rFonts w:ascii="Times New Roman" w:hAnsi="Times New Roman"/>
          <w:b/>
          <w:sz w:val="28"/>
          <w:szCs w:val="28"/>
          <w:lang w:eastAsia="ru-RU"/>
        </w:rPr>
        <w:t>Хуторной Юлии Васильевны</w:t>
      </w: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r w:rsidRPr="00D1277B">
        <w:rPr>
          <w:rFonts w:ascii="Times New Roman" w:hAnsi="Times New Roman"/>
          <w:sz w:val="28"/>
          <w:szCs w:val="28"/>
          <w:lang w:eastAsia="ru-RU"/>
        </w:rPr>
        <w:t>студентки 3 курса направления «Юриспруденция» Института права</w:t>
      </w:r>
    </w:p>
    <w:p w:rsidR="00D1277B" w:rsidRPr="00D1277B" w:rsidRDefault="00D1277B" w:rsidP="00D1277B">
      <w:pPr>
        <w:spacing w:after="0" w:line="240" w:lineRule="auto"/>
        <w:jc w:val="center"/>
        <w:rPr>
          <w:rFonts w:ascii="Times New Roman" w:hAnsi="Times New Roman"/>
          <w:sz w:val="28"/>
          <w:szCs w:val="28"/>
          <w:lang w:eastAsia="ru-RU"/>
        </w:rPr>
      </w:pPr>
      <w:r w:rsidRPr="00D1277B">
        <w:rPr>
          <w:rFonts w:ascii="Times New Roman" w:hAnsi="Times New Roman"/>
          <w:sz w:val="28"/>
          <w:szCs w:val="28"/>
          <w:lang w:eastAsia="ru-RU"/>
        </w:rPr>
        <w:t>Владивостокского государственного университета экономики и сервиса</w:t>
      </w: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r w:rsidRPr="00D1277B">
        <w:rPr>
          <w:rFonts w:ascii="Times New Roman" w:hAnsi="Times New Roman"/>
          <w:sz w:val="28"/>
          <w:szCs w:val="28"/>
          <w:lang w:eastAsia="ru-RU"/>
        </w:rPr>
        <w:t>Научный руководитель</w:t>
      </w: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b/>
          <w:sz w:val="28"/>
          <w:szCs w:val="28"/>
          <w:lang w:eastAsia="ru-RU"/>
        </w:rPr>
      </w:pPr>
      <w:r w:rsidRPr="00D1277B">
        <w:rPr>
          <w:rFonts w:ascii="Times New Roman" w:hAnsi="Times New Roman"/>
          <w:b/>
          <w:sz w:val="28"/>
          <w:szCs w:val="28"/>
          <w:lang w:eastAsia="ru-RU"/>
        </w:rPr>
        <w:t>Грудинина Анастасия Павловна</w:t>
      </w:r>
    </w:p>
    <w:p w:rsidR="00D1277B" w:rsidRPr="00D1277B" w:rsidRDefault="00D1277B" w:rsidP="00D1277B">
      <w:pPr>
        <w:spacing w:after="0" w:line="240" w:lineRule="auto"/>
        <w:jc w:val="center"/>
        <w:rPr>
          <w:rFonts w:ascii="Times New Roman" w:hAnsi="Times New Roman"/>
          <w:sz w:val="28"/>
          <w:szCs w:val="28"/>
          <w:lang w:eastAsia="ru-RU"/>
        </w:rPr>
      </w:pPr>
      <w:r w:rsidRPr="00D1277B">
        <w:rPr>
          <w:rFonts w:ascii="Times New Roman" w:hAnsi="Times New Roman"/>
          <w:sz w:val="28"/>
          <w:szCs w:val="28"/>
          <w:lang w:eastAsia="ru-RU"/>
        </w:rPr>
        <w:t xml:space="preserve">ассистент кафедры </w:t>
      </w:r>
    </w:p>
    <w:p w:rsidR="00D1277B" w:rsidRPr="00D1277B" w:rsidRDefault="00D1277B" w:rsidP="00D1277B">
      <w:pPr>
        <w:spacing w:after="0" w:line="240" w:lineRule="auto"/>
        <w:jc w:val="center"/>
        <w:rPr>
          <w:rFonts w:ascii="Times New Roman" w:hAnsi="Times New Roman"/>
          <w:sz w:val="28"/>
          <w:szCs w:val="28"/>
          <w:lang w:eastAsia="ru-RU"/>
        </w:rPr>
      </w:pPr>
      <w:r w:rsidRPr="00D1277B">
        <w:rPr>
          <w:rFonts w:ascii="Times New Roman" w:hAnsi="Times New Roman"/>
          <w:sz w:val="28"/>
          <w:szCs w:val="28"/>
          <w:lang w:eastAsia="ru-RU"/>
        </w:rPr>
        <w:t>конституционного и административного права Института права ВГУЭС</w:t>
      </w: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D1277B">
      <w:pPr>
        <w:spacing w:after="0" w:line="240" w:lineRule="auto"/>
        <w:jc w:val="center"/>
        <w:rPr>
          <w:rFonts w:ascii="Times New Roman" w:hAnsi="Times New Roman"/>
          <w:sz w:val="28"/>
          <w:szCs w:val="28"/>
          <w:lang w:eastAsia="ru-RU"/>
        </w:rPr>
      </w:pPr>
      <w:r w:rsidRPr="00D1277B">
        <w:rPr>
          <w:rFonts w:ascii="Times New Roman" w:hAnsi="Times New Roman"/>
          <w:sz w:val="28"/>
          <w:szCs w:val="28"/>
          <w:lang w:eastAsia="ru-RU"/>
        </w:rPr>
        <w:t>Владивосток, 2018</w:t>
      </w:r>
    </w:p>
    <w:p w:rsidR="00D1277B" w:rsidRPr="00D1277B" w:rsidRDefault="00D1277B" w:rsidP="00D1277B">
      <w:pPr>
        <w:spacing w:after="0" w:line="240" w:lineRule="auto"/>
        <w:jc w:val="center"/>
        <w:rPr>
          <w:rFonts w:ascii="Times New Roman" w:hAnsi="Times New Roman"/>
          <w:sz w:val="28"/>
          <w:szCs w:val="28"/>
          <w:lang w:eastAsia="ru-RU"/>
        </w:rPr>
      </w:pPr>
    </w:p>
    <w:p w:rsidR="00D1277B" w:rsidRPr="00D1277B" w:rsidRDefault="00D1277B" w:rsidP="000659EA">
      <w:pPr>
        <w:spacing w:after="0" w:line="240" w:lineRule="auto"/>
        <w:jc w:val="center"/>
        <w:rPr>
          <w:rFonts w:ascii="Times New Roman" w:hAnsi="Times New Roman"/>
          <w:color w:val="000000"/>
          <w:sz w:val="28"/>
          <w:szCs w:val="28"/>
          <w:lang w:eastAsia="ru-RU"/>
        </w:rPr>
      </w:pPr>
      <w:r w:rsidRPr="00D1277B">
        <w:rPr>
          <w:rFonts w:ascii="Times New Roman" w:hAnsi="Times New Roman"/>
          <w:color w:val="000000"/>
          <w:sz w:val="28"/>
          <w:szCs w:val="28"/>
          <w:lang w:eastAsia="ru-RU"/>
        </w:rPr>
        <w:t>СОДЕРЖАНИЕ</w:t>
      </w: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Введение....................................................................................................................3</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1. Основные способы защиты прав пациентов......................................................5</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2. Доказательства при защите прав пациентов......................................................9</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3. Судебно-медицинская экспертиза как доказательство при  защите прав пациентов................................................................................................................13</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Заключение.............................................................................................................16</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Список использованной литературы....................................................................20</w:t>
      </w: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Default="00D1277B" w:rsidP="00D1277B">
      <w:pPr>
        <w:spacing w:after="0" w:line="240" w:lineRule="auto"/>
        <w:jc w:val="both"/>
        <w:rPr>
          <w:rFonts w:ascii="Times New Roman" w:hAnsi="Times New Roman"/>
          <w:color w:val="000000"/>
          <w:sz w:val="28"/>
          <w:szCs w:val="28"/>
          <w:lang w:eastAsia="ru-RU"/>
        </w:rPr>
      </w:pPr>
    </w:p>
    <w:p w:rsidR="00E56B5C" w:rsidRDefault="00E56B5C" w:rsidP="00D1277B">
      <w:pPr>
        <w:spacing w:after="0" w:line="240" w:lineRule="auto"/>
        <w:jc w:val="both"/>
        <w:rPr>
          <w:rFonts w:ascii="Times New Roman" w:hAnsi="Times New Roman"/>
          <w:color w:val="000000"/>
          <w:sz w:val="28"/>
          <w:szCs w:val="28"/>
          <w:lang w:eastAsia="ru-RU"/>
        </w:rPr>
      </w:pPr>
    </w:p>
    <w:p w:rsidR="00E56B5C" w:rsidRDefault="00E56B5C" w:rsidP="00D1277B">
      <w:pPr>
        <w:spacing w:after="0" w:line="240" w:lineRule="auto"/>
        <w:jc w:val="both"/>
        <w:rPr>
          <w:rFonts w:ascii="Times New Roman" w:hAnsi="Times New Roman"/>
          <w:color w:val="000000"/>
          <w:sz w:val="28"/>
          <w:szCs w:val="28"/>
          <w:lang w:eastAsia="ru-RU"/>
        </w:rPr>
      </w:pPr>
    </w:p>
    <w:p w:rsidR="00E56B5C" w:rsidRPr="00D1277B" w:rsidRDefault="00E56B5C"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D1277B">
      <w:pPr>
        <w:spacing w:after="0" w:line="240" w:lineRule="auto"/>
        <w:jc w:val="both"/>
        <w:rPr>
          <w:rFonts w:ascii="Times New Roman" w:hAnsi="Times New Roman"/>
          <w:color w:val="000000"/>
          <w:sz w:val="28"/>
          <w:szCs w:val="28"/>
          <w:lang w:eastAsia="ru-RU"/>
        </w:rPr>
      </w:pPr>
    </w:p>
    <w:p w:rsidR="00D1277B" w:rsidRPr="00D1277B" w:rsidRDefault="00D1277B" w:rsidP="00E56B5C">
      <w:pPr>
        <w:spacing w:after="0" w:line="240" w:lineRule="auto"/>
        <w:jc w:val="center"/>
        <w:rPr>
          <w:rFonts w:ascii="Times New Roman" w:hAnsi="Times New Roman"/>
          <w:color w:val="000000"/>
          <w:sz w:val="28"/>
          <w:szCs w:val="28"/>
          <w:lang w:eastAsia="ru-RU"/>
        </w:rPr>
      </w:pPr>
      <w:r w:rsidRPr="00D1277B">
        <w:rPr>
          <w:rFonts w:ascii="Times New Roman" w:hAnsi="Times New Roman"/>
          <w:color w:val="000000"/>
          <w:sz w:val="28"/>
          <w:szCs w:val="28"/>
          <w:lang w:eastAsia="ru-RU"/>
        </w:rPr>
        <w:lastRenderedPageBreak/>
        <w:t>ВВЕДЕНИЕ</w:t>
      </w:r>
    </w:p>
    <w:p w:rsidR="00D1277B" w:rsidRPr="00D1277B" w:rsidRDefault="00D1277B" w:rsidP="00D1277B">
      <w:pPr>
        <w:spacing w:after="0" w:line="240" w:lineRule="auto"/>
        <w:jc w:val="both"/>
        <w:rPr>
          <w:rFonts w:ascii="Times New Roman" w:hAnsi="Times New Roman"/>
          <w:color w:val="000000"/>
          <w:sz w:val="24"/>
          <w:szCs w:val="24"/>
          <w:lang w:eastAsia="ru-RU"/>
        </w:rPr>
      </w:pP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lang w:eastAsia="ru-RU"/>
        </w:rPr>
        <w:t>Актуальность выбранной темы заключается в том, что при защите своих прав потребитель (в данном случае пациент) не всегда может доказать вину исполнителя (поликлиники, больницы, косметологических и стоматологических клиник, частных медицинских организаций) в их причастности к причинению вреда здоровью потребителя.</w:t>
      </w:r>
      <w:r w:rsidRPr="00D1277B">
        <w:rPr>
          <w:rFonts w:ascii="Times New Roman" w:hAnsi="Times New Roman"/>
          <w:color w:val="000000"/>
          <w:sz w:val="28"/>
          <w:szCs w:val="28"/>
          <w:shd w:val="clear" w:color="auto" w:fill="FFFFFF"/>
          <w:lang w:eastAsia="ru-RU"/>
        </w:rPr>
        <w:t xml:space="preserve"> Исходя из судебной практики за период с 01.01.2015-06.10.2018 по Приморскому краю </w:t>
      </w:r>
      <w:r w:rsidRPr="00D1277B">
        <w:rPr>
          <w:rFonts w:ascii="Times New Roman" w:hAnsi="Times New Roman"/>
          <w:sz w:val="28"/>
          <w:szCs w:val="28"/>
          <w:lang w:eastAsia="ru-RU"/>
        </w:rPr>
        <w:t xml:space="preserve">основной причиной вынесения судебных решений с отказом удовлетворения исковых требований выступает отсутствие причинно-следственной связи между действиями исполнителя и наступившими вредными последствиями. Если говорить точнее, то истец не всегда может доказать вину исполнителя. Основным доказательством, на которое ссылается суд, является </w:t>
      </w:r>
      <w:r w:rsidRPr="00D1277B">
        <w:rPr>
          <w:rFonts w:ascii="Times New Roman" w:hAnsi="Times New Roman"/>
          <w:color w:val="000000"/>
          <w:sz w:val="28"/>
          <w:szCs w:val="28"/>
          <w:shd w:val="clear" w:color="auto" w:fill="FFFFFF"/>
          <w:lang w:eastAsia="ru-RU"/>
        </w:rPr>
        <w:t>Заключение комиссионной судебно-</w:t>
      </w:r>
      <w:r w:rsidRPr="00D1277B">
        <w:rPr>
          <w:rFonts w:ascii="Times New Roman" w:hAnsi="Times New Roman"/>
          <w:b/>
          <w:bCs/>
          <w:color w:val="000000"/>
          <w:sz w:val="28"/>
          <w:szCs w:val="28"/>
          <w:bdr w:val="none" w:sz="0" w:space="0" w:color="auto" w:frame="1"/>
          <w:shd w:val="clear" w:color="auto" w:fill="FFFFFF"/>
          <w:lang w:eastAsia="ru-RU"/>
        </w:rPr>
        <w:t> </w:t>
      </w:r>
      <w:r w:rsidRPr="00D1277B">
        <w:rPr>
          <w:rFonts w:ascii="Times New Roman" w:hAnsi="Times New Roman"/>
          <w:bCs/>
          <w:color w:val="000000"/>
          <w:sz w:val="28"/>
          <w:szCs w:val="28"/>
          <w:bdr w:val="none" w:sz="0" w:space="0" w:color="auto" w:frame="1"/>
          <w:shd w:val="clear" w:color="auto" w:fill="FFFFFF"/>
          <w:lang w:eastAsia="ru-RU"/>
        </w:rPr>
        <w:t>медицинской</w:t>
      </w:r>
      <w:r w:rsidRPr="00D1277B">
        <w:rPr>
          <w:rFonts w:ascii="Times New Roman" w:hAnsi="Times New Roman"/>
          <w:b/>
          <w:bCs/>
          <w:color w:val="000000"/>
          <w:sz w:val="28"/>
          <w:szCs w:val="28"/>
          <w:bdr w:val="none" w:sz="0" w:space="0" w:color="auto" w:frame="1"/>
          <w:shd w:val="clear" w:color="auto" w:fill="FFFFFF"/>
          <w:lang w:eastAsia="ru-RU"/>
        </w:rPr>
        <w:t> </w:t>
      </w:r>
      <w:r w:rsidRPr="00D1277B">
        <w:rPr>
          <w:rFonts w:ascii="Times New Roman" w:hAnsi="Times New Roman"/>
          <w:color w:val="000000"/>
          <w:sz w:val="28"/>
          <w:szCs w:val="28"/>
          <w:shd w:val="clear" w:color="auto" w:fill="FFFFFF"/>
          <w:lang w:eastAsia="ru-RU"/>
        </w:rPr>
        <w:t>экспертизы ГБУЗ «Приморское краевое бюро судебно-</w:t>
      </w:r>
      <w:r w:rsidRPr="00D1277B">
        <w:rPr>
          <w:rFonts w:ascii="Times New Roman" w:hAnsi="Times New Roman"/>
          <w:b/>
          <w:bCs/>
          <w:color w:val="000000"/>
          <w:sz w:val="28"/>
          <w:szCs w:val="28"/>
          <w:bdr w:val="none" w:sz="0" w:space="0" w:color="auto" w:frame="1"/>
          <w:shd w:val="clear" w:color="auto" w:fill="FFFFFF"/>
          <w:lang w:eastAsia="ru-RU"/>
        </w:rPr>
        <w:t> </w:t>
      </w:r>
      <w:r w:rsidRPr="00D1277B">
        <w:rPr>
          <w:rFonts w:ascii="Times New Roman" w:hAnsi="Times New Roman"/>
          <w:bCs/>
          <w:color w:val="000000"/>
          <w:sz w:val="28"/>
          <w:szCs w:val="28"/>
          <w:bdr w:val="none" w:sz="0" w:space="0" w:color="auto" w:frame="1"/>
          <w:shd w:val="clear" w:color="auto" w:fill="FFFFFF"/>
          <w:lang w:eastAsia="ru-RU"/>
        </w:rPr>
        <w:t>медицинской</w:t>
      </w:r>
      <w:r w:rsidRPr="00D1277B">
        <w:rPr>
          <w:rFonts w:ascii="Times New Roman" w:hAnsi="Times New Roman"/>
          <w:b/>
          <w:bCs/>
          <w:color w:val="000000"/>
          <w:sz w:val="28"/>
          <w:szCs w:val="28"/>
          <w:bdr w:val="none" w:sz="0" w:space="0" w:color="auto" w:frame="1"/>
          <w:shd w:val="clear" w:color="auto" w:fill="FFFFFF"/>
          <w:lang w:eastAsia="ru-RU"/>
        </w:rPr>
        <w:t> </w:t>
      </w:r>
      <w:r w:rsidRPr="00D1277B">
        <w:rPr>
          <w:rFonts w:ascii="Times New Roman" w:hAnsi="Times New Roman"/>
          <w:color w:val="000000"/>
          <w:sz w:val="28"/>
          <w:szCs w:val="28"/>
          <w:shd w:val="clear" w:color="auto" w:fill="FFFFFF"/>
          <w:lang w:eastAsia="ru-RU"/>
        </w:rPr>
        <w:t xml:space="preserve">экспертизы». </w:t>
      </w:r>
    </w:p>
    <w:p w:rsidR="00D1277B" w:rsidRPr="00D1277B" w:rsidRDefault="00D1277B" w:rsidP="00D1277B">
      <w:pPr>
        <w:spacing w:after="0" w:line="240" w:lineRule="auto"/>
        <w:jc w:val="both"/>
        <w:rPr>
          <w:rFonts w:ascii="Arial" w:eastAsia="Times New Roman" w:hAnsi="Arial" w:cs="Arial"/>
          <w:b/>
          <w:bCs/>
          <w:color w:val="333333"/>
          <w:kern w:val="36"/>
          <w:sz w:val="24"/>
          <w:szCs w:val="24"/>
          <w:lang w:eastAsia="ru-RU"/>
        </w:rPr>
      </w:pPr>
      <w:r w:rsidRPr="00D1277B">
        <w:rPr>
          <w:rFonts w:ascii="Times New Roman" w:eastAsia="Times New Roman" w:hAnsi="Times New Roman"/>
          <w:bCs/>
          <w:color w:val="000000"/>
          <w:kern w:val="36"/>
          <w:sz w:val="28"/>
          <w:szCs w:val="28"/>
          <w:lang w:eastAsia="ru-RU"/>
        </w:rPr>
        <w:t xml:space="preserve"> Медицина – это сфера обслуживания. С момента обращения лица за медицинской помощью, у него появляются права потребителя медицинских услуг Согласно закону к ним относится: право на охрану здоровья, право на медицинскую помощь, информированное добровольное согласие на медицинское вмешательство и на отказ от медицинского вмешательства, выбор врача и медицинской организации, информация о состоянии здоровья, информация о факторах, влияющих на состояние здоровья</w:t>
      </w:r>
      <w:r w:rsidRPr="00D1277B">
        <w:rPr>
          <w:rFonts w:ascii="Times New Roman" w:eastAsia="Times New Roman" w:hAnsi="Times New Roman"/>
          <w:bCs/>
          <w:color w:val="000000"/>
          <w:kern w:val="36"/>
          <w:sz w:val="28"/>
          <w:szCs w:val="28"/>
          <w:vertAlign w:val="superscript"/>
          <w:lang w:eastAsia="ru-RU"/>
        </w:rPr>
        <w:footnoteReference w:id="86"/>
      </w:r>
      <w:r w:rsidRPr="00D1277B">
        <w:rPr>
          <w:rFonts w:ascii="Times New Roman" w:eastAsia="Times New Roman" w:hAnsi="Times New Roman"/>
          <w:bCs/>
          <w:color w:val="000000"/>
          <w:kern w:val="36"/>
          <w:sz w:val="28"/>
          <w:szCs w:val="28"/>
          <w:lang w:eastAsia="ru-RU"/>
        </w:rPr>
        <w:t>. Человек, которому оказывается медицинская помощь независимо от способа оказания такой помощи приобретает не только статус пациента, но и статус потребителя. Это подтверждает его право на защиту своих прав и законных интересов как потребителя и возможность руководствоваться Федеральным Законом «О защите прав потребителя»</w:t>
      </w:r>
      <w:r w:rsidRPr="00D1277B">
        <w:rPr>
          <w:rFonts w:ascii="Times New Roman" w:eastAsia="Times New Roman" w:hAnsi="Times New Roman"/>
          <w:bCs/>
          <w:color w:val="000000"/>
          <w:kern w:val="36"/>
          <w:sz w:val="28"/>
          <w:szCs w:val="28"/>
          <w:vertAlign w:val="superscript"/>
          <w:lang w:eastAsia="ru-RU"/>
        </w:rPr>
        <w:footnoteReference w:id="87"/>
      </w:r>
      <w:r w:rsidRPr="00D1277B">
        <w:rPr>
          <w:rFonts w:ascii="Arial" w:eastAsia="Times New Roman" w:hAnsi="Arial" w:cs="Arial"/>
          <w:b/>
          <w:bCs/>
          <w:color w:val="333333"/>
          <w:kern w:val="36"/>
          <w:sz w:val="24"/>
          <w:szCs w:val="24"/>
          <w:lang w:eastAsia="ru-RU"/>
        </w:rPr>
        <w:t>.</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 xml:space="preserve">Целью статьи является изучение прав пациентов как потребителей медицинских услуг, способы их защиты, изучение института защиты прав потребителей медицинских услуг.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 xml:space="preserve">Большее внимание будет уделено вопросам, связанным с доказательством вины исполнителя и причинно-следственной связи между сторонам. Именно эти средства являются основными при защите пациентом своих прав как потребителя медицинских услуг. </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 xml:space="preserve">В данной статьей будут рассмотрены вопросы, касающиеся заключения судебно-медицинской экспертизы, а именно какие документы они проверяют и на что ссылаются при даче заключения. Также в работе будет рассмотрен вопрос о доказательствах - какие именно являются основными и на какие имеют большее значение для суда при вынесении решения. </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lang w:eastAsia="ru-RU"/>
        </w:rPr>
      </w:pPr>
      <w:r w:rsidRPr="00D1277B">
        <w:rPr>
          <w:rFonts w:ascii="Times New Roman" w:eastAsia="Times New Roman" w:hAnsi="Times New Roman"/>
          <w:color w:val="000000"/>
          <w:sz w:val="28"/>
          <w:szCs w:val="28"/>
          <w:shd w:val="clear" w:color="auto" w:fill="FFFFFF"/>
          <w:lang w:eastAsia="ru-RU"/>
        </w:rPr>
        <w:lastRenderedPageBreak/>
        <w:t>Объектом научного исследования выступают общественные отношения, возникающие в связи с осуществлением и защитой прав потребителей медицинских услуг.</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sz w:val="28"/>
          <w:szCs w:val="28"/>
          <w:lang w:eastAsia="ru-RU"/>
        </w:rPr>
        <w:t xml:space="preserve">Основные нормативные правовые акты, анализируемые в данной работе и регулирующие данные </w:t>
      </w:r>
      <w:r w:rsidRPr="00D1277B">
        <w:rPr>
          <w:rFonts w:ascii="Times New Roman" w:hAnsi="Times New Roman"/>
          <w:color w:val="000000"/>
          <w:sz w:val="28"/>
          <w:szCs w:val="28"/>
          <w:lang w:eastAsia="ru-RU"/>
        </w:rPr>
        <w:t xml:space="preserve">отношения: </w:t>
      </w:r>
      <w:r w:rsidRPr="00D1277B">
        <w:rPr>
          <w:rFonts w:ascii="Times New Roman" w:hAnsi="Times New Roman"/>
          <w:color w:val="000000"/>
          <w:sz w:val="28"/>
          <w:szCs w:val="28"/>
          <w:shd w:val="clear" w:color="auto" w:fill="FFFFFF"/>
          <w:lang w:eastAsia="ru-RU"/>
        </w:rPr>
        <w:t xml:space="preserve">Федеральный закон от 21 ноября 2011 г. № 323-ФЗ «Об основах охраны здоровья граждан в Российской Федерации», </w:t>
      </w:r>
      <w:r w:rsidRPr="00D1277B">
        <w:rPr>
          <w:rFonts w:ascii="Times New Roman" w:hAnsi="Times New Roman"/>
          <w:color w:val="000000"/>
          <w:sz w:val="28"/>
          <w:szCs w:val="28"/>
          <w:lang w:eastAsia="ru-RU"/>
        </w:rPr>
        <w:t>Закон РФ от 07.02.1992 N 2300-1 "О защите прав потребителей", глава 39 ГК РФ. В качестве дополнительных применяются:</w:t>
      </w:r>
      <w:r w:rsidRPr="00D1277B">
        <w:rPr>
          <w:rFonts w:ascii="Times New Roman" w:hAnsi="Times New Roman"/>
          <w:b/>
          <w:color w:val="000000"/>
          <w:sz w:val="28"/>
          <w:szCs w:val="28"/>
          <w:lang w:eastAsia="ru-RU"/>
        </w:rPr>
        <w:t xml:space="preserve"> </w:t>
      </w:r>
      <w:r w:rsidRPr="00D1277B">
        <w:rPr>
          <w:rFonts w:ascii="Times New Roman" w:hAnsi="Times New Roman"/>
          <w:color w:val="000000"/>
          <w:sz w:val="28"/>
          <w:szCs w:val="28"/>
          <w:shd w:val="clear" w:color="auto" w:fill="FFFFFF"/>
          <w:lang w:eastAsia="ru-RU"/>
        </w:rPr>
        <w:t>Постановление Пленума Верховного Суда РФ от 28.06.2012 N 17 "О рассмотрении судами гражданских дел по спорам о защите прав потребителей" , Постановление Пленума Верховного Суда Российской Федерации «О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 от 26.01.2010 № 1.</w:t>
      </w: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E56B5C">
      <w:pPr>
        <w:spacing w:after="24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1. Основные способы защиты прав пациентов</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В системе правоотношений в сфере услуг правоотношения по оказанию медицинских услуг занимают особое место, так как они затрагивают конституционное право человека на охрану здоровья и медицинскую помощь</w:t>
      </w:r>
      <w:r w:rsidRPr="00D1277B">
        <w:rPr>
          <w:rFonts w:ascii="Times New Roman" w:hAnsi="Times New Roman"/>
          <w:color w:val="000000"/>
          <w:sz w:val="28"/>
          <w:szCs w:val="28"/>
          <w:vertAlign w:val="superscript"/>
          <w:lang w:eastAsia="ru-RU"/>
        </w:rPr>
        <w:footnoteReference w:id="88"/>
      </w:r>
      <w:r w:rsidRPr="00D1277B">
        <w:rPr>
          <w:rFonts w:ascii="Times New Roman" w:hAnsi="Times New Roman"/>
          <w:color w:val="000000"/>
          <w:sz w:val="28"/>
          <w:szCs w:val="28"/>
          <w:lang w:eastAsia="ru-RU"/>
        </w:rPr>
        <w:t xml:space="preserve">. Почему эти отношения могут регулироваться Законом о Защите прав потребителей? Указанный Закон регулирует отношения между потребителем гражданином, который обращается в организацию за получением определенной услуги, и организацией, которая предоставляет ему эту услугу в пределах своей компетенции. Пациент является потребителем оказываемых ему медицинских услуг, несмотря на тот факт, что эти отношения носят специфический характер. Цели, для достижения которых лицо обращается в медицинское учреждение,  личные, так как потребителя -пациента интересуют вопросы, связанные с его здоровьем. Они не затрагивают интересы третьих лиц. </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Кроме того, на правоотношения между пациентом и медицинской организацией распространяются способы защиты, которые предусмотрены гражданским законодательством.</w:t>
      </w:r>
    </w:p>
    <w:p w:rsidR="00D1277B" w:rsidRPr="00D1277B" w:rsidRDefault="00D1277B" w:rsidP="00D1277B">
      <w:pPr>
        <w:spacing w:after="0" w:line="240" w:lineRule="auto"/>
        <w:jc w:val="both"/>
        <w:rPr>
          <w:rFonts w:ascii="Times New Roman" w:eastAsia="Times New Roman" w:hAnsi="Times New Roman"/>
          <w:sz w:val="28"/>
          <w:szCs w:val="28"/>
          <w:lang w:eastAsia="ru-RU"/>
        </w:rPr>
      </w:pPr>
      <w:r w:rsidRPr="00D1277B">
        <w:rPr>
          <w:rFonts w:ascii="Times New Roman" w:eastAsia="Times New Roman" w:hAnsi="Times New Roman"/>
          <w:sz w:val="28"/>
          <w:szCs w:val="28"/>
          <w:lang w:eastAsia="ru-RU"/>
        </w:rPr>
        <w:t xml:space="preserve">Статья 12 Гражданского Кодекса РФ перечисляет способы защиты прав, которые применимы и для защиты прав пациентов. При рассмотрении дел, связанных с защитой прав пациентов в контексте потребителей медицинских услуг основными способами защиты является: признание права, возмещение убытков, взыскание неустойки, компенсация морального вреда, прекращение или изменение правоотношений. Указанный круг способов защиты обусловлен нижеследующем. </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eastAsia="Times New Roman" w:hAnsi="Times New Roman"/>
          <w:sz w:val="28"/>
          <w:szCs w:val="28"/>
          <w:lang w:eastAsia="ru-RU"/>
        </w:rPr>
        <w:t xml:space="preserve">Во-первых, оказание некачественных медицинских услуг наносит серьезный вред здоровью, который может выражаться как в изменении внешнего состояния, так и внутреннего. Можно привести в качестве примера </w:t>
      </w:r>
      <w:r w:rsidRPr="00D1277B">
        <w:rPr>
          <w:rFonts w:ascii="Times New Roman" w:hAnsi="Times New Roman"/>
          <w:color w:val="000000"/>
          <w:sz w:val="28"/>
          <w:szCs w:val="28"/>
          <w:lang w:eastAsia="ru-RU"/>
        </w:rPr>
        <w:t xml:space="preserve">решение </w:t>
      </w:r>
      <w:r w:rsidRPr="00D1277B">
        <w:rPr>
          <w:rFonts w:ascii="Times New Roman" w:hAnsi="Times New Roman"/>
          <w:color w:val="000000"/>
          <w:sz w:val="28"/>
          <w:szCs w:val="28"/>
          <w:lang w:eastAsia="ru-RU"/>
        </w:rPr>
        <w:lastRenderedPageBreak/>
        <w:t xml:space="preserve">по гражданскому делу по иску </w:t>
      </w:r>
      <w:r w:rsidRPr="00D1277B">
        <w:rPr>
          <w:rFonts w:ascii="Times New Roman" w:hAnsi="Times New Roman"/>
          <w:color w:val="000000"/>
          <w:sz w:val="28"/>
          <w:szCs w:val="28"/>
          <w:shd w:val="clear" w:color="auto" w:fill="FFFFFF"/>
          <w:lang w:eastAsia="ru-RU"/>
        </w:rPr>
        <w:t xml:space="preserve">гражданки к </w:t>
      </w:r>
      <w:r w:rsidRPr="00D1277B">
        <w:rPr>
          <w:rFonts w:ascii="Times New Roman" w:hAnsi="Times New Roman"/>
          <w:color w:val="000000"/>
          <w:sz w:val="28"/>
          <w:szCs w:val="28"/>
          <w:lang w:eastAsia="ru-RU"/>
        </w:rPr>
        <w:t xml:space="preserve">косметологу с требованием о возмещении вреда здоровью, </w:t>
      </w:r>
      <w:r w:rsidRPr="00D1277B">
        <w:rPr>
          <w:rFonts w:ascii="Times New Roman" w:hAnsi="Times New Roman"/>
          <w:color w:val="000000"/>
          <w:sz w:val="28"/>
          <w:szCs w:val="28"/>
          <w:shd w:val="clear" w:color="auto" w:fill="FFFFFF"/>
          <w:lang w:eastAsia="ru-RU"/>
        </w:rPr>
        <w:t>расходов связанных с приобретением лекарственных средств и приемами специалистов</w:t>
      </w:r>
      <w:r w:rsidRPr="00D1277B">
        <w:rPr>
          <w:rFonts w:ascii="Times New Roman" w:hAnsi="Times New Roman"/>
          <w:color w:val="000000"/>
          <w:sz w:val="28"/>
          <w:szCs w:val="28"/>
          <w:lang w:eastAsia="ru-RU"/>
        </w:rPr>
        <w:t xml:space="preserve">, компенсации морального вреда, в котором говорится, что у пациент  после проведенной процедуры увеличилось воспалительное образование после введения косметологом биологически </w:t>
      </w:r>
      <w:r w:rsidRPr="00D1277B">
        <w:rPr>
          <w:rFonts w:ascii="Times New Roman" w:hAnsi="Times New Roman"/>
          <w:color w:val="000000"/>
          <w:sz w:val="28"/>
          <w:szCs w:val="28"/>
          <w:shd w:val="clear" w:color="auto" w:fill="FFFFFF"/>
          <w:lang w:eastAsia="ru-RU"/>
        </w:rPr>
        <w:t>активных веществ непосредственно в проблемные участки кожи лица</w:t>
      </w:r>
      <w:r w:rsidRPr="00D1277B">
        <w:rPr>
          <w:rFonts w:ascii="Times New Roman" w:hAnsi="Times New Roman"/>
          <w:color w:val="000000"/>
          <w:sz w:val="28"/>
          <w:szCs w:val="28"/>
          <w:shd w:val="clear" w:color="auto" w:fill="FFFFFF"/>
          <w:vertAlign w:val="superscript"/>
          <w:lang w:eastAsia="ru-RU"/>
        </w:rPr>
        <w:footnoteReference w:id="89"/>
      </w:r>
      <w:r w:rsidRPr="00D1277B">
        <w:rPr>
          <w:rFonts w:ascii="Times New Roman" w:hAnsi="Times New Roman"/>
          <w:color w:val="000000"/>
          <w:sz w:val="28"/>
          <w:szCs w:val="28"/>
          <w:shd w:val="clear" w:color="auto" w:fill="FFFFFF"/>
          <w:lang w:eastAsia="ru-RU"/>
        </w:rPr>
        <w:t>.</w:t>
      </w:r>
    </w:p>
    <w:p w:rsidR="00D1277B" w:rsidRPr="00D1277B" w:rsidRDefault="00D1277B" w:rsidP="00D1277B">
      <w:pPr>
        <w:spacing w:after="0" w:line="240" w:lineRule="auto"/>
        <w:jc w:val="both"/>
        <w:rPr>
          <w:rFonts w:ascii="Times New Roman" w:hAnsi="Times New Roman"/>
          <w:color w:val="FF0000"/>
          <w:sz w:val="28"/>
          <w:szCs w:val="28"/>
          <w:shd w:val="clear" w:color="auto" w:fill="FFFFFF"/>
          <w:lang w:eastAsia="ru-RU"/>
        </w:rPr>
      </w:pPr>
      <w:r w:rsidRPr="00D1277B">
        <w:rPr>
          <w:rFonts w:ascii="Times New Roman" w:eastAsia="Times New Roman" w:hAnsi="Times New Roman"/>
          <w:sz w:val="28"/>
          <w:szCs w:val="28"/>
          <w:lang w:eastAsia="ru-RU"/>
        </w:rPr>
        <w:t>Во-вторых, как правило подаются иски при оказании некачественных платных медицинских услуг. Нап</w:t>
      </w:r>
      <w:r w:rsidRPr="00D1277B">
        <w:rPr>
          <w:rFonts w:ascii="Times New Roman" w:eastAsia="Times New Roman" w:hAnsi="Times New Roman"/>
          <w:color w:val="000000"/>
          <w:sz w:val="28"/>
          <w:szCs w:val="28"/>
          <w:lang w:eastAsia="ru-RU"/>
        </w:rPr>
        <w:t xml:space="preserve">ример, </w:t>
      </w:r>
      <w:r w:rsidRPr="00D1277B">
        <w:rPr>
          <w:rFonts w:ascii="Times New Roman" w:hAnsi="Times New Roman"/>
          <w:color w:val="000000"/>
          <w:sz w:val="28"/>
          <w:szCs w:val="28"/>
          <w:lang w:eastAsia="ru-RU"/>
        </w:rPr>
        <w:t>решение</w:t>
      </w:r>
      <w:r w:rsidRPr="00D1277B">
        <w:rPr>
          <w:rFonts w:ascii="Times New Roman" w:hAnsi="Times New Roman"/>
          <w:color w:val="000000"/>
          <w:sz w:val="28"/>
          <w:szCs w:val="28"/>
          <w:vertAlign w:val="superscript"/>
          <w:lang w:eastAsia="ru-RU"/>
        </w:rPr>
        <w:footnoteReference w:id="90"/>
      </w:r>
      <w:r w:rsidRPr="00D1277B">
        <w:rPr>
          <w:rFonts w:ascii="Times New Roman" w:hAnsi="Times New Roman"/>
          <w:color w:val="000000"/>
          <w:sz w:val="28"/>
          <w:szCs w:val="28"/>
          <w:lang w:eastAsia="ru-RU"/>
        </w:rPr>
        <w:t xml:space="preserve"> </w:t>
      </w:r>
      <w:r w:rsidRPr="00D1277B">
        <w:rPr>
          <w:rFonts w:ascii="Times New Roman" w:hAnsi="Times New Roman"/>
          <w:color w:val="000000"/>
          <w:sz w:val="28"/>
          <w:szCs w:val="28"/>
          <w:shd w:val="clear" w:color="auto" w:fill="FFFFFF"/>
          <w:lang w:eastAsia="ru-RU"/>
        </w:rPr>
        <w:t>по иску гражданина к медицинской организации о защите прав потребителей, в котором истцу были оказаны платные услуги по зубопротезированию. Однако впоследствии она обнаружила недостатки и обратилась с претензией к исполнителю.</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В-третьих, лечение всегда наносит не только физические, но и нравственные страдания, так как этот процесс всегда сопряжен с какими-либо ограничениями, неудобствами в виде невозможности самостоятельного передвижения, долгого нахождения в определенном положении, запрете на еду и т.д. Кроме того, большую роль имеет компетентность медицинского состава и добросовестное выполнение обязанностей. В качестве халатного отношения к выполнению профессиональных обязательств при оказании медицинских услуг, можно привести следующий пример судебной практики: после выполненной операции пациент был помещен в палату хирургического отделения, которая не была оборудована надлежащим образом: отсутствовали перила кровати, а также отсутствовала кнопка вызова медицинского персонала. Вследствие этого пациент ночью упал с кровати, получил травму и был вынужден пролежать в таком положении до прихода медицинской сестры, что составило более трех часов</w:t>
      </w:r>
      <w:r w:rsidRPr="00D1277B">
        <w:rPr>
          <w:rFonts w:ascii="Times New Roman" w:hAnsi="Times New Roman"/>
          <w:color w:val="000000"/>
          <w:sz w:val="28"/>
          <w:szCs w:val="28"/>
          <w:shd w:val="clear" w:color="auto" w:fill="FFFFFF"/>
          <w:vertAlign w:val="superscript"/>
          <w:lang w:eastAsia="ru-RU"/>
        </w:rPr>
        <w:footnoteReference w:id="91"/>
      </w:r>
      <w:r w:rsidRPr="00D1277B">
        <w:rPr>
          <w:rFonts w:ascii="Times New Roman" w:hAnsi="Times New Roman"/>
          <w:color w:val="000000"/>
          <w:sz w:val="28"/>
          <w:szCs w:val="28"/>
          <w:shd w:val="clear" w:color="auto" w:fill="FFFFFF"/>
          <w:lang w:eastAsia="ru-RU"/>
        </w:rPr>
        <w:t xml:space="preserve">.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Рассмотрим способы защиты более подробно относительно их применения к данной теме.</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Права потребителя, в том числе медицинских услуг, регулируются ФЗ «О защите прав потребителе».</w:t>
      </w:r>
      <w:r w:rsidRPr="00D1277B">
        <w:rPr>
          <w:rFonts w:ascii="Times New Roman" w:hAnsi="Times New Roman"/>
          <w:position w:val="268"/>
          <w:sz w:val="18"/>
          <w:szCs w:val="18"/>
          <w:lang w:eastAsia="ru-RU"/>
        </w:rPr>
        <w:t xml:space="preserve"> </w:t>
      </w:r>
      <w:r w:rsidRPr="00D1277B">
        <w:rPr>
          <w:rFonts w:ascii="Times New Roman" w:hAnsi="Times New Roman"/>
          <w:sz w:val="28"/>
          <w:szCs w:val="28"/>
          <w:lang w:eastAsia="ru-RU"/>
        </w:rPr>
        <w:t>Человек, который обращается за медицинской помощью, независимо от того осуществляется ли она платно или бесплатно, приобретает не только статус пациента, но  потребителя. Соответственно при защите своих прав он может применять положения Закона «О защите прав потребителей̆».</w:t>
      </w:r>
    </w:p>
    <w:p w:rsidR="00D1277B" w:rsidRPr="00D1277B" w:rsidRDefault="00D1277B" w:rsidP="00D1277B">
      <w:pPr>
        <w:spacing w:after="0" w:line="240" w:lineRule="auto"/>
        <w:jc w:val="both"/>
        <w:rPr>
          <w:rFonts w:ascii="Times New Roman" w:hAnsi="Times New Roman"/>
          <w:sz w:val="24"/>
          <w:szCs w:val="24"/>
          <w:lang w:eastAsia="ru-RU"/>
        </w:rPr>
      </w:pPr>
      <w:r w:rsidRPr="00D1277B">
        <w:rPr>
          <w:rFonts w:ascii="Times New Roman" w:hAnsi="Times New Roman"/>
          <w:sz w:val="28"/>
          <w:szCs w:val="28"/>
          <w:lang w:eastAsia="ru-RU"/>
        </w:rPr>
        <w:t xml:space="preserve">Согласно позиции Пленума Верховного Суда РФ, изложенной в Пленуме </w:t>
      </w:r>
      <w:r w:rsidRPr="00D1277B">
        <w:rPr>
          <w:rFonts w:ascii="Times New Roman" w:hAnsi="Times New Roman"/>
          <w:color w:val="000000"/>
          <w:sz w:val="28"/>
          <w:szCs w:val="28"/>
          <w:shd w:val="clear" w:color="auto" w:fill="FFFFFF"/>
          <w:lang w:eastAsia="ru-RU"/>
        </w:rPr>
        <w:t>от 28.06.2012 № 17 «О рассмотрении судами гражданских дел по спорам о защите прав потребителей»</w:t>
      </w:r>
      <w:r w:rsidRPr="00D1277B">
        <w:rPr>
          <w:rFonts w:ascii="Times New Roman" w:hAnsi="Times New Roman"/>
          <w:sz w:val="28"/>
          <w:szCs w:val="28"/>
          <w:lang w:eastAsia="ru-RU"/>
        </w:rPr>
        <w:t xml:space="preserve">, законом предусмотрены такие права пациента как право на просвещение в области защиты прав потребителей̆, право на получение качественных медицинских услуг, право на получение медицинских услуг без недостатков, право на безопасность медицинских </w:t>
      </w:r>
      <w:r w:rsidRPr="00D1277B">
        <w:rPr>
          <w:rFonts w:ascii="Times New Roman" w:hAnsi="Times New Roman"/>
          <w:sz w:val="28"/>
          <w:szCs w:val="28"/>
          <w:lang w:eastAsia="ru-RU"/>
        </w:rPr>
        <w:lastRenderedPageBreak/>
        <w:t xml:space="preserve">услуг, право на информацию об исполнителе (медицинской̆ организации и квалификации специалистов) и о медицинских услугах, право на информацию об обстоятельствах, которые могут повлиять на качество оказываемой̆ медицинской услуги. </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sz w:val="28"/>
          <w:szCs w:val="28"/>
          <w:lang w:eastAsia="ru-RU"/>
        </w:rPr>
        <w:t xml:space="preserve">Особенностями отношений по оказанию медицинских услуг также является </w:t>
      </w:r>
      <w:r w:rsidRPr="00D1277B">
        <w:rPr>
          <w:rFonts w:ascii="Times New Roman" w:hAnsi="Times New Roman"/>
          <w:color w:val="000000"/>
          <w:sz w:val="28"/>
          <w:szCs w:val="28"/>
          <w:lang w:eastAsia="ru-RU"/>
        </w:rPr>
        <w:t xml:space="preserve">то, что не все способы могут быть применены для защиты прав пациентов. Среди тех способов защиты, которые предусмотрены Гражданским кодексом РФ и Законом «О защите прав потребителей̆», применимых в медицинских правоотношениях, можно выделить следующие: </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возмещение убытков; возмещение вреда, причиненного жизни и здоровью; взыскание неустойки; компенсация морального вреда</w:t>
      </w:r>
      <w:r w:rsidRPr="00D1277B">
        <w:rPr>
          <w:rFonts w:ascii="Times New Roman" w:hAnsi="Times New Roman"/>
          <w:color w:val="000000"/>
          <w:sz w:val="28"/>
          <w:szCs w:val="28"/>
          <w:vertAlign w:val="superscript"/>
          <w:lang w:eastAsia="ru-RU"/>
        </w:rPr>
        <w:footnoteReference w:id="92"/>
      </w:r>
      <w:r w:rsidRPr="00D1277B">
        <w:rPr>
          <w:rFonts w:ascii="Times New Roman" w:hAnsi="Times New Roman"/>
          <w:color w:val="000000"/>
          <w:sz w:val="28"/>
          <w:szCs w:val="28"/>
          <w:lang w:eastAsia="ru-RU"/>
        </w:rPr>
        <w:t xml:space="preserve">. </w:t>
      </w:r>
    </w:p>
    <w:p w:rsidR="00D1277B" w:rsidRPr="00D1277B" w:rsidRDefault="00D1277B" w:rsidP="00D1277B">
      <w:pPr>
        <w:spacing w:after="0" w:line="240" w:lineRule="auto"/>
        <w:jc w:val="both"/>
        <w:rPr>
          <w:rFonts w:ascii="Times New Roman" w:hAnsi="Times New Roman"/>
          <w:color w:val="000000"/>
          <w:sz w:val="24"/>
          <w:szCs w:val="24"/>
          <w:lang w:eastAsia="ru-RU"/>
        </w:rPr>
      </w:pPr>
      <w:r w:rsidRPr="00D1277B">
        <w:rPr>
          <w:rFonts w:ascii="Times New Roman" w:hAnsi="Times New Roman"/>
          <w:color w:val="000000"/>
          <w:sz w:val="28"/>
          <w:szCs w:val="28"/>
          <w:lang w:eastAsia="ru-RU"/>
        </w:rPr>
        <w:t>- пресечение действий, нарушающих право или создавших угрозу его нарушения; присуждение к исполнению обязанности в натуре; самозащиты права;  понуждение к заключению договора; расторжение или изменение договора</w:t>
      </w:r>
      <w:r w:rsidRPr="00D1277B">
        <w:rPr>
          <w:rFonts w:ascii="Times New Roman" w:hAnsi="Times New Roman"/>
          <w:color w:val="000000"/>
          <w:sz w:val="28"/>
          <w:szCs w:val="28"/>
          <w:vertAlign w:val="superscript"/>
          <w:lang w:eastAsia="ru-RU"/>
        </w:rPr>
        <w:footnoteReference w:id="93"/>
      </w:r>
      <w:r w:rsidRPr="00D1277B">
        <w:rPr>
          <w:rFonts w:ascii="Times New Roman" w:hAnsi="Times New Roman"/>
          <w:color w:val="000000"/>
          <w:sz w:val="28"/>
          <w:szCs w:val="28"/>
          <w:lang w:eastAsia="ru-RU"/>
        </w:rPr>
        <w:t xml:space="preserve">.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 xml:space="preserve">Среди перечисленных способов наиболее «распространенными» и эффективными являются возмещение убытков, компенсация морального вреда, возмещение вреда, причиненного жизни и здоровью. Эти способы позволяют восстановить положение пациента, которое имело место до нарушения его прав, компенсировать понесенные расходы (в данном случае расходы связаны с провидением операций, послеоперационным уходом, покупкой лекарств и т.д.), возместить причинённый жизни и здоровью вред, физические и нравственные страдания.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В тех случаях, когда пациенту была оказана платная медицинская услуга, лицо, чьи права нарушены в праве требовать выплату неустойки</w:t>
      </w:r>
      <w:r w:rsidRPr="00D1277B">
        <w:rPr>
          <w:rFonts w:ascii="Times New Roman" w:hAnsi="Times New Roman"/>
          <w:sz w:val="28"/>
          <w:szCs w:val="28"/>
          <w:vertAlign w:val="superscript"/>
          <w:lang w:eastAsia="ru-RU"/>
        </w:rPr>
        <w:footnoteReference w:id="94"/>
      </w:r>
      <w:r w:rsidRPr="00D1277B">
        <w:rPr>
          <w:rFonts w:ascii="Times New Roman" w:hAnsi="Times New Roman"/>
          <w:sz w:val="28"/>
          <w:szCs w:val="28"/>
          <w:lang w:eastAsia="ru-RU"/>
        </w:rPr>
        <w:t>, процентов за пользование чужими денежными средствами</w:t>
      </w:r>
      <w:r w:rsidRPr="00D1277B">
        <w:rPr>
          <w:rFonts w:ascii="Times New Roman" w:hAnsi="Times New Roman"/>
          <w:sz w:val="28"/>
          <w:szCs w:val="28"/>
          <w:vertAlign w:val="superscript"/>
          <w:lang w:eastAsia="ru-RU"/>
        </w:rPr>
        <w:footnoteReference w:id="95"/>
      </w:r>
      <w:r w:rsidRPr="00D1277B">
        <w:rPr>
          <w:rFonts w:ascii="Times New Roman" w:hAnsi="Times New Roman"/>
          <w:sz w:val="28"/>
          <w:szCs w:val="28"/>
          <w:lang w:eastAsia="ru-RU"/>
        </w:rPr>
        <w:t>, требование потребителя о соразмерном уменьшении цены услуги</w:t>
      </w:r>
      <w:r w:rsidRPr="00D1277B">
        <w:rPr>
          <w:rFonts w:ascii="Times New Roman" w:hAnsi="Times New Roman"/>
          <w:sz w:val="28"/>
          <w:szCs w:val="28"/>
          <w:vertAlign w:val="superscript"/>
          <w:lang w:eastAsia="ru-RU"/>
        </w:rPr>
        <w:footnoteReference w:id="96"/>
      </w:r>
      <w:r w:rsidRPr="00D1277B">
        <w:rPr>
          <w:rFonts w:ascii="Times New Roman" w:hAnsi="Times New Roman"/>
          <w:sz w:val="28"/>
          <w:szCs w:val="28"/>
          <w:lang w:eastAsia="ru-RU"/>
        </w:rPr>
        <w:t xml:space="preserve"> .Для реализации большинства способов защиты требуется наличие определенных условий. Так, например, отказ от оплаты навязанных услуг, возможен только в случае, если потребитель  докажет, что имело место навязывание ему определенной услуги со стороны исполнителя в лице медицинской организации.</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 xml:space="preserve">Если говорить о таком способе защиты прав как самозащита, то в данном случае его применение  ограничивается отсутствием у потребителя-пациента специальных познаний в медицине. В качестве одной из форм самозащиты можно рассматривать отказ от медицинского вмешательства (например, не подписание согласия на медицинское вмешательство). Понуждение к заключению договора применяется при уклонении исполнителя от заключения публичного договора об оказании медицинских услуг. У пациента как потребителя в соответствии со статьей 723 Гражданского </w:t>
      </w:r>
      <w:r w:rsidRPr="00D1277B">
        <w:rPr>
          <w:rFonts w:ascii="Times New Roman" w:hAnsi="Times New Roman"/>
          <w:sz w:val="28"/>
          <w:szCs w:val="28"/>
          <w:lang w:eastAsia="ru-RU"/>
        </w:rPr>
        <w:lastRenderedPageBreak/>
        <w:t xml:space="preserve">кодекса РФ, а также статьей 29 Закона о защите прав потребителей есть право требования безвозмездного устранении недостатков, а также возмещения  расходов потребителя на устранение недостатков. Однако специфика медицинской сферы услуг заключается в том, что возможность устранения недостатков медицинской деятельность встречается крайне редко. Недостатки в медицинской услуге обычно приводят к повреждению здоровья и являются неустранимыми. Следовательно, практика предъявления указанных требований лапидарна .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 xml:space="preserve">Таким образом, можно наблюдать трудности в применении общегражданских способов защиты прав потребителя в сфере оказания медицинских услуг. Наиболее эффективными являются способы защиты, суть которых заключается в привлечении медицинской организации к гражданско-правовой ответственности, что позволяет пациенту-потребителю компенсировать понесенный вред, в то время как другие способы охраны прав потребителей медицинских услуг являются нецелесообразными. </w:t>
      </w:r>
    </w:p>
    <w:p w:rsidR="00D1277B" w:rsidRPr="00D1277B" w:rsidRDefault="00D1277B" w:rsidP="00E56B5C">
      <w:pPr>
        <w:spacing w:before="360" w:after="24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2. Доказательства при защите прав пациентов</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lang w:eastAsia="ru-RU"/>
        </w:rPr>
        <w:t xml:space="preserve">Проблемным вопросом в рамках защита прав пациентов является вопрос доказывания причинно-следственной связи между оказанными услугами и негативными последствиями. В связи с чем </w:t>
      </w:r>
      <w:r w:rsidRPr="00D1277B">
        <w:rPr>
          <w:rFonts w:ascii="Times New Roman" w:hAnsi="Times New Roman"/>
          <w:color w:val="000000"/>
          <w:sz w:val="28"/>
          <w:szCs w:val="28"/>
          <w:shd w:val="clear" w:color="auto" w:fill="FFFFFF"/>
          <w:lang w:eastAsia="ru-RU"/>
        </w:rPr>
        <w:t xml:space="preserve">необходимо уделить особое внимание вопросу сбора доказательственной базы. </w:t>
      </w:r>
    </w:p>
    <w:p w:rsidR="00D1277B" w:rsidRPr="00D1277B" w:rsidRDefault="00D1277B" w:rsidP="00D1277B">
      <w:pPr>
        <w:spacing w:after="0" w:line="240" w:lineRule="auto"/>
        <w:jc w:val="both"/>
        <w:rPr>
          <w:rFonts w:ascii="Times New Roman" w:hAnsi="Times New Roman"/>
          <w:color w:val="FF0000"/>
          <w:sz w:val="28"/>
          <w:szCs w:val="28"/>
          <w:lang w:eastAsia="ru-RU"/>
        </w:rPr>
      </w:pPr>
      <w:r w:rsidRPr="00D1277B">
        <w:rPr>
          <w:rFonts w:ascii="Times New Roman" w:hAnsi="Times New Roman"/>
          <w:color w:val="000000"/>
          <w:spacing w:val="4"/>
          <w:sz w:val="28"/>
          <w:szCs w:val="28"/>
          <w:shd w:val="clear" w:color="auto" w:fill="FFFFFF"/>
          <w:lang w:eastAsia="ru-RU"/>
        </w:rPr>
        <w:t xml:space="preserve">Для защиты права пациентов, в любом случае нужно доказать и обосновать то, что нарушение прав пациента действительно произошло со стороны медицинской организации или ее медицинского работника. </w:t>
      </w:r>
    </w:p>
    <w:p w:rsidR="00D1277B" w:rsidRPr="00D1277B" w:rsidRDefault="00D1277B" w:rsidP="00D1277B">
      <w:pPr>
        <w:spacing w:after="0" w:line="240" w:lineRule="auto"/>
        <w:jc w:val="both"/>
        <w:rPr>
          <w:rFonts w:ascii="Times New Roman" w:eastAsia="Times New Roman" w:hAnsi="Times New Roman"/>
          <w:color w:val="000000"/>
          <w:spacing w:val="4"/>
          <w:sz w:val="28"/>
          <w:szCs w:val="28"/>
          <w:shd w:val="clear" w:color="auto" w:fill="FFFFFF"/>
          <w:lang w:eastAsia="ru-RU"/>
        </w:rPr>
      </w:pPr>
      <w:r w:rsidRPr="00D1277B">
        <w:rPr>
          <w:rFonts w:ascii="Times New Roman" w:hAnsi="Times New Roman"/>
          <w:color w:val="000000"/>
          <w:sz w:val="28"/>
          <w:szCs w:val="28"/>
          <w:lang w:eastAsia="ru-RU"/>
        </w:rPr>
        <w:t>Обращаясь к информационному</w:t>
      </w:r>
      <w:r w:rsidRPr="00D1277B">
        <w:rPr>
          <w:rFonts w:ascii="Times New Roman" w:hAnsi="Times New Roman"/>
          <w:color w:val="000000"/>
          <w:spacing w:val="4"/>
          <w:sz w:val="28"/>
          <w:szCs w:val="28"/>
          <w:shd w:val="clear" w:color="auto" w:fill="FFFFFF"/>
          <w:lang w:eastAsia="ru-RU"/>
        </w:rPr>
        <w:t> </w:t>
      </w:r>
      <w:r w:rsidRPr="00D1277B">
        <w:rPr>
          <w:rFonts w:ascii="Times New Roman" w:eastAsia="Times New Roman" w:hAnsi="Times New Roman"/>
          <w:color w:val="000000"/>
          <w:spacing w:val="4"/>
          <w:sz w:val="28"/>
          <w:szCs w:val="28"/>
          <w:shd w:val="clear" w:color="auto" w:fill="FFFFFF"/>
          <w:lang w:eastAsia="ru-RU"/>
        </w:rPr>
        <w:t>письму Департамент здравоохранения г. Москвы</w:t>
      </w:r>
      <w:r w:rsidRPr="00D1277B">
        <w:rPr>
          <w:rFonts w:ascii="Times New Roman" w:eastAsia="Times New Roman" w:hAnsi="Times New Roman"/>
          <w:color w:val="000000"/>
          <w:sz w:val="28"/>
          <w:szCs w:val="28"/>
          <w:lang w:eastAsia="ru-RU"/>
        </w:rPr>
        <w:t xml:space="preserve"> </w:t>
      </w:r>
      <w:r w:rsidRPr="00D1277B">
        <w:rPr>
          <w:rFonts w:ascii="Times New Roman" w:eastAsia="Times New Roman" w:hAnsi="Times New Roman"/>
          <w:color w:val="000000"/>
          <w:spacing w:val="4"/>
          <w:sz w:val="28"/>
          <w:szCs w:val="28"/>
          <w:shd w:val="clear" w:color="auto" w:fill="FFFFFF"/>
          <w:lang w:eastAsia="ru-RU"/>
        </w:rPr>
        <w:t xml:space="preserve">№ 40-18-3112/14, </w:t>
      </w:r>
      <w:r w:rsidRPr="00D1277B">
        <w:rPr>
          <w:rFonts w:ascii="Times New Roman" w:hAnsi="Times New Roman"/>
          <w:color w:val="000000"/>
          <w:spacing w:val="4"/>
          <w:sz w:val="28"/>
          <w:szCs w:val="28"/>
          <w:shd w:val="clear" w:color="auto" w:fill="FFFFFF"/>
          <w:lang w:eastAsia="ru-RU"/>
        </w:rPr>
        <w:t xml:space="preserve"> мы видим указание на то, что </w:t>
      </w:r>
      <w:r w:rsidRPr="00D1277B">
        <w:rPr>
          <w:rFonts w:ascii="Times New Roman" w:eastAsia="Times New Roman" w:hAnsi="Times New Roman"/>
          <w:color w:val="000000"/>
          <w:spacing w:val="4"/>
          <w:sz w:val="28"/>
          <w:szCs w:val="28"/>
          <w:shd w:val="clear" w:color="auto" w:fill="FFFFFF"/>
          <w:lang w:eastAsia="ru-RU"/>
        </w:rPr>
        <w:t>медицинские документы являются основным источником информации при возникновении претензий со стороны пациентов и их представителей в случаях ненадлежащего оказания медицинской помощи или нарушения прав граждан.</w:t>
      </w:r>
      <w:r w:rsidRPr="00D1277B">
        <w:rPr>
          <w:rFonts w:ascii="Times New Roman" w:hAnsi="Times New Roman"/>
          <w:color w:val="000000"/>
          <w:spacing w:val="4"/>
          <w:sz w:val="28"/>
          <w:szCs w:val="28"/>
          <w:shd w:val="clear" w:color="auto" w:fill="FFFFFF"/>
          <w:lang w:eastAsia="ru-RU"/>
        </w:rPr>
        <w:t> Такие документы, в частности договор об оказании услуг, медицинская карта амбулаторного пациента, информированное добровольное согласие на медицинское вмешательство, полис обязательного медицинского страхования, медицинская карта стационарного больного, подтверждают наличие у пациента каких-либо заболевание, периодичность посещения им медицинских учреждений, наличие каких-либо оперативных вмешательств</w:t>
      </w:r>
      <w:r w:rsidRPr="00D1277B">
        <w:rPr>
          <w:rFonts w:ascii="Times New Roman" w:hAnsi="Times New Roman"/>
          <w:color w:val="000000"/>
          <w:spacing w:val="4"/>
          <w:sz w:val="28"/>
          <w:szCs w:val="28"/>
          <w:shd w:val="clear" w:color="auto" w:fill="FFFFFF"/>
          <w:vertAlign w:val="superscript"/>
          <w:lang w:eastAsia="ru-RU"/>
        </w:rPr>
        <w:footnoteReference w:id="97"/>
      </w:r>
      <w:r w:rsidRPr="00D1277B">
        <w:rPr>
          <w:rFonts w:ascii="Times New Roman" w:hAnsi="Times New Roman"/>
          <w:color w:val="000000"/>
          <w:spacing w:val="4"/>
          <w:sz w:val="28"/>
          <w:szCs w:val="28"/>
          <w:shd w:val="clear" w:color="auto" w:fill="FFFFFF"/>
          <w:lang w:eastAsia="ru-RU"/>
        </w:rPr>
        <w:t xml:space="preserve">. Также </w:t>
      </w:r>
      <w:r w:rsidRPr="00D1277B">
        <w:rPr>
          <w:rFonts w:ascii="Times New Roman" w:eastAsia="Times New Roman" w:hAnsi="Times New Roman"/>
          <w:color w:val="000000"/>
          <w:spacing w:val="4"/>
          <w:sz w:val="28"/>
          <w:szCs w:val="28"/>
          <w:shd w:val="clear" w:color="auto" w:fill="FFFFFF"/>
          <w:lang w:eastAsia="ru-RU"/>
        </w:rPr>
        <w:t xml:space="preserve">в медицинской документации отслеживается процесс развития заболевания и выбранная методика лечения. </w:t>
      </w:r>
    </w:p>
    <w:p w:rsidR="00D1277B" w:rsidRPr="00D1277B" w:rsidRDefault="00D1277B" w:rsidP="00D1277B">
      <w:pPr>
        <w:shd w:val="clear" w:color="auto" w:fill="FFFFFF"/>
        <w:spacing w:after="0" w:line="240" w:lineRule="auto"/>
        <w:jc w:val="both"/>
        <w:rPr>
          <w:rFonts w:ascii="Times New Roman" w:eastAsia="Times New Roman" w:hAnsi="Times New Roman"/>
          <w:bCs/>
          <w:color w:val="000000"/>
          <w:kern w:val="36"/>
          <w:sz w:val="28"/>
          <w:szCs w:val="28"/>
          <w:shd w:val="clear" w:color="auto" w:fill="FFFFFF"/>
          <w:lang w:eastAsia="ru-RU"/>
        </w:rPr>
      </w:pPr>
      <w:r w:rsidRPr="00D1277B">
        <w:rPr>
          <w:rFonts w:ascii="Times New Roman" w:eastAsia="Times New Roman" w:hAnsi="Times New Roman"/>
          <w:bCs/>
          <w:color w:val="000000"/>
          <w:spacing w:val="4"/>
          <w:kern w:val="36"/>
          <w:sz w:val="28"/>
          <w:szCs w:val="28"/>
          <w:shd w:val="clear" w:color="auto" w:fill="FFFFFF"/>
          <w:lang w:eastAsia="ru-RU"/>
        </w:rPr>
        <w:t xml:space="preserve">Договор об оказании услуг подтверждает факт выполнения услуги. В его отсутствие крайне сложно доказать наличие между потребителем и исполнителем каких-либо правоотношений. Примером того, насколько </w:t>
      </w:r>
      <w:r w:rsidRPr="00D1277B">
        <w:rPr>
          <w:rFonts w:ascii="Times New Roman" w:eastAsia="Times New Roman" w:hAnsi="Times New Roman"/>
          <w:bCs/>
          <w:color w:val="000000"/>
          <w:spacing w:val="4"/>
          <w:kern w:val="36"/>
          <w:sz w:val="28"/>
          <w:szCs w:val="28"/>
          <w:shd w:val="clear" w:color="auto" w:fill="FFFFFF"/>
          <w:lang w:eastAsia="ru-RU"/>
        </w:rPr>
        <w:lastRenderedPageBreak/>
        <w:t xml:space="preserve">необходимо заключение подобных договоров является следующие решение. </w:t>
      </w:r>
      <w:r w:rsidRPr="00D1277B">
        <w:rPr>
          <w:rFonts w:ascii="Times New Roman" w:eastAsia="Times New Roman" w:hAnsi="Times New Roman"/>
          <w:bCs/>
          <w:color w:val="000000"/>
          <w:kern w:val="36"/>
          <w:sz w:val="28"/>
          <w:szCs w:val="28"/>
          <w:lang w:eastAsia="ru-RU"/>
        </w:rPr>
        <w:t xml:space="preserve">Заказчик (пациент) обратился к исполнителю (целителю) в целях восстановления здоровья, так как до этого перенес ишемический инсульт. Целитель осуществляла предпринимательскую деятельность и предложила истцу свои услуги </w:t>
      </w:r>
      <w:r w:rsidRPr="00D1277B">
        <w:rPr>
          <w:rFonts w:ascii="Times New Roman" w:eastAsia="Times New Roman" w:hAnsi="Times New Roman"/>
          <w:bCs/>
          <w:color w:val="000000"/>
          <w:kern w:val="36"/>
          <w:sz w:val="28"/>
          <w:szCs w:val="28"/>
          <w:shd w:val="clear" w:color="auto" w:fill="FFFFFF"/>
          <w:lang w:eastAsia="ru-RU"/>
        </w:rPr>
        <w:t xml:space="preserve">в виде нетрадиционного лечения за плату, которую он выплачивал частями. После того как заказчик (пациент) передал основную часть суммы исполнитель сменила место осуществления своей деятельности. Заказчик (пациент) не заметил каких-либо существенных изменений в состоянии своего здоровья и обратился в суд с иском о возврате денежных средств. Но так как у истца отсутствовали какие-либо доказательства об оказании ему платных услуг  (договор, квитанции об оплате) суд отказал в удовлетворении требований. Истец предоставил видеозапись, которая, по его мнению, сможет доказать факт передачи денежных средств в счет оказанных услуг, но суд счел, что эти доказательства не отвечают требованиям относимости и допустимости и не стал их рассматривать в качестве таковых </w:t>
      </w:r>
      <w:r w:rsidRPr="00D1277B">
        <w:rPr>
          <w:rFonts w:ascii="Times New Roman" w:eastAsia="Times New Roman" w:hAnsi="Times New Roman"/>
          <w:bCs/>
          <w:color w:val="000000"/>
          <w:kern w:val="36"/>
          <w:sz w:val="28"/>
          <w:szCs w:val="28"/>
          <w:lang w:eastAsia="ru-RU"/>
        </w:rPr>
        <w:t>решение по иску потребителя к исполнителю, которым являлся целитель</w:t>
      </w:r>
      <w:r w:rsidRPr="00D1277B">
        <w:rPr>
          <w:rFonts w:ascii="Times New Roman" w:eastAsia="Times New Roman" w:hAnsi="Times New Roman"/>
          <w:bCs/>
          <w:color w:val="000000"/>
          <w:kern w:val="36"/>
          <w:sz w:val="28"/>
          <w:szCs w:val="28"/>
          <w:vertAlign w:val="superscript"/>
          <w:lang w:eastAsia="ru-RU"/>
        </w:rPr>
        <w:footnoteReference w:id="98"/>
      </w:r>
      <w:r w:rsidRPr="00D1277B">
        <w:rPr>
          <w:rFonts w:ascii="Times New Roman" w:eastAsia="Times New Roman" w:hAnsi="Times New Roman"/>
          <w:bCs/>
          <w:color w:val="000000"/>
          <w:kern w:val="36"/>
          <w:sz w:val="28"/>
          <w:szCs w:val="28"/>
          <w:lang w:eastAsia="ru-RU"/>
        </w:rPr>
        <w:t>.</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 xml:space="preserve">Данный спор подтверждает необходимость заключения  договора. </w:t>
      </w:r>
      <w:r w:rsidRPr="00D1277B">
        <w:rPr>
          <w:rFonts w:ascii="Times New Roman" w:eastAsia="Times New Roman" w:hAnsi="Times New Roman"/>
          <w:color w:val="000000"/>
          <w:sz w:val="28"/>
          <w:szCs w:val="28"/>
          <w:shd w:val="clear" w:color="auto" w:fill="FFFFFF"/>
          <w:lang w:eastAsia="ru-RU"/>
        </w:rPr>
        <w:t>В договоре необходимо подробно указать стоимость и порядок оплаты платных медицинских услуг. Пациенту (потребителю) важна информация об ориентировочной и окончательной стоимости лечения, об оплате услуг в Определенная стоимость услуги устанавливается в соответствии с предварительным планом лечения и утвержденным прейскурантом цен, действующим на момент подписания договора. Лечение устанавливается после проведения дополнительных методов обследования, установления заболевания.  Также договор на оказание платных медицинских услуг обязательно должен содержать срок оказания услуги, который не тождественен сроку действия договора и срокам лечения пациента. Срок выполнения платных медицинских услуг как дата визита могут определяться по соглашению сторон в договоре. Одним из основных условий договора являются права и обязанности потребителя и исполнителя. Это поможет в дальнейшем обезопасить и защитить пациента в случае оказания некачественных медицинских услуг, недобросовестного поведения со стороны исполнителя.</w:t>
      </w:r>
    </w:p>
    <w:p w:rsidR="00D1277B" w:rsidRPr="00D1277B" w:rsidRDefault="00D1277B" w:rsidP="00D1277B">
      <w:pPr>
        <w:spacing w:after="0" w:line="240" w:lineRule="auto"/>
        <w:jc w:val="both"/>
        <w:rPr>
          <w:rFonts w:ascii="Times New Roman" w:hAnsi="Times New Roman"/>
          <w:color w:val="000000"/>
          <w:spacing w:val="4"/>
          <w:sz w:val="28"/>
          <w:szCs w:val="28"/>
          <w:shd w:val="clear" w:color="auto" w:fill="FFFFFF"/>
          <w:lang w:eastAsia="ru-RU"/>
        </w:rPr>
      </w:pPr>
      <w:r w:rsidRPr="00D1277B">
        <w:rPr>
          <w:rFonts w:ascii="Times New Roman" w:eastAsia="Times New Roman" w:hAnsi="Times New Roman"/>
          <w:color w:val="000000"/>
          <w:spacing w:val="4"/>
          <w:sz w:val="28"/>
          <w:szCs w:val="28"/>
          <w:shd w:val="clear" w:color="auto" w:fill="FFFFFF"/>
          <w:lang w:eastAsia="ru-RU"/>
        </w:rPr>
        <w:t>Самым важным для защиты пациентом своих прав является то, что медицинская документация позволяет проследить взаимосвязь действий и последствий оказанной медицинской помощи, то есть доказать прямую причинно-следственную связь между оказанной лечением пациента и причиненным ему вредом.</w:t>
      </w:r>
      <w:r w:rsidRPr="00D1277B">
        <w:rPr>
          <w:rFonts w:ascii="Times New Roman" w:hAnsi="Times New Roman"/>
          <w:color w:val="000000"/>
          <w:spacing w:val="4"/>
          <w:sz w:val="28"/>
          <w:szCs w:val="28"/>
          <w:shd w:val="clear" w:color="auto" w:fill="FFFFFF"/>
          <w:lang w:eastAsia="ru-RU"/>
        </w:rPr>
        <w:t> </w:t>
      </w:r>
    </w:p>
    <w:p w:rsidR="00D1277B" w:rsidRPr="00D1277B" w:rsidRDefault="00D1277B" w:rsidP="00D1277B">
      <w:pPr>
        <w:shd w:val="clear" w:color="auto" w:fill="FFFFFF"/>
        <w:spacing w:after="0" w:line="240" w:lineRule="auto"/>
        <w:jc w:val="both"/>
        <w:rPr>
          <w:rFonts w:ascii="Times New Roman" w:eastAsia="Times New Roman" w:hAnsi="Times New Roman"/>
          <w:bCs/>
          <w:color w:val="000000"/>
          <w:spacing w:val="4"/>
          <w:kern w:val="36"/>
          <w:sz w:val="28"/>
          <w:szCs w:val="28"/>
          <w:shd w:val="clear" w:color="auto" w:fill="FFFFFF"/>
          <w:lang w:eastAsia="ru-RU"/>
        </w:rPr>
      </w:pPr>
      <w:r w:rsidRPr="00D1277B">
        <w:rPr>
          <w:rFonts w:ascii="Times New Roman" w:eastAsia="Times New Roman" w:hAnsi="Times New Roman"/>
          <w:bCs/>
          <w:color w:val="000000"/>
          <w:spacing w:val="4"/>
          <w:kern w:val="36"/>
          <w:sz w:val="28"/>
          <w:szCs w:val="28"/>
          <w:shd w:val="clear" w:color="auto" w:fill="FFFFFF"/>
          <w:lang w:eastAsia="ru-RU"/>
        </w:rPr>
        <w:t xml:space="preserve">Исходя из анализа судебной практики именно с доказыванием этой связи у пострадавших пациентов возникают трудности. Иногда даже при наличии таких документов как договор об оказании платных медицинских услуг, а </w:t>
      </w:r>
      <w:r w:rsidRPr="00D1277B">
        <w:rPr>
          <w:rFonts w:ascii="Times New Roman" w:eastAsia="Times New Roman" w:hAnsi="Times New Roman"/>
          <w:bCs/>
          <w:color w:val="000000"/>
          <w:spacing w:val="4"/>
          <w:kern w:val="36"/>
          <w:sz w:val="28"/>
          <w:szCs w:val="28"/>
          <w:shd w:val="clear" w:color="auto" w:fill="FFFFFF"/>
          <w:lang w:eastAsia="ru-RU"/>
        </w:rPr>
        <w:lastRenderedPageBreak/>
        <w:t>также амбулаторных карт в качестве дополнительного доказательства, не всегда удается убедить суд в виновности медицинской организации.</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pacing w:val="4"/>
          <w:sz w:val="28"/>
          <w:szCs w:val="28"/>
          <w:shd w:val="clear" w:color="auto" w:fill="FFFFFF"/>
          <w:lang w:eastAsia="ru-RU"/>
        </w:rPr>
        <w:t xml:space="preserve">Показательным является следующее решение по делу. </w:t>
      </w:r>
      <w:r w:rsidRPr="00D1277B">
        <w:rPr>
          <w:rFonts w:ascii="Times New Roman" w:hAnsi="Times New Roman"/>
          <w:color w:val="000000"/>
          <w:sz w:val="28"/>
          <w:szCs w:val="28"/>
          <w:shd w:val="clear" w:color="auto" w:fill="FFFFFF"/>
          <w:lang w:eastAsia="ru-RU"/>
        </w:rPr>
        <w:t xml:space="preserve">Пациент обратился с </w:t>
      </w:r>
      <w:r w:rsidRPr="00D1277B">
        <w:rPr>
          <w:rFonts w:ascii="Times New Roman" w:hAnsi="Times New Roman"/>
          <w:color w:val="000000"/>
          <w:sz w:val="28"/>
          <w:szCs w:val="28"/>
          <w:lang w:eastAsia="ru-RU"/>
        </w:rPr>
        <w:t xml:space="preserve">требования о </w:t>
      </w:r>
      <w:r w:rsidRPr="00D1277B">
        <w:rPr>
          <w:rFonts w:ascii="Times New Roman" w:hAnsi="Times New Roman"/>
          <w:color w:val="000000"/>
          <w:sz w:val="28"/>
          <w:szCs w:val="28"/>
          <w:shd w:val="clear" w:color="auto" w:fill="FFFFFF"/>
          <w:lang w:eastAsia="ru-RU"/>
        </w:rPr>
        <w:t>расторжении договора оказания услуг (установление зубов), взыскания денежных средств по договору, штрафа, компенсации морального вреда ввиду следующего. Истцу была оказана медицинская услуга по установлению зубов. Через два дня после установки на нижнем «мосту» произошел скол двух зубов. В связи с дискомфортом и болевыми ощущениями истец полагает, что </w:t>
      </w:r>
      <w:r w:rsidRPr="00D1277B">
        <w:rPr>
          <w:rFonts w:ascii="Times New Roman" w:hAnsi="Times New Roman"/>
          <w:bCs/>
          <w:color w:val="000000"/>
          <w:sz w:val="28"/>
          <w:szCs w:val="28"/>
          <w:bdr w:val="none" w:sz="0" w:space="0" w:color="auto" w:frame="1"/>
          <w:shd w:val="clear" w:color="auto" w:fill="FFFFFF"/>
          <w:lang w:eastAsia="ru-RU"/>
        </w:rPr>
        <w:t>медицинские услуги </w:t>
      </w:r>
      <w:r w:rsidRPr="00D1277B">
        <w:rPr>
          <w:rFonts w:ascii="Times New Roman" w:hAnsi="Times New Roman"/>
          <w:color w:val="000000"/>
          <w:sz w:val="28"/>
          <w:szCs w:val="28"/>
          <w:shd w:val="clear" w:color="auto" w:fill="FFFFFF"/>
          <w:lang w:eastAsia="ru-RU"/>
        </w:rPr>
        <w:t xml:space="preserve">ответчиком были оказаны ненадлежащим образом. В качестве доказательств предъявлены </w:t>
      </w:r>
      <w:r w:rsidRPr="00D1277B">
        <w:rPr>
          <w:rFonts w:ascii="Times New Roman" w:hAnsi="Times New Roman"/>
          <w:color w:val="000000"/>
          <w:sz w:val="28"/>
          <w:szCs w:val="28"/>
          <w:lang w:eastAsia="ru-RU"/>
        </w:rPr>
        <w:t xml:space="preserve">договор оказания стоматологических услуг, чеки об оплате оказанных услуг. Тем не менее суд отказал в удовлетворении исковых требований, ссылаясь на то, что </w:t>
      </w:r>
      <w:r w:rsidRPr="00D1277B">
        <w:rPr>
          <w:rFonts w:ascii="Times New Roman" w:hAnsi="Times New Roman"/>
          <w:color w:val="000000"/>
          <w:sz w:val="28"/>
          <w:szCs w:val="28"/>
          <w:shd w:val="clear" w:color="auto" w:fill="FFFFFF"/>
          <w:lang w:eastAsia="ru-RU"/>
        </w:rPr>
        <w:t>доводы истца о некачественно оказанной </w:t>
      </w:r>
      <w:r w:rsidRPr="00D1277B">
        <w:rPr>
          <w:rFonts w:ascii="Times New Roman" w:hAnsi="Times New Roman"/>
          <w:bCs/>
          <w:color w:val="000000"/>
          <w:sz w:val="28"/>
          <w:szCs w:val="28"/>
          <w:bdr w:val="none" w:sz="0" w:space="0" w:color="auto" w:frame="1"/>
          <w:shd w:val="clear" w:color="auto" w:fill="FFFFFF"/>
          <w:lang w:eastAsia="ru-RU"/>
        </w:rPr>
        <w:t>медицинской </w:t>
      </w:r>
      <w:r w:rsidRPr="00D1277B">
        <w:rPr>
          <w:rFonts w:ascii="Times New Roman" w:hAnsi="Times New Roman"/>
          <w:color w:val="000000"/>
          <w:sz w:val="28"/>
          <w:szCs w:val="28"/>
          <w:shd w:val="clear" w:color="auto" w:fill="FFFFFF"/>
          <w:lang w:eastAsia="ru-RU"/>
        </w:rPr>
        <w:t>помощи не нашли своего подтверждения, в виду того, что пациента не явилась на прием, что не позволило врачам завершить протезирование. Этот факт также был подтвержден заключением судебно-медицинской экспертизы</w:t>
      </w:r>
      <w:r w:rsidRPr="00D1277B">
        <w:rPr>
          <w:rFonts w:ascii="Times New Roman" w:hAnsi="Times New Roman"/>
          <w:color w:val="000000"/>
          <w:sz w:val="28"/>
          <w:szCs w:val="28"/>
          <w:shd w:val="clear" w:color="auto" w:fill="FFFFFF"/>
          <w:vertAlign w:val="superscript"/>
          <w:lang w:eastAsia="ru-RU"/>
        </w:rPr>
        <w:footnoteReference w:id="99"/>
      </w:r>
      <w:r w:rsidRPr="00D1277B">
        <w:rPr>
          <w:rFonts w:ascii="Times New Roman" w:hAnsi="Times New Roman"/>
          <w:color w:val="000000"/>
          <w:sz w:val="28"/>
          <w:szCs w:val="28"/>
          <w:shd w:val="clear" w:color="auto" w:fill="FFFFFF"/>
          <w:lang w:eastAsia="ru-RU"/>
        </w:rPr>
        <w:t>.</w:t>
      </w:r>
    </w:p>
    <w:p w:rsidR="00D1277B" w:rsidRPr="00D1277B" w:rsidRDefault="00D1277B" w:rsidP="00D1277B">
      <w:pPr>
        <w:shd w:val="clear" w:color="auto" w:fill="FFFFFF"/>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lang w:eastAsia="ru-RU"/>
        </w:rPr>
        <w:t xml:space="preserve">В качестве следующего примера рассмотрим </w:t>
      </w:r>
      <w:r w:rsidRPr="00D1277B">
        <w:rPr>
          <w:rFonts w:ascii="Times New Roman" w:hAnsi="Times New Roman"/>
          <w:bCs/>
          <w:color w:val="000000"/>
          <w:kern w:val="36"/>
          <w:sz w:val="28"/>
          <w:szCs w:val="28"/>
          <w:lang w:eastAsia="ru-RU"/>
        </w:rPr>
        <w:t>решение п</w:t>
      </w:r>
      <w:r w:rsidRPr="00D1277B">
        <w:rPr>
          <w:rFonts w:ascii="Times New Roman" w:hAnsi="Times New Roman"/>
          <w:color w:val="000000"/>
          <w:sz w:val="28"/>
          <w:szCs w:val="28"/>
          <w:shd w:val="clear" w:color="auto" w:fill="FFFFFF"/>
          <w:lang w:eastAsia="ru-RU"/>
        </w:rPr>
        <w:t>о иску ВИМ к КГБУЗ «Станция скорой </w:t>
      </w:r>
      <w:r w:rsidRPr="00D1277B">
        <w:rPr>
          <w:rFonts w:ascii="Times New Roman" w:hAnsi="Times New Roman"/>
          <w:bCs/>
          <w:color w:val="000000"/>
          <w:sz w:val="28"/>
          <w:szCs w:val="28"/>
          <w:bdr w:val="none" w:sz="0" w:space="0" w:color="auto" w:frame="1"/>
          <w:shd w:val="clear" w:color="auto" w:fill="FFFFFF"/>
          <w:lang w:eastAsia="ru-RU"/>
        </w:rPr>
        <w:t>медицинской </w:t>
      </w:r>
      <w:r w:rsidRPr="00D1277B">
        <w:rPr>
          <w:rFonts w:ascii="Times New Roman" w:hAnsi="Times New Roman"/>
          <w:color w:val="000000"/>
          <w:sz w:val="28"/>
          <w:szCs w:val="28"/>
          <w:shd w:val="clear" w:color="auto" w:fill="FFFFFF"/>
          <w:lang w:eastAsia="ru-RU"/>
        </w:rPr>
        <w:t>помощи г. Владивостока» (далее по тексту – СМП) о защите прав потребителей, взыскании расходов на погребение, компенсации морального вреда, штрафа</w:t>
      </w:r>
      <w:r w:rsidRPr="00D1277B">
        <w:rPr>
          <w:rFonts w:ascii="Times New Roman" w:hAnsi="Times New Roman"/>
          <w:color w:val="000000"/>
          <w:sz w:val="28"/>
          <w:szCs w:val="28"/>
          <w:shd w:val="clear" w:color="auto" w:fill="FFFFFF"/>
          <w:vertAlign w:val="superscript"/>
          <w:lang w:eastAsia="ru-RU"/>
        </w:rPr>
        <w:footnoteReference w:id="100"/>
      </w:r>
      <w:r w:rsidRPr="00D1277B">
        <w:rPr>
          <w:rFonts w:ascii="Times New Roman" w:hAnsi="Times New Roman"/>
          <w:color w:val="000000"/>
          <w:sz w:val="28"/>
          <w:szCs w:val="28"/>
          <w:shd w:val="clear" w:color="auto" w:fill="FFFFFF"/>
          <w:lang w:eastAsia="ru-RU"/>
        </w:rPr>
        <w:t>. Истец считает, что действиями сотрудников СМП был причинен вред здоровью ее сына и, как следствие, его смерть. Сыну Истца стало плохо: он упал, потерял сознание, возникли затруднения дыхания. Ею была вызвана скорая помощь, которая ввела пациенту два укола в шею, после чего тот начал задыхаться, синеть, пошла кровь изо рта и носа. После приехала вторая бригада, сотрудникам которой удалось вставить в ротовую полость пациенту трубку. Пациент умер в результате неверного определения диагноза и некачественного оказания </w:t>
      </w:r>
      <w:r w:rsidRPr="00D1277B">
        <w:rPr>
          <w:rFonts w:ascii="Times New Roman" w:hAnsi="Times New Roman"/>
          <w:bCs/>
          <w:color w:val="000000"/>
          <w:sz w:val="28"/>
          <w:szCs w:val="28"/>
          <w:bdr w:val="none" w:sz="0" w:space="0" w:color="auto" w:frame="1"/>
          <w:shd w:val="clear" w:color="auto" w:fill="FFFFFF"/>
          <w:lang w:eastAsia="ru-RU"/>
        </w:rPr>
        <w:t>медицинской </w:t>
      </w:r>
      <w:r w:rsidRPr="00D1277B">
        <w:rPr>
          <w:rFonts w:ascii="Times New Roman" w:hAnsi="Times New Roman"/>
          <w:color w:val="000000"/>
          <w:sz w:val="28"/>
          <w:szCs w:val="28"/>
          <w:shd w:val="clear" w:color="auto" w:fill="FFFFFF"/>
          <w:lang w:eastAsia="ru-RU"/>
        </w:rPr>
        <w:t>помощи на месте. В результате не доставления его в </w:t>
      </w:r>
      <w:r w:rsidRPr="00D1277B">
        <w:rPr>
          <w:rFonts w:ascii="Times New Roman" w:hAnsi="Times New Roman"/>
          <w:bCs/>
          <w:color w:val="000000"/>
          <w:sz w:val="28"/>
          <w:szCs w:val="28"/>
          <w:bdr w:val="none" w:sz="0" w:space="0" w:color="auto" w:frame="1"/>
          <w:shd w:val="clear" w:color="auto" w:fill="FFFFFF"/>
          <w:lang w:eastAsia="ru-RU"/>
        </w:rPr>
        <w:t>медицинское </w:t>
      </w:r>
      <w:r w:rsidRPr="00D1277B">
        <w:rPr>
          <w:rFonts w:ascii="Times New Roman" w:hAnsi="Times New Roman"/>
          <w:color w:val="000000"/>
          <w:sz w:val="28"/>
          <w:szCs w:val="28"/>
          <w:shd w:val="clear" w:color="auto" w:fill="FFFFFF"/>
          <w:lang w:eastAsia="ru-RU"/>
        </w:rPr>
        <w:t>учреждение наступила смерть пациента. Однако судом в удовлетворении исковых требований было отказано. Свое решение он основывал на заключении экспертной комиссии, которая не усмотрела причинно-следственной связи между действиями врачей КГБУЗ «СМП г. Владивостока» при оказании </w:t>
      </w:r>
      <w:r w:rsidRPr="00D1277B">
        <w:rPr>
          <w:rFonts w:ascii="Times New Roman" w:hAnsi="Times New Roman"/>
          <w:bCs/>
          <w:color w:val="000000"/>
          <w:sz w:val="28"/>
          <w:szCs w:val="28"/>
          <w:bdr w:val="none" w:sz="0" w:space="0" w:color="auto" w:frame="1"/>
          <w:shd w:val="clear" w:color="auto" w:fill="FFFFFF"/>
          <w:lang w:eastAsia="ru-RU"/>
        </w:rPr>
        <w:t>медицинской </w:t>
      </w:r>
      <w:r w:rsidRPr="00D1277B">
        <w:rPr>
          <w:rFonts w:ascii="Times New Roman" w:hAnsi="Times New Roman"/>
          <w:color w:val="000000"/>
          <w:sz w:val="28"/>
          <w:szCs w:val="28"/>
          <w:shd w:val="clear" w:color="auto" w:fill="FFFFFF"/>
          <w:lang w:eastAsia="ru-RU"/>
        </w:rPr>
        <w:t xml:space="preserve">помощи сыну Истца и его смертью. </w:t>
      </w:r>
    </w:p>
    <w:p w:rsidR="00D1277B" w:rsidRPr="00D1277B" w:rsidRDefault="00D1277B" w:rsidP="00D1277B">
      <w:pPr>
        <w:shd w:val="clear" w:color="auto" w:fill="FFFFFF"/>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Отсюда можно сделать вывод, что при обращении в какую-либо медицинскую организацию или к частному лицу за оказанием медицинских, косметологических, стоматологических и т.д. услуг необходимо заключать договоры ( если услуги платные), сохранять все чеки и любую полученную медицинскую документацию. Особое внимание нужно уделять медицинской карте, так как в ней содержится наибольшее количество сведений о заболеваниях, посещении  врачей и т.д.</w:t>
      </w:r>
    </w:p>
    <w:p w:rsidR="00D1277B" w:rsidRPr="00D1277B" w:rsidRDefault="00D1277B" w:rsidP="00E56B5C">
      <w:pPr>
        <w:shd w:val="clear" w:color="auto" w:fill="FFFFFF"/>
        <w:spacing w:after="24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shd w:val="clear" w:color="auto" w:fill="FFFFFF"/>
          <w:lang w:eastAsia="ru-RU"/>
        </w:rPr>
        <w:lastRenderedPageBreak/>
        <w:t xml:space="preserve"> </w:t>
      </w:r>
      <w:r w:rsidRPr="00D1277B">
        <w:rPr>
          <w:rFonts w:ascii="Times New Roman" w:hAnsi="Times New Roman"/>
          <w:color w:val="000000"/>
          <w:sz w:val="28"/>
          <w:szCs w:val="28"/>
          <w:lang w:eastAsia="ru-RU"/>
        </w:rPr>
        <w:t>3. Судебно-медицинская экспертиза как доказательство при защите прав пациентов</w:t>
      </w:r>
    </w:p>
    <w:p w:rsidR="00D1277B" w:rsidRPr="00D1277B" w:rsidRDefault="00D1277B" w:rsidP="00D1277B">
      <w:pPr>
        <w:shd w:val="clear" w:color="auto" w:fill="FFFFFF"/>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Для определения причинно-следственной связи между действиями медицинских работников и наступившими вредными последствиями здоровью пациента, степень тяжести причинённого вреда, суды по общему правилу</w:t>
      </w:r>
      <w:r w:rsidRPr="00D1277B">
        <w:rPr>
          <w:rFonts w:ascii="Times New Roman" w:hAnsi="Times New Roman"/>
          <w:color w:val="000000"/>
          <w:sz w:val="28"/>
          <w:szCs w:val="28"/>
          <w:shd w:val="clear" w:color="auto" w:fill="FFFFFF"/>
          <w:lang w:eastAsia="ru-RU"/>
        </w:rPr>
        <w:t xml:space="preserve"> назначают </w:t>
      </w:r>
      <w:r w:rsidRPr="00D1277B">
        <w:rPr>
          <w:rFonts w:ascii="Times New Roman" w:hAnsi="Times New Roman"/>
          <w:color w:val="000000"/>
          <w:sz w:val="28"/>
          <w:szCs w:val="28"/>
          <w:lang w:eastAsia="ru-RU"/>
        </w:rPr>
        <w:t>судебно-медицинскую экспертизу.</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lang w:eastAsia="ru-RU"/>
        </w:rPr>
      </w:pPr>
      <w:r w:rsidRPr="00D1277B">
        <w:rPr>
          <w:rFonts w:ascii="Times New Roman" w:eastAsia="Times New Roman" w:hAnsi="Times New Roman"/>
          <w:color w:val="000000"/>
          <w:sz w:val="28"/>
          <w:szCs w:val="28"/>
          <w:shd w:val="clear" w:color="auto" w:fill="FFFFFF"/>
          <w:lang w:eastAsia="ru-RU"/>
        </w:rPr>
        <w:t>Судебно-медицинская экспертиза является одним из множества видов экспертиз. Она состоит в проведении научно-практического исследования по медицинским и медико-биологическим вопросам. Порядок ее проведения регулируется Федеральным законом от 31.05.2001 № 73-ФЗ «О государственной судебно-экспертной деятельности в Российской Федерации». Она является основным доказательством при рассмотрении дел по защите прав пациентов. Подобная экспертиза имеет двойственный характер. С одной стороны экспертиза призвана обеспечить соблюдение конституционных прав граждан на жизнь, охрану здоровья и медицинскую помощь. А с другой стороны она позволяет защитить медицинских работников от необоснованного обвинения со стороны пациентов.</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lang w:eastAsia="ru-RU"/>
        </w:rPr>
      </w:pPr>
      <w:r w:rsidRPr="00D1277B">
        <w:rPr>
          <w:rFonts w:ascii="Times New Roman" w:eastAsia="Times New Roman" w:hAnsi="Times New Roman"/>
          <w:color w:val="000000"/>
          <w:sz w:val="28"/>
          <w:szCs w:val="28"/>
          <w:shd w:val="clear" w:color="auto" w:fill="FFFFFF"/>
          <w:lang w:eastAsia="ru-RU"/>
        </w:rPr>
        <w:t>Практическая сложность при разрешении дел, связанных с причинением вреда здоровью пациента медицинскими организациями, как результат ненадлежащего исполнения медицинскими сотрудниками своих обязанностей, существует вследствие необходимости установления причинно-следственной связи.</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lang w:eastAsia="ru-RU"/>
        </w:rPr>
      </w:pPr>
      <w:r w:rsidRPr="00D1277B">
        <w:rPr>
          <w:rFonts w:ascii="Times New Roman" w:eastAsia="Times New Roman" w:hAnsi="Times New Roman"/>
          <w:color w:val="000000"/>
          <w:sz w:val="28"/>
          <w:szCs w:val="28"/>
          <w:shd w:val="clear" w:color="auto" w:fill="FFFFFF"/>
          <w:lang w:eastAsia="ru-RU"/>
        </w:rPr>
        <w:t>Одной из проблем при рассмотрении дел о защите прав пациентов является то, что эксперты и суды могут неправильно установить связь между действиями медицинских работников и негативными последствиями.</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lang w:eastAsia="ru-RU"/>
        </w:rPr>
      </w:pPr>
      <w:r w:rsidRPr="00D1277B">
        <w:rPr>
          <w:rFonts w:ascii="Times New Roman" w:eastAsia="Times New Roman" w:hAnsi="Times New Roman"/>
          <w:color w:val="000000"/>
          <w:sz w:val="28"/>
          <w:szCs w:val="28"/>
          <w:shd w:val="clear" w:color="auto" w:fill="FFFFFF"/>
          <w:lang w:eastAsia="ru-RU"/>
        </w:rPr>
        <w:t xml:space="preserve">Также в качестве проблемы проведения качественной судебно-медицинский экспертизы можно выделить недостаточную квалификацию экспертов, которые ее осуществляют. </w:t>
      </w:r>
    </w:p>
    <w:p w:rsidR="00D1277B" w:rsidRPr="00D1277B" w:rsidRDefault="00D1277B" w:rsidP="00D1277B">
      <w:pPr>
        <w:spacing w:after="0" w:line="240" w:lineRule="auto"/>
        <w:jc w:val="both"/>
        <w:rPr>
          <w:rFonts w:ascii="Times New Roman" w:eastAsia="Times New Roman" w:hAnsi="Times New Roman"/>
          <w:sz w:val="24"/>
          <w:szCs w:val="24"/>
          <w:lang w:eastAsia="ru-RU"/>
        </w:rPr>
      </w:pPr>
      <w:r w:rsidRPr="00D1277B">
        <w:rPr>
          <w:rFonts w:ascii="Times New Roman" w:eastAsia="Times New Roman" w:hAnsi="Times New Roman"/>
          <w:color w:val="000000"/>
          <w:sz w:val="28"/>
          <w:szCs w:val="28"/>
          <w:shd w:val="clear" w:color="auto" w:fill="FFFFFF"/>
          <w:lang w:eastAsia="ru-RU"/>
        </w:rPr>
        <w:t>Коррупционное составляющее имеет место на практике при проведении экспертизы</w:t>
      </w:r>
      <w:r w:rsidRPr="00D1277B">
        <w:rPr>
          <w:rFonts w:ascii="Times New Roman" w:eastAsia="Times New Roman" w:hAnsi="Times New Roman"/>
          <w:color w:val="000000"/>
          <w:sz w:val="28"/>
          <w:szCs w:val="28"/>
          <w:shd w:val="clear" w:color="auto" w:fill="FFFFFF"/>
          <w:vertAlign w:val="superscript"/>
          <w:lang w:eastAsia="ru-RU"/>
        </w:rPr>
        <w:footnoteReference w:id="101"/>
      </w:r>
      <w:r w:rsidRPr="00D1277B">
        <w:rPr>
          <w:rFonts w:ascii="Times New Roman" w:hAnsi="Times New Roman"/>
          <w:color w:val="000000"/>
          <w:sz w:val="28"/>
          <w:szCs w:val="28"/>
          <w:lang w:eastAsia="ru-RU"/>
        </w:rPr>
        <w:t>. Снисходительное отношение граждан к коррупционным проявлениям за собой порождает коррупцию в сфере судебно-экспертной деятельности, вовлечение должностных лиц судебно-экспертных учреждений в экономические конфликты и преступные деяния. При этом предлагать взятки могут как потребители (пациенты), так и медицинские учреждения.</w:t>
      </w:r>
    </w:p>
    <w:p w:rsidR="00D1277B" w:rsidRPr="00D1277B" w:rsidRDefault="00D1277B" w:rsidP="00D1277B">
      <w:pPr>
        <w:spacing w:after="0" w:line="240" w:lineRule="auto"/>
        <w:jc w:val="both"/>
        <w:rPr>
          <w:rFonts w:ascii="Times New Roman" w:eastAsia="Times New Roman" w:hAnsi="Times New Roman"/>
          <w:color w:val="000000"/>
          <w:sz w:val="28"/>
          <w:szCs w:val="28"/>
          <w:shd w:val="clear" w:color="auto" w:fill="FFFFFF"/>
          <w:lang w:eastAsia="ru-RU"/>
        </w:rPr>
      </w:pPr>
      <w:r w:rsidRPr="00D1277B">
        <w:rPr>
          <w:rFonts w:ascii="Times New Roman" w:hAnsi="Times New Roman"/>
          <w:color w:val="000000"/>
          <w:sz w:val="28"/>
          <w:szCs w:val="28"/>
          <w:lang w:eastAsia="ru-RU"/>
        </w:rPr>
        <w:t xml:space="preserve">Спорным является вопрос о независимости судебной экспертизы. В статье 7 Федерального закона «О государственной судебно-экспертной деятельности в Российской Федерации» говорится о независимости эксперта. Но так ли он на самом деле независим? </w:t>
      </w:r>
      <w:r w:rsidRPr="00D1277B">
        <w:rPr>
          <w:rFonts w:ascii="Times New Roman" w:eastAsia="Times New Roman" w:hAnsi="Times New Roman"/>
          <w:color w:val="000000"/>
          <w:sz w:val="28"/>
          <w:szCs w:val="28"/>
          <w:shd w:val="clear" w:color="auto" w:fill="FFFFFF"/>
          <w:lang w:eastAsia="ru-RU"/>
        </w:rPr>
        <w:t xml:space="preserve">В реальной жизни на судебного эксперта может оказываться влияние со стороны вышестоящего руководства или третьих лиц. Например, кто-то из вышестоящих начальников может потребовать от эксперта произвести экспертизу и указать, каким именно должно быть </w:t>
      </w:r>
      <w:r w:rsidRPr="00D1277B">
        <w:rPr>
          <w:rFonts w:ascii="Times New Roman" w:eastAsia="Times New Roman" w:hAnsi="Times New Roman"/>
          <w:color w:val="000000"/>
          <w:sz w:val="28"/>
          <w:szCs w:val="28"/>
          <w:shd w:val="clear" w:color="auto" w:fill="FFFFFF"/>
          <w:lang w:eastAsia="ru-RU"/>
        </w:rPr>
        <w:lastRenderedPageBreak/>
        <w:t>содержание экспертного заключения, что безусловно является нарушением действующего законодательства, однако, имеет место быть</w:t>
      </w:r>
      <w:r w:rsidRPr="00D1277B">
        <w:rPr>
          <w:rFonts w:ascii="Times New Roman" w:eastAsia="Times New Roman" w:hAnsi="Times New Roman"/>
          <w:color w:val="000000"/>
          <w:sz w:val="28"/>
          <w:szCs w:val="28"/>
          <w:shd w:val="clear" w:color="auto" w:fill="FFFFFF"/>
          <w:vertAlign w:val="superscript"/>
          <w:lang w:eastAsia="ru-RU"/>
        </w:rPr>
        <w:footnoteReference w:id="102"/>
      </w:r>
      <w:r w:rsidRPr="00D1277B">
        <w:rPr>
          <w:rFonts w:ascii="Times New Roman" w:eastAsia="Times New Roman" w:hAnsi="Times New Roman"/>
          <w:color w:val="000000"/>
          <w:sz w:val="28"/>
          <w:szCs w:val="28"/>
          <w:shd w:val="clear" w:color="auto" w:fill="FFFFFF"/>
          <w:lang w:eastAsia="ru-RU"/>
        </w:rPr>
        <w:t xml:space="preserve">. </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eastAsia="Times New Roman" w:hAnsi="Times New Roman"/>
          <w:color w:val="000000"/>
          <w:sz w:val="28"/>
          <w:szCs w:val="28"/>
          <w:shd w:val="clear" w:color="auto" w:fill="FFFFFF"/>
          <w:lang w:eastAsia="ru-RU"/>
        </w:rPr>
        <w:t>Показательными примерами судебной практики по Приморскому краю за последние три года, в которых одним из доказательств являлось заключение судебно-медицинской экспертизы являются следующие судебные дела.</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Суд рассматривает и принимает заключение судмедэкспертизы как неоспоримое доказательство вины или невиновности сотрудника медицинского учреждения. Однако довольно часто экспертиза не может прийти к четкому выводу о </w:t>
      </w:r>
      <w:r w:rsidRPr="00D1277B">
        <w:rPr>
          <w:rFonts w:ascii="Times New Roman" w:hAnsi="Times New Roman"/>
          <w:bCs/>
          <w:color w:val="000000"/>
          <w:sz w:val="28"/>
          <w:szCs w:val="28"/>
          <w:lang w:eastAsia="ru-RU"/>
        </w:rPr>
        <w:t>наличии прямой причинно-следственной связи</w:t>
      </w:r>
      <w:r w:rsidRPr="00D1277B">
        <w:rPr>
          <w:rFonts w:ascii="Times New Roman" w:hAnsi="Times New Roman"/>
          <w:color w:val="000000"/>
          <w:sz w:val="28"/>
          <w:szCs w:val="28"/>
          <w:lang w:eastAsia="ru-RU"/>
        </w:rPr>
        <w:t xml:space="preserve"> между действиями врача и состоянием пациента. Например, решение по делу № 2-434/2015 от 24 июня 2016г. Пациент Ефимова О.В. обратилась в суд с иском к </w:t>
      </w:r>
      <w:r w:rsidRPr="00D1277B">
        <w:rPr>
          <w:rFonts w:ascii="Times New Roman" w:hAnsi="Times New Roman"/>
          <w:color w:val="000000"/>
          <w:sz w:val="28"/>
          <w:szCs w:val="28"/>
          <w:shd w:val="clear" w:color="auto" w:fill="FFFFFF"/>
          <w:lang w:eastAsia="ru-RU"/>
        </w:rPr>
        <w:t>негосударственному учреждению здравоохранения «</w:t>
      </w:r>
      <w:r w:rsidRPr="00D1277B">
        <w:rPr>
          <w:rFonts w:ascii="Times New Roman" w:hAnsi="Times New Roman"/>
          <w:color w:val="000000"/>
          <w:sz w:val="28"/>
          <w:szCs w:val="28"/>
          <w:bdr w:val="none" w:sz="0" w:space="0" w:color="auto" w:frame="1"/>
          <w:shd w:val="clear" w:color="auto" w:fill="FFFFFF"/>
          <w:lang w:eastAsia="ru-RU"/>
        </w:rPr>
        <w:t>Отделенческая</w:t>
      </w:r>
      <w:r w:rsidRPr="00D1277B">
        <w:rPr>
          <w:rFonts w:ascii="Times New Roman" w:hAnsi="Times New Roman"/>
          <w:color w:val="000000"/>
          <w:sz w:val="28"/>
          <w:szCs w:val="28"/>
          <w:shd w:val="clear" w:color="auto" w:fill="FFFFFF"/>
          <w:lang w:eastAsia="ru-RU"/>
        </w:rPr>
        <w:t> клиническая больница на станции Владивосток ОАО «Российские железные дороги» о взыскании материального и морального вреда, причиненного некачественно оказанной </w:t>
      </w:r>
      <w:r w:rsidRPr="00D1277B">
        <w:rPr>
          <w:rFonts w:ascii="Times New Roman" w:hAnsi="Times New Roman"/>
          <w:bCs/>
          <w:color w:val="000000"/>
          <w:sz w:val="28"/>
          <w:szCs w:val="28"/>
          <w:bdr w:val="none" w:sz="0" w:space="0" w:color="auto" w:frame="1"/>
          <w:shd w:val="clear" w:color="auto" w:fill="FFFFFF"/>
          <w:lang w:eastAsia="ru-RU"/>
        </w:rPr>
        <w:t xml:space="preserve">медицинской услугой. Свои требования обосновала тем, что вследствие некачественно оказанной медицинской услуги она  лишилась здорового органа и стала инвалидом. Однако </w:t>
      </w:r>
      <w:r w:rsidRPr="00D1277B">
        <w:rPr>
          <w:rFonts w:ascii="Times New Roman" w:hAnsi="Times New Roman"/>
          <w:color w:val="000000"/>
          <w:sz w:val="28"/>
          <w:szCs w:val="28"/>
          <w:shd w:val="clear" w:color="auto" w:fill="FFFFFF"/>
          <w:lang w:eastAsia="ru-RU"/>
        </w:rPr>
        <w:t>Экспертная комиссия не находит дефектов оказания </w:t>
      </w:r>
      <w:r w:rsidRPr="00D1277B">
        <w:rPr>
          <w:rFonts w:ascii="Times New Roman" w:hAnsi="Times New Roman"/>
          <w:bCs/>
          <w:color w:val="000000"/>
          <w:sz w:val="28"/>
          <w:szCs w:val="28"/>
          <w:bdr w:val="none" w:sz="0" w:space="0" w:color="auto" w:frame="1"/>
          <w:shd w:val="clear" w:color="auto" w:fill="FFFFFF"/>
          <w:lang w:eastAsia="ru-RU"/>
        </w:rPr>
        <w:t>медицинской </w:t>
      </w:r>
      <w:r w:rsidRPr="00D1277B">
        <w:rPr>
          <w:rFonts w:ascii="Times New Roman" w:hAnsi="Times New Roman"/>
          <w:color w:val="000000"/>
          <w:sz w:val="28"/>
          <w:szCs w:val="28"/>
          <w:shd w:val="clear" w:color="auto" w:fill="FFFFFF"/>
          <w:lang w:eastAsia="ru-RU"/>
        </w:rPr>
        <w:t>помощи при оказании </w:t>
      </w:r>
      <w:r w:rsidRPr="00D1277B">
        <w:rPr>
          <w:rFonts w:ascii="Times New Roman" w:hAnsi="Times New Roman"/>
          <w:bCs/>
          <w:color w:val="000000"/>
          <w:sz w:val="28"/>
          <w:szCs w:val="28"/>
          <w:bdr w:val="none" w:sz="0" w:space="0" w:color="auto" w:frame="1"/>
          <w:shd w:val="clear" w:color="auto" w:fill="FFFFFF"/>
          <w:lang w:eastAsia="ru-RU"/>
        </w:rPr>
        <w:t>медицинской </w:t>
      </w:r>
      <w:r w:rsidRPr="00D1277B">
        <w:rPr>
          <w:rFonts w:ascii="Times New Roman" w:hAnsi="Times New Roman"/>
          <w:color w:val="000000"/>
          <w:sz w:val="28"/>
          <w:szCs w:val="28"/>
          <w:shd w:val="clear" w:color="auto" w:fill="FFFFFF"/>
          <w:lang w:eastAsia="ru-RU"/>
        </w:rPr>
        <w:t>помощи Ефимовой О.В. и рассматривает повреждение органа не как дефекты оказания </w:t>
      </w:r>
      <w:r w:rsidRPr="00D1277B">
        <w:rPr>
          <w:rFonts w:ascii="Times New Roman" w:hAnsi="Times New Roman"/>
          <w:bCs/>
          <w:color w:val="000000"/>
          <w:sz w:val="28"/>
          <w:szCs w:val="28"/>
          <w:bdr w:val="none" w:sz="0" w:space="0" w:color="auto" w:frame="1"/>
          <w:shd w:val="clear" w:color="auto" w:fill="FFFFFF"/>
          <w:lang w:eastAsia="ru-RU"/>
        </w:rPr>
        <w:t>медицинской </w:t>
      </w:r>
      <w:r w:rsidRPr="00D1277B">
        <w:rPr>
          <w:rFonts w:ascii="Times New Roman" w:hAnsi="Times New Roman"/>
          <w:color w:val="000000"/>
          <w:sz w:val="28"/>
          <w:szCs w:val="28"/>
          <w:shd w:val="clear" w:color="auto" w:fill="FFFFFF"/>
          <w:lang w:eastAsia="ru-RU"/>
        </w:rPr>
        <w:t xml:space="preserve">помощи, а как осложнение, вызванное внутренними процессами в организме пациента. Несмотря на предоставленные суду доказательства в виде </w:t>
      </w:r>
      <w:r w:rsidRPr="00D1277B">
        <w:rPr>
          <w:rFonts w:ascii="Times New Roman" w:hAnsi="Times New Roman"/>
          <w:color w:val="000000"/>
          <w:sz w:val="28"/>
          <w:szCs w:val="28"/>
          <w:lang w:eastAsia="ru-RU"/>
        </w:rPr>
        <w:t xml:space="preserve">договора на оказание медицинских услуг, медицинской карта стационарного больного суд отказывает в удовлетворении иска. Экспертиза ссылается на отсутствие причинно-следственной связи хотя в деле она просматривается. </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В то же время в некоторых решениях судмедэкспертиза все-таки выступает на стороне истца. </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lang w:eastAsia="ru-RU"/>
        </w:rPr>
        <w:t>Так, в качестве примера можно привести д</w:t>
      </w:r>
      <w:r w:rsidRPr="00D1277B">
        <w:rPr>
          <w:rFonts w:ascii="Times New Roman" w:hAnsi="Times New Roman"/>
          <w:color w:val="000000"/>
          <w:sz w:val="28"/>
          <w:szCs w:val="28"/>
          <w:shd w:val="clear" w:color="auto" w:fill="FFFFFF"/>
          <w:lang w:eastAsia="ru-RU"/>
        </w:rPr>
        <w:t>ело по исковому заявлению пациента к ФГБУЗ «Дальневосточный окружной </w:t>
      </w:r>
      <w:r w:rsidRPr="00D1277B">
        <w:rPr>
          <w:rFonts w:ascii="Times New Roman" w:hAnsi="Times New Roman"/>
          <w:bCs/>
          <w:color w:val="000000"/>
          <w:sz w:val="28"/>
          <w:szCs w:val="28"/>
          <w:bdr w:val="none" w:sz="0" w:space="0" w:color="auto" w:frame="1"/>
          <w:shd w:val="clear" w:color="auto" w:fill="FFFFFF"/>
          <w:lang w:eastAsia="ru-RU"/>
        </w:rPr>
        <w:t>медицинский </w:t>
      </w:r>
      <w:r w:rsidRPr="00D1277B">
        <w:rPr>
          <w:rFonts w:ascii="Times New Roman" w:hAnsi="Times New Roman"/>
          <w:color w:val="000000"/>
          <w:sz w:val="28"/>
          <w:szCs w:val="28"/>
          <w:shd w:val="clear" w:color="auto" w:fill="FFFFFF"/>
          <w:lang w:eastAsia="ru-RU"/>
        </w:rPr>
        <w:t>центр Федерального </w:t>
      </w:r>
      <w:r w:rsidRPr="00D1277B">
        <w:rPr>
          <w:rFonts w:ascii="Times New Roman" w:hAnsi="Times New Roman"/>
          <w:bCs/>
          <w:color w:val="000000"/>
          <w:sz w:val="28"/>
          <w:szCs w:val="28"/>
          <w:bdr w:val="none" w:sz="0" w:space="0" w:color="auto" w:frame="1"/>
          <w:shd w:val="clear" w:color="auto" w:fill="FFFFFF"/>
          <w:lang w:eastAsia="ru-RU"/>
        </w:rPr>
        <w:t>медико </w:t>
      </w:r>
      <w:r w:rsidRPr="00D1277B">
        <w:rPr>
          <w:rFonts w:ascii="Times New Roman" w:hAnsi="Times New Roman"/>
          <w:color w:val="000000"/>
          <w:sz w:val="28"/>
          <w:szCs w:val="28"/>
          <w:shd w:val="clear" w:color="auto" w:fill="FFFFFF"/>
          <w:lang w:eastAsia="ru-RU"/>
        </w:rPr>
        <w:t xml:space="preserve">-биологического агентства» о возмещении вреда причиненного повреждением здоровья. Истец заявила </w:t>
      </w:r>
      <w:r w:rsidRPr="00D1277B">
        <w:rPr>
          <w:rFonts w:ascii="Times New Roman" w:hAnsi="Times New Roman"/>
          <w:color w:val="000000"/>
          <w:sz w:val="28"/>
          <w:szCs w:val="28"/>
          <w:lang w:eastAsia="ru-RU"/>
        </w:rPr>
        <w:t xml:space="preserve">требования о взыскании </w:t>
      </w:r>
      <w:r w:rsidRPr="00D1277B">
        <w:rPr>
          <w:rFonts w:ascii="Times New Roman" w:hAnsi="Times New Roman"/>
          <w:color w:val="000000"/>
          <w:sz w:val="28"/>
          <w:szCs w:val="28"/>
          <w:shd w:val="clear" w:color="auto" w:fill="FFFFFF"/>
          <w:lang w:eastAsia="ru-RU"/>
        </w:rPr>
        <w:t>убытков, неустойку за просрочку удовлетворения требования об устранении недостатков. Полагает, что с ответчика в ее пользу необходимо взыскать компенсацию морального вреда, штраф и возместить затраты на судебные расходы. Свои требования она обосновала тем, что между ней и ответчиком был заключен договор на оказание </w:t>
      </w:r>
      <w:r w:rsidRPr="00D1277B">
        <w:rPr>
          <w:rFonts w:ascii="Times New Roman" w:hAnsi="Times New Roman"/>
          <w:bCs/>
          <w:color w:val="000000"/>
          <w:sz w:val="28"/>
          <w:szCs w:val="28"/>
          <w:bdr w:val="none" w:sz="0" w:space="0" w:color="auto" w:frame="1"/>
          <w:shd w:val="clear" w:color="auto" w:fill="FFFFFF"/>
          <w:lang w:eastAsia="ru-RU"/>
        </w:rPr>
        <w:t>медицинских услуг</w:t>
      </w:r>
      <w:r w:rsidRPr="00D1277B">
        <w:rPr>
          <w:rFonts w:ascii="Times New Roman" w:hAnsi="Times New Roman"/>
          <w:color w:val="000000"/>
          <w:sz w:val="28"/>
          <w:szCs w:val="28"/>
          <w:shd w:val="clear" w:color="auto" w:fill="FFFFFF"/>
          <w:lang w:eastAsia="ru-RU"/>
        </w:rPr>
        <w:t>, а именно на имплантацию с анестезией. Пациенту была оказана услуга имплантация с анестезией. Однако после оказания </w:t>
      </w:r>
      <w:r w:rsidRPr="00D1277B">
        <w:rPr>
          <w:rFonts w:ascii="Times New Roman" w:hAnsi="Times New Roman"/>
          <w:bCs/>
          <w:color w:val="000000"/>
          <w:sz w:val="28"/>
          <w:szCs w:val="28"/>
          <w:bdr w:val="none" w:sz="0" w:space="0" w:color="auto" w:frame="1"/>
          <w:shd w:val="clear" w:color="auto" w:fill="FFFFFF"/>
          <w:lang w:eastAsia="ru-RU"/>
        </w:rPr>
        <w:t>услуги</w:t>
      </w:r>
      <w:r w:rsidRPr="00D1277B">
        <w:rPr>
          <w:rFonts w:ascii="Times New Roman" w:hAnsi="Times New Roman"/>
          <w:b/>
          <w:bCs/>
          <w:color w:val="000000"/>
          <w:sz w:val="28"/>
          <w:szCs w:val="28"/>
          <w:bdr w:val="none" w:sz="0" w:space="0" w:color="auto" w:frame="1"/>
          <w:shd w:val="clear" w:color="auto" w:fill="FFFFFF"/>
          <w:lang w:eastAsia="ru-RU"/>
        </w:rPr>
        <w:t> </w:t>
      </w:r>
      <w:r w:rsidRPr="00D1277B">
        <w:rPr>
          <w:rFonts w:ascii="Times New Roman" w:hAnsi="Times New Roman"/>
          <w:color w:val="000000"/>
          <w:sz w:val="28"/>
          <w:szCs w:val="28"/>
          <w:shd w:val="clear" w:color="auto" w:fill="FFFFFF"/>
          <w:lang w:eastAsia="ru-RU"/>
        </w:rPr>
        <w:t xml:space="preserve">ее стало беспокоить ее состояние здоровья, в частности, у нее появились боли в правом глазу, она стала постоянно ощущать чувство ломоты, в связи с этим она обратилась к врачу, который проводил имплантацию, но это не привело к каким-либо </w:t>
      </w:r>
      <w:r w:rsidRPr="00D1277B">
        <w:rPr>
          <w:rFonts w:ascii="Times New Roman" w:hAnsi="Times New Roman"/>
          <w:color w:val="000000"/>
          <w:sz w:val="28"/>
          <w:szCs w:val="28"/>
          <w:shd w:val="clear" w:color="auto" w:fill="FFFFFF"/>
          <w:lang w:eastAsia="ru-RU"/>
        </w:rPr>
        <w:lastRenderedPageBreak/>
        <w:t>улучшениям и пациент был вынужден обратиться за консультацией к другим специалистам. По рекомендации других врачей истец сделала компьютерную томографию, в результате которой выяснилось, что пять имплантов стоят в десне, установлены криво, два импланта шатаются, при удалении четырнадцатого зуба оставлен корень и т.д.</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shd w:val="clear" w:color="auto" w:fill="FFFFFF"/>
          <w:lang w:eastAsia="ru-RU"/>
        </w:rPr>
        <w:t>В данном случае заключение экспертной комиссии было на стороне истца. Суд пришел к выводу о наличии недостатков в оказании ответчиком </w:t>
      </w:r>
      <w:r w:rsidRPr="00D1277B">
        <w:rPr>
          <w:rFonts w:ascii="Times New Roman" w:hAnsi="Times New Roman"/>
          <w:bCs/>
          <w:color w:val="000000"/>
          <w:sz w:val="28"/>
          <w:szCs w:val="28"/>
          <w:bdr w:val="none" w:sz="0" w:space="0" w:color="auto" w:frame="1"/>
          <w:shd w:val="clear" w:color="auto" w:fill="FFFFFF"/>
          <w:lang w:eastAsia="ru-RU"/>
        </w:rPr>
        <w:t>медицинских услуг </w:t>
      </w:r>
      <w:r w:rsidRPr="00D1277B">
        <w:rPr>
          <w:rFonts w:ascii="Times New Roman" w:hAnsi="Times New Roman"/>
          <w:color w:val="000000"/>
          <w:sz w:val="28"/>
          <w:szCs w:val="28"/>
          <w:shd w:val="clear" w:color="auto" w:fill="FFFFFF"/>
          <w:lang w:eastAsia="ru-RU"/>
        </w:rPr>
        <w:t>истцу, а также причинно-следственной связи между оказанием </w:t>
      </w:r>
      <w:r w:rsidRPr="00D1277B">
        <w:rPr>
          <w:rFonts w:ascii="Times New Roman" w:hAnsi="Times New Roman"/>
          <w:bCs/>
          <w:color w:val="000000"/>
          <w:sz w:val="28"/>
          <w:szCs w:val="28"/>
          <w:bdr w:val="none" w:sz="0" w:space="0" w:color="auto" w:frame="1"/>
          <w:shd w:val="clear" w:color="auto" w:fill="FFFFFF"/>
          <w:lang w:eastAsia="ru-RU"/>
        </w:rPr>
        <w:t>медицинских услуг </w:t>
      </w:r>
      <w:r w:rsidRPr="00D1277B">
        <w:rPr>
          <w:rFonts w:ascii="Times New Roman" w:hAnsi="Times New Roman"/>
          <w:color w:val="000000"/>
          <w:sz w:val="28"/>
          <w:szCs w:val="28"/>
          <w:shd w:val="clear" w:color="auto" w:fill="FFFFFF"/>
          <w:lang w:eastAsia="ru-RU"/>
        </w:rPr>
        <w:t>и неблагоприятными последствиями у пациента. Исковые требования были удовлетворены</w:t>
      </w:r>
      <w:r w:rsidRPr="00D1277B">
        <w:rPr>
          <w:rFonts w:ascii="Times New Roman" w:hAnsi="Times New Roman"/>
          <w:color w:val="000000"/>
          <w:sz w:val="28"/>
          <w:szCs w:val="28"/>
          <w:shd w:val="clear" w:color="auto" w:fill="FFFFFF"/>
          <w:vertAlign w:val="superscript"/>
          <w:lang w:eastAsia="ru-RU"/>
        </w:rPr>
        <w:footnoteReference w:id="103"/>
      </w:r>
      <w:r w:rsidRPr="00D1277B">
        <w:rPr>
          <w:rFonts w:ascii="Times New Roman" w:hAnsi="Times New Roman"/>
          <w:color w:val="000000"/>
          <w:sz w:val="28"/>
          <w:szCs w:val="28"/>
          <w:lang w:eastAsia="ru-RU"/>
        </w:rPr>
        <w:t>.</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lang w:eastAsia="ru-RU"/>
        </w:rPr>
        <w:t>Таким образом мы можем убедиться в том, что судебно-медицинская экспертиза действительно носит двойственный характер и ее заключение, как показывает практика, в большинстве выступает на стороне ответчика (исполнителя, медицинской организации). Отчасти это связано с тем, что при проверке медицинской документации пациента ( в частности карты амбулаторного пациента), они не всегда могут проследить медицинскую историю больного и убедиться в том, что до оказания ему какой-либо услуги у него не было каких-либо ранее возникших заболеваний.</w:t>
      </w:r>
    </w:p>
    <w:p w:rsidR="00D1277B" w:rsidRPr="00D1277B" w:rsidRDefault="00D1277B" w:rsidP="00D1277B">
      <w:pPr>
        <w:spacing w:after="0" w:line="240" w:lineRule="auto"/>
        <w:jc w:val="both"/>
        <w:rPr>
          <w:rFonts w:ascii="Times New Roman" w:hAnsi="Times New Roman"/>
          <w:sz w:val="28"/>
          <w:szCs w:val="28"/>
          <w:lang w:eastAsia="ru-RU"/>
        </w:rPr>
      </w:pPr>
    </w:p>
    <w:p w:rsidR="00D1277B" w:rsidRPr="00D1277B" w:rsidRDefault="00D1277B" w:rsidP="00E56B5C">
      <w:pPr>
        <w:spacing w:after="240" w:line="240" w:lineRule="auto"/>
        <w:jc w:val="center"/>
        <w:rPr>
          <w:rFonts w:ascii="Times New Roman" w:hAnsi="Times New Roman"/>
          <w:sz w:val="28"/>
          <w:szCs w:val="28"/>
          <w:lang w:eastAsia="ru-RU"/>
        </w:rPr>
      </w:pPr>
      <w:r w:rsidRPr="00D1277B">
        <w:rPr>
          <w:rFonts w:ascii="Times New Roman" w:hAnsi="Times New Roman"/>
          <w:sz w:val="28"/>
          <w:szCs w:val="28"/>
          <w:lang w:eastAsia="ru-RU"/>
        </w:rPr>
        <w:t>ЗАКЛЮЧЕНИЕ</w:t>
      </w:r>
    </w:p>
    <w:p w:rsidR="00D1277B" w:rsidRPr="00D1277B" w:rsidRDefault="00D1277B" w:rsidP="00D1277B">
      <w:pPr>
        <w:shd w:val="clear" w:color="auto" w:fill="FFFFFF"/>
        <w:spacing w:after="0" w:line="240" w:lineRule="auto"/>
        <w:jc w:val="both"/>
        <w:rPr>
          <w:rFonts w:ascii="Times New Roman" w:eastAsia="Times New Roman" w:hAnsi="Times New Roman"/>
          <w:bCs/>
          <w:color w:val="000000"/>
          <w:kern w:val="36"/>
          <w:sz w:val="28"/>
          <w:szCs w:val="28"/>
          <w:lang w:eastAsia="ru-RU"/>
        </w:rPr>
      </w:pPr>
      <w:r w:rsidRPr="00D1277B">
        <w:rPr>
          <w:rFonts w:ascii="Times New Roman" w:eastAsia="Times New Roman" w:hAnsi="Times New Roman"/>
          <w:bCs/>
          <w:color w:val="000000"/>
          <w:kern w:val="36"/>
          <w:sz w:val="28"/>
          <w:szCs w:val="28"/>
          <w:lang w:eastAsia="ru-RU"/>
        </w:rPr>
        <w:t>Проблема защиты прав пациентов является достаточно актуальной. Это объясняется тем, что она связана с реализацией конституционных прав человека, также она обусловлена отсутствием достаточного правового регулирования со стороны государства.</w:t>
      </w:r>
    </w:p>
    <w:p w:rsidR="00D1277B" w:rsidRPr="00D1277B" w:rsidRDefault="00D1277B" w:rsidP="00D1277B">
      <w:pPr>
        <w:shd w:val="clear" w:color="auto" w:fill="FFFFFF"/>
        <w:spacing w:after="0" w:line="240" w:lineRule="auto"/>
        <w:jc w:val="both"/>
        <w:rPr>
          <w:rFonts w:ascii="Times New Roman" w:eastAsia="Times New Roman" w:hAnsi="Times New Roman"/>
          <w:bCs/>
          <w:color w:val="000000"/>
          <w:kern w:val="36"/>
          <w:sz w:val="28"/>
          <w:szCs w:val="28"/>
          <w:lang w:eastAsia="ru-RU"/>
        </w:rPr>
      </w:pPr>
      <w:r w:rsidRPr="00D1277B">
        <w:rPr>
          <w:rFonts w:ascii="Times New Roman" w:eastAsia="Times New Roman" w:hAnsi="Times New Roman"/>
          <w:bCs/>
          <w:color w:val="000000"/>
          <w:kern w:val="36"/>
          <w:sz w:val="28"/>
          <w:szCs w:val="28"/>
          <w:lang w:eastAsia="ru-RU"/>
        </w:rPr>
        <w:t>Какие проблемы можно выделить?</w:t>
      </w:r>
    </w:p>
    <w:p w:rsidR="00D1277B" w:rsidRPr="00D1277B" w:rsidRDefault="00D1277B" w:rsidP="00D1277B">
      <w:pPr>
        <w:spacing w:after="0" w:line="240" w:lineRule="auto"/>
        <w:jc w:val="both"/>
        <w:rPr>
          <w:rFonts w:ascii="Times New Roman" w:eastAsia="Times New Roman" w:hAnsi="Times New Roman"/>
          <w:bCs/>
          <w:color w:val="000000"/>
          <w:kern w:val="36"/>
          <w:sz w:val="28"/>
          <w:szCs w:val="28"/>
          <w:lang w:eastAsia="ru-RU"/>
        </w:rPr>
      </w:pPr>
      <w:r w:rsidRPr="00D1277B">
        <w:rPr>
          <w:rFonts w:ascii="Times New Roman" w:eastAsia="Times New Roman" w:hAnsi="Times New Roman"/>
          <w:bCs/>
          <w:color w:val="000000"/>
          <w:kern w:val="36"/>
          <w:sz w:val="28"/>
          <w:szCs w:val="28"/>
          <w:lang w:eastAsia="ru-RU"/>
        </w:rPr>
        <w:t>В первую очередь стоит начать с вопроса, связанного с пробелами в законодательстве. Например, Федеральный закон «Об основах охраны здоровья граждан в Российской Федерации» от 21.11.2011 № 323-ФЗ. В этом законе не предусмотрен порядок обжалования действий (бездействий) медицинских работников. Отсутствуют нормы, предусматривающие подачу пациентами (потребителями) жалоб в устной или письменной форме к руководству медицинского учреждения или к специально-уполномоченному на то органу. Не предусмотрена в целом возможность обжалования. Отсюда следует, что способы защиты прав пациентов нуждаются в детальной регламентации и необходимо дополнить указанный закон  соответствующими положениями. Можно позаимствовать некоторые положения из Федерального закона от 02.05.2006г. № 59-ФЗ «О порядке рассмотрения обращений граждан в Российской Федерации».</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color w:val="000000"/>
          <w:sz w:val="28"/>
          <w:szCs w:val="28"/>
          <w:lang w:eastAsia="ru-RU"/>
        </w:rPr>
        <w:lastRenderedPageBreak/>
        <w:t xml:space="preserve">В качестве следующей </w:t>
      </w:r>
      <w:r w:rsidRPr="00D1277B">
        <w:rPr>
          <w:rFonts w:ascii="Times New Roman" w:hAnsi="Times New Roman"/>
          <w:sz w:val="28"/>
          <w:szCs w:val="28"/>
          <w:lang w:eastAsia="ru-RU"/>
        </w:rPr>
        <w:t>проблемы можно выделить тот факт, что пациенты, как правило, редко обращаются в суд за защитой своих нарушенных прав. Многие потребители (пациенты) уверены в том, что у них нет шансов доказать вину исполнителя. Здесь стоит также отметить ни низкий уровень правовой культуры общества. Основными проблемами, мешающими эффективной защите прав пациентов, являются: трудности доказательства вины медицинских учреждений и, в частности, их работников; решающее значение судебно-медицинской экспертизы; отсутствие в законодательстве четких норм, к которым можно обращаться при нарушении прав; судебная защита прав является достаточно затратной процедурой как по времени, так и по финансовым средствам.</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Также стоит отменить квалификацию сотрудников медицинских учреждений. Особенно их правовую неграмотность в данном вопросе. Достаточно часто права пациентов нарушаются не столько умышленно, сколько из-за незнаний сотрудников о том, какие вообще есть права у пациентов. Возможно это связано с тем, что в каждой больнице, поликлинике, частном медицинском учреждении всегда есть если не юридический отдел, то юрист, который решает все возникающие споры. Медицинские работники не считают нужным касаться этих вопросов, так как у них есть свой круг трудовых обязанностей, которые они должны выполнять. Также сюда можно отнести напряженный рабочий день, низкую зарплату. У них просто нет сил и времени заниматься изучением этих вопросов, а руководство этим не озадачивается.</w:t>
      </w:r>
    </w:p>
    <w:p w:rsidR="00D1277B" w:rsidRPr="00D1277B" w:rsidRDefault="00D1277B" w:rsidP="00D1277B">
      <w:pPr>
        <w:spacing w:after="0" w:line="240" w:lineRule="auto"/>
        <w:jc w:val="both"/>
        <w:rPr>
          <w:rFonts w:ascii="Times New Roman" w:eastAsia="Times New Roman" w:hAnsi="Times New Roman"/>
          <w:color w:val="000000"/>
          <w:spacing w:val="4"/>
          <w:sz w:val="28"/>
          <w:szCs w:val="28"/>
          <w:shd w:val="clear" w:color="auto" w:fill="FFFFFF"/>
          <w:lang w:eastAsia="ru-RU"/>
        </w:rPr>
      </w:pPr>
      <w:r w:rsidRPr="00D1277B">
        <w:rPr>
          <w:rFonts w:ascii="Times New Roman" w:hAnsi="Times New Roman"/>
          <w:sz w:val="28"/>
          <w:szCs w:val="28"/>
          <w:lang w:eastAsia="ru-RU"/>
        </w:rPr>
        <w:t xml:space="preserve">Низкое количество общественных организаций и государственных органов, которые могут проконсультировать и помочь пациенту в случае нарушения его прав. В ст. </w:t>
      </w:r>
      <w:r w:rsidRPr="00D1277B">
        <w:rPr>
          <w:rFonts w:ascii="Times New Roman" w:eastAsia="Times New Roman" w:hAnsi="Times New Roman"/>
          <w:color w:val="000000"/>
          <w:spacing w:val="4"/>
          <w:sz w:val="28"/>
          <w:szCs w:val="28"/>
          <w:shd w:val="clear" w:color="auto" w:fill="FFFFFF"/>
          <w:lang w:eastAsia="ru-RU"/>
        </w:rPr>
        <w:t xml:space="preserve">28 Федерального закона от 21.11.2011 № 323-ФЗ «Об основах охраны здоровья граждан в Российской Федерации» говорится о праве на добровольной основе создавать общественные объединения по защите своих прав в сфере охраны здоровья.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eastAsia="Times New Roman" w:hAnsi="Times New Roman"/>
          <w:color w:val="000000"/>
          <w:spacing w:val="4"/>
          <w:sz w:val="28"/>
          <w:szCs w:val="28"/>
          <w:shd w:val="clear" w:color="auto" w:fill="FFFFFF"/>
          <w:lang w:eastAsia="ru-RU"/>
        </w:rPr>
        <w:t xml:space="preserve">В Приморском действует территориальный орган Росздравнадзора по Приморскому краю. Согласно </w:t>
      </w:r>
      <w:r w:rsidRPr="00D1277B">
        <w:rPr>
          <w:rFonts w:ascii="Times New Roman" w:hAnsi="Times New Roman"/>
          <w:sz w:val="28"/>
          <w:szCs w:val="28"/>
          <w:lang w:eastAsia="ru-RU"/>
        </w:rPr>
        <w:t xml:space="preserve">Докладу об осуществлении государственного контроля (надзора) в сфере здравоохранения и эффективности государственного контроля (надзора) в 2016 году в Территориальный орган  поступило 551 обращения граждан, из них 464 письменных обращений рассмотрено в рамках полномочий Территориального органа. По обращениям граждан проведено 164 внеплановых проверок, в 33%   выявлены нарушения качества и безопасности медицинской деятельности, прав граждан в сфере охраны здоровья,  правил обращения лекарственных средств и медицинских изделий. В соответствие с полномочиями приняты меры по восстановлению законных прав граждан. Исходя из этих данных можно сделать вывод, что деятельность организации эффективна. Однако одной организации недостаточно, чтобы разобраться со всем обращениями гражданами, рассмотреть жалобы и решить все поставленные задачи. Необходимо </w:t>
      </w:r>
      <w:r w:rsidRPr="00D1277B">
        <w:rPr>
          <w:rFonts w:ascii="Times New Roman" w:hAnsi="Times New Roman"/>
          <w:sz w:val="28"/>
          <w:szCs w:val="28"/>
          <w:lang w:eastAsia="ru-RU"/>
        </w:rPr>
        <w:lastRenderedPageBreak/>
        <w:t xml:space="preserve">увеличение числа структурных подразделений для ускорения рассмотрения обращений и, как следствие, их деятельность  станет более эффективной.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 xml:space="preserve">Несмотря на большое количество нормативных правовых актов, регулирующих деятельность по оказанию медицинских услуг, по защите прав потребителей - система защиты прав пациентов в Российской Федерации развита слабо. </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Необходимо произвести пересмотр и переработку существующей̆ нормативной правовой̆ базы в области обеспечения и защиты прав пациентов с целью устранения имеющихся в законодательстве таких пробелов, как отсутствие четкого порядка обжалования действий медицинских организаций..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В результате целесообразно разработать специальный закон, который будет регулировать особую группу отношений – правоотношения в области оказания медицинских услуг.</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sz w:val="28"/>
          <w:szCs w:val="28"/>
          <w:lang w:eastAsia="ru-RU"/>
        </w:rPr>
        <w:t>С целью более эффективного рассмотрения жалоб пациентов на оказанные им услуги стоит возложить обязанности по принятию и рассмотрению жалоб юридическими отделами медицинских учреждений. Пациенты смогут обращаться за помощью непосредственно в само учреждение, что также позволит им сэкономить время. Само медицинское учреждение сможет избежать огласки каких-либо конфликтов. Таким образом появится еще одна возможность решить возникший спор во внесудебном порядке.</w:t>
      </w:r>
      <w:r w:rsidRPr="00D1277B">
        <w:rPr>
          <w:rFonts w:ascii="Times New Roman" w:hAnsi="Times New Roman"/>
          <w:color w:val="FF0000"/>
          <w:sz w:val="28"/>
          <w:szCs w:val="28"/>
          <w:lang w:eastAsia="ru-RU"/>
        </w:rPr>
        <w:t xml:space="preserve"> </w:t>
      </w:r>
      <w:r w:rsidRPr="00D1277B">
        <w:rPr>
          <w:rFonts w:ascii="Times New Roman" w:hAnsi="Times New Roman"/>
          <w:color w:val="000000"/>
          <w:sz w:val="28"/>
          <w:szCs w:val="28"/>
          <w:lang w:eastAsia="ru-RU"/>
        </w:rPr>
        <w:t>В настоящие время большинство медицинских учреждений подобных услуг не оказывают. Они считают, что подобные вопросы должны рассматриваться соответствующим органом, а не юридическим отделом. В настоящее время такие обязанности за ними не закреплены.</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Следует провести реформирование системы сбора и рассмотрения жалоб: увеличить количество структурных подразделений Росздравнадзора, чтобы сделать рассмотрение жалоб более эффективным. Также представляется целесообразным развитие общественных организаций, которые смогут оказывать консультационную, правовую помощь пациентам, пострадавшим в результате ненадлежащим образом оказанной медицинской услуги.</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sz w:val="28"/>
          <w:szCs w:val="28"/>
          <w:lang w:eastAsia="ru-RU"/>
        </w:rPr>
        <w:t>Следует ввести такую должность как уполномоченный по правам пациента (наравне с уполномоченным по правам человека). К такому лицу граждане  смогут обратиться за юридической консультацией, указать на то, какие недостатки существуют в той или иной медицинской организации, изложить какие именно проблемы, сложности у них возникли при обращении в медицинские организации.</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sz w:val="28"/>
          <w:szCs w:val="28"/>
          <w:lang w:eastAsia="ru-RU"/>
        </w:rPr>
        <w:t xml:space="preserve">В полномочия Уполномоченного по правам пациента следует включить  право проведение проверки в медицинской организации по обращениям граждан. Предусмотреть возможность такого лица обращаться в органы прокуратуры, Роспотребнадзора, Росздравнадзора с просьбой осуществить проверку. Предоставить ему возможность </w:t>
      </w:r>
      <w:r w:rsidRPr="00D1277B">
        <w:rPr>
          <w:rFonts w:ascii="Times New Roman" w:hAnsi="Times New Roman"/>
          <w:sz w:val="28"/>
          <w:szCs w:val="28"/>
        </w:rPr>
        <w:t xml:space="preserve">вносить предложения по улучшению качества медицинских услуг, контролировать исполнение его </w:t>
      </w:r>
      <w:r w:rsidRPr="00D1277B">
        <w:rPr>
          <w:rFonts w:ascii="Times New Roman" w:hAnsi="Times New Roman"/>
          <w:sz w:val="28"/>
          <w:szCs w:val="28"/>
        </w:rPr>
        <w:lastRenderedPageBreak/>
        <w:t xml:space="preserve">предложений. </w:t>
      </w:r>
      <w:r w:rsidRPr="00D1277B">
        <w:rPr>
          <w:rFonts w:ascii="Times New Roman" w:hAnsi="Times New Roman"/>
          <w:sz w:val="28"/>
          <w:szCs w:val="28"/>
          <w:lang w:eastAsia="ru-RU"/>
        </w:rPr>
        <w:t xml:space="preserve">Комплекс подобных мер позволит сделать защиту прав пациента более действенной. </w:t>
      </w:r>
    </w:p>
    <w:p w:rsidR="00D1277B" w:rsidRPr="00D1277B" w:rsidRDefault="00D1277B" w:rsidP="00E56B5C">
      <w:pPr>
        <w:spacing w:before="360" w:after="240" w:line="240" w:lineRule="auto"/>
        <w:jc w:val="center"/>
        <w:rPr>
          <w:rFonts w:ascii="Times New Roman" w:hAnsi="Times New Roman"/>
          <w:color w:val="000000"/>
          <w:sz w:val="28"/>
          <w:szCs w:val="28"/>
          <w:lang w:eastAsia="ru-RU"/>
        </w:rPr>
      </w:pPr>
      <w:r w:rsidRPr="00D1277B">
        <w:rPr>
          <w:rFonts w:ascii="Times New Roman" w:hAnsi="Times New Roman"/>
          <w:color w:val="000000"/>
          <w:sz w:val="28"/>
          <w:szCs w:val="28"/>
          <w:lang w:eastAsia="ru-RU"/>
        </w:rPr>
        <w:t>СПИСОК ИСПОЛЬЗОВАННЫХ ИСТОЧНИКОВ</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1. Конституция РФ </w:t>
      </w:r>
      <w:r w:rsidRPr="00D1277B">
        <w:rPr>
          <w:rFonts w:ascii="Times New Roman" w:hAnsi="Times New Roman"/>
          <w:color w:val="000000"/>
          <w:spacing w:val="-2"/>
          <w:sz w:val="28"/>
          <w:szCs w:val="28"/>
          <w:lang w:eastAsia="ru-RU"/>
        </w:rPr>
        <w:t>(принята всенародным голосованием 12 декабря 1993 г.)// Российская газета. – 1993. – 25 декабря. – С. 1-5.</w:t>
      </w:r>
    </w:p>
    <w:p w:rsidR="00D1277B" w:rsidRPr="00D1277B" w:rsidRDefault="00D1277B" w:rsidP="00D1277B">
      <w:pPr>
        <w:spacing w:after="0" w:line="240" w:lineRule="auto"/>
        <w:jc w:val="both"/>
        <w:rPr>
          <w:rFonts w:ascii="Times New Roman" w:eastAsia="Times New Roman" w:hAnsi="Times New Roman"/>
          <w:color w:val="000000"/>
          <w:sz w:val="28"/>
          <w:szCs w:val="28"/>
          <w:lang w:eastAsia="ru-RU"/>
        </w:rPr>
      </w:pPr>
      <w:r w:rsidRPr="00D1277B">
        <w:rPr>
          <w:rFonts w:ascii="Times New Roman" w:hAnsi="Times New Roman"/>
          <w:color w:val="000000"/>
          <w:sz w:val="28"/>
          <w:szCs w:val="28"/>
          <w:lang w:eastAsia="ru-RU"/>
        </w:rPr>
        <w:t>2.Гражданский кодекс Российской Федерации. Часть первая: федеральный закон от 30 ноября 1994 г.№51- ФЗ (в ред. 03.08.2018 г. №339 ФЗ)// Собрание законодательства РФ. – 2018. - № 32. – Ст. 5132.</w:t>
      </w:r>
    </w:p>
    <w:p w:rsidR="00D1277B" w:rsidRPr="00D1277B" w:rsidRDefault="00D1277B" w:rsidP="00D1277B">
      <w:pPr>
        <w:spacing w:after="0" w:line="240" w:lineRule="auto"/>
        <w:jc w:val="both"/>
        <w:rPr>
          <w:rFonts w:ascii="Times New Roman" w:eastAsia="Times New Roman" w:hAnsi="Times New Roman"/>
          <w:color w:val="000000"/>
          <w:sz w:val="28"/>
          <w:szCs w:val="28"/>
          <w:lang w:eastAsia="ru-RU"/>
        </w:rPr>
      </w:pPr>
      <w:r w:rsidRPr="00D1277B">
        <w:rPr>
          <w:rFonts w:ascii="Times New Roman" w:hAnsi="Times New Roman"/>
          <w:color w:val="000000"/>
          <w:sz w:val="28"/>
          <w:szCs w:val="28"/>
          <w:shd w:val="clear" w:color="auto" w:fill="FFFFFF"/>
          <w:lang w:eastAsia="ru-RU"/>
        </w:rPr>
        <w:t xml:space="preserve">3.Федеральный закон от 21 ноября 2011 г. № 323-ФЗ «Об основах охраны здоровья граждан в Российской Федерации». ( в ред. </w:t>
      </w:r>
      <w:r w:rsidRPr="00D1277B">
        <w:rPr>
          <w:rFonts w:ascii="Times New Roman" w:eastAsia="Times New Roman" w:hAnsi="Times New Roman"/>
          <w:color w:val="000000"/>
          <w:sz w:val="28"/>
          <w:szCs w:val="28"/>
          <w:shd w:val="clear" w:color="auto" w:fill="FFFFFF"/>
          <w:lang w:eastAsia="ru-RU"/>
        </w:rPr>
        <w:t>от 3.08. 2018 г. N 323-ФЗ)</w:t>
      </w:r>
    </w:p>
    <w:p w:rsidR="00D1277B" w:rsidRPr="00D1277B" w:rsidRDefault="00D1277B" w:rsidP="00D1277B">
      <w:pPr>
        <w:spacing w:after="0" w:line="240" w:lineRule="auto"/>
        <w:jc w:val="both"/>
        <w:rPr>
          <w:rFonts w:ascii="Times New Roman" w:eastAsia="Times New Roman" w:hAnsi="Times New Roman"/>
          <w:bCs/>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 xml:space="preserve"> // С</w:t>
      </w:r>
      <w:r w:rsidRPr="00D1277B">
        <w:rPr>
          <w:rFonts w:ascii="Times New Roman" w:eastAsia="Times New Roman" w:hAnsi="Times New Roman"/>
          <w:bCs/>
          <w:color w:val="000000"/>
          <w:sz w:val="28"/>
          <w:szCs w:val="28"/>
          <w:shd w:val="clear" w:color="auto" w:fill="FFFFFF"/>
          <w:lang w:eastAsia="ru-RU"/>
        </w:rPr>
        <w:t>обрание законодательства РФ. – 2011. - №48. – Ст. 6724.</w:t>
      </w:r>
    </w:p>
    <w:p w:rsidR="00D1277B" w:rsidRPr="00D1277B" w:rsidRDefault="00D1277B" w:rsidP="00D1277B">
      <w:pPr>
        <w:shd w:val="clear" w:color="auto" w:fill="FFFFFF"/>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4. Федеральный закон "Об обязательном медицинском страховании в Российской Федерации" от 29.11.2010 N 326-ФЗ. ( в ред. от  29.07.2018  г.  N  268-ФЗ ) // Собрание законодательства Российской Федерации. – 2018. - №31. – Ст. 4857. </w:t>
      </w:r>
    </w:p>
    <w:p w:rsidR="00D1277B" w:rsidRPr="00D1277B" w:rsidRDefault="00D1277B" w:rsidP="00D1277B">
      <w:pPr>
        <w:spacing w:after="0" w:line="240" w:lineRule="auto"/>
        <w:jc w:val="both"/>
        <w:rPr>
          <w:rFonts w:ascii="Times New Roman" w:eastAsia="Times New Roman" w:hAnsi="Times New Roman"/>
          <w:color w:val="000000"/>
          <w:sz w:val="28"/>
          <w:szCs w:val="28"/>
          <w:lang w:eastAsia="ru-RU"/>
        </w:rPr>
      </w:pPr>
      <w:r w:rsidRPr="00D1277B">
        <w:rPr>
          <w:rFonts w:ascii="Times New Roman" w:hAnsi="Times New Roman"/>
          <w:color w:val="000000"/>
          <w:sz w:val="28"/>
          <w:szCs w:val="28"/>
          <w:lang w:eastAsia="ru-RU"/>
        </w:rPr>
        <w:t>5</w:t>
      </w:r>
      <w:r w:rsidRPr="00D1277B">
        <w:rPr>
          <w:rFonts w:ascii="Times New Roman" w:hAnsi="Times New Roman"/>
          <w:color w:val="000000"/>
          <w:sz w:val="28"/>
          <w:szCs w:val="28"/>
          <w:shd w:val="clear" w:color="auto" w:fill="FFFFFF"/>
          <w:lang w:eastAsia="ru-RU"/>
        </w:rPr>
        <w:t>.</w:t>
      </w:r>
      <w:r w:rsidRPr="00D1277B">
        <w:rPr>
          <w:rFonts w:ascii="Times New Roman" w:eastAsia="Times New Roman" w:hAnsi="Times New Roman"/>
          <w:bCs/>
          <w:color w:val="000000"/>
          <w:sz w:val="28"/>
          <w:szCs w:val="28"/>
          <w:shd w:val="clear" w:color="auto" w:fill="FFFFFF"/>
          <w:lang w:eastAsia="ru-RU"/>
        </w:rPr>
        <w:t xml:space="preserve"> Федеральный закон "О государственной судебно-экспертной деятельности в Российской Федерации" от 31.05.2001 N 73-ФЗ.</w:t>
      </w:r>
      <w:r w:rsidRPr="00D1277B">
        <w:rPr>
          <w:rFonts w:ascii="Times New Roman" w:hAnsi="Times New Roman"/>
          <w:bCs/>
          <w:color w:val="000000"/>
          <w:sz w:val="28"/>
          <w:szCs w:val="28"/>
          <w:shd w:val="clear" w:color="auto" w:fill="FFFFFF"/>
          <w:lang w:eastAsia="ru-RU"/>
        </w:rPr>
        <w:t xml:space="preserve"> ( в ред. </w:t>
      </w:r>
      <w:r w:rsidRPr="00D1277B">
        <w:rPr>
          <w:rFonts w:ascii="Times New Roman" w:eastAsia="Times New Roman" w:hAnsi="Times New Roman"/>
          <w:color w:val="000000"/>
          <w:sz w:val="28"/>
          <w:szCs w:val="28"/>
          <w:shd w:val="clear" w:color="auto" w:fill="FFFFFF"/>
          <w:lang w:eastAsia="ru-RU"/>
        </w:rPr>
        <w:t>от 8.03.2015 г. N 23-ФЗ)//</w:t>
      </w:r>
    </w:p>
    <w:p w:rsidR="00D1277B" w:rsidRPr="00D1277B" w:rsidRDefault="00D1277B" w:rsidP="00D1277B">
      <w:pPr>
        <w:spacing w:after="0" w:line="240" w:lineRule="auto"/>
        <w:jc w:val="both"/>
        <w:rPr>
          <w:rFonts w:ascii="Times New Roman" w:eastAsia="Times New Roman" w:hAnsi="Times New Roman"/>
          <w:bCs/>
          <w:color w:val="000000"/>
          <w:sz w:val="28"/>
          <w:szCs w:val="28"/>
          <w:shd w:val="clear" w:color="auto" w:fill="FFFFFF"/>
          <w:lang w:eastAsia="ru-RU"/>
        </w:rPr>
      </w:pPr>
      <w:r w:rsidRPr="00D1277B">
        <w:rPr>
          <w:rFonts w:ascii="Times New Roman" w:eastAsia="Times New Roman" w:hAnsi="Times New Roman"/>
          <w:bCs/>
          <w:color w:val="000000"/>
          <w:sz w:val="28"/>
          <w:szCs w:val="28"/>
          <w:shd w:val="clear" w:color="auto" w:fill="FFFFFF"/>
          <w:lang w:eastAsia="ru-RU"/>
        </w:rPr>
        <w:t>Собрании законодательства РФ. – 2001. - №23. – Ст. 229.</w:t>
      </w:r>
    </w:p>
    <w:p w:rsidR="00D1277B" w:rsidRPr="00D1277B" w:rsidRDefault="00D1277B" w:rsidP="00D1277B">
      <w:pPr>
        <w:spacing w:after="0" w:line="240" w:lineRule="auto"/>
        <w:jc w:val="both"/>
        <w:rPr>
          <w:rFonts w:ascii="Times New Roman" w:eastAsia="Times New Roman" w:hAnsi="Times New Roman"/>
          <w:sz w:val="28"/>
          <w:szCs w:val="28"/>
          <w:lang w:eastAsia="ru-RU"/>
        </w:rPr>
      </w:pPr>
      <w:r w:rsidRPr="00D1277B">
        <w:rPr>
          <w:rFonts w:ascii="Times New Roman" w:hAnsi="Times New Roman"/>
          <w:color w:val="000000"/>
          <w:sz w:val="28"/>
          <w:szCs w:val="28"/>
          <w:lang w:eastAsia="ru-RU"/>
        </w:rPr>
        <w:t xml:space="preserve">6.Правила «О предоставлении платных медицинских услуг населению медицинскими учреждения􏰀 ми», утвержденные постановлением Правительства РФ от 13 января 1996г. N 27 </w:t>
      </w:r>
      <w:r w:rsidRPr="00D1277B">
        <w:rPr>
          <w:rFonts w:ascii="Times New Roman" w:hAnsi="Times New Roman"/>
          <w:color w:val="000000"/>
          <w:sz w:val="28"/>
          <w:szCs w:val="28"/>
          <w:shd w:val="clear" w:color="auto" w:fill="FFFFFF"/>
          <w:lang w:eastAsia="ru-RU"/>
        </w:rPr>
        <w:t xml:space="preserve">[Электронный ресурс] // Гарант – Режим доступа: [Электронный ресурс] // </w:t>
      </w:r>
      <w:r w:rsidRPr="00D1277B">
        <w:rPr>
          <w:rFonts w:ascii="Times New Roman" w:hAnsi="Times New Roman"/>
          <w:color w:val="000000"/>
          <w:sz w:val="28"/>
          <w:szCs w:val="28"/>
          <w:shd w:val="clear" w:color="auto" w:fill="FFFFFF"/>
          <w:lang w:val="en-US" w:eastAsia="ru-RU"/>
        </w:rPr>
        <w:t>http</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base</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garant</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ru</w:t>
      </w:r>
      <w:r w:rsidRPr="00D1277B">
        <w:rPr>
          <w:rFonts w:ascii="Times New Roman" w:hAnsi="Times New Roman"/>
          <w:color w:val="000000"/>
          <w:sz w:val="28"/>
          <w:szCs w:val="28"/>
          <w:shd w:val="clear" w:color="auto" w:fill="FFFFFF"/>
          <w:lang w:eastAsia="ru-RU"/>
        </w:rPr>
        <w:t>/70237118/.</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 xml:space="preserve">7.Постановление Пленума Верховного Суда РФ от 28.06.2012 N 17 "О рассмотрении судами гражданских дел по спорам о защите прав потребителей" [Электронный ресурс] // СПС “ КонсультантПлюс” – Режим доступа: </w:t>
      </w:r>
      <w:r w:rsidRPr="00D1277B">
        <w:rPr>
          <w:rFonts w:ascii="Times New Roman" w:hAnsi="Times New Roman"/>
          <w:color w:val="000000"/>
          <w:sz w:val="28"/>
          <w:szCs w:val="28"/>
          <w:shd w:val="clear" w:color="auto" w:fill="FFFFFF"/>
          <w:lang w:val="en-US" w:eastAsia="ru-RU"/>
        </w:rPr>
        <w:t>http</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www</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consultant</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ru</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document</w:t>
      </w:r>
      <w:r w:rsidRPr="00D1277B">
        <w:rPr>
          <w:rFonts w:ascii="Times New Roman" w:hAnsi="Times New Roman"/>
          <w:color w:val="000000"/>
          <w:sz w:val="28"/>
          <w:szCs w:val="28"/>
          <w:shd w:val="clear" w:color="auto" w:fill="FFFFFF"/>
          <w:lang w:eastAsia="ru-RU"/>
        </w:rPr>
        <w:t>/</w:t>
      </w:r>
      <w:r w:rsidRPr="00D1277B">
        <w:rPr>
          <w:rFonts w:ascii="Times New Roman" w:hAnsi="Times New Roman"/>
          <w:color w:val="000000"/>
          <w:sz w:val="28"/>
          <w:szCs w:val="28"/>
          <w:shd w:val="clear" w:color="auto" w:fill="FFFFFF"/>
          <w:lang w:val="en-US" w:eastAsia="ru-RU"/>
        </w:rPr>
        <w:t>cons</w:t>
      </w:r>
      <w:r w:rsidRPr="00D1277B">
        <w:rPr>
          <w:rFonts w:ascii="Times New Roman" w:hAnsi="Times New Roman"/>
          <w:color w:val="000000"/>
          <w:sz w:val="28"/>
          <w:szCs w:val="28"/>
          <w:shd w:val="clear" w:color="auto" w:fill="FFFFFF"/>
          <w:lang w:eastAsia="ru-RU"/>
        </w:rPr>
        <w:t>_</w:t>
      </w:r>
      <w:r w:rsidRPr="00D1277B">
        <w:rPr>
          <w:rFonts w:ascii="Times New Roman" w:hAnsi="Times New Roman"/>
          <w:color w:val="000000"/>
          <w:sz w:val="28"/>
          <w:szCs w:val="28"/>
          <w:shd w:val="clear" w:color="auto" w:fill="FFFFFF"/>
          <w:lang w:val="en-US" w:eastAsia="ru-RU"/>
        </w:rPr>
        <w:t>doc</w:t>
      </w:r>
      <w:r w:rsidRPr="00D1277B">
        <w:rPr>
          <w:rFonts w:ascii="Times New Roman" w:hAnsi="Times New Roman"/>
          <w:color w:val="000000"/>
          <w:sz w:val="28"/>
          <w:szCs w:val="28"/>
          <w:shd w:val="clear" w:color="auto" w:fill="FFFFFF"/>
          <w:lang w:eastAsia="ru-RU"/>
        </w:rPr>
        <w:t>_</w:t>
      </w:r>
      <w:r w:rsidRPr="00D1277B">
        <w:rPr>
          <w:rFonts w:ascii="Times New Roman" w:hAnsi="Times New Roman"/>
          <w:color w:val="000000"/>
          <w:sz w:val="28"/>
          <w:szCs w:val="28"/>
          <w:shd w:val="clear" w:color="auto" w:fill="FFFFFF"/>
          <w:lang w:val="en-US" w:eastAsia="ru-RU"/>
        </w:rPr>
        <w:t>LAW</w:t>
      </w:r>
      <w:r w:rsidRPr="00D1277B">
        <w:rPr>
          <w:rFonts w:ascii="Times New Roman" w:hAnsi="Times New Roman"/>
          <w:color w:val="000000"/>
          <w:sz w:val="28"/>
          <w:szCs w:val="28"/>
          <w:shd w:val="clear" w:color="auto" w:fill="FFFFFF"/>
          <w:lang w:eastAsia="ru-RU"/>
        </w:rPr>
        <w:t>_131885/.</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8.Постановление Пленума Верховного Суда Российской Федерации «О применении судами гражданского законодательства, регулирующего отношения по обязательствам вследствие причинения вреда жизни или здоровью гражданина» от 26.01.2010 № 1. [Электронный ресурс] // СПС “ КонсультантПлюс” – Режим доступа http://www.consultant.ru/document/cons_doc_LAW_96790/.</w:t>
      </w:r>
    </w:p>
    <w:p w:rsidR="00D1277B" w:rsidRPr="00D1277B" w:rsidRDefault="00D1277B" w:rsidP="00D1277B">
      <w:pPr>
        <w:spacing w:after="0" w:line="240" w:lineRule="auto"/>
        <w:jc w:val="both"/>
        <w:rPr>
          <w:rFonts w:ascii="Times New Roman" w:eastAsia="Times New Roman" w:hAnsi="Times New Roman"/>
          <w:sz w:val="28"/>
          <w:szCs w:val="28"/>
          <w:lang w:eastAsia="ru-RU"/>
        </w:rPr>
      </w:pPr>
      <w:r w:rsidRPr="00D1277B">
        <w:rPr>
          <w:rFonts w:ascii="Times New Roman" w:hAnsi="Times New Roman"/>
          <w:color w:val="000000"/>
          <w:sz w:val="28"/>
          <w:szCs w:val="28"/>
          <w:shd w:val="clear" w:color="auto" w:fill="FFFFFF"/>
          <w:lang w:eastAsia="ru-RU"/>
        </w:rPr>
        <w:t xml:space="preserve">9. </w:t>
      </w:r>
      <w:r w:rsidRPr="00D1277B">
        <w:rPr>
          <w:rFonts w:ascii="Times New Roman" w:hAnsi="Times New Roman"/>
          <w:color w:val="000000"/>
          <w:sz w:val="28"/>
          <w:szCs w:val="28"/>
          <w:lang w:eastAsia="ru-RU"/>
        </w:rPr>
        <w:t>Информационное</w:t>
      </w:r>
      <w:r w:rsidRPr="00D1277B">
        <w:rPr>
          <w:rFonts w:ascii="Times New Roman" w:hAnsi="Times New Roman"/>
          <w:color w:val="000000"/>
          <w:spacing w:val="4"/>
          <w:sz w:val="28"/>
          <w:szCs w:val="28"/>
          <w:shd w:val="clear" w:color="auto" w:fill="FFFFFF"/>
          <w:lang w:eastAsia="ru-RU"/>
        </w:rPr>
        <w:t> </w:t>
      </w:r>
      <w:r w:rsidRPr="00D1277B">
        <w:rPr>
          <w:rFonts w:ascii="Times New Roman" w:eastAsia="Times New Roman" w:hAnsi="Times New Roman"/>
          <w:color w:val="000000"/>
          <w:spacing w:val="4"/>
          <w:sz w:val="28"/>
          <w:szCs w:val="28"/>
          <w:shd w:val="clear" w:color="auto" w:fill="FFFFFF"/>
          <w:lang w:eastAsia="ru-RU"/>
        </w:rPr>
        <w:t>письмо Департамент здравоохранения г. Москвы</w:t>
      </w:r>
      <w:r w:rsidRPr="00D1277B">
        <w:rPr>
          <w:rFonts w:ascii="Times New Roman" w:eastAsia="Times New Roman" w:hAnsi="Times New Roman"/>
          <w:sz w:val="28"/>
          <w:szCs w:val="28"/>
          <w:lang w:eastAsia="ru-RU"/>
        </w:rPr>
        <w:t xml:space="preserve"> </w:t>
      </w:r>
      <w:r w:rsidRPr="00D1277B">
        <w:rPr>
          <w:rFonts w:ascii="Times New Roman" w:eastAsia="Times New Roman" w:hAnsi="Times New Roman"/>
          <w:color w:val="000000"/>
          <w:spacing w:val="4"/>
          <w:sz w:val="28"/>
          <w:szCs w:val="28"/>
          <w:shd w:val="clear" w:color="auto" w:fill="FFFFFF"/>
          <w:lang w:eastAsia="ru-RU"/>
        </w:rPr>
        <w:t>от 18.03.2014 № 40-18-3112/14 “О недостатках оформления и ведения первичной медицинской документации”.</w:t>
      </w:r>
    </w:p>
    <w:p w:rsidR="00D1277B" w:rsidRPr="00D1277B" w:rsidRDefault="00D1277B" w:rsidP="00D1277B">
      <w:pPr>
        <w:spacing w:after="0" w:line="240" w:lineRule="auto"/>
        <w:jc w:val="both"/>
        <w:rPr>
          <w:rFonts w:ascii="Times New Roman" w:eastAsia="Times New Roman" w:hAnsi="Times New Roman"/>
          <w:bCs/>
          <w:color w:val="000000"/>
          <w:sz w:val="28"/>
          <w:szCs w:val="28"/>
          <w:lang w:eastAsia="ru-RU"/>
        </w:rPr>
      </w:pPr>
      <w:r w:rsidRPr="00D1277B">
        <w:rPr>
          <w:rFonts w:ascii="Times New Roman" w:eastAsia="Times New Roman" w:hAnsi="Times New Roman"/>
          <w:sz w:val="28"/>
          <w:szCs w:val="28"/>
          <w:lang w:eastAsia="ru-RU"/>
        </w:rPr>
        <w:t xml:space="preserve">10. Трошкина О.Н. </w:t>
      </w:r>
      <w:r w:rsidRPr="00D1277B">
        <w:rPr>
          <w:rFonts w:ascii="Times New Roman" w:eastAsia="Times New Roman" w:hAnsi="Times New Roman"/>
          <w:bCs/>
          <w:color w:val="000000"/>
          <w:sz w:val="28"/>
          <w:szCs w:val="28"/>
          <w:lang w:eastAsia="ru-RU"/>
        </w:rPr>
        <w:t xml:space="preserve">Актуальные проблемы защиты прав пациентов в России в условиях глобализации/ </w:t>
      </w:r>
      <w:r w:rsidRPr="00D1277B">
        <w:rPr>
          <w:rFonts w:ascii="Times New Roman" w:eastAsia="Times New Roman" w:hAnsi="Times New Roman"/>
          <w:sz w:val="28"/>
          <w:szCs w:val="28"/>
          <w:lang w:eastAsia="ru-RU"/>
        </w:rPr>
        <w:t xml:space="preserve">Трошкина О.Н. </w:t>
      </w:r>
      <w:r w:rsidRPr="00D1277B">
        <w:rPr>
          <w:rFonts w:ascii="Times New Roman" w:eastAsia="Times New Roman" w:hAnsi="Times New Roman"/>
          <w:bCs/>
          <w:color w:val="000000"/>
          <w:sz w:val="28"/>
          <w:szCs w:val="28"/>
          <w:lang w:eastAsia="ru-RU"/>
        </w:rPr>
        <w:t xml:space="preserve">//Наука. Общество. Государство. – 2014. - №3(7). – С. 56-66. </w:t>
      </w:r>
    </w:p>
    <w:p w:rsidR="00D1277B" w:rsidRPr="00D1277B" w:rsidRDefault="00D1277B" w:rsidP="00D1277B">
      <w:pPr>
        <w:spacing w:after="0" w:line="240" w:lineRule="auto"/>
        <w:jc w:val="both"/>
        <w:rPr>
          <w:rFonts w:ascii="Times New Roman" w:eastAsia="Times New Roman" w:hAnsi="Times New Roman"/>
          <w:bCs/>
          <w:color w:val="000000"/>
          <w:sz w:val="28"/>
          <w:szCs w:val="28"/>
          <w:lang w:eastAsia="ru-RU"/>
        </w:rPr>
      </w:pPr>
      <w:r w:rsidRPr="00D1277B">
        <w:rPr>
          <w:rFonts w:ascii="Times New Roman" w:eastAsia="Times New Roman" w:hAnsi="Times New Roman"/>
          <w:bCs/>
          <w:color w:val="000000"/>
          <w:sz w:val="28"/>
          <w:szCs w:val="28"/>
          <w:lang w:eastAsia="ru-RU"/>
        </w:rPr>
        <w:lastRenderedPageBreak/>
        <w:t>11. Коноваленко М.Е. Защита прав пациентов в Российской Федерации: проблемы и пути решения / Коноваленко М.Е // Правопорядок в современном мире: актуальные проблемы обеспечения охраны. – 2016. – С. 90-97.</w:t>
      </w:r>
    </w:p>
    <w:p w:rsidR="00D1277B" w:rsidRPr="00D1277B" w:rsidRDefault="00D1277B" w:rsidP="00D1277B">
      <w:pPr>
        <w:spacing w:after="0" w:line="240" w:lineRule="auto"/>
        <w:jc w:val="both"/>
        <w:rPr>
          <w:rFonts w:ascii="Times New Roman" w:hAnsi="Times New Roman"/>
          <w:color w:val="000000"/>
          <w:sz w:val="28"/>
          <w:szCs w:val="28"/>
          <w:shd w:val="clear" w:color="auto" w:fill="FFFFFF"/>
          <w:lang w:eastAsia="ru-RU"/>
        </w:rPr>
      </w:pPr>
      <w:r w:rsidRPr="00D1277B">
        <w:rPr>
          <w:rFonts w:ascii="Times New Roman" w:hAnsi="Times New Roman"/>
          <w:color w:val="000000"/>
          <w:sz w:val="28"/>
          <w:szCs w:val="28"/>
          <w:shd w:val="clear" w:color="auto" w:fill="FFFFFF"/>
          <w:lang w:eastAsia="ru-RU"/>
        </w:rPr>
        <w:t xml:space="preserve">12.  </w:t>
      </w:r>
      <w:r w:rsidRPr="00D1277B">
        <w:rPr>
          <w:rFonts w:ascii="Times New Roman" w:hAnsi="Times New Roman"/>
          <w:color w:val="000000"/>
          <w:sz w:val="28"/>
          <w:szCs w:val="28"/>
          <w:lang w:eastAsia="ru-RU"/>
        </w:rPr>
        <w:t xml:space="preserve">Доклад об осуществлении государственного контроля (надзора) в сфере здравоохранения и эффективности государственного контроля (надзора) в 2016 году, утвержденному Территориальным органом Федеральной службы </w:t>
      </w:r>
    </w:p>
    <w:p w:rsidR="00D1277B" w:rsidRPr="00D1277B" w:rsidRDefault="00D1277B" w:rsidP="00D1277B">
      <w:pPr>
        <w:spacing w:after="0" w:line="240" w:lineRule="auto"/>
        <w:jc w:val="both"/>
        <w:rPr>
          <w:rFonts w:ascii="Times New Roman" w:hAnsi="Times New Roman"/>
          <w:sz w:val="28"/>
          <w:szCs w:val="28"/>
          <w:lang w:eastAsia="ru-RU"/>
        </w:rPr>
      </w:pPr>
      <w:r w:rsidRPr="00D1277B">
        <w:rPr>
          <w:rFonts w:ascii="Times New Roman" w:hAnsi="Times New Roman"/>
          <w:color w:val="000000"/>
          <w:sz w:val="28"/>
          <w:szCs w:val="28"/>
          <w:lang w:eastAsia="ru-RU"/>
        </w:rPr>
        <w:t xml:space="preserve">по надзору в сфере здравоохранения по Приморскому краю, 2016 г. // </w:t>
      </w:r>
      <w:r w:rsidRPr="00D1277B">
        <w:rPr>
          <w:rFonts w:ascii="Times New Roman" w:hAnsi="Times New Roman"/>
          <w:sz w:val="28"/>
          <w:szCs w:val="28"/>
          <w:lang w:eastAsia="ru-RU"/>
        </w:rPr>
        <w:t>Федеральная служба по надзору в сфере здравоохранения (Росздравнадзор). – 2016. - С. 165.</w:t>
      </w:r>
      <w:r w:rsidRPr="00D1277B">
        <w:rPr>
          <w:rFonts w:ascii="Times New Roman" w:hAnsi="Times New Roman"/>
          <w:sz w:val="28"/>
          <w:szCs w:val="28"/>
          <w:lang w:eastAsia="ru-RU"/>
        </w:rPr>
        <w:br/>
      </w:r>
      <w:r w:rsidRPr="00D1277B">
        <w:rPr>
          <w:rFonts w:ascii="Times New Roman" w:hAnsi="Times New Roman"/>
          <w:color w:val="000000"/>
          <w:sz w:val="28"/>
          <w:szCs w:val="28"/>
          <w:lang w:eastAsia="ru-RU"/>
        </w:rPr>
        <w:t>13. Столярова Ю.О. Медицинские услуги как объект гражданских прав/ Столярова Ю.О // Известия Российского государственного педагогического университета им. А.И. Герцена. – 2007. – С. 223-226.</w:t>
      </w:r>
    </w:p>
    <w:p w:rsidR="00D1277B" w:rsidRPr="00D1277B" w:rsidRDefault="00D1277B" w:rsidP="00D1277B">
      <w:pPr>
        <w:spacing w:after="0" w:line="240" w:lineRule="auto"/>
        <w:jc w:val="both"/>
        <w:rPr>
          <w:rFonts w:ascii="Times New Roman" w:eastAsia="Times New Roman" w:hAnsi="Times New Roman"/>
          <w:bCs/>
          <w:color w:val="000000"/>
          <w:sz w:val="28"/>
          <w:szCs w:val="28"/>
          <w:lang w:eastAsia="ru-RU"/>
        </w:rPr>
      </w:pPr>
      <w:r w:rsidRPr="00D1277B">
        <w:rPr>
          <w:rFonts w:ascii="Times New Roman" w:hAnsi="Times New Roman"/>
          <w:color w:val="000000"/>
          <w:sz w:val="28"/>
          <w:szCs w:val="28"/>
          <w:lang w:eastAsia="ru-RU"/>
        </w:rPr>
        <w:t xml:space="preserve">14. </w:t>
      </w:r>
      <w:r w:rsidRPr="00D1277B">
        <w:rPr>
          <w:rFonts w:ascii="Times New Roman" w:eastAsia="Times New Roman" w:hAnsi="Times New Roman"/>
          <w:bCs/>
          <w:color w:val="000000"/>
          <w:sz w:val="28"/>
          <w:szCs w:val="28"/>
          <w:lang w:eastAsia="ru-RU"/>
        </w:rPr>
        <w:t>Гетманцева Н.А., Магомедова А.М. Коррупция в Российской медицине/ Гетманцева Н.А., Магомедова А.М.// Бюллетень медицинских интернет-конференций. – 2014 . - №11 .  – С. 1136.</w:t>
      </w:r>
    </w:p>
    <w:p w:rsidR="00D1277B" w:rsidRPr="00D1277B" w:rsidRDefault="00D1277B" w:rsidP="00D1277B">
      <w:pPr>
        <w:spacing w:after="0" w:line="240" w:lineRule="auto"/>
        <w:jc w:val="both"/>
        <w:rPr>
          <w:rFonts w:ascii="Times New Roman" w:eastAsia="Times New Roman" w:hAnsi="Times New Roman"/>
          <w:color w:val="000000"/>
          <w:sz w:val="28"/>
          <w:szCs w:val="28"/>
          <w:lang w:eastAsia="ru-RU"/>
        </w:rPr>
      </w:pPr>
      <w:r w:rsidRPr="00D1277B">
        <w:rPr>
          <w:rFonts w:ascii="Times New Roman" w:eastAsia="Times New Roman" w:hAnsi="Times New Roman"/>
          <w:bCs/>
          <w:color w:val="000000"/>
          <w:sz w:val="28"/>
          <w:szCs w:val="28"/>
          <w:lang w:eastAsia="ru-RU"/>
        </w:rPr>
        <w:t>15. Тихомиров А.В. Проблемы  судебного правоприменения в спорах о причинении вреда здоровью при оказании медицинских услуг Тихомиров А.В.// Главный врач:  хозяйство и право. – 2010. – № 6. – С. 36-51.</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16. </w:t>
      </w:r>
      <w:r w:rsidRPr="00D1277B">
        <w:rPr>
          <w:rFonts w:ascii="Times New Roman" w:hAnsi="Times New Roman"/>
          <w:color w:val="000000"/>
          <w:sz w:val="28"/>
          <w:szCs w:val="28"/>
          <w:shd w:val="clear" w:color="auto" w:fill="FFFFFF"/>
          <w:lang w:eastAsia="ru-RU"/>
        </w:rPr>
        <w:t xml:space="preserve">Решение </w:t>
      </w:r>
      <w:r w:rsidRPr="00D1277B">
        <w:rPr>
          <w:rFonts w:ascii="Times New Roman" w:hAnsi="Times New Roman"/>
          <w:color w:val="000000"/>
          <w:sz w:val="28"/>
          <w:szCs w:val="28"/>
        </w:rPr>
        <w:t>Уссурийского районного суд Приморского края</w:t>
      </w:r>
      <w:r w:rsidRPr="00D1277B">
        <w:rPr>
          <w:rFonts w:ascii="Times New Roman" w:hAnsi="Times New Roman"/>
          <w:color w:val="000000"/>
          <w:sz w:val="28"/>
          <w:szCs w:val="28"/>
          <w:shd w:val="clear" w:color="auto" w:fill="FFFFFF"/>
          <w:lang w:eastAsia="ru-RU"/>
        </w:rPr>
        <w:t xml:space="preserve"> по делу № 2-1950/2017</w:t>
      </w:r>
      <w:r w:rsidRPr="00D1277B">
        <w:rPr>
          <w:rFonts w:ascii="Times New Roman" w:hAnsi="Times New Roman"/>
          <w:color w:val="000000"/>
          <w:sz w:val="28"/>
          <w:szCs w:val="28"/>
          <w:lang w:eastAsia="ru-RU"/>
        </w:rPr>
        <w:t xml:space="preserve"> от 26 декабря 2017 [Электронный ресурс] // СудАкт. – Режим доступа: </w:t>
      </w:r>
      <w:r w:rsidRPr="00D1277B">
        <w:rPr>
          <w:rFonts w:ascii="Times New Roman" w:hAnsi="Times New Roman"/>
          <w:color w:val="000000"/>
          <w:sz w:val="28"/>
          <w:szCs w:val="28"/>
          <w:lang w:val="en-US" w:eastAsia="ru-RU"/>
        </w:rPr>
        <w:t>http</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sudact</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ru</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vjY</w:t>
      </w:r>
      <w:r w:rsidRPr="00D1277B">
        <w:rPr>
          <w:rFonts w:ascii="Times New Roman" w:hAnsi="Times New Roman"/>
          <w:color w:val="000000"/>
          <w:sz w:val="28"/>
          <w:szCs w:val="28"/>
          <w:lang w:eastAsia="ru-RU"/>
        </w:rPr>
        <w:t>4</w:t>
      </w:r>
      <w:r w:rsidRPr="00D1277B">
        <w:rPr>
          <w:rFonts w:ascii="Times New Roman" w:hAnsi="Times New Roman"/>
          <w:color w:val="000000"/>
          <w:sz w:val="28"/>
          <w:szCs w:val="28"/>
          <w:lang w:val="en-US" w:eastAsia="ru-RU"/>
        </w:rPr>
        <w:t>QRPyAadh</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txt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case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=№2-1950&amp;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lawchunkinfo</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type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from</w:t>
      </w:r>
      <w:r w:rsidRPr="00D1277B">
        <w:rPr>
          <w:rFonts w:ascii="Times New Roman" w:hAnsi="Times New Roman"/>
          <w:color w:val="000000"/>
          <w:sz w:val="28"/>
          <w:szCs w:val="28"/>
          <w:lang w:eastAsia="ru-RU"/>
        </w:rPr>
        <w:t>=01.01.2016&amp;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to</w:t>
      </w:r>
      <w:r w:rsidRPr="00D1277B">
        <w:rPr>
          <w:rFonts w:ascii="Times New Roman" w:hAnsi="Times New Roman"/>
          <w:color w:val="000000"/>
          <w:sz w:val="28"/>
          <w:szCs w:val="28"/>
          <w:lang w:eastAsia="ru-RU"/>
        </w:rPr>
        <w:t>=01.10.2018&amp;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workflow</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stage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area</w:t>
      </w:r>
      <w:r w:rsidRPr="00D1277B">
        <w:rPr>
          <w:rFonts w:ascii="Times New Roman" w:hAnsi="Times New Roman"/>
          <w:color w:val="000000"/>
          <w:sz w:val="28"/>
          <w:szCs w:val="28"/>
          <w:lang w:eastAsia="ru-RU"/>
        </w:rPr>
        <w:t>=1049&amp;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court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judge</w:t>
      </w:r>
      <w:r w:rsidRPr="00D1277B">
        <w:rPr>
          <w:rFonts w:ascii="Times New Roman" w:hAnsi="Times New Roman"/>
          <w:color w:val="000000"/>
          <w:sz w:val="28"/>
          <w:szCs w:val="28"/>
          <w:lang w:eastAsia="ru-RU"/>
        </w:rPr>
        <w:t>=&amp;_=1542258739715.</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17.Решение Д</w:t>
      </w:r>
      <w:r w:rsidRPr="00D1277B">
        <w:rPr>
          <w:rFonts w:ascii="Times New Roman" w:hAnsi="Times New Roman"/>
          <w:color w:val="000000"/>
          <w:sz w:val="28"/>
          <w:szCs w:val="28"/>
        </w:rPr>
        <w:t>альнегорского районного суд Приморского края</w:t>
      </w:r>
      <w:r w:rsidRPr="00D1277B">
        <w:rPr>
          <w:rFonts w:ascii="Times New Roman" w:hAnsi="Times New Roman"/>
          <w:color w:val="000000"/>
          <w:sz w:val="28"/>
          <w:szCs w:val="28"/>
          <w:lang w:eastAsia="ru-RU"/>
        </w:rPr>
        <w:t xml:space="preserve"> по делу №2-1/2017 от 19 апреля 2017 [Электронный ресурс] // СудАкт. – Режим доступа:  </w:t>
      </w:r>
      <w:r w:rsidRPr="00D1277B">
        <w:rPr>
          <w:rFonts w:ascii="Times New Roman" w:hAnsi="Times New Roman"/>
          <w:color w:val="000000"/>
          <w:sz w:val="28"/>
          <w:szCs w:val="28"/>
          <w:lang w:val="en-US" w:eastAsia="ru-RU"/>
        </w:rPr>
        <w:t>http</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sudact</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ru</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CmTcin</w:t>
      </w:r>
      <w:r w:rsidRPr="00D1277B">
        <w:rPr>
          <w:rFonts w:ascii="Times New Roman" w:hAnsi="Times New Roman"/>
          <w:color w:val="000000"/>
          <w:sz w:val="28"/>
          <w:szCs w:val="28"/>
          <w:lang w:eastAsia="ru-RU"/>
        </w:rPr>
        <w:t>8</w:t>
      </w:r>
      <w:r w:rsidRPr="00D1277B">
        <w:rPr>
          <w:rFonts w:ascii="Times New Roman" w:hAnsi="Times New Roman"/>
          <w:color w:val="000000"/>
          <w:sz w:val="28"/>
          <w:szCs w:val="28"/>
          <w:lang w:val="en-US" w:eastAsia="ru-RU"/>
        </w:rPr>
        <w:t>Cv</w:t>
      </w:r>
      <w:r w:rsidRPr="00D1277B">
        <w:rPr>
          <w:rFonts w:ascii="Times New Roman" w:hAnsi="Times New Roman"/>
          <w:color w:val="000000"/>
          <w:sz w:val="28"/>
          <w:szCs w:val="28"/>
          <w:lang w:eastAsia="ru-RU"/>
        </w:rPr>
        <w:t>3</w:t>
      </w:r>
      <w:r w:rsidRPr="00D1277B">
        <w:rPr>
          <w:rFonts w:ascii="Times New Roman" w:hAnsi="Times New Roman"/>
          <w:color w:val="000000"/>
          <w:sz w:val="28"/>
          <w:szCs w:val="28"/>
          <w:lang w:val="en-US" w:eastAsia="ru-RU"/>
        </w:rPr>
        <w:t>VQ</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txt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case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=№2-1%2</w:t>
      </w:r>
      <w:r w:rsidRPr="00D1277B">
        <w:rPr>
          <w:rFonts w:ascii="Times New Roman" w:hAnsi="Times New Roman"/>
          <w:color w:val="000000"/>
          <w:sz w:val="28"/>
          <w:szCs w:val="28"/>
          <w:lang w:val="en-US" w:eastAsia="ru-RU"/>
        </w:rPr>
        <w:t>F</w:t>
      </w:r>
      <w:r w:rsidRPr="00D1277B">
        <w:rPr>
          <w:rFonts w:ascii="Times New Roman" w:hAnsi="Times New Roman"/>
          <w:color w:val="000000"/>
          <w:sz w:val="28"/>
          <w:szCs w:val="28"/>
          <w:lang w:eastAsia="ru-RU"/>
        </w:rPr>
        <w:t>2017&amp;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lawchunkinfo</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type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from</w:t>
      </w:r>
      <w:r w:rsidRPr="00D1277B">
        <w:rPr>
          <w:rFonts w:ascii="Times New Roman" w:hAnsi="Times New Roman"/>
          <w:color w:val="000000"/>
          <w:sz w:val="28"/>
          <w:szCs w:val="28"/>
          <w:lang w:eastAsia="ru-RU"/>
        </w:rPr>
        <w:t>=01.01.2016&amp;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to</w:t>
      </w:r>
      <w:r w:rsidRPr="00D1277B">
        <w:rPr>
          <w:rFonts w:ascii="Times New Roman" w:hAnsi="Times New Roman"/>
          <w:color w:val="000000"/>
          <w:sz w:val="28"/>
          <w:szCs w:val="28"/>
          <w:lang w:eastAsia="ru-RU"/>
        </w:rPr>
        <w:t>=01.10.2018&amp;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workflow</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stage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area</w:t>
      </w:r>
      <w:r w:rsidRPr="00D1277B">
        <w:rPr>
          <w:rFonts w:ascii="Times New Roman" w:hAnsi="Times New Roman"/>
          <w:color w:val="000000"/>
          <w:sz w:val="28"/>
          <w:szCs w:val="28"/>
          <w:lang w:eastAsia="ru-RU"/>
        </w:rPr>
        <w:t>=1049&amp;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court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judge</w:t>
      </w:r>
      <w:r w:rsidRPr="00D1277B">
        <w:rPr>
          <w:rFonts w:ascii="Times New Roman" w:hAnsi="Times New Roman"/>
          <w:color w:val="000000"/>
          <w:sz w:val="28"/>
          <w:szCs w:val="28"/>
          <w:lang w:eastAsia="ru-RU"/>
        </w:rPr>
        <w:t>=&amp;_=1542258798426.</w:t>
      </w:r>
    </w:p>
    <w:p w:rsidR="00D1277B" w:rsidRPr="00D1277B" w:rsidRDefault="00D1277B" w:rsidP="00D1277B">
      <w:pPr>
        <w:spacing w:after="0" w:line="240" w:lineRule="auto"/>
        <w:jc w:val="both"/>
        <w:rPr>
          <w:rFonts w:ascii="Times New Roman" w:eastAsia="Times New Roman" w:hAnsi="Times New Roman"/>
          <w:color w:val="000000"/>
          <w:sz w:val="28"/>
          <w:szCs w:val="28"/>
          <w:lang w:eastAsia="ru-RU"/>
        </w:rPr>
      </w:pPr>
      <w:r w:rsidRPr="00D1277B">
        <w:rPr>
          <w:rFonts w:ascii="Times New Roman" w:hAnsi="Times New Roman"/>
          <w:color w:val="000000"/>
          <w:sz w:val="28"/>
          <w:szCs w:val="28"/>
          <w:lang w:eastAsia="ru-RU"/>
        </w:rPr>
        <w:t xml:space="preserve">18.Определение </w:t>
      </w:r>
      <w:r w:rsidRPr="00D1277B">
        <w:rPr>
          <w:rFonts w:ascii="Times New Roman" w:eastAsia="Times New Roman" w:hAnsi="Times New Roman"/>
          <w:color w:val="000000"/>
          <w:sz w:val="28"/>
          <w:szCs w:val="28"/>
          <w:shd w:val="clear" w:color="auto" w:fill="FFFFFF"/>
          <w:lang w:eastAsia="ru-RU"/>
        </w:rPr>
        <w:t xml:space="preserve">Судебной коллегии по гражданским делам Приморского краевого суда </w:t>
      </w:r>
      <w:r w:rsidRPr="00D1277B">
        <w:rPr>
          <w:rFonts w:ascii="Times New Roman" w:hAnsi="Times New Roman"/>
          <w:color w:val="000000"/>
          <w:sz w:val="28"/>
          <w:szCs w:val="28"/>
          <w:lang w:eastAsia="ru-RU"/>
        </w:rPr>
        <w:t xml:space="preserve">по делу №33-11133/2016 от 24 октября 2016 [Электронный ресурс] // СудАкт. – Режим доступа: </w:t>
      </w:r>
      <w:r w:rsidRPr="00D1277B">
        <w:rPr>
          <w:rFonts w:ascii="Times New Roman" w:hAnsi="Times New Roman"/>
          <w:color w:val="000000"/>
          <w:sz w:val="28"/>
          <w:szCs w:val="28"/>
          <w:lang w:val="en-US" w:eastAsia="ru-RU"/>
        </w:rPr>
        <w:t>http</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sudact</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ru</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/5</w:t>
      </w:r>
      <w:r w:rsidRPr="00D1277B">
        <w:rPr>
          <w:rFonts w:ascii="Times New Roman" w:hAnsi="Times New Roman"/>
          <w:color w:val="000000"/>
          <w:sz w:val="28"/>
          <w:szCs w:val="28"/>
          <w:lang w:val="en-US" w:eastAsia="ru-RU"/>
        </w:rPr>
        <w:t>n</w:t>
      </w:r>
      <w:r w:rsidRPr="00D1277B">
        <w:rPr>
          <w:rFonts w:ascii="Times New Roman" w:hAnsi="Times New Roman"/>
          <w:color w:val="000000"/>
          <w:sz w:val="28"/>
          <w:szCs w:val="28"/>
          <w:lang w:eastAsia="ru-RU"/>
        </w:rPr>
        <w:t>7</w:t>
      </w:r>
      <w:r w:rsidRPr="00D1277B">
        <w:rPr>
          <w:rFonts w:ascii="Times New Roman" w:hAnsi="Times New Roman"/>
          <w:color w:val="000000"/>
          <w:sz w:val="28"/>
          <w:szCs w:val="28"/>
          <w:lang w:val="en-US" w:eastAsia="ru-RU"/>
        </w:rPr>
        <w:t>ri</w:t>
      </w:r>
      <w:r w:rsidRPr="00D1277B">
        <w:rPr>
          <w:rFonts w:ascii="Times New Roman" w:hAnsi="Times New Roman"/>
          <w:color w:val="000000"/>
          <w:sz w:val="28"/>
          <w:szCs w:val="28"/>
          <w:lang w:eastAsia="ru-RU"/>
        </w:rPr>
        <w:t>1</w:t>
      </w:r>
      <w:r w:rsidRPr="00D1277B">
        <w:rPr>
          <w:rFonts w:ascii="Times New Roman" w:hAnsi="Times New Roman"/>
          <w:color w:val="000000"/>
          <w:sz w:val="28"/>
          <w:szCs w:val="28"/>
          <w:lang w:val="en-US" w:eastAsia="ru-RU"/>
        </w:rPr>
        <w:t>h</w:t>
      </w:r>
      <w:r w:rsidRPr="00D1277B">
        <w:rPr>
          <w:rFonts w:ascii="Times New Roman" w:hAnsi="Times New Roman"/>
          <w:color w:val="000000"/>
          <w:sz w:val="28"/>
          <w:szCs w:val="28"/>
          <w:lang w:eastAsia="ru-RU"/>
        </w:rPr>
        <w:t>4</w:t>
      </w:r>
      <w:r w:rsidRPr="00D1277B">
        <w:rPr>
          <w:rFonts w:ascii="Times New Roman" w:hAnsi="Times New Roman"/>
          <w:color w:val="000000"/>
          <w:sz w:val="28"/>
          <w:szCs w:val="28"/>
          <w:lang w:val="en-US" w:eastAsia="ru-RU"/>
        </w:rPr>
        <w:t>jp</w:t>
      </w:r>
      <w:r w:rsidRPr="00D1277B">
        <w:rPr>
          <w:rFonts w:ascii="Times New Roman" w:hAnsi="Times New Roman"/>
          <w:color w:val="000000"/>
          <w:sz w:val="28"/>
          <w:szCs w:val="28"/>
          <w:lang w:eastAsia="ru-RU"/>
        </w:rPr>
        <w:t>1</w:t>
      </w:r>
      <w:r w:rsidRPr="00D1277B">
        <w:rPr>
          <w:rFonts w:ascii="Times New Roman" w:hAnsi="Times New Roman"/>
          <w:color w:val="000000"/>
          <w:sz w:val="28"/>
          <w:szCs w:val="28"/>
          <w:lang w:val="en-US" w:eastAsia="ru-RU"/>
        </w:rPr>
        <w:t>V</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txt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case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=№33-11133%2</w:t>
      </w:r>
      <w:r w:rsidRPr="00D1277B">
        <w:rPr>
          <w:rFonts w:ascii="Times New Roman" w:hAnsi="Times New Roman"/>
          <w:color w:val="000000"/>
          <w:sz w:val="28"/>
          <w:szCs w:val="28"/>
          <w:lang w:val="en-US" w:eastAsia="ru-RU"/>
        </w:rPr>
        <w:t>F</w:t>
      </w:r>
      <w:r w:rsidRPr="00D1277B">
        <w:rPr>
          <w:rFonts w:ascii="Times New Roman" w:hAnsi="Times New Roman"/>
          <w:color w:val="000000"/>
          <w:sz w:val="28"/>
          <w:szCs w:val="28"/>
          <w:lang w:eastAsia="ru-RU"/>
        </w:rPr>
        <w:t>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lawchunkinfo</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type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from</w:t>
      </w:r>
      <w:r w:rsidRPr="00D1277B">
        <w:rPr>
          <w:rFonts w:ascii="Times New Roman" w:hAnsi="Times New Roman"/>
          <w:color w:val="000000"/>
          <w:sz w:val="28"/>
          <w:szCs w:val="28"/>
          <w:lang w:eastAsia="ru-RU"/>
        </w:rPr>
        <w:t>=01.01.2016&amp;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to</w:t>
      </w:r>
      <w:r w:rsidRPr="00D1277B">
        <w:rPr>
          <w:rFonts w:ascii="Times New Roman" w:hAnsi="Times New Roman"/>
          <w:color w:val="000000"/>
          <w:sz w:val="28"/>
          <w:szCs w:val="28"/>
          <w:lang w:eastAsia="ru-RU"/>
        </w:rPr>
        <w:t>=01.10.2018&amp;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workflow</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stage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area</w:t>
      </w:r>
      <w:r w:rsidRPr="00D1277B">
        <w:rPr>
          <w:rFonts w:ascii="Times New Roman" w:hAnsi="Times New Roman"/>
          <w:color w:val="000000"/>
          <w:sz w:val="28"/>
          <w:szCs w:val="28"/>
          <w:lang w:eastAsia="ru-RU"/>
        </w:rPr>
        <w:t>=1049&amp;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court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judge</w:t>
      </w:r>
      <w:r w:rsidRPr="00D1277B">
        <w:rPr>
          <w:rFonts w:ascii="Times New Roman" w:hAnsi="Times New Roman"/>
          <w:color w:val="000000"/>
          <w:sz w:val="28"/>
          <w:szCs w:val="28"/>
          <w:lang w:eastAsia="ru-RU"/>
        </w:rPr>
        <w:t>=&amp;_=1542258985023.</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19. Решение  П</w:t>
      </w:r>
      <w:r w:rsidRPr="00D1277B">
        <w:rPr>
          <w:rFonts w:ascii="Times New Roman" w:hAnsi="Times New Roman"/>
          <w:color w:val="000000"/>
          <w:sz w:val="28"/>
          <w:szCs w:val="28"/>
        </w:rPr>
        <w:t xml:space="preserve">ервомайского районного суд г. Владивостока Приморского края </w:t>
      </w:r>
      <w:r w:rsidRPr="00D1277B">
        <w:rPr>
          <w:rFonts w:ascii="Times New Roman" w:hAnsi="Times New Roman"/>
          <w:color w:val="000000"/>
          <w:sz w:val="28"/>
          <w:szCs w:val="28"/>
          <w:lang w:eastAsia="ru-RU"/>
        </w:rPr>
        <w:t xml:space="preserve">№ 2-2324/2016 от 4 октября 2017 [Электронный ресурс] // СудАкт. – Режим доступа: </w:t>
      </w:r>
      <w:r w:rsidRPr="00D1277B">
        <w:rPr>
          <w:rFonts w:ascii="Times New Roman" w:hAnsi="Times New Roman"/>
          <w:color w:val="000000"/>
          <w:sz w:val="28"/>
          <w:szCs w:val="28"/>
          <w:lang w:val="en-US" w:eastAsia="ru-RU"/>
        </w:rPr>
        <w:t>http</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sudact</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ru</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/78</w:t>
      </w:r>
      <w:r w:rsidRPr="00D1277B">
        <w:rPr>
          <w:rFonts w:ascii="Times New Roman" w:hAnsi="Times New Roman"/>
          <w:color w:val="000000"/>
          <w:sz w:val="28"/>
          <w:szCs w:val="28"/>
          <w:lang w:val="en-US" w:eastAsia="ru-RU"/>
        </w:rPr>
        <w:t>FvIvQYg</w:t>
      </w:r>
      <w:r w:rsidRPr="00D1277B">
        <w:rPr>
          <w:rFonts w:ascii="Times New Roman" w:hAnsi="Times New Roman"/>
          <w:color w:val="000000"/>
          <w:sz w:val="28"/>
          <w:szCs w:val="28"/>
          <w:lang w:eastAsia="ru-RU"/>
        </w:rPr>
        <w:t>4</w:t>
      </w:r>
      <w:r w:rsidRPr="00D1277B">
        <w:rPr>
          <w:rFonts w:ascii="Times New Roman" w:hAnsi="Times New Roman"/>
          <w:color w:val="000000"/>
          <w:sz w:val="28"/>
          <w:szCs w:val="28"/>
          <w:lang w:val="en-US" w:eastAsia="ru-RU"/>
        </w:rPr>
        <w:t>t</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txt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case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=№2-2324%2</w:t>
      </w:r>
      <w:r w:rsidRPr="00D1277B">
        <w:rPr>
          <w:rFonts w:ascii="Times New Roman" w:hAnsi="Times New Roman"/>
          <w:color w:val="000000"/>
          <w:sz w:val="28"/>
          <w:szCs w:val="28"/>
          <w:lang w:val="en-US" w:eastAsia="ru-RU"/>
        </w:rPr>
        <w:t>F</w:t>
      </w:r>
      <w:r w:rsidRPr="00D1277B">
        <w:rPr>
          <w:rFonts w:ascii="Times New Roman" w:hAnsi="Times New Roman"/>
          <w:color w:val="000000"/>
          <w:sz w:val="28"/>
          <w:szCs w:val="28"/>
          <w:lang w:eastAsia="ru-RU"/>
        </w:rPr>
        <w:t>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lawchunkinfo</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lastRenderedPageBreak/>
        <w:t>doc</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type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from</w:t>
      </w:r>
      <w:r w:rsidRPr="00D1277B">
        <w:rPr>
          <w:rFonts w:ascii="Times New Roman" w:hAnsi="Times New Roman"/>
          <w:color w:val="000000"/>
          <w:sz w:val="28"/>
          <w:szCs w:val="28"/>
          <w:lang w:eastAsia="ru-RU"/>
        </w:rPr>
        <w:t>=01.01.2016&amp;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to</w:t>
      </w:r>
      <w:r w:rsidRPr="00D1277B">
        <w:rPr>
          <w:rFonts w:ascii="Times New Roman" w:hAnsi="Times New Roman"/>
          <w:color w:val="000000"/>
          <w:sz w:val="28"/>
          <w:szCs w:val="28"/>
          <w:lang w:eastAsia="ru-RU"/>
        </w:rPr>
        <w:t>=01.10.2018&amp;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workflow</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stage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area</w:t>
      </w:r>
      <w:r w:rsidRPr="00D1277B">
        <w:rPr>
          <w:rFonts w:ascii="Times New Roman" w:hAnsi="Times New Roman"/>
          <w:color w:val="000000"/>
          <w:sz w:val="28"/>
          <w:szCs w:val="28"/>
          <w:lang w:eastAsia="ru-RU"/>
        </w:rPr>
        <w:t>=1049&amp;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court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judge</w:t>
      </w:r>
      <w:r w:rsidRPr="00D1277B">
        <w:rPr>
          <w:rFonts w:ascii="Times New Roman" w:hAnsi="Times New Roman"/>
          <w:color w:val="000000"/>
          <w:sz w:val="28"/>
          <w:szCs w:val="28"/>
          <w:lang w:eastAsia="ru-RU"/>
        </w:rPr>
        <w:t>=&amp;_=1542258858911.</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20.Решение </w:t>
      </w:r>
      <w:r w:rsidRPr="00D1277B">
        <w:rPr>
          <w:rFonts w:ascii="Times New Roman" w:hAnsi="Times New Roman"/>
          <w:color w:val="000000"/>
          <w:sz w:val="28"/>
          <w:szCs w:val="28"/>
        </w:rPr>
        <w:t xml:space="preserve">Первореченского районного суд г. Владивостока Приморского края </w:t>
      </w:r>
      <w:r w:rsidRPr="00D1277B">
        <w:rPr>
          <w:rFonts w:ascii="Times New Roman" w:hAnsi="Times New Roman"/>
          <w:bCs/>
          <w:color w:val="000000"/>
          <w:kern w:val="36"/>
          <w:sz w:val="28"/>
          <w:szCs w:val="28"/>
          <w:lang w:eastAsia="ru-RU"/>
        </w:rPr>
        <w:t xml:space="preserve">по делу № 2-368/2017 </w:t>
      </w:r>
      <w:r w:rsidRPr="00D1277B">
        <w:rPr>
          <w:rFonts w:ascii="Times New Roman" w:hAnsi="Times New Roman"/>
          <w:color w:val="000000"/>
          <w:sz w:val="28"/>
          <w:szCs w:val="28"/>
          <w:lang w:eastAsia="ru-RU"/>
        </w:rPr>
        <w:t xml:space="preserve">[Электронный ресурс] // СудАкт. – Режим доступа: </w:t>
      </w:r>
      <w:r w:rsidRPr="00D1277B">
        <w:rPr>
          <w:rFonts w:ascii="Times New Roman" w:hAnsi="Times New Roman"/>
          <w:color w:val="000000"/>
          <w:sz w:val="28"/>
          <w:szCs w:val="28"/>
          <w:lang w:val="en-US" w:eastAsia="ru-RU"/>
        </w:rPr>
        <w:t>http</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sudact</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ru</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yTNOXvwaGQVD</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txt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case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=№2-368%2</w:t>
      </w:r>
      <w:r w:rsidRPr="00D1277B">
        <w:rPr>
          <w:rFonts w:ascii="Times New Roman" w:hAnsi="Times New Roman"/>
          <w:color w:val="000000"/>
          <w:sz w:val="28"/>
          <w:szCs w:val="28"/>
          <w:lang w:val="en-US" w:eastAsia="ru-RU"/>
        </w:rPr>
        <w:t>F</w:t>
      </w:r>
      <w:r w:rsidRPr="00D1277B">
        <w:rPr>
          <w:rFonts w:ascii="Times New Roman" w:hAnsi="Times New Roman"/>
          <w:color w:val="000000"/>
          <w:sz w:val="28"/>
          <w:szCs w:val="28"/>
          <w:lang w:eastAsia="ru-RU"/>
        </w:rPr>
        <w:t>2017&amp;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lawchunkinfo</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type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from</w:t>
      </w:r>
      <w:r w:rsidRPr="00D1277B">
        <w:rPr>
          <w:rFonts w:ascii="Times New Roman" w:hAnsi="Times New Roman"/>
          <w:color w:val="000000"/>
          <w:sz w:val="28"/>
          <w:szCs w:val="28"/>
          <w:lang w:eastAsia="ru-RU"/>
        </w:rPr>
        <w:t>=01.01.2016&amp;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to</w:t>
      </w:r>
      <w:r w:rsidRPr="00D1277B">
        <w:rPr>
          <w:rFonts w:ascii="Times New Roman" w:hAnsi="Times New Roman"/>
          <w:color w:val="000000"/>
          <w:sz w:val="28"/>
          <w:szCs w:val="28"/>
          <w:lang w:eastAsia="ru-RU"/>
        </w:rPr>
        <w:t>=01.10.2018&amp;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workflow</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stage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area</w:t>
      </w:r>
      <w:r w:rsidRPr="00D1277B">
        <w:rPr>
          <w:rFonts w:ascii="Times New Roman" w:hAnsi="Times New Roman"/>
          <w:color w:val="000000"/>
          <w:sz w:val="28"/>
          <w:szCs w:val="28"/>
          <w:lang w:eastAsia="ru-RU"/>
        </w:rPr>
        <w:t>=1049&amp;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court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judge</w:t>
      </w:r>
      <w:r w:rsidRPr="00D1277B">
        <w:rPr>
          <w:rFonts w:ascii="Times New Roman" w:hAnsi="Times New Roman"/>
          <w:color w:val="000000"/>
          <w:sz w:val="28"/>
          <w:szCs w:val="28"/>
          <w:lang w:eastAsia="ru-RU"/>
        </w:rPr>
        <w:t>=&amp;_=1542258896347.</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21. Решение </w:t>
      </w:r>
      <w:r w:rsidRPr="00D1277B">
        <w:rPr>
          <w:rFonts w:ascii="Times New Roman" w:eastAsia="Times New Roman" w:hAnsi="Times New Roman"/>
          <w:color w:val="000000"/>
          <w:sz w:val="28"/>
          <w:szCs w:val="28"/>
          <w:shd w:val="clear" w:color="auto" w:fill="FFFFFF"/>
          <w:lang w:eastAsia="ru-RU"/>
        </w:rPr>
        <w:t xml:space="preserve">Первомайского районного суд г. Владивостока Приморского края </w:t>
      </w:r>
      <w:r w:rsidRPr="00D1277B">
        <w:rPr>
          <w:rFonts w:ascii="Times New Roman" w:hAnsi="Times New Roman"/>
          <w:color w:val="000000"/>
          <w:sz w:val="28"/>
          <w:szCs w:val="28"/>
          <w:lang w:eastAsia="ru-RU"/>
        </w:rPr>
        <w:t xml:space="preserve">Решение от 4 июля 2017 г. по делу № 2-1969/2015 [Электронный ресурс] // СудАкт. – Режим доступа: </w:t>
      </w:r>
      <w:r w:rsidRPr="00D1277B">
        <w:rPr>
          <w:rFonts w:ascii="Times New Roman" w:eastAsia="Times New Roman" w:hAnsi="Times New Roman"/>
          <w:color w:val="000000"/>
          <w:sz w:val="28"/>
          <w:szCs w:val="28"/>
          <w:lang w:eastAsia="ru-RU"/>
        </w:rPr>
        <w:t>http://sudact.ru/regular/doc/wfZ71XKmdcr0/.</w:t>
      </w:r>
    </w:p>
    <w:p w:rsidR="00D1277B" w:rsidRPr="00D1277B" w:rsidRDefault="00D1277B" w:rsidP="00D1277B">
      <w:pPr>
        <w:spacing w:after="0" w:line="240" w:lineRule="auto"/>
        <w:jc w:val="both"/>
        <w:rPr>
          <w:rFonts w:ascii="Times New Roman" w:hAnsi="Times New Roman"/>
          <w:color w:val="000000"/>
          <w:sz w:val="28"/>
          <w:szCs w:val="28"/>
          <w:lang w:eastAsia="ru-RU"/>
        </w:rPr>
      </w:pPr>
      <w:r w:rsidRPr="00D1277B">
        <w:rPr>
          <w:rFonts w:ascii="Times New Roman" w:hAnsi="Times New Roman"/>
          <w:color w:val="000000"/>
          <w:sz w:val="28"/>
          <w:szCs w:val="28"/>
          <w:lang w:eastAsia="ru-RU"/>
        </w:rPr>
        <w:t xml:space="preserve">22. Решение </w:t>
      </w:r>
      <w:r w:rsidRPr="00D1277B">
        <w:rPr>
          <w:rFonts w:ascii="Times New Roman" w:hAnsi="Times New Roman"/>
          <w:color w:val="000000"/>
          <w:sz w:val="28"/>
          <w:szCs w:val="28"/>
        </w:rPr>
        <w:t>Первореченского районного суд г. Владивостока Приморского края</w:t>
      </w:r>
      <w:r w:rsidRPr="00D1277B">
        <w:rPr>
          <w:rFonts w:ascii="Times New Roman" w:hAnsi="Times New Roman"/>
          <w:color w:val="000000"/>
          <w:sz w:val="28"/>
          <w:szCs w:val="28"/>
          <w:lang w:eastAsia="ru-RU"/>
        </w:rPr>
        <w:t xml:space="preserve"> по делу № 2-5170/2015 от 29 марта 2016 [Электронный ресурс] // СудАкт. -  Режим доступа: </w:t>
      </w:r>
      <w:r w:rsidRPr="00D1277B">
        <w:rPr>
          <w:rFonts w:ascii="Times New Roman" w:hAnsi="Times New Roman"/>
          <w:color w:val="000000"/>
          <w:sz w:val="28"/>
          <w:szCs w:val="28"/>
          <w:lang w:val="en-US" w:eastAsia="ru-RU"/>
        </w:rPr>
        <w:t>http</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sudact</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ru</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NHd</w:t>
      </w:r>
      <w:r w:rsidRPr="00D1277B">
        <w:rPr>
          <w:rFonts w:ascii="Times New Roman" w:hAnsi="Times New Roman"/>
          <w:color w:val="000000"/>
          <w:sz w:val="28"/>
          <w:szCs w:val="28"/>
          <w:lang w:eastAsia="ru-RU"/>
        </w:rPr>
        <w:t>4</w:t>
      </w:r>
      <w:r w:rsidRPr="00D1277B">
        <w:rPr>
          <w:rFonts w:ascii="Times New Roman" w:hAnsi="Times New Roman"/>
          <w:color w:val="000000"/>
          <w:sz w:val="28"/>
          <w:szCs w:val="28"/>
          <w:lang w:val="en-US" w:eastAsia="ru-RU"/>
        </w:rPr>
        <w:t>ZY</w:t>
      </w:r>
      <w:r w:rsidRPr="00D1277B">
        <w:rPr>
          <w:rFonts w:ascii="Times New Roman" w:hAnsi="Times New Roman"/>
          <w:color w:val="000000"/>
          <w:sz w:val="28"/>
          <w:szCs w:val="28"/>
          <w:lang w:eastAsia="ru-RU"/>
        </w:rPr>
        <w:t>6</w:t>
      </w:r>
      <w:r w:rsidRPr="00D1277B">
        <w:rPr>
          <w:rFonts w:ascii="Times New Roman" w:hAnsi="Times New Roman"/>
          <w:color w:val="000000"/>
          <w:sz w:val="28"/>
          <w:szCs w:val="28"/>
          <w:lang w:val="en-US" w:eastAsia="ru-RU"/>
        </w:rPr>
        <w:t>ysIdK</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txt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case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=№2-5170%2</w:t>
      </w:r>
      <w:r w:rsidRPr="00D1277B">
        <w:rPr>
          <w:rFonts w:ascii="Times New Roman" w:hAnsi="Times New Roman"/>
          <w:color w:val="000000"/>
          <w:sz w:val="28"/>
          <w:szCs w:val="28"/>
          <w:lang w:val="en-US" w:eastAsia="ru-RU"/>
        </w:rPr>
        <w:t>F</w:t>
      </w:r>
      <w:r w:rsidRPr="00D1277B">
        <w:rPr>
          <w:rFonts w:ascii="Times New Roman" w:hAnsi="Times New Roman"/>
          <w:color w:val="000000"/>
          <w:sz w:val="28"/>
          <w:szCs w:val="28"/>
          <w:lang w:eastAsia="ru-RU"/>
        </w:rPr>
        <w:t>2015&amp;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lawchunkinfo</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doc</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type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from</w:t>
      </w:r>
      <w:r w:rsidRPr="00D1277B">
        <w:rPr>
          <w:rFonts w:ascii="Times New Roman" w:hAnsi="Times New Roman"/>
          <w:color w:val="000000"/>
          <w:sz w:val="28"/>
          <w:szCs w:val="28"/>
          <w:lang w:eastAsia="ru-RU"/>
        </w:rPr>
        <w:t>=01.01.2016&amp;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date</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to</w:t>
      </w:r>
      <w:r w:rsidRPr="00D1277B">
        <w:rPr>
          <w:rFonts w:ascii="Times New Roman" w:hAnsi="Times New Roman"/>
          <w:color w:val="000000"/>
          <w:sz w:val="28"/>
          <w:szCs w:val="28"/>
          <w:lang w:eastAsia="ru-RU"/>
        </w:rPr>
        <w:t>=01.10.2018&amp;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workflow</w:t>
      </w:r>
      <w:r w:rsidRPr="00D1277B">
        <w:rPr>
          <w:rFonts w:ascii="Times New Roman" w:hAnsi="Times New Roman"/>
          <w:color w:val="000000"/>
          <w:sz w:val="28"/>
          <w:szCs w:val="28"/>
          <w:lang w:eastAsia="ru-RU"/>
        </w:rPr>
        <w:t>_</w:t>
      </w:r>
      <w:r w:rsidRPr="00D1277B">
        <w:rPr>
          <w:rFonts w:ascii="Times New Roman" w:hAnsi="Times New Roman"/>
          <w:color w:val="000000"/>
          <w:sz w:val="28"/>
          <w:szCs w:val="28"/>
          <w:lang w:val="en-US" w:eastAsia="ru-RU"/>
        </w:rPr>
        <w:t>stage</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area</w:t>
      </w:r>
      <w:r w:rsidRPr="00D1277B">
        <w:rPr>
          <w:rFonts w:ascii="Times New Roman" w:hAnsi="Times New Roman"/>
          <w:color w:val="000000"/>
          <w:sz w:val="28"/>
          <w:szCs w:val="28"/>
          <w:lang w:eastAsia="ru-RU"/>
        </w:rPr>
        <w:t>=1049&amp;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court</w:t>
      </w:r>
      <w:r w:rsidRPr="00D1277B">
        <w:rPr>
          <w:rFonts w:ascii="Times New Roman" w:hAnsi="Times New Roman"/>
          <w:color w:val="000000"/>
          <w:sz w:val="28"/>
          <w:szCs w:val="28"/>
          <w:lang w:eastAsia="ru-RU"/>
        </w:rPr>
        <w:t>=&amp;</w:t>
      </w:r>
      <w:r w:rsidRPr="00D1277B">
        <w:rPr>
          <w:rFonts w:ascii="Times New Roman" w:hAnsi="Times New Roman"/>
          <w:color w:val="000000"/>
          <w:sz w:val="28"/>
          <w:szCs w:val="28"/>
          <w:lang w:val="en-US" w:eastAsia="ru-RU"/>
        </w:rPr>
        <w:t>regular</w:t>
      </w:r>
      <w:r w:rsidRPr="00D1277B">
        <w:rPr>
          <w:rFonts w:ascii="Times New Roman" w:hAnsi="Times New Roman"/>
          <w:color w:val="000000"/>
          <w:sz w:val="28"/>
          <w:szCs w:val="28"/>
          <w:lang w:eastAsia="ru-RU"/>
        </w:rPr>
        <w:t>-</w:t>
      </w:r>
      <w:r w:rsidRPr="00D1277B">
        <w:rPr>
          <w:rFonts w:ascii="Times New Roman" w:hAnsi="Times New Roman"/>
          <w:color w:val="000000"/>
          <w:sz w:val="28"/>
          <w:szCs w:val="28"/>
          <w:lang w:val="en-US" w:eastAsia="ru-RU"/>
        </w:rPr>
        <w:t>judge</w:t>
      </w:r>
      <w:r w:rsidRPr="00D1277B">
        <w:rPr>
          <w:rFonts w:ascii="Times New Roman" w:hAnsi="Times New Roman"/>
          <w:color w:val="000000"/>
          <w:sz w:val="28"/>
          <w:szCs w:val="28"/>
          <w:lang w:eastAsia="ru-RU"/>
        </w:rPr>
        <w:t>=&amp;_=1542258942387.</w:t>
      </w:r>
    </w:p>
    <w:p w:rsidR="00D1277B" w:rsidRPr="00467B95" w:rsidRDefault="00D1277B" w:rsidP="005A3DF4">
      <w:pPr>
        <w:widowControl w:val="0"/>
        <w:spacing w:after="0" w:line="240" w:lineRule="auto"/>
        <w:ind w:firstLine="709"/>
        <w:jc w:val="both"/>
        <w:rPr>
          <w:rFonts w:ascii="Times New Roman" w:hAnsi="Times New Roman"/>
          <w:sz w:val="28"/>
          <w:szCs w:val="28"/>
        </w:rPr>
      </w:pPr>
    </w:p>
    <w:p w:rsidR="001755D4" w:rsidRPr="009469D0" w:rsidRDefault="001755D4" w:rsidP="005A3DF4">
      <w:pPr>
        <w:widowControl w:val="0"/>
        <w:tabs>
          <w:tab w:val="left" w:pos="1080"/>
          <w:tab w:val="num" w:pos="2770"/>
        </w:tabs>
        <w:spacing w:after="0" w:line="240" w:lineRule="auto"/>
        <w:ind w:left="709"/>
        <w:jc w:val="both"/>
        <w:rPr>
          <w:rFonts w:ascii="Times New Roman" w:hAnsi="Times New Roman"/>
          <w:sz w:val="28"/>
          <w:szCs w:val="28"/>
        </w:rPr>
      </w:pPr>
    </w:p>
    <w:p w:rsidR="004A656A" w:rsidRPr="009469D0" w:rsidRDefault="004A656A" w:rsidP="005A3DF4">
      <w:pPr>
        <w:widowControl w:val="0"/>
        <w:tabs>
          <w:tab w:val="left" w:pos="1080"/>
        </w:tabs>
        <w:spacing w:after="0" w:line="240" w:lineRule="auto"/>
        <w:ind w:firstLine="709"/>
        <w:jc w:val="both"/>
        <w:rPr>
          <w:rFonts w:ascii="Times New Roman" w:hAnsi="Times New Roman"/>
          <w:sz w:val="28"/>
          <w:szCs w:val="28"/>
        </w:rPr>
      </w:pPr>
    </w:p>
    <w:p w:rsidR="0078211C" w:rsidRPr="009469D0" w:rsidRDefault="0078211C" w:rsidP="005A3DF4">
      <w:pPr>
        <w:widowControl w:val="0"/>
        <w:spacing w:after="0" w:line="240" w:lineRule="auto"/>
        <w:ind w:firstLine="709"/>
        <w:contextualSpacing/>
        <w:jc w:val="both"/>
        <w:rPr>
          <w:rFonts w:ascii="Times New Roman" w:eastAsia="Times New Roman" w:hAnsi="Times New Roman"/>
          <w:sz w:val="28"/>
          <w:szCs w:val="28"/>
          <w:lang w:eastAsia="ru-RU"/>
        </w:rPr>
      </w:pPr>
    </w:p>
    <w:p w:rsidR="0078211C" w:rsidRPr="009469D0" w:rsidRDefault="0078211C" w:rsidP="005A3DF4">
      <w:pPr>
        <w:widowControl w:val="0"/>
        <w:spacing w:after="0" w:line="240" w:lineRule="auto"/>
        <w:ind w:firstLine="709"/>
        <w:contextualSpacing/>
        <w:jc w:val="both"/>
        <w:rPr>
          <w:rFonts w:ascii="Times New Roman" w:eastAsia="Times New Roman" w:hAnsi="Times New Roman"/>
          <w:sz w:val="28"/>
          <w:szCs w:val="28"/>
          <w:lang w:eastAsia="ru-RU"/>
        </w:rPr>
      </w:pPr>
    </w:p>
    <w:p w:rsidR="0078211C" w:rsidRPr="009469D0" w:rsidRDefault="0078211C" w:rsidP="005A3DF4">
      <w:pPr>
        <w:widowControl w:val="0"/>
        <w:spacing w:after="0" w:line="240" w:lineRule="auto"/>
        <w:ind w:firstLine="709"/>
        <w:contextualSpacing/>
        <w:jc w:val="both"/>
        <w:rPr>
          <w:rFonts w:ascii="Times New Roman" w:eastAsia="Times New Roman" w:hAnsi="Times New Roman"/>
          <w:sz w:val="28"/>
          <w:szCs w:val="28"/>
          <w:lang w:eastAsia="ru-RU"/>
        </w:rPr>
      </w:pPr>
    </w:p>
    <w:p w:rsidR="0078211C" w:rsidRPr="009469D0" w:rsidRDefault="0078211C" w:rsidP="005A3DF4">
      <w:pPr>
        <w:pStyle w:val="af4"/>
        <w:widowControl w:val="0"/>
        <w:ind w:firstLine="709"/>
        <w:rPr>
          <w:szCs w:val="28"/>
        </w:rPr>
      </w:pPr>
    </w:p>
    <w:p w:rsidR="0078211C" w:rsidRDefault="0078211C" w:rsidP="005A3DF4">
      <w:pPr>
        <w:widowControl w:val="0"/>
        <w:spacing w:after="0" w:line="240" w:lineRule="auto"/>
        <w:ind w:firstLine="709"/>
        <w:contextualSpacing/>
        <w:jc w:val="center"/>
        <w:rPr>
          <w:rFonts w:ascii="Times New Roman" w:eastAsia="Times New Roman" w:hAnsi="Times New Roman"/>
          <w:sz w:val="28"/>
          <w:szCs w:val="28"/>
          <w:lang w:eastAsia="ru-RU"/>
        </w:rPr>
      </w:pPr>
    </w:p>
    <w:p w:rsidR="00264BEE" w:rsidRDefault="00264BEE" w:rsidP="005A3DF4">
      <w:pPr>
        <w:widowControl w:val="0"/>
        <w:spacing w:after="0" w:line="240" w:lineRule="auto"/>
        <w:ind w:firstLine="709"/>
        <w:contextualSpacing/>
        <w:jc w:val="center"/>
        <w:rPr>
          <w:rFonts w:ascii="Times New Roman" w:eastAsia="Times New Roman" w:hAnsi="Times New Roman"/>
          <w:sz w:val="28"/>
          <w:szCs w:val="28"/>
          <w:lang w:eastAsia="ru-RU"/>
        </w:rPr>
      </w:pPr>
    </w:p>
    <w:p w:rsidR="00264BEE" w:rsidRDefault="00264BEE" w:rsidP="005A3DF4">
      <w:pPr>
        <w:widowControl w:val="0"/>
        <w:spacing w:after="0" w:line="240" w:lineRule="auto"/>
        <w:ind w:firstLine="709"/>
        <w:contextualSpacing/>
        <w:jc w:val="center"/>
        <w:rPr>
          <w:rFonts w:ascii="Times New Roman" w:eastAsia="Times New Roman" w:hAnsi="Times New Roman"/>
          <w:sz w:val="28"/>
          <w:szCs w:val="28"/>
          <w:lang w:eastAsia="ru-RU"/>
        </w:rPr>
      </w:pPr>
    </w:p>
    <w:p w:rsidR="00264BEE" w:rsidRPr="00467B95" w:rsidRDefault="00264BEE" w:rsidP="005A3DF4">
      <w:pPr>
        <w:widowControl w:val="0"/>
        <w:spacing w:after="0" w:line="240" w:lineRule="auto"/>
        <w:ind w:firstLine="709"/>
        <w:contextualSpacing/>
        <w:jc w:val="center"/>
        <w:rPr>
          <w:rFonts w:ascii="Times New Roman" w:eastAsia="Times New Roman" w:hAnsi="Times New Roman"/>
          <w:sz w:val="28"/>
          <w:szCs w:val="28"/>
          <w:lang w:eastAsia="ru-RU"/>
        </w:rPr>
      </w:pPr>
    </w:p>
    <w:p w:rsidR="0078211C" w:rsidRDefault="0078211C"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Default="009469D0" w:rsidP="005A3DF4">
      <w:pPr>
        <w:pStyle w:val="af1"/>
        <w:widowControl w:val="0"/>
        <w:ind w:firstLine="709"/>
        <w:rPr>
          <w:rFonts w:ascii="Times New Roman" w:hAnsi="Times New Roman" w:cs="Times New Roman"/>
          <w:sz w:val="28"/>
          <w:szCs w:val="28"/>
        </w:rPr>
      </w:pPr>
    </w:p>
    <w:p w:rsidR="009469D0" w:rsidRPr="00467B95" w:rsidRDefault="009469D0" w:rsidP="005A3DF4">
      <w:pPr>
        <w:pStyle w:val="af1"/>
        <w:widowControl w:val="0"/>
        <w:ind w:firstLine="709"/>
        <w:rPr>
          <w:rFonts w:ascii="Times New Roman" w:hAnsi="Times New Roman" w:cs="Times New Roman"/>
          <w:sz w:val="28"/>
          <w:szCs w:val="28"/>
        </w:rPr>
      </w:pPr>
    </w:p>
    <w:sectPr w:rsidR="009469D0" w:rsidRPr="00467B95" w:rsidSect="00B7745A">
      <w:headerReference w:type="default" r:id="rId227"/>
      <w:pgSz w:w="11906" w:h="16838"/>
      <w:pgMar w:top="1247" w:right="1247"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EC1" w:rsidRDefault="007F4EC1" w:rsidP="001F2239">
      <w:pPr>
        <w:spacing w:after="0" w:line="240" w:lineRule="auto"/>
      </w:pPr>
      <w:r>
        <w:separator/>
      </w:r>
    </w:p>
  </w:endnote>
  <w:endnote w:type="continuationSeparator" w:id="0">
    <w:p w:rsidR="007F4EC1" w:rsidRDefault="007F4EC1" w:rsidP="001F2239">
      <w:pPr>
        <w:spacing w:after="0" w:line="240" w:lineRule="auto"/>
      </w:pPr>
      <w:r>
        <w:continuationSeparator/>
      </w:r>
    </w:p>
  </w:endnote>
  <w:endnote w:id="1">
    <w:p w:rsidR="00DC1F7E" w:rsidRPr="00084C7B" w:rsidRDefault="00DC1F7E" w:rsidP="00041B86">
      <w:pPr>
        <w:spacing w:after="0" w:line="240" w:lineRule="auto"/>
        <w:ind w:firstLine="709"/>
        <w:jc w:val="both"/>
        <w:rPr>
          <w:rFonts w:ascii="Times New Roman" w:hAnsi="Times New Roman"/>
          <w:sz w:val="28"/>
          <w:szCs w:val="28"/>
        </w:rPr>
      </w:pPr>
    </w:p>
    <w:p w:rsidR="00DC1F7E" w:rsidRPr="00084C7B" w:rsidRDefault="00DC1F7E" w:rsidP="00041B86">
      <w:pPr>
        <w:tabs>
          <w:tab w:val="left" w:pos="1080"/>
        </w:tabs>
        <w:spacing w:after="0" w:line="240" w:lineRule="auto"/>
        <w:ind w:firstLine="709"/>
        <w:jc w:val="both"/>
        <w:rPr>
          <w:rFonts w:ascii="Times New Roman" w:hAnsi="Times New Roman"/>
          <w:sz w:val="28"/>
          <w:szCs w:val="28"/>
        </w:rPr>
      </w:pPr>
    </w:p>
    <w:p w:rsidR="00DC1F7E" w:rsidRPr="00084C7B" w:rsidRDefault="00DC1F7E" w:rsidP="00041B86">
      <w:pPr>
        <w:widowControl w:val="0"/>
        <w:spacing w:after="0" w:line="240" w:lineRule="auto"/>
        <w:ind w:firstLine="709"/>
        <w:contextualSpacing/>
        <w:jc w:val="both"/>
        <w:rPr>
          <w:rFonts w:ascii="Times New Roman" w:eastAsia="Times New Roman" w:hAnsi="Times New Roman"/>
          <w:sz w:val="28"/>
          <w:szCs w:val="28"/>
          <w:lang w:eastAsia="ru-RU"/>
        </w:rPr>
      </w:pPr>
    </w:p>
    <w:p w:rsidR="00DC1F7E" w:rsidRPr="00084C7B" w:rsidRDefault="00DC1F7E" w:rsidP="00041B86">
      <w:pPr>
        <w:widowControl w:val="0"/>
        <w:spacing w:after="0" w:line="240" w:lineRule="auto"/>
        <w:ind w:firstLine="709"/>
        <w:contextualSpacing/>
        <w:jc w:val="both"/>
        <w:rPr>
          <w:rFonts w:ascii="Times New Roman" w:eastAsia="Times New Roman" w:hAnsi="Times New Roman"/>
          <w:sz w:val="28"/>
          <w:szCs w:val="28"/>
          <w:lang w:eastAsia="ru-RU"/>
        </w:rPr>
      </w:pPr>
    </w:p>
    <w:p w:rsidR="00DC1F7E" w:rsidRPr="00084C7B" w:rsidRDefault="00DC1F7E" w:rsidP="00041B86">
      <w:pPr>
        <w:widowControl w:val="0"/>
        <w:spacing w:after="0" w:line="240" w:lineRule="auto"/>
        <w:ind w:firstLine="708"/>
        <w:contextualSpacing/>
        <w:jc w:val="both"/>
        <w:rPr>
          <w:rFonts w:ascii="Times New Roman" w:eastAsia="Times New Roman" w:hAnsi="Times New Roman"/>
          <w:sz w:val="28"/>
          <w:szCs w:val="28"/>
          <w:lang w:eastAsia="ru-RU"/>
        </w:rPr>
      </w:pPr>
    </w:p>
    <w:p w:rsidR="00DC1F7E" w:rsidRPr="00084C7B" w:rsidRDefault="00DC1F7E" w:rsidP="00041B86">
      <w:pPr>
        <w:widowControl w:val="0"/>
        <w:spacing w:after="0" w:line="240" w:lineRule="auto"/>
        <w:ind w:firstLine="708"/>
        <w:contextualSpacing/>
        <w:jc w:val="both"/>
        <w:rPr>
          <w:rFonts w:ascii="Times New Roman" w:eastAsia="Times New Roman" w:hAnsi="Times New Roman"/>
          <w:sz w:val="28"/>
          <w:szCs w:val="28"/>
          <w:lang w:eastAsia="ru-RU"/>
        </w:rPr>
      </w:pPr>
    </w:p>
    <w:p w:rsidR="00DC1F7E" w:rsidRPr="00084C7B" w:rsidRDefault="00DC1F7E" w:rsidP="00041B86">
      <w:pPr>
        <w:spacing w:after="0" w:line="240" w:lineRule="auto"/>
        <w:ind w:firstLine="709"/>
        <w:jc w:val="both"/>
        <w:rPr>
          <w:rFonts w:ascii="Times New Roman" w:hAnsi="Times New Roman"/>
          <w:sz w:val="28"/>
          <w:szCs w:val="28"/>
          <w:lang w:eastAsia="ru-RU"/>
        </w:rPr>
      </w:pPr>
    </w:p>
    <w:p w:rsidR="00DC1F7E" w:rsidRPr="00084C7B" w:rsidRDefault="00DC1F7E" w:rsidP="00041B86">
      <w:pPr>
        <w:widowControl w:val="0"/>
        <w:spacing w:after="0" w:line="240" w:lineRule="auto"/>
        <w:ind w:firstLine="709"/>
        <w:contextualSpacing/>
        <w:jc w:val="both"/>
        <w:rPr>
          <w:rFonts w:ascii="Times New Roman" w:eastAsia="Times New Roman" w:hAnsi="Times New Roman"/>
          <w:sz w:val="28"/>
          <w:szCs w:val="28"/>
          <w:lang w:eastAsia="ru-RU"/>
        </w:rPr>
      </w:pPr>
    </w:p>
    <w:p w:rsidR="00DC1F7E" w:rsidRPr="00084C7B" w:rsidRDefault="00DC1F7E" w:rsidP="00041B86">
      <w:pPr>
        <w:widowControl w:val="0"/>
        <w:spacing w:after="0" w:line="240" w:lineRule="auto"/>
        <w:contextualSpacing/>
        <w:jc w:val="center"/>
        <w:rPr>
          <w:rFonts w:ascii="Times New Roman" w:eastAsia="Times New Roman" w:hAnsi="Times New Roman"/>
          <w:sz w:val="28"/>
          <w:szCs w:val="28"/>
          <w:lang w:eastAsia="ru-RU"/>
        </w:rPr>
      </w:pPr>
    </w:p>
    <w:p w:rsidR="00DC1F7E" w:rsidRPr="00084C7B" w:rsidRDefault="00DC1F7E" w:rsidP="00041B86">
      <w:pPr>
        <w:pStyle w:val="af1"/>
        <w:rPr>
          <w:rFonts w:ascii="Times New Roman" w:hAnsi="Times New Roman" w:cs="Times New Roman"/>
          <w:sz w:val="28"/>
          <w:szCs w:val="28"/>
        </w:rPr>
      </w:pPr>
    </w:p>
    <w:p w:rsidR="00DC1F7E" w:rsidRPr="00084C7B" w:rsidRDefault="00DC1F7E" w:rsidP="00041B86">
      <w:pPr>
        <w:pStyle w:val="af1"/>
        <w:rPr>
          <w:rFonts w:ascii="Times New Roman" w:hAnsi="Times New Roman" w:cs="Times New Roman"/>
          <w:sz w:val="28"/>
          <w:szCs w:val="28"/>
        </w:rPr>
      </w:pPr>
    </w:p>
    <w:p w:rsidR="00DC1F7E" w:rsidRPr="00084C7B" w:rsidRDefault="00DC1F7E" w:rsidP="00041B86">
      <w:pPr>
        <w:pStyle w:val="af1"/>
        <w:rPr>
          <w:rFonts w:ascii="Times New Roman" w:hAnsi="Times New Roman" w:cs="Times New Roman"/>
          <w:sz w:val="28"/>
          <w:szCs w:val="28"/>
        </w:rPr>
      </w:pPr>
    </w:p>
    <w:p w:rsidR="00DC1F7E" w:rsidRPr="00084C7B" w:rsidRDefault="00DC1F7E" w:rsidP="00041B86">
      <w:pPr>
        <w:spacing w:after="0" w:line="240" w:lineRule="auto"/>
        <w:jc w:val="center"/>
        <w:rPr>
          <w:rFonts w:ascii="Times New Roman" w:hAnsi="Times New Roman"/>
          <w:b/>
          <w:sz w:val="28"/>
          <w:szCs w:val="28"/>
        </w:rPr>
      </w:pPr>
    </w:p>
    <w:p w:rsidR="00DC1F7E" w:rsidRPr="0062723A" w:rsidRDefault="00DC1F7E" w:rsidP="00041B86">
      <w:pPr>
        <w:pStyle w:val="a7"/>
        <w:spacing w:after="0" w:line="240" w:lineRule="auto"/>
        <w:ind w:left="709"/>
        <w:jc w:val="both"/>
        <w:rPr>
          <w:rFonts w:ascii="Times New Roman" w:hAnsi="Times New Roman" w:cs="Times New Roman"/>
          <w:sz w:val="24"/>
        </w:rPr>
      </w:pPr>
    </w:p>
    <w:p w:rsidR="00DC1F7E" w:rsidRPr="00084C7B" w:rsidRDefault="00DC1F7E" w:rsidP="00041B86">
      <w:pPr>
        <w:pStyle w:val="af1"/>
        <w:rPr>
          <w:rFonts w:ascii="Times New Roman" w:hAnsi="Times New Roman" w:cs="Times New Roman"/>
          <w:sz w:val="28"/>
          <w:szCs w:val="28"/>
        </w:rPr>
      </w:pPr>
    </w:p>
    <w:p w:rsidR="00DC1F7E" w:rsidRPr="00A31194" w:rsidRDefault="00DC1F7E" w:rsidP="00041B86">
      <w:pPr>
        <w:pStyle w:val="11"/>
        <w:suppressAutoHyphens/>
        <w:spacing w:after="0" w:line="360" w:lineRule="auto"/>
        <w:ind w:left="709"/>
        <w:jc w:val="both"/>
        <w:rPr>
          <w:rFonts w:ascii="Times New Roman" w:hAnsi="Times New Roman"/>
          <w:b/>
          <w:sz w:val="24"/>
          <w:szCs w:val="24"/>
        </w:rPr>
      </w:pPr>
    </w:p>
    <w:p w:rsidR="00DC1F7E" w:rsidRPr="00084C7B" w:rsidRDefault="00DC1F7E" w:rsidP="00041B86">
      <w:pPr>
        <w:pStyle w:val="af1"/>
        <w:rPr>
          <w:rFonts w:ascii="Times New Roman" w:hAnsi="Times New Roman" w:cs="Times New Roman"/>
          <w:sz w:val="28"/>
          <w:szCs w:val="28"/>
        </w:rPr>
      </w:pPr>
    </w:p>
    <w:p w:rsidR="00DC1F7E" w:rsidRPr="00084C7B" w:rsidRDefault="00DC1F7E" w:rsidP="00041B86">
      <w:pPr>
        <w:pStyle w:val="af1"/>
        <w:rPr>
          <w:rFonts w:ascii="Times New Roman" w:hAnsi="Times New Roman" w:cs="Times New Roman"/>
          <w:sz w:val="28"/>
          <w:szCs w:val="2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font>
  <w:font w:name="Franklin Gothic Medium">
    <w:panose1 w:val="020B0603020102020204"/>
    <w:charset w:val="CC"/>
    <w:family w:val="swiss"/>
    <w:pitch w:val="variable"/>
    <w:sig w:usb0="00000287" w:usb1="00000000" w:usb2="00000000" w:usb3="00000000" w:csb0="0000009F" w:csb1="00000000"/>
  </w:font>
  <w:font w:name="Arial-BoldMT">
    <w:panose1 w:val="00000000000000000000"/>
    <w:charset w:val="CC"/>
    <w:family w:val="auto"/>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T Sans">
    <w:altName w:val="Corbel"/>
    <w:charset w:val="CC"/>
    <w:family w:val="swiss"/>
    <w:pitch w:val="variable"/>
  </w:font>
  <w:font w:name="SimSun">
    <w:altName w:val="宋体"/>
    <w:panose1 w:val="02010600030101010101"/>
    <w:charset w:val="86"/>
    <w:family w:val="auto"/>
    <w:pitch w:val="variable"/>
    <w:sig w:usb0="00000003" w:usb1="288F0000" w:usb2="00000016" w:usb3="00000000" w:csb0="00040001" w:csb1="00000000"/>
  </w:font>
  <w:font w:name="Dotum">
    <w:altName w:val="돋움"/>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0F3C52" w:usb2="00000016" w:usb3="00000000" w:csb0="0004001F" w:csb1="00000000"/>
  </w:font>
  <w:font w:name="Cambria Math">
    <w:panose1 w:val="02040503050406030204"/>
    <w:charset w:val="CC"/>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2755517"/>
      <w:docPartObj>
        <w:docPartGallery w:val="Page Numbers (Bottom of Page)"/>
        <w:docPartUnique/>
      </w:docPartObj>
    </w:sdtPr>
    <w:sdtContent>
      <w:p w:rsidR="007C6CC9" w:rsidRDefault="007C6CC9">
        <w:pPr>
          <w:pStyle w:val="a5"/>
          <w:jc w:val="center"/>
        </w:pPr>
        <w:r>
          <w:fldChar w:fldCharType="begin"/>
        </w:r>
        <w:r>
          <w:instrText>PAGE   \* MERGEFORMAT</w:instrText>
        </w:r>
        <w:r>
          <w:fldChar w:fldCharType="separate"/>
        </w:r>
        <w:r w:rsidR="00CF6091">
          <w:rPr>
            <w:noProof/>
          </w:rPr>
          <w:t>2</w:t>
        </w:r>
        <w:r>
          <w:fldChar w:fldCharType="end"/>
        </w:r>
      </w:p>
    </w:sdtContent>
  </w:sdt>
  <w:p w:rsidR="007C6CC9" w:rsidRDefault="007C6CC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EC1" w:rsidRDefault="007F4EC1" w:rsidP="001F2239">
      <w:pPr>
        <w:spacing w:after="0" w:line="240" w:lineRule="auto"/>
      </w:pPr>
      <w:r>
        <w:separator/>
      </w:r>
    </w:p>
  </w:footnote>
  <w:footnote w:type="continuationSeparator" w:id="0">
    <w:p w:rsidR="007F4EC1" w:rsidRDefault="007F4EC1" w:rsidP="001F2239">
      <w:pPr>
        <w:spacing w:after="0" w:line="240" w:lineRule="auto"/>
      </w:pPr>
      <w:r>
        <w:continuationSeparator/>
      </w:r>
    </w:p>
  </w:footnote>
  <w:footnote w:id="1">
    <w:p w:rsidR="00DC1F7E" w:rsidRDefault="00DC1F7E" w:rsidP="00D1277B">
      <w:pPr>
        <w:pStyle w:val="aa"/>
        <w:jc w:val="both"/>
        <w:rPr>
          <w:rFonts w:ascii="Calibri" w:hAnsi="Calibri"/>
        </w:rPr>
      </w:pPr>
      <w:r>
        <w:rPr>
          <w:rStyle w:val="af0"/>
        </w:rPr>
        <w:footnoteRef/>
      </w:r>
      <w:r>
        <w:t xml:space="preserve"> Всеобщая декларация прав человека: принята Генеральной Ассамблеей ООН 10.12.1948 // Российская газета. 1995. N 67.</w:t>
      </w:r>
    </w:p>
  </w:footnote>
  <w:footnote w:id="2">
    <w:p w:rsidR="00DC1F7E" w:rsidRDefault="00DC1F7E" w:rsidP="00D1277B">
      <w:pPr>
        <w:pStyle w:val="aa"/>
        <w:jc w:val="both"/>
      </w:pPr>
      <w:r>
        <w:rPr>
          <w:rStyle w:val="af0"/>
        </w:rPr>
        <w:footnoteRef/>
      </w:r>
      <w:bookmarkStart w:id="34" w:name="_Hlk530006354"/>
      <w:r>
        <w:t xml:space="preserve"> Международный пакт об экономических, социальных и культурных правах: принят 16.12.1966 Резолюцией 2200 (XXI) на 1496-ом пленарном заседании Генеральной Ассамблеи ООН // Ведомости Верховного Совета СССР. 1976. N 17. Ст. 291.</w:t>
      </w:r>
      <w:bookmarkEnd w:id="34"/>
    </w:p>
  </w:footnote>
  <w:footnote w:id="3">
    <w:p w:rsidR="00DC1F7E" w:rsidRDefault="00DC1F7E" w:rsidP="00D1277B">
      <w:pPr>
        <w:pStyle w:val="aa"/>
        <w:jc w:val="both"/>
      </w:pPr>
      <w:r>
        <w:rPr>
          <w:rStyle w:val="af0"/>
        </w:rPr>
        <w:footnoteRef/>
      </w:r>
      <w:r>
        <w:t xml:space="preserve"> Конституция Российской Федерации (принята всенародным голосованием 12.12.1993) // Собрание законодательства РФ. 2014. N 31. Ст. 4398. (ред. от 21.07.2014).</w:t>
      </w:r>
    </w:p>
  </w:footnote>
  <w:footnote w:id="4">
    <w:p w:rsidR="00DC1F7E" w:rsidRDefault="00DC1F7E" w:rsidP="00D1277B">
      <w:pPr>
        <w:pStyle w:val="aa"/>
        <w:jc w:val="both"/>
      </w:pPr>
      <w:r>
        <w:rPr>
          <w:rStyle w:val="af0"/>
        </w:rPr>
        <w:footnoteRef/>
      </w:r>
      <w:r>
        <w:t xml:space="preserve"> </w:t>
      </w:r>
      <w:bookmarkStart w:id="35" w:name="_Hlk530006373"/>
      <w:r>
        <w:t>Бурцева С.С. Правовые проблемы, связанные с договором коммерческого найма жилого помещения // Перспективы науки. 2018. № 5 (104). С. 65-67.</w:t>
      </w:r>
      <w:bookmarkEnd w:id="35"/>
    </w:p>
  </w:footnote>
  <w:footnote w:id="5">
    <w:p w:rsidR="00DC1F7E" w:rsidRDefault="00DC1F7E" w:rsidP="00D1277B">
      <w:pPr>
        <w:pStyle w:val="aa"/>
        <w:jc w:val="both"/>
      </w:pPr>
      <w:r>
        <w:rPr>
          <w:rStyle w:val="af0"/>
        </w:rPr>
        <w:footnoteRef/>
      </w:r>
      <w:bookmarkStart w:id="37" w:name="_Hlk530006394"/>
      <w:r>
        <w:t xml:space="preserve"> О внесении изменений и дополнений в Жилищный кодекс РСФСР: закон РСФСР от 06.07.1991 N 1552-1 // Ведомости СНД и ВС РФ. 1991. N 28. Ст. 963. (утратил силу).</w:t>
      </w:r>
      <w:bookmarkEnd w:id="37"/>
    </w:p>
  </w:footnote>
  <w:footnote w:id="6">
    <w:p w:rsidR="00DC1F7E" w:rsidRDefault="00DC1F7E" w:rsidP="00D1277B">
      <w:pPr>
        <w:pStyle w:val="aa"/>
        <w:jc w:val="both"/>
      </w:pPr>
      <w:r>
        <w:rPr>
          <w:rStyle w:val="af0"/>
        </w:rPr>
        <w:footnoteRef/>
      </w:r>
      <w:r>
        <w:t xml:space="preserve"> Общие положения о договоре аренды жилых помещений содержались в </w:t>
      </w:r>
      <w:bookmarkStart w:id="38" w:name="_Hlk530006410"/>
      <w:r>
        <w:t xml:space="preserve">Жилищном кодексе РСФСР </w:t>
      </w:r>
      <w:bookmarkEnd w:id="38"/>
      <w:r>
        <w:t xml:space="preserve">(ст.ст. 10, 54.1, 131-136) и </w:t>
      </w:r>
      <w:bookmarkStart w:id="39" w:name="_Hlk530006420"/>
      <w:r>
        <w:t xml:space="preserve">Законе РФ «Об основах федеральной жилищной политики» </w:t>
      </w:r>
      <w:bookmarkEnd w:id="39"/>
      <w:r>
        <w:t>(ст.ст. 1, 17 и др.). Под договором аренды жилья понималось соглашение, по которому арендодатель предоставляет арендатору и членам его семьи недвижимость в жилищной сфере, включая жилые помещения, без ограничения размеров за договорную плату во временное владение и пользование либо пользование, а арендатор обязуется использовать ее в соответствии с договором и своевременно вносить арендную плату, включая плату за коммунальные услуги (ст. 1 Закона РФ «Об основах федеральной жилищной политики»).</w:t>
      </w:r>
    </w:p>
  </w:footnote>
  <w:footnote w:id="7">
    <w:p w:rsidR="00DC1F7E" w:rsidRDefault="00DC1F7E" w:rsidP="00D1277B">
      <w:pPr>
        <w:pStyle w:val="aa"/>
        <w:jc w:val="both"/>
      </w:pPr>
      <w:r>
        <w:rPr>
          <w:rStyle w:val="af0"/>
        </w:rPr>
        <w:footnoteRef/>
      </w:r>
      <w:r>
        <w:t xml:space="preserve"> </w:t>
      </w:r>
      <w:bookmarkStart w:id="40" w:name="_Hlk530006430"/>
      <w:r>
        <w:t xml:space="preserve">Гражданский кодекс Российской Федерации (часть вторая): федер. закон от 26.01.1996 N 14-ФЗ // Собрание законодательства РФ. 1996. N 5. Ст. 410; 2017. N 31 (часть I). Ст. 4808. (ред. от 29.07.2018). </w:t>
      </w:r>
      <w:bookmarkEnd w:id="40"/>
      <w:r>
        <w:t>(далее по тексту – ГК РФ).</w:t>
      </w:r>
    </w:p>
  </w:footnote>
  <w:footnote w:id="8">
    <w:p w:rsidR="00DC1F7E" w:rsidRDefault="00DC1F7E" w:rsidP="00D1277B">
      <w:pPr>
        <w:pStyle w:val="aa"/>
        <w:jc w:val="both"/>
        <w:rPr>
          <w:color w:val="000000" w:themeColor="text1"/>
        </w:rPr>
      </w:pPr>
      <w:r>
        <w:rPr>
          <w:rStyle w:val="af0"/>
          <w:color w:val="000000" w:themeColor="text1"/>
        </w:rPr>
        <w:footnoteRef/>
      </w:r>
      <w:r>
        <w:rPr>
          <w:color w:val="000000" w:themeColor="text1"/>
        </w:rPr>
        <w:t xml:space="preserve"> Кириченко О.В. Договор коммерческого найма жилого помещения как один из основных способов удовлетворения жилищных потребностей граждан. Автореф. дис… к.ю.н. Краснодар, 2010. С. 8-9.</w:t>
      </w:r>
    </w:p>
  </w:footnote>
  <w:footnote w:id="9">
    <w:p w:rsidR="00DC1F7E" w:rsidRDefault="00DC1F7E" w:rsidP="00D1277B">
      <w:pPr>
        <w:pStyle w:val="aa"/>
        <w:jc w:val="both"/>
        <w:rPr>
          <w:color w:val="000000" w:themeColor="text1"/>
        </w:rPr>
      </w:pPr>
      <w:r>
        <w:rPr>
          <w:rStyle w:val="af0"/>
          <w:color w:val="000000" w:themeColor="text1"/>
        </w:rPr>
        <w:footnoteRef/>
      </w:r>
      <w:r>
        <w:rPr>
          <w:color w:val="000000" w:themeColor="text1"/>
        </w:rPr>
        <w:t xml:space="preserve"> Жилищный кодекс Российской Федерации: федер. закон от 29.12.2004 N 188-ФЗ // Собрание законодательства РФ. 2005. N 1 (часть I). Ст. 14; 2018, N 32 (часть II). Ст. 5134. (ред. от 03.08.2018). (далее по тексту – ЖК РФ).</w:t>
      </w:r>
    </w:p>
  </w:footnote>
  <w:footnote w:id="10">
    <w:p w:rsidR="00DC1F7E" w:rsidRDefault="00DC1F7E" w:rsidP="00D1277B">
      <w:pPr>
        <w:pStyle w:val="aa"/>
        <w:jc w:val="both"/>
      </w:pPr>
      <w:r>
        <w:rPr>
          <w:rStyle w:val="af0"/>
          <w:color w:val="000000" w:themeColor="text1"/>
        </w:rPr>
        <w:footnoteRef/>
      </w:r>
      <w:r>
        <w:rPr>
          <w:color w:val="000000" w:themeColor="text1"/>
        </w:rPr>
        <w:t xml:space="preserve"> Формакидов Д.А. Договор найма жилого помещения и подобные ему договоры. М., 2018. С. 53.</w:t>
      </w:r>
    </w:p>
  </w:footnote>
  <w:footnote w:id="11">
    <w:p w:rsidR="00DC1F7E" w:rsidRDefault="00DC1F7E" w:rsidP="00D1277B">
      <w:pPr>
        <w:pStyle w:val="aa"/>
        <w:jc w:val="both"/>
      </w:pPr>
      <w:r>
        <w:rPr>
          <w:rStyle w:val="af0"/>
          <w:color w:val="000000" w:themeColor="text1"/>
        </w:rPr>
        <w:footnoteRef/>
      </w:r>
      <w:r>
        <w:rPr>
          <w:color w:val="000000" w:themeColor="text1"/>
        </w:rPr>
        <w:t xml:space="preserve"> Термин «коммерческий наем» введен в научный оборот Крашенинниковым П.В. в статье «Наем жилого помещения» (приводится по: Гражданское право. В 2 т. / под ред. Б.М. Гонгало. Т. 2. М., 2017. С. 260.).</w:t>
      </w:r>
    </w:p>
  </w:footnote>
  <w:footnote w:id="12">
    <w:p w:rsidR="00DC1F7E" w:rsidRDefault="00DC1F7E" w:rsidP="00D1277B">
      <w:pPr>
        <w:pStyle w:val="aa"/>
        <w:jc w:val="both"/>
      </w:pPr>
      <w:r>
        <w:rPr>
          <w:rStyle w:val="af0"/>
        </w:rPr>
        <w:footnoteRef/>
      </w:r>
      <w:bookmarkStart w:id="41" w:name="_Hlk530006509"/>
      <w:r>
        <w:t xml:space="preserve"> О внесении изменений в Жилищный кодекс Российской Федерации и отдельные законодательные акты Российской Федерации в части законодательного регулирования отношений по найму жилых помещений жилищного фонда социального использования: федер. закон от 21.07.2014 N 217-ФЗ // Собрание законодательства РФ. 2014. N 30 (часть I). Ст. 4218; 2016. N 27 (часть II). Ст. 4294. (ред. от 03.07.2016).</w:t>
      </w:r>
      <w:bookmarkEnd w:id="41"/>
    </w:p>
  </w:footnote>
  <w:footnote w:id="13">
    <w:p w:rsidR="00DC1F7E" w:rsidRDefault="00DC1F7E" w:rsidP="00D1277B">
      <w:pPr>
        <w:pStyle w:val="aa"/>
        <w:jc w:val="both"/>
      </w:pPr>
      <w:r>
        <w:rPr>
          <w:rStyle w:val="af0"/>
        </w:rPr>
        <w:footnoteRef/>
      </w:r>
      <w:r>
        <w:t xml:space="preserve"> Термин «коммерческий» означает «торговый». Словарь Ожегова: толковый словарь русского языка [Электронный ресурс]. URL: http://www.ozhegov.com/words/12847.shtml (дата обращения: 06.11.2018).</w:t>
      </w:r>
    </w:p>
  </w:footnote>
  <w:footnote w:id="14">
    <w:p w:rsidR="00DC1F7E" w:rsidRDefault="00DC1F7E" w:rsidP="00D1277B">
      <w:pPr>
        <w:pStyle w:val="aa"/>
        <w:jc w:val="both"/>
      </w:pPr>
      <w:r>
        <w:rPr>
          <w:rStyle w:val="af0"/>
        </w:rPr>
        <w:footnoteRef/>
      </w:r>
      <w:r>
        <w:t xml:space="preserve"> На проблему отсутствия определения термина «коммерческий наем» в законодательстве РФ обращала внимание </w:t>
      </w:r>
      <w:bookmarkStart w:id="42" w:name="_Hlk530006552"/>
      <w:r>
        <w:t xml:space="preserve">Садовникова Е.В. в статье </w:t>
      </w:r>
      <w:bookmarkEnd w:id="42"/>
      <w:r>
        <w:t>Правовая характеристика договора коммерческого найма жилого помещения // Право и экономика. 2010. № 1. С. 22-29.</w:t>
      </w:r>
    </w:p>
  </w:footnote>
  <w:footnote w:id="15">
    <w:p w:rsidR="00DC1F7E" w:rsidRDefault="00DC1F7E" w:rsidP="00D1277B">
      <w:pPr>
        <w:pStyle w:val="aa"/>
        <w:jc w:val="both"/>
      </w:pPr>
      <w:r>
        <w:rPr>
          <w:rStyle w:val="af0"/>
        </w:rPr>
        <w:footnoteRef/>
      </w:r>
      <w:r>
        <w:t xml:space="preserve"> Об утверждении Методических рекомендаций по разработке региональных программ развития жилищного строительства: приказ Минрегиона РФ от 28.12.2010 N 802 // Нормирование в строительстве и ЖКХ. 2011. N 2. (ред. от 21.11.2011).</w:t>
      </w:r>
    </w:p>
  </w:footnote>
  <w:footnote w:id="16">
    <w:p w:rsidR="00DC1F7E" w:rsidRDefault="00DC1F7E" w:rsidP="00D1277B">
      <w:pPr>
        <w:pStyle w:val="aa"/>
        <w:jc w:val="both"/>
      </w:pPr>
      <w:r>
        <w:rPr>
          <w:rStyle w:val="af0"/>
        </w:rPr>
        <w:footnoteRef/>
      </w:r>
      <w:r>
        <w:t xml:space="preserve"> Об утверждении Рекомендаций по определению численности работников Службы заказчика (организации по управлению жилищным Фондом): приказ Госстроя РФ от 26.03.1999 N 74 // Бюллетень строительной техники. 1999. N 6.</w:t>
      </w:r>
    </w:p>
  </w:footnote>
  <w:footnote w:id="17">
    <w:p w:rsidR="00DC1F7E" w:rsidRDefault="00DC1F7E" w:rsidP="00D1277B">
      <w:pPr>
        <w:pStyle w:val="aa"/>
        <w:jc w:val="both"/>
      </w:pPr>
      <w:r>
        <w:rPr>
          <w:rStyle w:val="af0"/>
        </w:rPr>
        <w:footnoteRef/>
      </w:r>
      <w:r>
        <w:t xml:space="preserve"> См., например:</w:t>
      </w:r>
      <w:bookmarkStart w:id="43" w:name="_Hlk530006581"/>
      <w:r>
        <w:t xml:space="preserve"> О жилищном фонде Приморского края коммерческого использования: закон Приморского края от 06.07.2012 N 63-КЗ // Приморская газета. 2012. N 59; Официальный интернет-портал правовой информации (http://www.pravo.gov.ru), дата публикации: 06.07.2017. (ред. от 05.07.2017); Об утверждении Методики определения размера платы за наем жилого помещения жилищного фонда Приморского края коммерческого использования: постановление Администрации Приморского края от 17.09.2012 </w:t>
      </w:r>
      <w:r>
        <w:rPr>
          <w:lang w:val="en-US"/>
        </w:rPr>
        <w:t>N</w:t>
      </w:r>
      <w:r>
        <w:t xml:space="preserve"> 258-па // Приморская газета. 2012. </w:t>
      </w:r>
      <w:r>
        <w:rPr>
          <w:lang w:val="en-US"/>
        </w:rPr>
        <w:t>N</w:t>
      </w:r>
      <w:r>
        <w:t xml:space="preserve"> 83. (ред. от 28.05.2013).</w:t>
      </w:r>
      <w:bookmarkEnd w:id="43"/>
    </w:p>
  </w:footnote>
  <w:footnote w:id="18">
    <w:p w:rsidR="00DC1F7E" w:rsidRDefault="00DC1F7E" w:rsidP="00D1277B">
      <w:pPr>
        <w:pStyle w:val="aa"/>
        <w:jc w:val="both"/>
      </w:pPr>
      <w:r>
        <w:rPr>
          <w:rStyle w:val="af0"/>
        </w:rPr>
        <w:footnoteRef/>
      </w:r>
      <w:r>
        <w:t xml:space="preserve"> Об утверждении Положения о коммерческом найме жилых помещений жилищного фонда коммерческого использования, находящихся в муниципальной собственности Артемовского городского округа: решение Думы Артемовского городского округа от 20.07.2017 N 854 // Выбор. 2017. N 55 (12124); 2017. N 63 (12132). (ред. от 17.08.2017).</w:t>
      </w:r>
    </w:p>
  </w:footnote>
  <w:footnote w:id="19">
    <w:p w:rsidR="00DC1F7E" w:rsidRDefault="00DC1F7E" w:rsidP="00D1277B">
      <w:pPr>
        <w:pStyle w:val="aa"/>
        <w:jc w:val="both"/>
      </w:pPr>
      <w:r>
        <w:rPr>
          <w:rStyle w:val="af0"/>
        </w:rPr>
        <w:footnoteRef/>
      </w:r>
      <w:r>
        <w:t xml:space="preserve"> Об утверждении Положения о коммерческом найме жилых помещений жилищного фонда коммерческого использования, находящихся в муниципальной собственности Дальнегорского городского округа: постановление Администрации Дальнегорского городского округа от 09.02.2015 N 76-па // Документ опубликован не был. URL: http://dalnegorsk-mo.ru (дата обращения: 05.11.2018).</w:t>
      </w:r>
    </w:p>
  </w:footnote>
  <w:footnote w:id="20">
    <w:p w:rsidR="00DC1F7E" w:rsidRDefault="00DC1F7E" w:rsidP="00D1277B">
      <w:pPr>
        <w:pStyle w:val="aa"/>
        <w:jc w:val="both"/>
      </w:pPr>
      <w:r>
        <w:rPr>
          <w:rStyle w:val="af0"/>
        </w:rPr>
        <w:footnoteRef/>
      </w:r>
      <w:r>
        <w:t xml:space="preserve"> Об отказе в принятии к рассмотрению жалобы гражданки Худаниной Натальи Владимировны на нарушение ее конституционных прав статьей 671 и пунктом 3 статьи 678 Гражданского кодекса Российской Федерации: определение Конституционного Суда РФ от 28.06.2018 N 1525-О // Документ опубликован не был. Доступ из СПС «КонсультантПлюс».</w:t>
      </w:r>
    </w:p>
  </w:footnote>
  <w:footnote w:id="21">
    <w:p w:rsidR="00DC1F7E" w:rsidRDefault="00DC1F7E" w:rsidP="00D1277B">
      <w:pPr>
        <w:pStyle w:val="aa"/>
        <w:jc w:val="both"/>
      </w:pPr>
      <w:r>
        <w:rPr>
          <w:rStyle w:val="af0"/>
        </w:rPr>
        <w:footnoteRef/>
      </w:r>
      <w:r>
        <w:t xml:space="preserve"> Определение Верховного Суда РФ от 06.04.2018 N 305-ЭС17-14210 по делу N А40-113740/2016 // Документ опубликован не был. Доступ из СПС «КонсультантПлюс».</w:t>
      </w:r>
    </w:p>
  </w:footnote>
  <w:footnote w:id="22">
    <w:p w:rsidR="00DC1F7E" w:rsidRDefault="00DC1F7E" w:rsidP="00D1277B">
      <w:pPr>
        <w:pStyle w:val="aa"/>
        <w:jc w:val="both"/>
      </w:pPr>
      <w:r>
        <w:rPr>
          <w:rStyle w:val="af0"/>
        </w:rPr>
        <w:footnoteRef/>
      </w:r>
      <w:r>
        <w:t xml:space="preserve"> Гражданский кодекс Российской Федерации (часть первая): федер. закон от 30.11.1994 N 51-ФЗ // Собрание законодательства РФ. 1994. N 32. Ст. 3301; 2018. N 32 (часть II). Ст. 5132. (ред. от 03.08.2018).</w:t>
      </w:r>
    </w:p>
  </w:footnote>
  <w:footnote w:id="23">
    <w:p w:rsidR="00DC1F7E" w:rsidRDefault="00DC1F7E" w:rsidP="00D1277B">
      <w:pPr>
        <w:pStyle w:val="aa"/>
        <w:jc w:val="both"/>
      </w:pPr>
      <w:r>
        <w:rPr>
          <w:rStyle w:val="af0"/>
        </w:rPr>
        <w:footnoteRef/>
      </w:r>
      <w:r>
        <w:t xml:space="preserve"> Данный вопрос поднимала </w:t>
      </w:r>
      <w:bookmarkStart w:id="46" w:name="_Hlk530006645"/>
      <w:r>
        <w:t>Безик Н.В. в статье «К вопросу о совершенствовании правового регулирования коммерческого найма жилого помещения // Сибирский юридический вестник. 2015. № 1. С. 57-58.</w:t>
      </w:r>
      <w:bookmarkEnd w:id="46"/>
    </w:p>
  </w:footnote>
  <w:footnote w:id="24">
    <w:p w:rsidR="00DC1F7E" w:rsidRDefault="00DC1F7E" w:rsidP="00D1277B">
      <w:pPr>
        <w:pStyle w:val="aa"/>
        <w:jc w:val="both"/>
      </w:pPr>
      <w:r>
        <w:rPr>
          <w:rStyle w:val="af0"/>
        </w:rPr>
        <w:footnoteRef/>
      </w:r>
      <w:r>
        <w:t xml:space="preserve"> Бурцева С.С. Указ. соч. С. 66.</w:t>
      </w:r>
    </w:p>
  </w:footnote>
  <w:footnote w:id="25">
    <w:p w:rsidR="00DC1F7E" w:rsidRDefault="00DC1F7E" w:rsidP="00D1277B">
      <w:pPr>
        <w:pStyle w:val="aa"/>
        <w:jc w:val="both"/>
      </w:pPr>
      <w:r>
        <w:rPr>
          <w:rStyle w:val="af0"/>
        </w:rPr>
        <w:footnoteRef/>
      </w:r>
      <w:r>
        <w:t xml:space="preserve"> Мыскин А.В. Собственник и социальный наниматель жилого помещения: сравнительный анализ гражданского и жилищно-правового статуса. М., 2017. С. 70.</w:t>
      </w:r>
    </w:p>
  </w:footnote>
  <w:footnote w:id="26">
    <w:p w:rsidR="00DC1F7E" w:rsidRDefault="00DC1F7E" w:rsidP="00D1277B">
      <w:pPr>
        <w:pStyle w:val="aa"/>
        <w:jc w:val="both"/>
      </w:pPr>
      <w:r>
        <w:rPr>
          <w:rStyle w:val="af0"/>
        </w:rPr>
        <w:footnoteRef/>
      </w:r>
      <w:r>
        <w:t xml:space="preserve"> О судебной практике по делам о незаконном предпринимательстве: постановление Пленума Верховного Суда РФ от 18.11.2004 N 23 // Бюллетень Верховного Суда РФ. 2005. N 1. 2015. N 6672. (ред. от 07.07.2015).</w:t>
      </w:r>
    </w:p>
  </w:footnote>
  <w:footnote w:id="27">
    <w:p w:rsidR="00DC1F7E" w:rsidRDefault="00DC1F7E" w:rsidP="00D1277B">
      <w:pPr>
        <w:pStyle w:val="aa"/>
        <w:jc w:val="both"/>
      </w:pPr>
      <w:r>
        <w:rPr>
          <w:rStyle w:val="af0"/>
        </w:rPr>
        <w:footnoteRef/>
      </w:r>
      <w:r>
        <w:t xml:space="preserve"> Решение Советского районного суда г. Владивостока от 05.06.2015 г. № 2-2622/2015 [Электронный ресурс]. URL: http://sudact.ru/regular/doc/BQ5wdaWZfWmm/ (дата обращения: 10.11.2018).</w:t>
      </w:r>
    </w:p>
  </w:footnote>
  <w:footnote w:id="28">
    <w:p w:rsidR="00DC1F7E" w:rsidRDefault="00DC1F7E" w:rsidP="00D1277B">
      <w:pPr>
        <w:pStyle w:val="aa"/>
        <w:jc w:val="both"/>
      </w:pPr>
      <w:r>
        <w:rPr>
          <w:rStyle w:val="af0"/>
        </w:rPr>
        <w:footnoteRef/>
      </w:r>
      <w:r>
        <w:t xml:space="preserve"> </w:t>
      </w:r>
      <w:bookmarkStart w:id="47" w:name="_Hlk530006725"/>
      <w:r>
        <w:t>Сдавать квартиру и не платить за это налоги во Владивостоке станет опасно [Электронный ресурс]. URL: https://www.newsvl.ru/vlad/2013/12/06/118746/ (дата обращения: 06.11.2018).</w:t>
      </w:r>
      <w:bookmarkEnd w:id="47"/>
    </w:p>
  </w:footnote>
  <w:footnote w:id="29">
    <w:p w:rsidR="00DC1F7E" w:rsidRDefault="00DC1F7E" w:rsidP="00D1277B">
      <w:pPr>
        <w:pStyle w:val="aa"/>
        <w:jc w:val="both"/>
      </w:pPr>
      <w:r>
        <w:rPr>
          <w:rStyle w:val="af0"/>
        </w:rPr>
        <w:footnoteRef/>
      </w:r>
      <w:r>
        <w:t xml:space="preserve"> См., напр</w:t>
      </w:r>
      <w:bookmarkStart w:id="48" w:name="_Hlk530006748"/>
      <w:r>
        <w:t>имер: Как инспекторы найдут тех, кто не платит налоги за сдачу квартиры [Электронный ресурс]. URL: https://primamedia.ru/news/725555/ (дата обращения: 08.11.2018).</w:t>
      </w:r>
      <w:bookmarkEnd w:id="48"/>
    </w:p>
  </w:footnote>
  <w:footnote w:id="30">
    <w:p w:rsidR="00DC1F7E" w:rsidRDefault="00DC1F7E" w:rsidP="00D1277B">
      <w:pPr>
        <w:pStyle w:val="aa"/>
        <w:jc w:val="both"/>
      </w:pPr>
      <w:r>
        <w:rPr>
          <w:rStyle w:val="af0"/>
        </w:rPr>
        <w:footnoteRef/>
      </w:r>
      <w:r>
        <w:t xml:space="preserve"> </w:t>
      </w:r>
      <w:bookmarkStart w:id="49" w:name="_Hlk530006765"/>
      <w:r>
        <w:t>Решение Октябрьского районного суда Приморского края от 22.05.2013 № 2-195 [Электронный ресурс]. URL: http://sudact.ru/regular/doc/5OPbmCmv8FdQ/ (дата обращения: 08.11.2018).</w:t>
      </w:r>
      <w:bookmarkEnd w:id="49"/>
    </w:p>
  </w:footnote>
  <w:footnote w:id="31">
    <w:p w:rsidR="00DC1F7E" w:rsidRDefault="00DC1F7E" w:rsidP="00D1277B">
      <w:pPr>
        <w:pStyle w:val="aa"/>
        <w:jc w:val="both"/>
      </w:pPr>
      <w:r>
        <w:rPr>
          <w:rStyle w:val="af0"/>
        </w:rPr>
        <w:footnoteRef/>
      </w:r>
      <w:r>
        <w:t xml:space="preserve"> См., например: Пресс-релиз Управления Росреестра по Приморскому краю от 06.02.2015 «Государственная регистрация найма жилого помещения – новый порядок согласно изменениям в законодательстве» // Документ опубликован не был. Доступ из СПС «КонсультантПлюс».</w:t>
      </w:r>
    </w:p>
  </w:footnote>
  <w:footnote w:id="32">
    <w:p w:rsidR="00DC1F7E" w:rsidRDefault="00DC1F7E" w:rsidP="00D1277B">
      <w:pPr>
        <w:pStyle w:val="aa"/>
        <w:jc w:val="both"/>
      </w:pPr>
      <w:r>
        <w:rPr>
          <w:rStyle w:val="af0"/>
        </w:rPr>
        <w:footnoteRef/>
      </w:r>
      <w:r>
        <w:t xml:space="preserve"> Решение Ленинского районного суда г. Нижнего Тагила от 18.05.2012 № 2-413/2012 [Электронный ресурс]. URL: http://sudact.ru/regular/doc/EV4EIP7FP4gt/ (дата обращения: 08.11.2018).</w:t>
      </w:r>
    </w:p>
  </w:footnote>
  <w:footnote w:id="33">
    <w:p w:rsidR="00DC1F7E" w:rsidRDefault="00DC1F7E" w:rsidP="00D1277B">
      <w:pPr>
        <w:pStyle w:val="aa"/>
        <w:jc w:val="both"/>
      </w:pPr>
      <w:r>
        <w:rPr>
          <w:rStyle w:val="af0"/>
        </w:rPr>
        <w:footnoteRef/>
      </w:r>
      <w:r>
        <w:t xml:space="preserve"> Решение Нижневартовского городского суда Ханты-Мансийского автономного округа от 02.11.2016 № 2-9553/2016 [Электронный ресурс]. URL: http://sudact.ru/regular/doc/HZnxwRFu0lxT/ (дата обращения: 07.11.2018).</w:t>
      </w:r>
    </w:p>
  </w:footnote>
  <w:footnote w:id="34">
    <w:p w:rsidR="00DC1F7E" w:rsidRDefault="00DC1F7E" w:rsidP="00D1277B">
      <w:pPr>
        <w:pStyle w:val="aa"/>
        <w:jc w:val="both"/>
      </w:pPr>
      <w:r>
        <w:rPr>
          <w:rStyle w:val="af0"/>
        </w:rPr>
        <w:footnoteRef/>
      </w:r>
      <w:r>
        <w:t xml:space="preserve"> Апелляционное определение Рязанского областного суда Рязанской области от 24.07.2013 № 33-1524/2013 [Электронный ресурс]. URL: http://sudact.ru/regular/doc/xr1npqbcUNmR/ (дата обращения: 07.11.2018).</w:t>
      </w:r>
    </w:p>
  </w:footnote>
  <w:footnote w:id="35">
    <w:p w:rsidR="00DC1F7E" w:rsidRDefault="00DC1F7E" w:rsidP="00D1277B">
      <w:pPr>
        <w:pStyle w:val="aa"/>
        <w:jc w:val="both"/>
      </w:pPr>
      <w:r>
        <w:rPr>
          <w:rStyle w:val="af0"/>
        </w:rPr>
        <w:footnoteRef/>
      </w:r>
      <w:r>
        <w:t xml:space="preserve"> </w:t>
      </w:r>
      <w:bookmarkStart w:id="50" w:name="_Hlk530006801"/>
      <w:r>
        <w:t>О некоторых вопросах, возникших в судебной практике при применении Жилищного кодекса Российской Федерации: постановление Пленума Верховного Суда РФ от 02.07.2009 N 14 // Бюллетень Верховного Суда РФ. 2009. N 9. (п. 39).</w:t>
      </w:r>
      <w:bookmarkEnd w:id="50"/>
    </w:p>
  </w:footnote>
  <w:footnote w:id="36">
    <w:p w:rsidR="00DC1F7E" w:rsidRDefault="00DC1F7E" w:rsidP="00D1277B">
      <w:pPr>
        <w:pStyle w:val="aa"/>
        <w:jc w:val="both"/>
      </w:pPr>
      <w:r>
        <w:rPr>
          <w:rStyle w:val="af0"/>
        </w:rPr>
        <w:footnoteRef/>
      </w:r>
      <w:r>
        <w:t xml:space="preserve"> Кириченко О.В. К вопросу о целевой направленности использования жилого помещения, представленного по договору коммерческого найма // Семейное и жилищное право. 2011. № 5. С. 43.</w:t>
      </w:r>
    </w:p>
  </w:footnote>
  <w:footnote w:id="37">
    <w:p w:rsidR="00DC1F7E" w:rsidRDefault="00DC1F7E" w:rsidP="00D1277B">
      <w:pPr>
        <w:pStyle w:val="aa"/>
        <w:jc w:val="both"/>
      </w:pPr>
      <w:r>
        <w:rPr>
          <w:rStyle w:val="af0"/>
        </w:rPr>
        <w:footnoteRef/>
      </w:r>
      <w:r>
        <w:t xml:space="preserve"> Бурцева С.С. Указ. соч. С. 66.</w:t>
      </w:r>
    </w:p>
  </w:footnote>
  <w:footnote w:id="38">
    <w:p w:rsidR="00DC1F7E" w:rsidRDefault="00DC1F7E" w:rsidP="00D1277B">
      <w:pPr>
        <w:pStyle w:val="aa"/>
      </w:pPr>
      <w:r>
        <w:rPr>
          <w:rStyle w:val="af0"/>
        </w:rPr>
        <w:footnoteRef/>
      </w:r>
      <w:r>
        <w:t xml:space="preserve"> Бурцева С.С. Указ. соч. С. 66.</w:t>
      </w:r>
    </w:p>
  </w:footnote>
  <w:footnote w:id="39">
    <w:p w:rsidR="00DC1F7E" w:rsidRDefault="00DC1F7E" w:rsidP="00D1277B">
      <w:pPr>
        <w:pStyle w:val="aa"/>
        <w:jc w:val="both"/>
      </w:pPr>
      <w:r>
        <w:rPr>
          <w:rStyle w:val="af0"/>
        </w:rPr>
        <w:footnoteRef/>
      </w:r>
      <w:bookmarkStart w:id="51" w:name="_Hlk530006894"/>
      <w:r>
        <w:t xml:space="preserve"> Кириченко О.В. Субъектный состав договора коммерческого найма жилого помещения // Современное право. 2012. № 5. С. 100.</w:t>
      </w:r>
      <w:bookmarkEnd w:id="51"/>
    </w:p>
  </w:footnote>
  <w:footnote w:id="40">
    <w:p w:rsidR="00DC1F7E" w:rsidRDefault="00DC1F7E" w:rsidP="00D1277B">
      <w:pPr>
        <w:pStyle w:val="aa"/>
        <w:jc w:val="both"/>
      </w:pPr>
      <w:r>
        <w:rPr>
          <w:rStyle w:val="af0"/>
        </w:rPr>
        <w:footnoteRef/>
      </w:r>
      <w:r>
        <w:t xml:space="preserve"> Белов В.А. Жилое помещение и обязательственные отношения. М., 2018. С. 70.</w:t>
      </w:r>
    </w:p>
  </w:footnote>
  <w:footnote w:id="41">
    <w:p w:rsidR="00DC1F7E" w:rsidRDefault="00DC1F7E" w:rsidP="00D1277B">
      <w:pPr>
        <w:pStyle w:val="aa"/>
        <w:jc w:val="both"/>
      </w:pPr>
      <w:r>
        <w:rPr>
          <w:rStyle w:val="af0"/>
        </w:rPr>
        <w:footnoteRef/>
      </w:r>
      <w:r>
        <w:t xml:space="preserve"> Об отказе в принятии к рассмотрению жалобы гражданина Денисова Вадима Сергеевича на нарушение его конституционных прав пунктом 1 статьи 683 и статьей 684 Гражданского кодекса Российской Федерации: определение Конституционного Суда РФ от 25.01.2012 N 78-О-О // Документ опубликован не был. Доступ из СПС «КонсультантПлюс».</w:t>
      </w:r>
    </w:p>
  </w:footnote>
  <w:footnote w:id="42">
    <w:p w:rsidR="00DC1F7E" w:rsidRDefault="00DC1F7E" w:rsidP="00D1277B">
      <w:pPr>
        <w:pStyle w:val="aa"/>
        <w:jc w:val="both"/>
      </w:pPr>
      <w:r>
        <w:rPr>
          <w:rStyle w:val="af0"/>
        </w:rPr>
        <w:footnoteRef/>
      </w:r>
      <w:r>
        <w:t xml:space="preserve"> Об Уполномоченном по правам человека в Российской Федерации: федер. конст. закон от 26.02.1997 N 1-ФКЗ // Собрание законодательства РФ. 1997. N 9. Ст. 1011; 2016, N 5. Ст. 552. (ред. от 31.01.2016).</w:t>
      </w:r>
    </w:p>
  </w:footnote>
  <w:footnote w:id="43">
    <w:p w:rsidR="00DC1F7E" w:rsidRDefault="00DC1F7E" w:rsidP="00D1277B">
      <w:pPr>
        <w:spacing w:after="0" w:line="240" w:lineRule="auto"/>
        <w:jc w:val="both"/>
        <w:rPr>
          <w:sz w:val="20"/>
          <w:szCs w:val="20"/>
        </w:rPr>
      </w:pPr>
      <w:r>
        <w:rPr>
          <w:rStyle w:val="af0"/>
          <w:sz w:val="20"/>
          <w:szCs w:val="20"/>
        </w:rPr>
        <w:footnoteRef/>
      </w:r>
      <w:r>
        <w:rPr>
          <w:sz w:val="20"/>
          <w:szCs w:val="20"/>
        </w:rPr>
        <w:t xml:space="preserve"> Уполномоченным по правам человека в Архангельской области оказана помощь в решении жилищной проблемы [Электронный ресурс]. URL: https://www.pomorupolnom.ru/itogi/3240/ (дата обращения: 11.11.2018).</w:t>
      </w:r>
    </w:p>
  </w:footnote>
  <w:footnote w:id="44">
    <w:p w:rsidR="00DC1F7E" w:rsidRDefault="00DC1F7E" w:rsidP="00D1277B">
      <w:pPr>
        <w:pStyle w:val="aa"/>
        <w:jc w:val="both"/>
      </w:pPr>
      <w:r>
        <w:rPr>
          <w:rStyle w:val="af0"/>
        </w:rPr>
        <w:footnoteRef/>
      </w:r>
      <w:r>
        <w:t xml:space="preserve"> Уполномоченный защитил жилищные права многодетной семьи из Челябинска [Электронный ресурс]. URL: http://ombudsman74.ru/Publications/News/Show?id=204 (дата обращения: 11.11.2018).</w:t>
      </w:r>
    </w:p>
  </w:footnote>
  <w:footnote w:id="45">
    <w:p w:rsidR="00DC1F7E" w:rsidRDefault="00DC1F7E" w:rsidP="00D1277B">
      <w:pPr>
        <w:pStyle w:val="aa"/>
      </w:pPr>
      <w:r>
        <w:rPr>
          <w:rStyle w:val="af0"/>
        </w:rPr>
        <w:footnoteRef/>
      </w:r>
      <w:r>
        <w:t xml:space="preserve"> Борисова В.Ф., Ильгова Е.В., Кузнецова И.О. Оценка эффективности деятельности системы профилактики безнадзорности и правонарушений несовершеннолетних : коллективная монография : коллективная монография / В.Ф. Борисова, Е.В. Ильгова, И.О. Кузнецова ; ФГБОУ ВО «Саратовская государственная юридическая академия». Саратов: ИП Коваль Ю.В., 2015. – 124 с. – Электрон. дан. – Режим доступа: http://сгюа.рф/documents/structure/KDNiZP/Ilgovamonografia-Maket.pdf.</w:t>
      </w:r>
    </w:p>
  </w:footnote>
  <w:footnote w:id="46">
    <w:p w:rsidR="00DC1F7E" w:rsidRDefault="00DC1F7E" w:rsidP="00D1277B">
      <w:pPr>
        <w:pStyle w:val="aa"/>
      </w:pPr>
      <w:r>
        <w:rPr>
          <w:rStyle w:val="af0"/>
        </w:rPr>
        <w:footnoteRef/>
      </w:r>
      <w:r>
        <w:t xml:space="preserve"> Есберген О.А. «Криминология: Учебник»: Юридический центр Пресс; СПб.; 2013. – 350 с. Электрон. дан. – Режим доступа : https://litportal.ru/avtory/esbergen-alauhanov/kniga-kriminologiya-229697.html.</w:t>
      </w:r>
    </w:p>
  </w:footnote>
  <w:footnote w:id="47">
    <w:p w:rsidR="00DC1F7E" w:rsidRDefault="00DC1F7E" w:rsidP="00D1277B">
      <w:pPr>
        <w:pStyle w:val="aa"/>
      </w:pPr>
      <w:r>
        <w:rPr>
          <w:rStyle w:val="af0"/>
        </w:rPr>
        <w:footnoteRef/>
      </w:r>
      <w:r>
        <w:t xml:space="preserve"> Паатова М.Э., Бегидова С.Н., Хакунов Н.Х. Теоретико-методологический анализ социально-педагогических феноменов «девиантное поведение» и «делинквентное поведение» подростков  [Электронный ресурс] : Вестник Адыгейского государственного университета. Серия 3: Педагогика и психология. – 2012. – С. 1-10. – Электрон. дан. – Режим доступа : https://cyberleninka.ru/article/n/teoretiko-metodologicheskiy-analiz-sotsialnopedagogicheskih-fenomenov-deviantnoe-povedenie-i-delinkventnoe-povedenie-podrostkov.</w:t>
      </w:r>
    </w:p>
    <w:p w:rsidR="00DC1F7E" w:rsidRDefault="00DC1F7E" w:rsidP="00D1277B">
      <w:pPr>
        <w:pStyle w:val="aa"/>
      </w:pPr>
    </w:p>
  </w:footnote>
  <w:footnote w:id="48">
    <w:p w:rsidR="00DC1F7E" w:rsidRDefault="00DC1F7E" w:rsidP="00D1277B">
      <w:pPr>
        <w:pStyle w:val="aa"/>
      </w:pPr>
      <w:r>
        <w:rPr>
          <w:rStyle w:val="af0"/>
        </w:rPr>
        <w:footnoteRef/>
      </w:r>
      <w:r>
        <w:t xml:space="preserve"> Паатова М.Э., Бегидова С.Н., Хакунов Н.Х. Теоретико-методологический анализ социально-педагогических феноменов «девиантное поведение» и «делинквентное поведение» подростков  [Электронный ресурс] : Вестник Адыгейского государственного университета. Серия 3: Педагогика и психология. – 2012. – С. 1-10. – Электрон. дан. – Режим доступа : https://cyberleninka.ru/article/n/teoretiko-metodologicheskiy-analiz-sotsialnopedagogicheskih-fenomenov-deviantnoe-povedenie-i-delinkventnoe-povedenie-podrostkov.</w:t>
      </w:r>
    </w:p>
  </w:footnote>
  <w:footnote w:id="49">
    <w:p w:rsidR="00DC1F7E" w:rsidRDefault="00DC1F7E" w:rsidP="00D1277B">
      <w:pPr>
        <w:pStyle w:val="aa"/>
      </w:pPr>
      <w:r>
        <w:rPr>
          <w:rStyle w:val="af0"/>
        </w:rPr>
        <w:footnoteRef/>
      </w:r>
      <w:r>
        <w:t xml:space="preserve"> Об основах системы профилактики безнадзорности и правонарушений несовершеннолетних Российской Федерации [Электронный ресурс] : от 24.06.1999 г. № 120-ФЗ: принят Гос. Думой 21.05.1999 г. – Электрон. дан. – Режим доступа : http://base.garant.ru/12116087/.</w:t>
      </w:r>
    </w:p>
  </w:footnote>
  <w:footnote w:id="50">
    <w:p w:rsidR="00DC1F7E" w:rsidRDefault="00DC1F7E" w:rsidP="00D1277B">
      <w:pPr>
        <w:pStyle w:val="aa"/>
      </w:pPr>
      <w:r>
        <w:rPr>
          <w:rStyle w:val="af0"/>
        </w:rPr>
        <w:footnoteRef/>
      </w:r>
      <w:r>
        <w:t xml:space="preserve"> Об основах системы профилактики безнадзорности и правонарушений несовершеннолетних Российской Федерации [Электронный ресурс] : от 24.06.1999 г. № 120-ФЗ: принят Гос. Думой 21.05.1999 г. – Электрон. дан. – Режим доступа : http://base.garant.ru/12116087/. Указ. соч.</w:t>
      </w:r>
    </w:p>
  </w:footnote>
  <w:footnote w:id="51">
    <w:p w:rsidR="00DC1F7E" w:rsidRDefault="00DC1F7E" w:rsidP="00D1277B">
      <w:pPr>
        <w:pStyle w:val="aa"/>
      </w:pPr>
      <w:r>
        <w:rPr>
          <w:rStyle w:val="af0"/>
        </w:rPr>
        <w:footnoteRef/>
      </w:r>
      <w:r>
        <w:t xml:space="preserve"> О Национальной стратегии действий в интересах детей на 2012 - 2017 годы [Электронный ресурс] : Указ Президента РФ от 01.06.2012 г. № 761. – Электрон. дан. – Режим доступа : http://www.consultant.ru/document/cons_doc_LAW_130516/.</w:t>
      </w:r>
    </w:p>
  </w:footnote>
  <w:footnote w:id="52">
    <w:p w:rsidR="00DC1F7E" w:rsidRDefault="00DC1F7E" w:rsidP="00D1277B">
      <w:pPr>
        <w:pStyle w:val="aa"/>
      </w:pPr>
      <w:r>
        <w:rPr>
          <w:rStyle w:val="af0"/>
        </w:rPr>
        <w:footnoteRef/>
      </w:r>
      <w:r>
        <w:t xml:space="preserve"> Борисова В.Ф., Ильгова Е.В., Кузнецова И.О. Оценка эффективности деятельности системы профилактики безнадзорности и правонарушений несовершеннолетних : коллективная монография : коллективная монография / В.Ф. Борисова, Е.В. Ильгова, И.О. Кузнецова ; ФГБОУ ВО «Саратовская государственная юридическая академия». Саратов: ИП Коваль Ю.В., 2015. – 124 с. – Электрон. дан. – Режим доступа: http://сгюа.рф/documents/structure/KDNiZP/Ilgovamonografia-Maket.pdf.</w:t>
      </w:r>
    </w:p>
  </w:footnote>
  <w:footnote w:id="53">
    <w:p w:rsidR="00DC1F7E" w:rsidRDefault="00DC1F7E" w:rsidP="00D1277B">
      <w:pPr>
        <w:pStyle w:val="aa"/>
      </w:pPr>
      <w:r>
        <w:rPr>
          <w:rStyle w:val="af0"/>
        </w:rPr>
        <w:footnoteRef/>
      </w:r>
      <w:r>
        <w:t xml:space="preserve"> Государственный доклад о положении детей и семей, имеющих детей, в Российской Федерации за 2016 год [Электронный ресурс] : Министерство труда и социальной защиты Российской Федерации. – Электрон. дан. – Режим доступа: https://rosmintrud.ru/docs/mintrud/protection/474.</w:t>
      </w:r>
    </w:p>
  </w:footnote>
  <w:footnote w:id="54">
    <w:p w:rsidR="00DC1F7E" w:rsidRDefault="00DC1F7E" w:rsidP="00D1277B">
      <w:pPr>
        <w:pStyle w:val="aa"/>
      </w:pPr>
      <w:r>
        <w:rPr>
          <w:rStyle w:val="af0"/>
        </w:rPr>
        <w:footnoteRef/>
      </w:r>
      <w:r>
        <w:t xml:space="preserve"> Об утверждении Концепции развития системы профилактики безнадзорности и правонарушений несовершеннолетних на период до 2020 года и плана мероприятий на 2017-2020 годы по ее реализации [Электронный ресурс] : Распоряжение Правительства РФ от 22.03.2017 г. № 520-р. – Электрон. дан. – Режим доступа : http://docs.cntd.ru/document/420395219.</w:t>
      </w:r>
    </w:p>
  </w:footnote>
  <w:footnote w:id="55">
    <w:p w:rsidR="00DC1F7E" w:rsidRDefault="00DC1F7E" w:rsidP="00D1277B">
      <w:pPr>
        <w:pStyle w:val="aa"/>
      </w:pPr>
      <w:r>
        <w:rPr>
          <w:rStyle w:val="af0"/>
        </w:rPr>
        <w:footnoteRef/>
      </w:r>
      <w:r>
        <w:t xml:space="preserve"> О Приморской краевой межведомственной комиссии по делам несовершеннолетних и защите их прав [Электронный ресурс] : Постановление Администрации Приморского края от 24.06.2016 г. № 276-па. – Электрон. дан. – Режим доступа : http://docs.cntd.ru/document/438958915.</w:t>
      </w:r>
    </w:p>
  </w:footnote>
  <w:footnote w:id="56">
    <w:p w:rsidR="00DC1F7E" w:rsidRDefault="00DC1F7E" w:rsidP="00D1277B">
      <w:pPr>
        <w:pStyle w:val="aa"/>
      </w:pPr>
      <w:r>
        <w:rPr>
          <w:rStyle w:val="af0"/>
        </w:rPr>
        <w:footnoteRef/>
      </w:r>
      <w:r>
        <w:t xml:space="preserve"> Официальный сайт Администрации города Владивостока (Управление по организации работы комиссий по делам несовершеннолетних и защите их прав) [Электронный ресурс].  – Электрон. дан. –  Режим доступа : http://old.vlc.</w:t>
      </w:r>
    </w:p>
  </w:footnote>
  <w:footnote w:id="57">
    <w:p w:rsidR="00DC1F7E" w:rsidRDefault="00DC1F7E" w:rsidP="00D1277B">
      <w:pPr>
        <w:pStyle w:val="aa"/>
      </w:pPr>
      <w:r>
        <w:rPr>
          <w:rStyle w:val="af0"/>
        </w:rPr>
        <w:footnoteRef/>
      </w:r>
      <w:r>
        <w:t xml:space="preserve"> Баукова Н.Г., Карпова М.И., Кривобород Л.Н., Филонова Е.А., Храмкова В.А. Статистика правонарушений в Приморском крае: Статистический сборник/Приморскстат, 2018. – 68 с.</w:t>
      </w:r>
    </w:p>
  </w:footnote>
  <w:footnote w:id="58">
    <w:p w:rsidR="00DC1F7E" w:rsidRDefault="00DC1F7E" w:rsidP="00D1277B">
      <w:pPr>
        <w:pStyle w:val="aa"/>
      </w:pPr>
      <w:r>
        <w:rPr>
          <w:rStyle w:val="af0"/>
        </w:rPr>
        <w:footnoteRef/>
      </w:r>
      <w:r>
        <w:t xml:space="preserve"> Там же.</w:t>
      </w:r>
    </w:p>
  </w:footnote>
  <w:footnote w:id="59">
    <w:p w:rsidR="00DC1F7E" w:rsidRDefault="00DC1F7E" w:rsidP="00D1277B">
      <w:pPr>
        <w:pStyle w:val="aa"/>
      </w:pPr>
      <w:r>
        <w:rPr>
          <w:rStyle w:val="af0"/>
        </w:rPr>
        <w:footnoteRef/>
      </w:r>
      <w:r>
        <w:t xml:space="preserve"> Есберген О.А. «Криминология: Учебник»: Юридический центр Пресс; СПб.; 2013. – 350 с. Электрон. дан. – Режим доступа : https://litportal.ru/avtory/esbergen-alauhanov/kniga-kriminologiya-229697.html.</w:t>
      </w:r>
    </w:p>
  </w:footnote>
  <w:footnote w:id="60">
    <w:p w:rsidR="00DC1F7E" w:rsidRDefault="00DC1F7E" w:rsidP="00D1277B">
      <w:pPr>
        <w:pStyle w:val="aa"/>
      </w:pPr>
      <w:r>
        <w:rPr>
          <w:rStyle w:val="af0"/>
        </w:rPr>
        <w:footnoteRef/>
      </w:r>
      <w:r>
        <w:t xml:space="preserve"> Официальный сайт Саратовской государственной юридической академии: Всероссийский центр методического обеспечения деятельности комиссий по делам несовершеннолетних и защите их прав. [Электронный ресурс]. – Электрон. дан. – Режим доступа :  http://сгюа.рф/about-kdnizp.</w:t>
      </w:r>
    </w:p>
  </w:footnote>
  <w:footnote w:id="61">
    <w:p w:rsidR="00DC1F7E" w:rsidRDefault="00DC1F7E" w:rsidP="00D1277B">
      <w:pPr>
        <w:pStyle w:val="aa"/>
      </w:pPr>
      <w:r>
        <w:rPr>
          <w:rStyle w:val="af0"/>
        </w:rPr>
        <w:footnoteRef/>
      </w:r>
      <w:r>
        <w:t xml:space="preserve"> Официальный сайт Саратовской государственной юридической академии: Всероссийский центр методического обеспечения деятельности комиссий по делам несовершеннолетних и защите их прав. [Электронный ресурс]. – Электрон. дан. – Режим доступа :  http://сгюа.рф/about-kdnizp. Указ. соч.</w:t>
      </w:r>
    </w:p>
  </w:footnote>
  <w:footnote w:id="62">
    <w:p w:rsidR="00DC1F7E" w:rsidRDefault="00DC1F7E" w:rsidP="00D1277B">
      <w:pPr>
        <w:pStyle w:val="aa"/>
      </w:pPr>
      <w:r>
        <w:rPr>
          <w:rStyle w:val="af0"/>
        </w:rPr>
        <w:footnoteRef/>
      </w:r>
      <w:r>
        <w:t xml:space="preserve"> Официальный сайт Саратовской государственной юридической академии: Всероссийский центр методического обеспечения деятельности комиссий по делам несовершеннолетних и защите их прав. [Электронный ресурс]. – Электрон. дан. – Режим доступа :  http://сгюа.рф/about-kdnizp. Указ. соч.</w:t>
      </w:r>
    </w:p>
  </w:footnote>
  <w:footnote w:id="63">
    <w:p w:rsidR="00DC1F7E" w:rsidRDefault="00DC1F7E" w:rsidP="00D1277B">
      <w:pPr>
        <w:pStyle w:val="aa"/>
      </w:pPr>
      <w:r>
        <w:rPr>
          <w:rStyle w:val="af0"/>
        </w:rPr>
        <w:footnoteRef/>
      </w:r>
      <w:r>
        <w:t xml:space="preserve"> Данные, предоставленные Управлением по организации работы КПД и ЗП.</w:t>
      </w:r>
    </w:p>
  </w:footnote>
  <w:footnote w:id="64">
    <w:p w:rsidR="00DC1F7E" w:rsidRDefault="00DC1F7E" w:rsidP="00D1277B">
      <w:pPr>
        <w:pStyle w:val="aa"/>
      </w:pPr>
      <w:r>
        <w:rPr>
          <w:rStyle w:val="af0"/>
        </w:rPr>
        <w:footnoteRef/>
      </w:r>
      <w:r>
        <w:t xml:space="preserve"> Протокол заседания Правительственной комиссии по делам несовершеннолетних и защите их прав от 11.12.2012 г. № 1 [Электронный ресурс] : Официальный сайт Правительства Российской Федерации - Электрон. дан. – Режим доступа : http://government.ru/department/159/events/.</w:t>
      </w:r>
    </w:p>
  </w:footnote>
  <w:footnote w:id="65">
    <w:p w:rsidR="00DC1F7E" w:rsidRDefault="00DC1F7E" w:rsidP="00D1277B">
      <w:pPr>
        <w:pStyle w:val="aa"/>
      </w:pPr>
      <w:r>
        <w:rPr>
          <w:rStyle w:val="af0"/>
        </w:rPr>
        <w:footnoteRef/>
      </w:r>
      <w:r>
        <w:t xml:space="preserve"> Об утверждении Примерного положения о комиссиях по делам несовершеннолетних и защите их прав в Российской Федерации [Электронный ресурс]: Постановление Правительства РФ от 06.11.2013 г. № 995. – Электрон. дан. – Режим доступа : http://base.garant.ru/70497602/.</w:t>
      </w:r>
    </w:p>
  </w:footnote>
  <w:footnote w:id="66">
    <w:p w:rsidR="00DC1F7E" w:rsidRDefault="00DC1F7E" w:rsidP="00D1277B">
      <w:pPr>
        <w:pStyle w:val="aa"/>
      </w:pPr>
      <w:r>
        <w:rPr>
          <w:rStyle w:val="af0"/>
        </w:rPr>
        <w:footnoteRef/>
      </w:r>
      <w:r>
        <w:t xml:space="preserve"> Официальный сайт Саратовской государственной юридической академии: Всероссийский центр методического обеспечения деятельности комиссий по делам несовершеннолетних и защите их прав. [Электронный ресурс]. – Электрон. дан. – Режим доступа :  http://сгюа.рф/about-kdnizp.Указ. соч.</w:t>
      </w:r>
    </w:p>
  </w:footnote>
  <w:footnote w:id="67">
    <w:p w:rsidR="00DC1F7E" w:rsidRDefault="00DC1F7E" w:rsidP="00D1277B">
      <w:pPr>
        <w:pStyle w:val="aa"/>
        <w:ind w:firstLine="709"/>
        <w:jc w:val="both"/>
      </w:pPr>
      <w:r>
        <w:rPr>
          <w:rStyle w:val="af0"/>
        </w:rPr>
        <w:footnoteRef/>
      </w:r>
      <w:r>
        <w:t xml:space="preserve"> Отчеты департамента труда и социального развития Приморского края «О характере обращений граждан, поступивших в департамент труда и социального развития Приморского края» за 2016 -2018 гг.</w:t>
      </w:r>
    </w:p>
  </w:footnote>
  <w:footnote w:id="68">
    <w:p w:rsidR="00DC1F7E" w:rsidRDefault="00DC1F7E" w:rsidP="00D1277B">
      <w:pPr>
        <w:pStyle w:val="aa"/>
        <w:jc w:val="both"/>
      </w:pPr>
      <w:r>
        <w:rPr>
          <w:rStyle w:val="af0"/>
        </w:rPr>
        <w:footnoteRef/>
      </w:r>
      <w:r>
        <w:t xml:space="preserve"> Теория государства и права: Учебник под ред. В.К. Бабаева. - М.: Юристъ,2003. - 592 с., 2003; "Теория государства и права: Учебник для юридических вузов" (под ред. А.С. Пиголкина) ("Городец", 2003);</w:t>
      </w:r>
    </w:p>
  </w:footnote>
  <w:footnote w:id="69">
    <w:p w:rsidR="00DC1F7E" w:rsidRDefault="00DC1F7E" w:rsidP="00D1277B">
      <w:pPr>
        <w:pStyle w:val="aa"/>
        <w:jc w:val="both"/>
      </w:pPr>
      <w:r>
        <w:rPr>
          <w:rStyle w:val="af0"/>
        </w:rPr>
        <w:footnoteRef/>
      </w:r>
      <w:r>
        <w:t xml:space="preserve"> Статья: Проблема обмена состязательными документами при подаче искового заявления посредством сервиса "Электронное правосудие" (Дзуматов А.-М.Д.-М.) ("Российский судья", 2018, N 4);</w:t>
      </w:r>
    </w:p>
  </w:footnote>
  <w:footnote w:id="70">
    <w:p w:rsidR="00DC1F7E" w:rsidRDefault="00DC1F7E" w:rsidP="00D1277B">
      <w:pPr>
        <w:pStyle w:val="aa"/>
      </w:pPr>
      <w:r>
        <w:rPr>
          <w:rStyle w:val="af0"/>
        </w:rPr>
        <w:footnoteRef/>
      </w:r>
      <w:r>
        <w:t xml:space="preserve"> http://blog.amulex.ru/pravogramma.</w:t>
      </w:r>
    </w:p>
  </w:footnote>
  <w:footnote w:id="71">
    <w:p w:rsidR="00DC1F7E" w:rsidRDefault="00DC1F7E" w:rsidP="00D1277B">
      <w:pPr>
        <w:pStyle w:val="aa"/>
      </w:pPr>
      <w:r>
        <w:rPr>
          <w:rStyle w:val="af0"/>
        </w:rPr>
        <w:footnoteRef/>
      </w:r>
      <w:r>
        <w:t xml:space="preserve"> Данные департамента труда и социального развития Приморского края за 2016-2018 гг.</w:t>
      </w:r>
    </w:p>
  </w:footnote>
  <w:footnote w:id="72">
    <w:p w:rsidR="00DC1F7E" w:rsidRDefault="00DC1F7E" w:rsidP="00D1277B">
      <w:pPr>
        <w:pStyle w:val="aa"/>
        <w:jc w:val="both"/>
      </w:pPr>
      <w:r>
        <w:rPr>
          <w:rStyle w:val="af0"/>
        </w:rPr>
        <w:footnoteRef/>
      </w:r>
      <w:r>
        <w:t xml:space="preserve"> Постановление Правительства РФ от 15.02.2014 N 110 (ред. от 30.05.2018) "О выделении бюджетных ассигнований из резервного фонда Правительства Российской Федерации по предупреждению и ликвидации чрезвычайных ситуаций и последствий стихийных бедствий" (вместе с "Правилами выделения бюджетных ассигнований </w:t>
      </w:r>
      <w:r>
        <w:br/>
        <w:t>из резервного фонда Правительства Российской Федерации по предупреждению и ликвидации чрезвычайных ситуаций и последствий стихийных бедствий").</w:t>
      </w:r>
    </w:p>
  </w:footnote>
  <w:footnote w:id="73">
    <w:p w:rsidR="00DC1F7E" w:rsidRDefault="00DC1F7E" w:rsidP="00D1277B">
      <w:pPr>
        <w:pStyle w:val="aa"/>
        <w:jc w:val="both"/>
      </w:pPr>
      <w:r>
        <w:rPr>
          <w:rStyle w:val="af0"/>
        </w:rPr>
        <w:footnoteRef/>
      </w:r>
      <w:r>
        <w:t xml:space="preserve"> Приложения 3-9 к Положению о резервах финансовых и материальных ресурсов для ликвидации чрезвычайных ситуаций природного и техногенного характера на территории Приморского края, утвержденному постановлением Администрации Приморского края от 15.05.2018 N 223-па "О создании и использовании резервов финансовых </w:t>
      </w:r>
      <w:r>
        <w:br/>
        <w:t xml:space="preserve">и материальных ресурсов для ликвидации чрезвычайных ситуаций природного и техногенного характера </w:t>
      </w:r>
      <w:r>
        <w:br/>
        <w:t>на территории Приморского края" (вместе с "Положением о резервах финансовых и материальных ресурсов...").</w:t>
      </w:r>
    </w:p>
  </w:footnote>
  <w:footnote w:id="74">
    <w:p w:rsidR="00DC1F7E" w:rsidRDefault="00DC1F7E" w:rsidP="00D1277B">
      <w:pPr>
        <w:pStyle w:val="aa"/>
        <w:jc w:val="both"/>
      </w:pPr>
      <w:r>
        <w:rPr>
          <w:rStyle w:val="af0"/>
        </w:rPr>
        <w:footnoteRef/>
      </w:r>
      <w:r>
        <w:t xml:space="preserve"> Постановление Правительства РФ от 14.02.2017 №181 «О Единой государственной информационной системе социального обеспечения» (вместе с "Положением о Единой государственной информационной системе социального обеспечения», «Порядком предоставления информации в Единую государственную информационную систему социального обеспечения»).</w:t>
      </w:r>
    </w:p>
  </w:footnote>
  <w:footnote w:id="75">
    <w:p w:rsidR="00DC1F7E" w:rsidRDefault="00DC1F7E" w:rsidP="00D1277B">
      <w:pPr>
        <w:pStyle w:val="aa"/>
      </w:pPr>
      <w:r>
        <w:rPr>
          <w:rStyle w:val="af0"/>
        </w:rPr>
        <w:footnoteRef/>
      </w:r>
      <w:r>
        <w:t xml:space="preserve"> </w:t>
      </w:r>
      <w:r>
        <w:rPr>
          <w:rFonts w:ascii="Times New Roman" w:hAnsi="Times New Roman"/>
        </w:rPr>
        <w:t>Об основах охраны здоровья граждан в Российской Федерации: Федеральный закон от 21.11.2011 № 323-ФЗ // Государственная Дума Российской Федерации, 2011. – Ст. 32</w:t>
      </w:r>
    </w:p>
  </w:footnote>
  <w:footnote w:id="76">
    <w:p w:rsidR="00DC1F7E" w:rsidRDefault="00DC1F7E" w:rsidP="00D1277B">
      <w:pPr>
        <w:pStyle w:val="aa"/>
      </w:pPr>
      <w:r>
        <w:rPr>
          <w:rStyle w:val="af0"/>
        </w:rPr>
        <w:footnoteRef/>
      </w:r>
      <w:r>
        <w:t xml:space="preserve"> </w:t>
      </w:r>
      <w:r>
        <w:rPr>
          <w:rFonts w:ascii="Times New Roman" w:hAnsi="Times New Roman"/>
        </w:rPr>
        <w:t>Об основах охраны здоровья граждан в Российской Федерации: Федеральный закон от 21.11.2011 № 323-ФЗ // Государственная Дума Российской Федерации, 2011. – Ст. 36</w:t>
      </w:r>
    </w:p>
  </w:footnote>
  <w:footnote w:id="77">
    <w:p w:rsidR="00DC1F7E" w:rsidRDefault="00DC1F7E" w:rsidP="00D1277B">
      <w:pPr>
        <w:pStyle w:val="aa"/>
      </w:pPr>
      <w:r>
        <w:rPr>
          <w:rStyle w:val="af0"/>
        </w:rPr>
        <w:footnoteRef/>
      </w:r>
      <w:r>
        <w:t xml:space="preserve"> </w:t>
      </w:r>
      <w:r>
        <w:rPr>
          <w:rFonts w:ascii="Times New Roman" w:hAnsi="Times New Roman"/>
        </w:rPr>
        <w:t>Об основах охраны здоровья граждан в Российской Федерации: Федеральный закон от 21.11.2011 № 323-ФЗ // Государственная Дума Российской Федерации, 2011. – Ст. 14</w:t>
      </w:r>
    </w:p>
  </w:footnote>
  <w:footnote w:id="78">
    <w:p w:rsidR="00DC1F7E" w:rsidRDefault="00DC1F7E" w:rsidP="00D1277B">
      <w:pPr>
        <w:pStyle w:val="aa"/>
      </w:pPr>
      <w:r>
        <w:rPr>
          <w:rStyle w:val="af0"/>
        </w:rPr>
        <w:footnoteRef/>
      </w:r>
      <w:r>
        <w:t xml:space="preserve"> </w:t>
      </w:r>
      <w:r>
        <w:rPr>
          <w:rFonts w:ascii="Times New Roman" w:hAnsi="Times New Roman"/>
        </w:rPr>
        <w:t>Об основах охраны здоровья граждан в Российской Федерации: Федеральный закон от 21.11.2011 № 323-ФЗ // Государственная Дума Российской Федерации, 2011. – Ст. 16</w:t>
      </w:r>
    </w:p>
  </w:footnote>
  <w:footnote w:id="79">
    <w:p w:rsidR="00DC1F7E" w:rsidRDefault="00DC1F7E" w:rsidP="00D1277B">
      <w:pPr>
        <w:pStyle w:val="aa"/>
      </w:pPr>
      <w:r>
        <w:rPr>
          <w:rStyle w:val="af0"/>
        </w:rPr>
        <w:footnoteRef/>
      </w:r>
      <w:r>
        <w:t xml:space="preserve"> </w:t>
      </w:r>
      <w:r>
        <w:rPr>
          <w:rFonts w:ascii="Times New Roman" w:hAnsi="Times New Roman"/>
        </w:rPr>
        <w:t>Об основах охраны здоровья граждан в Российской Федерации: Федеральный закон от 21.11.2011 № 323-ФЗ // Государственная Дума Российской Федерации, 2011. – Ст. 80, Ст.83.</w:t>
      </w:r>
    </w:p>
  </w:footnote>
  <w:footnote w:id="80">
    <w:p w:rsidR="00DC1F7E" w:rsidRDefault="00DC1F7E" w:rsidP="00D1277B">
      <w:pPr>
        <w:pStyle w:val="aa"/>
        <w:rPr>
          <w:rFonts w:ascii="Times New Roman" w:hAnsi="Times New Roman"/>
        </w:rPr>
      </w:pPr>
      <w:r>
        <w:rPr>
          <w:rStyle w:val="af0"/>
        </w:rPr>
        <w:footnoteRef/>
      </w:r>
      <w:r>
        <w:t xml:space="preserve"> </w:t>
      </w:r>
      <w:r>
        <w:rPr>
          <w:rFonts w:ascii="Times New Roman" w:hAnsi="Times New Roman"/>
        </w:rPr>
        <w:t>Об утверждении порядка оказания паллиативной медицинской помощи детям: Приказ Минздрава России от 14.04.2015 №193н (с измен. От 28 июня 2018) // http://www.consultant.ru/document/cons_doc_LAW_179535/</w:t>
      </w:r>
    </w:p>
    <w:p w:rsidR="00DC1F7E" w:rsidRDefault="00DC1F7E" w:rsidP="00D1277B">
      <w:pPr>
        <w:pStyle w:val="aa"/>
        <w:rPr>
          <w:rFonts w:ascii="Calibri" w:hAnsi="Calibri"/>
        </w:rPr>
      </w:pPr>
    </w:p>
  </w:footnote>
  <w:footnote w:id="81">
    <w:p w:rsidR="00DC1F7E" w:rsidRDefault="00DC1F7E" w:rsidP="00D1277B">
      <w:pPr>
        <w:pStyle w:val="aa"/>
      </w:pPr>
      <w:r>
        <w:rPr>
          <w:rStyle w:val="af0"/>
        </w:rPr>
        <w:footnoteRef/>
      </w:r>
      <w:r>
        <w:t xml:space="preserve"> </w:t>
      </w:r>
      <w:r>
        <w:rPr>
          <w:rFonts w:ascii="Times New Roman" w:hAnsi="Times New Roman"/>
        </w:rPr>
        <w:t>Об утверждении порядка назначения и выписывания лекарственных препаратов, а также форм рецептурных бланков на лекарственные препараты, порядка оформления указанных бланков, их учета и хранения: Приказ Минздравоохранения РФ от 20.12.2012 №1175н // http://www.consultant.ru/document/cons_doc_LAW_148452/2ff7a8c72de3994f30496a0ccbb1ddafdaddf518/</w:t>
      </w:r>
    </w:p>
  </w:footnote>
  <w:footnote w:id="82">
    <w:p w:rsidR="00DC1F7E" w:rsidRDefault="00DC1F7E" w:rsidP="00D1277B">
      <w:pPr>
        <w:pStyle w:val="aa"/>
        <w:rPr>
          <w:rFonts w:ascii="Times New Roman" w:hAnsi="Times New Roman"/>
        </w:rPr>
      </w:pPr>
      <w:r>
        <w:rPr>
          <w:rStyle w:val="af0"/>
        </w:rPr>
        <w:footnoteRef/>
      </w:r>
      <w:r>
        <w:t xml:space="preserve"> </w:t>
      </w:r>
      <w:r>
        <w:rPr>
          <w:rFonts w:ascii="Times New Roman" w:hAnsi="Times New Roman"/>
        </w:rPr>
        <w:t>Притыко, Д.А., Климов, Д.Е., Гусев Л.И. Паллиативная помощь детям. История развития, проблемы и пути их решения / Д.А. Притыко, Д.Е. Климов, Л.И. Гусев – М.: Здравоохранение Российской Федерации, 2015. – С. 44.</w:t>
      </w:r>
    </w:p>
  </w:footnote>
  <w:footnote w:id="83">
    <w:p w:rsidR="00DC1F7E" w:rsidRDefault="00DC1F7E" w:rsidP="00D1277B">
      <w:pPr>
        <w:pStyle w:val="aa"/>
        <w:rPr>
          <w:rFonts w:ascii="Times New Roman" w:hAnsi="Times New Roman"/>
        </w:rPr>
      </w:pPr>
      <w:r>
        <w:rPr>
          <w:rStyle w:val="af0"/>
        </w:rPr>
        <w:footnoteRef/>
      </w:r>
      <w:r>
        <w:t xml:space="preserve"> </w:t>
      </w:r>
      <w:r>
        <w:rPr>
          <w:rFonts w:ascii="Times New Roman" w:hAnsi="Times New Roman"/>
        </w:rPr>
        <w:t>Там же. С. 44.</w:t>
      </w:r>
    </w:p>
  </w:footnote>
  <w:footnote w:id="84">
    <w:p w:rsidR="00DC1F7E" w:rsidRDefault="00DC1F7E" w:rsidP="00D1277B">
      <w:pPr>
        <w:pStyle w:val="aa"/>
        <w:rPr>
          <w:rFonts w:ascii="Times New Roman" w:hAnsi="Times New Roman"/>
        </w:rPr>
      </w:pPr>
      <w:r>
        <w:rPr>
          <w:rStyle w:val="af0"/>
        </w:rPr>
        <w:footnoteRef/>
      </w:r>
      <w:r>
        <w:t xml:space="preserve"> </w:t>
      </w:r>
      <w:r>
        <w:rPr>
          <w:rFonts w:ascii="Times New Roman" w:hAnsi="Times New Roman"/>
        </w:rPr>
        <w:t>Об утверждении порядка оказания паллиативной медицинской помощи детям: Приказ Минздрава России от 14.04.2015 №193н (с измен. От 28 июня 2018) // http://www.consultant.ru/document/cons_doc_LAW_179535/</w:t>
      </w:r>
    </w:p>
  </w:footnote>
  <w:footnote w:id="85">
    <w:p w:rsidR="00DC1F7E" w:rsidRDefault="00DC1F7E" w:rsidP="00D1277B">
      <w:pPr>
        <w:pStyle w:val="aa"/>
        <w:rPr>
          <w:rFonts w:ascii="Times New Roman" w:hAnsi="Times New Roman"/>
        </w:rPr>
      </w:pPr>
      <w:r>
        <w:rPr>
          <w:rStyle w:val="af0"/>
        </w:rPr>
        <w:footnoteRef/>
      </w:r>
      <w:r>
        <w:t xml:space="preserve"> </w:t>
      </w:r>
      <w:r>
        <w:rPr>
          <w:rFonts w:ascii="Times New Roman" w:hAnsi="Times New Roman"/>
        </w:rPr>
        <w:t>Вартанова, К.А. Развитие паллиативной помощи детям в РФ. Модель оказания выездной паллиативной помощи детям. / К.А. Вартанова / Детский паллиатив, 2016.</w:t>
      </w:r>
    </w:p>
  </w:footnote>
  <w:footnote w:id="86">
    <w:p w:rsidR="00DC1F7E" w:rsidRDefault="00DC1F7E" w:rsidP="00D1277B">
      <w:pPr>
        <w:pStyle w:val="aa"/>
        <w:rPr>
          <w:rFonts w:ascii="Calibri" w:hAnsi="Calibri"/>
          <w:color w:val="000000" w:themeColor="text1"/>
          <w:sz w:val="28"/>
          <w:szCs w:val="28"/>
        </w:rPr>
      </w:pPr>
      <w:r>
        <w:rPr>
          <w:rStyle w:val="af0"/>
        </w:rPr>
        <w:footnoteRef/>
      </w:r>
      <w:r>
        <w:t xml:space="preserve"> </w:t>
      </w:r>
      <w:r>
        <w:rPr>
          <w:color w:val="000000" w:themeColor="text1"/>
        </w:rPr>
        <w:t>глава 4 "Об основах охраны здоровья граждан в Российской Федерации</w:t>
      </w:r>
      <w:r>
        <w:rPr>
          <w:color w:val="000000" w:themeColor="text1"/>
          <w:sz w:val="28"/>
          <w:szCs w:val="28"/>
        </w:rPr>
        <w:t>"</w:t>
      </w:r>
    </w:p>
  </w:footnote>
  <w:footnote w:id="87">
    <w:p w:rsidR="00DC1F7E" w:rsidRDefault="00DC1F7E" w:rsidP="00D1277B">
      <w:pPr>
        <w:pStyle w:val="aa"/>
      </w:pPr>
      <w:r>
        <w:rPr>
          <w:rStyle w:val="af0"/>
        </w:rPr>
        <w:footnoteRef/>
      </w:r>
      <w:r>
        <w:t xml:space="preserve"> </w:t>
      </w:r>
      <w:r>
        <w:rPr>
          <w:color w:val="000000" w:themeColor="text1"/>
        </w:rPr>
        <w:t>п. 17 Постановление Пленума Верховного Суда РФ от 28.06.2012 N 17 "О рассмотрении судами гражданских дел по спорам о защите прав потребителей</w:t>
      </w:r>
      <w:r>
        <w:rPr>
          <w:color w:val="333333"/>
        </w:rPr>
        <w:t>"</w:t>
      </w:r>
    </w:p>
  </w:footnote>
  <w:footnote w:id="88">
    <w:p w:rsidR="00DC1F7E" w:rsidRDefault="00DC1F7E" w:rsidP="00D1277B">
      <w:pPr>
        <w:pStyle w:val="aa"/>
      </w:pPr>
      <w:r>
        <w:rPr>
          <w:rStyle w:val="af0"/>
        </w:rPr>
        <w:footnoteRef/>
      </w:r>
      <w:r>
        <w:t xml:space="preserve"> ст. 41 Конституции РФ</w:t>
      </w:r>
    </w:p>
  </w:footnote>
  <w:footnote w:id="89">
    <w:p w:rsidR="00DC1F7E" w:rsidRDefault="00DC1F7E" w:rsidP="00D1277B">
      <w:pPr>
        <w:pStyle w:val="aa"/>
        <w:jc w:val="both"/>
        <w:rPr>
          <w:color w:val="000000" w:themeColor="text1"/>
        </w:rPr>
      </w:pPr>
      <w:r>
        <w:rPr>
          <w:rStyle w:val="af0"/>
        </w:rPr>
        <w:footnoteRef/>
      </w:r>
      <w:r>
        <w:t xml:space="preserve"> </w:t>
      </w:r>
      <w:r>
        <w:rPr>
          <w:color w:val="000000" w:themeColor="text1"/>
          <w:shd w:val="clear" w:color="auto" w:fill="FFFFFF"/>
        </w:rPr>
        <w:t xml:space="preserve">Решение </w:t>
      </w:r>
      <w:r>
        <w:rPr>
          <w:color w:val="000000" w:themeColor="text1"/>
        </w:rPr>
        <w:t>Уссурийского районного суд Приморского края</w:t>
      </w:r>
      <w:r>
        <w:rPr>
          <w:color w:val="000000" w:themeColor="text1"/>
          <w:shd w:val="clear" w:color="auto" w:fill="FFFFFF"/>
        </w:rPr>
        <w:t xml:space="preserve"> по делу № 2-1950/2017</w:t>
      </w:r>
      <w:r>
        <w:rPr>
          <w:color w:val="000000" w:themeColor="text1"/>
        </w:rPr>
        <w:t xml:space="preserve"> от 26 декабря 2017г.</w:t>
      </w:r>
    </w:p>
  </w:footnote>
  <w:footnote w:id="90">
    <w:p w:rsidR="00DC1F7E" w:rsidRDefault="00DC1F7E" w:rsidP="00D1277B">
      <w:pPr>
        <w:pStyle w:val="aa"/>
        <w:jc w:val="both"/>
        <w:rPr>
          <w:color w:val="000000" w:themeColor="text1"/>
        </w:rPr>
      </w:pPr>
      <w:r>
        <w:rPr>
          <w:rStyle w:val="af0"/>
          <w:color w:val="000000" w:themeColor="text1"/>
        </w:rPr>
        <w:footnoteRef/>
      </w:r>
      <w:r>
        <w:rPr>
          <w:color w:val="000000" w:themeColor="text1"/>
        </w:rPr>
        <w:t xml:space="preserve"> Решение Дальнегорского районного суд Приморского края по делу №2-1/2017 от 19 апреля 2017г.</w:t>
      </w:r>
    </w:p>
  </w:footnote>
  <w:footnote w:id="91">
    <w:p w:rsidR="00DC1F7E" w:rsidRDefault="00DC1F7E" w:rsidP="00D1277B">
      <w:pPr>
        <w:pStyle w:val="aa"/>
        <w:jc w:val="both"/>
      </w:pPr>
      <w:r>
        <w:rPr>
          <w:rStyle w:val="af0"/>
          <w:color w:val="000000" w:themeColor="text1"/>
        </w:rPr>
        <w:footnoteRef/>
      </w:r>
      <w:r>
        <w:rPr>
          <w:color w:val="000000" w:themeColor="text1"/>
        </w:rPr>
        <w:t xml:space="preserve"> Определение </w:t>
      </w:r>
      <w:r>
        <w:rPr>
          <w:rFonts w:eastAsia="Times New Roman"/>
          <w:color w:val="000000" w:themeColor="text1"/>
          <w:shd w:val="clear" w:color="auto" w:fill="FFFFFF"/>
        </w:rPr>
        <w:t>Судебной коллегии по гражданским делам Приморского краевого суда</w:t>
      </w:r>
      <w:r>
        <w:rPr>
          <w:color w:val="000000" w:themeColor="text1"/>
        </w:rPr>
        <w:t xml:space="preserve"> по делу №33-11133/2016 от 24 октября 2016г.</w:t>
      </w:r>
    </w:p>
  </w:footnote>
  <w:footnote w:id="92">
    <w:p w:rsidR="00DC1F7E" w:rsidRDefault="00DC1F7E" w:rsidP="00D1277B">
      <w:pPr>
        <w:pStyle w:val="aa"/>
        <w:jc w:val="both"/>
        <w:rPr>
          <w:color w:val="000000" w:themeColor="text1"/>
        </w:rPr>
      </w:pPr>
      <w:r>
        <w:rPr>
          <w:rStyle w:val="af0"/>
        </w:rPr>
        <w:footnoteRef/>
      </w:r>
      <w:r>
        <w:t xml:space="preserve"> </w:t>
      </w:r>
      <w:r>
        <w:rPr>
          <w:color w:val="000000" w:themeColor="text1"/>
        </w:rPr>
        <w:t>ст. 12, 151, 395 ГК РФ ст. 12, 14, 15, 28 Закона о защите прав потребителей</w:t>
      </w:r>
    </w:p>
  </w:footnote>
  <w:footnote w:id="93">
    <w:p w:rsidR="00DC1F7E" w:rsidRDefault="00DC1F7E" w:rsidP="00D1277B">
      <w:pPr>
        <w:pStyle w:val="aa"/>
      </w:pPr>
      <w:r>
        <w:rPr>
          <w:rStyle w:val="af0"/>
        </w:rPr>
        <w:footnoteRef/>
      </w:r>
      <w:r>
        <w:t xml:space="preserve"> </w:t>
      </w:r>
      <w:r>
        <w:rPr>
          <w:color w:val="000000" w:themeColor="text1"/>
        </w:rPr>
        <w:t>ст. 12, 426,428 ГК РФ</w:t>
      </w:r>
    </w:p>
  </w:footnote>
  <w:footnote w:id="94">
    <w:p w:rsidR="00DC1F7E" w:rsidRDefault="00DC1F7E" w:rsidP="00D1277B">
      <w:pPr>
        <w:pStyle w:val="aa"/>
      </w:pPr>
      <w:r>
        <w:rPr>
          <w:rStyle w:val="af0"/>
        </w:rPr>
        <w:footnoteRef/>
      </w:r>
      <w:r>
        <w:t xml:space="preserve"> ст. 12, 330 ГК РФ</w:t>
      </w:r>
    </w:p>
  </w:footnote>
  <w:footnote w:id="95">
    <w:p w:rsidR="00DC1F7E" w:rsidRDefault="00DC1F7E" w:rsidP="00D1277B">
      <w:pPr>
        <w:pStyle w:val="aa"/>
      </w:pPr>
      <w:r>
        <w:rPr>
          <w:rStyle w:val="af0"/>
        </w:rPr>
        <w:footnoteRef/>
      </w:r>
      <w:r>
        <w:t xml:space="preserve"> ст. 395 ГК РФ</w:t>
      </w:r>
    </w:p>
  </w:footnote>
  <w:footnote w:id="96">
    <w:p w:rsidR="00DC1F7E" w:rsidRDefault="00DC1F7E" w:rsidP="00D1277B">
      <w:pPr>
        <w:pStyle w:val="aa"/>
        <w:jc w:val="both"/>
      </w:pPr>
      <w:r>
        <w:rPr>
          <w:rStyle w:val="af0"/>
        </w:rPr>
        <w:footnoteRef/>
      </w:r>
      <w:r>
        <w:t xml:space="preserve"> ст. 723 ГК РФ, п. 1 ст. 29 Закона о защите прав потребителей</w:t>
      </w:r>
    </w:p>
  </w:footnote>
  <w:footnote w:id="97">
    <w:p w:rsidR="00DC1F7E" w:rsidRDefault="00DC1F7E" w:rsidP="00D1277B">
      <w:pPr>
        <w:pStyle w:val="aa"/>
        <w:jc w:val="both"/>
      </w:pPr>
      <w:r>
        <w:rPr>
          <w:rStyle w:val="af0"/>
        </w:rPr>
        <w:footnoteRef/>
      </w:r>
      <w:r>
        <w:t xml:space="preserve"> </w:t>
      </w:r>
      <w:r>
        <w:rPr>
          <w:color w:val="000000" w:themeColor="text1"/>
        </w:rPr>
        <w:t>Информационное</w:t>
      </w:r>
      <w:r>
        <w:rPr>
          <w:rStyle w:val="apple-converted-space"/>
          <w:color w:val="000000" w:themeColor="text1"/>
          <w:spacing w:val="4"/>
          <w:shd w:val="clear" w:color="auto" w:fill="FFFFFF"/>
        </w:rPr>
        <w:t> </w:t>
      </w:r>
      <w:r>
        <w:rPr>
          <w:rFonts w:eastAsia="Times New Roman"/>
          <w:color w:val="000000" w:themeColor="text1"/>
          <w:spacing w:val="4"/>
          <w:shd w:val="clear" w:color="auto" w:fill="FFFFFF"/>
        </w:rPr>
        <w:t>письмо Департамента здравоохранения г. Москвы</w:t>
      </w:r>
      <w:r>
        <w:rPr>
          <w:rFonts w:eastAsia="Times New Roman"/>
          <w:color w:val="000000" w:themeColor="text1"/>
        </w:rPr>
        <w:t xml:space="preserve"> </w:t>
      </w:r>
      <w:r>
        <w:rPr>
          <w:rFonts w:eastAsia="Times New Roman"/>
          <w:color w:val="000000" w:themeColor="text1"/>
          <w:spacing w:val="4"/>
          <w:shd w:val="clear" w:color="auto" w:fill="FFFFFF"/>
        </w:rPr>
        <w:t>от 18.03.2014 № 40-18-3112/14 «О недостатках оформления и ведения первичной медицинской документации»</w:t>
      </w:r>
    </w:p>
  </w:footnote>
  <w:footnote w:id="98">
    <w:p w:rsidR="00DC1F7E" w:rsidRDefault="00DC1F7E" w:rsidP="00D1277B">
      <w:pPr>
        <w:pStyle w:val="aa"/>
        <w:jc w:val="both"/>
      </w:pPr>
      <w:r>
        <w:rPr>
          <w:rStyle w:val="af0"/>
        </w:rPr>
        <w:footnoteRef/>
      </w:r>
      <w:r>
        <w:t xml:space="preserve">Решение Первореченского районного суд г. Владивостока Приморского края </w:t>
      </w:r>
      <w:r>
        <w:rPr>
          <w:color w:val="000000" w:themeColor="text1"/>
        </w:rPr>
        <w:t>по делу № 2-5170/2015 от 29 марта 2016г</w:t>
      </w:r>
      <w:r>
        <w:rPr>
          <w:color w:val="000000" w:themeColor="text1"/>
          <w:sz w:val="28"/>
          <w:szCs w:val="28"/>
        </w:rPr>
        <w:t>.</w:t>
      </w:r>
    </w:p>
  </w:footnote>
  <w:footnote w:id="99">
    <w:p w:rsidR="00DC1F7E" w:rsidRDefault="00DC1F7E" w:rsidP="00D1277B">
      <w:pPr>
        <w:pStyle w:val="aa"/>
        <w:jc w:val="both"/>
        <w:rPr>
          <w:color w:val="000000" w:themeColor="text1"/>
        </w:rPr>
      </w:pPr>
      <w:r>
        <w:rPr>
          <w:rStyle w:val="af0"/>
          <w:color w:val="000000" w:themeColor="text1"/>
        </w:rPr>
        <w:footnoteRef/>
      </w:r>
      <w:r>
        <w:rPr>
          <w:color w:val="000000" w:themeColor="text1"/>
        </w:rPr>
        <w:t>Решение  Первомайского районного суд г. Владивостока Приморского края № 2-2324/2016 от 4 октября 2017г.</w:t>
      </w:r>
    </w:p>
  </w:footnote>
  <w:footnote w:id="100">
    <w:p w:rsidR="00DC1F7E" w:rsidRDefault="00DC1F7E" w:rsidP="00D1277B">
      <w:pPr>
        <w:pStyle w:val="aa"/>
        <w:jc w:val="both"/>
      </w:pPr>
      <w:r>
        <w:rPr>
          <w:rStyle w:val="af0"/>
          <w:color w:val="000000" w:themeColor="text1"/>
        </w:rPr>
        <w:footnoteRef/>
      </w:r>
      <w:r>
        <w:rPr>
          <w:color w:val="000000" w:themeColor="text1"/>
        </w:rPr>
        <w:t xml:space="preserve"> Решение Первореченского районного суд г. Владивостока Приморского края </w:t>
      </w:r>
      <w:r>
        <w:rPr>
          <w:bCs/>
          <w:color w:val="000000" w:themeColor="text1"/>
          <w:kern w:val="36"/>
        </w:rPr>
        <w:t>по делу № 2-368/2017</w:t>
      </w:r>
    </w:p>
  </w:footnote>
  <w:footnote w:id="101">
    <w:p w:rsidR="00DC1F7E" w:rsidRDefault="00DC1F7E" w:rsidP="00D1277B">
      <w:pPr>
        <w:pStyle w:val="aa"/>
      </w:pPr>
      <w:r>
        <w:rPr>
          <w:rStyle w:val="af0"/>
        </w:rPr>
        <w:footnoteRef/>
      </w:r>
      <w:r>
        <w:t xml:space="preserve"> </w:t>
      </w:r>
      <w:r>
        <w:rPr>
          <w:rFonts w:eastAsia="Times New Roman"/>
          <w:bCs/>
          <w:color w:val="000000" w:themeColor="text1"/>
        </w:rPr>
        <w:t>Гетманцева Н.А., Магомедова А.М. Коррупция в Российской медицине/ Гетманцева Н.А., Магомедова А.М.// Бюллетень медицинских интернет-конференций.- 2014.- №11.- С. 1136</w:t>
      </w:r>
    </w:p>
  </w:footnote>
  <w:footnote w:id="102">
    <w:p w:rsidR="00DC1F7E" w:rsidRDefault="00DC1F7E" w:rsidP="00D1277B">
      <w:pPr>
        <w:pStyle w:val="aa"/>
      </w:pPr>
      <w:r>
        <w:rPr>
          <w:rStyle w:val="af0"/>
        </w:rPr>
        <w:footnoteRef/>
      </w:r>
      <w:r>
        <w:t xml:space="preserve"> </w:t>
      </w:r>
      <w:r>
        <w:rPr>
          <w:rFonts w:eastAsia="Times New Roman"/>
          <w:bCs/>
          <w:color w:val="000000" w:themeColor="text1"/>
        </w:rPr>
        <w:t>Тихомиров А.В. Проблемы  судебного правоприменения в спорах о причинении вреда здоровью при оказании медицинских услуг Тихомиров А.В.// Главный врач:  хозяйство и право. – 2010. – № 6. – С. 36-51.</w:t>
      </w:r>
    </w:p>
  </w:footnote>
  <w:footnote w:id="103">
    <w:p w:rsidR="00DC1F7E" w:rsidRDefault="00DC1F7E" w:rsidP="00D1277B">
      <w:pPr>
        <w:jc w:val="both"/>
        <w:rPr>
          <w:rFonts w:eastAsia="Times New Roman"/>
        </w:rPr>
      </w:pPr>
      <w:r>
        <w:rPr>
          <w:rStyle w:val="af0"/>
        </w:rPr>
        <w:footnoteRef/>
      </w:r>
      <w:r>
        <w:t xml:space="preserve"> Решение </w:t>
      </w:r>
      <w:r>
        <w:rPr>
          <w:rFonts w:eastAsia="Times New Roman"/>
          <w:color w:val="000000"/>
          <w:shd w:val="clear" w:color="auto" w:fill="FFFFFF"/>
        </w:rPr>
        <w:t xml:space="preserve">Первомайского районного суд г. Владивостока Приморского края </w:t>
      </w:r>
      <w:r>
        <w:rPr>
          <w:color w:val="000000" w:themeColor="text1"/>
        </w:rPr>
        <w:t>Решение от 4 июля 2017 г. по делу № 2-1969/2015</w:t>
      </w:r>
    </w:p>
    <w:p w:rsidR="00DC1F7E" w:rsidRDefault="00DC1F7E" w:rsidP="00D1277B">
      <w:pPr>
        <w:pStyle w:val="aa"/>
        <w:rPr>
          <w:rFonts w:eastAsia="Calibri"/>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F7E" w:rsidRPr="007C6CC9" w:rsidRDefault="00DC1F7E" w:rsidP="007C6CC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D28D97A"/>
    <w:lvl w:ilvl="0">
      <w:numFmt w:val="bullet"/>
      <w:lvlText w:val="*"/>
      <w:lvlJc w:val="left"/>
    </w:lvl>
  </w:abstractNum>
  <w:abstractNum w:abstractNumId="1">
    <w:nsid w:val="00000001"/>
    <w:multiLevelType w:val="multilevel"/>
    <w:tmpl w:val="F7B09D7C"/>
    <w:lvl w:ilvl="0">
      <w:start w:val="1"/>
      <w:numFmt w:val="decimal"/>
      <w:lvlText w:val="%1"/>
      <w:lvlJc w:val="left"/>
      <w:pPr>
        <w:ind w:left="720" w:hanging="360"/>
      </w:pPr>
      <w:rPr>
        <w:rFonts w:ascii="Times New Roman" w:eastAsia="Calibri" w:hAnsi="Times New Roman" w:cs="Times New Roman"/>
        <w:b w:val="0"/>
        <w:bCs w:val="0"/>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0EA2F85"/>
    <w:multiLevelType w:val="hybridMultilevel"/>
    <w:tmpl w:val="794862E0"/>
    <w:lvl w:ilvl="0" w:tplc="D5F49A6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
    <w:nsid w:val="0208151E"/>
    <w:multiLevelType w:val="hybridMultilevel"/>
    <w:tmpl w:val="B75A9836"/>
    <w:lvl w:ilvl="0" w:tplc="D5F49A6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
    <w:nsid w:val="028D0D69"/>
    <w:multiLevelType w:val="hybridMultilevel"/>
    <w:tmpl w:val="56161C4C"/>
    <w:lvl w:ilvl="0" w:tplc="EFD69514">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2A40E42"/>
    <w:multiLevelType w:val="hybridMultilevel"/>
    <w:tmpl w:val="CF349EC2"/>
    <w:lvl w:ilvl="0" w:tplc="0419000F">
      <w:start w:val="1"/>
      <w:numFmt w:val="decimal"/>
      <w:lvlText w:val="%1."/>
      <w:lvlJc w:val="left"/>
      <w:pPr>
        <w:ind w:left="2149" w:hanging="360"/>
      </w:pPr>
    </w:lvl>
    <w:lvl w:ilvl="1" w:tplc="04190019">
      <w:start w:val="1"/>
      <w:numFmt w:val="lowerLetter"/>
      <w:lvlText w:val="%2."/>
      <w:lvlJc w:val="left"/>
      <w:pPr>
        <w:ind w:left="2869" w:hanging="360"/>
      </w:pPr>
    </w:lvl>
    <w:lvl w:ilvl="2" w:tplc="0419001B">
      <w:start w:val="1"/>
      <w:numFmt w:val="lowerRoman"/>
      <w:lvlText w:val="%3."/>
      <w:lvlJc w:val="right"/>
      <w:pPr>
        <w:ind w:left="3589" w:hanging="180"/>
      </w:pPr>
    </w:lvl>
    <w:lvl w:ilvl="3" w:tplc="0419000F">
      <w:start w:val="1"/>
      <w:numFmt w:val="decimal"/>
      <w:lvlText w:val="%4."/>
      <w:lvlJc w:val="left"/>
      <w:pPr>
        <w:ind w:left="4309" w:hanging="360"/>
      </w:pPr>
    </w:lvl>
    <w:lvl w:ilvl="4" w:tplc="04190019">
      <w:start w:val="1"/>
      <w:numFmt w:val="lowerLetter"/>
      <w:lvlText w:val="%5."/>
      <w:lvlJc w:val="left"/>
      <w:pPr>
        <w:ind w:left="5029" w:hanging="360"/>
      </w:pPr>
    </w:lvl>
    <w:lvl w:ilvl="5" w:tplc="0419001B">
      <w:start w:val="1"/>
      <w:numFmt w:val="lowerRoman"/>
      <w:lvlText w:val="%6."/>
      <w:lvlJc w:val="right"/>
      <w:pPr>
        <w:ind w:left="5749" w:hanging="180"/>
      </w:pPr>
    </w:lvl>
    <w:lvl w:ilvl="6" w:tplc="0419000F">
      <w:start w:val="1"/>
      <w:numFmt w:val="decimal"/>
      <w:lvlText w:val="%7."/>
      <w:lvlJc w:val="left"/>
      <w:pPr>
        <w:ind w:left="6469" w:hanging="360"/>
      </w:pPr>
    </w:lvl>
    <w:lvl w:ilvl="7" w:tplc="04190019">
      <w:start w:val="1"/>
      <w:numFmt w:val="lowerLetter"/>
      <w:lvlText w:val="%8."/>
      <w:lvlJc w:val="left"/>
      <w:pPr>
        <w:ind w:left="7189" w:hanging="360"/>
      </w:pPr>
    </w:lvl>
    <w:lvl w:ilvl="8" w:tplc="0419001B">
      <w:start w:val="1"/>
      <w:numFmt w:val="lowerRoman"/>
      <w:lvlText w:val="%9."/>
      <w:lvlJc w:val="right"/>
      <w:pPr>
        <w:ind w:left="7909" w:hanging="180"/>
      </w:pPr>
    </w:lvl>
  </w:abstractNum>
  <w:abstractNum w:abstractNumId="6">
    <w:nsid w:val="09F95323"/>
    <w:multiLevelType w:val="hybridMultilevel"/>
    <w:tmpl w:val="25B038AE"/>
    <w:lvl w:ilvl="0" w:tplc="DB6C5A78">
      <w:start w:val="1"/>
      <w:numFmt w:val="decimal"/>
      <w:lvlText w:val="%1"/>
      <w:lvlJc w:val="left"/>
      <w:pPr>
        <w:ind w:left="1211" w:hanging="360"/>
      </w:pPr>
      <w:rPr>
        <w:rFonts w:ascii="Times New Roman" w:eastAsia="Calibri" w:hAnsi="Times New Roman" w:cs="Times New Roman"/>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7">
    <w:nsid w:val="0C8D372D"/>
    <w:multiLevelType w:val="hybridMultilevel"/>
    <w:tmpl w:val="0C7685C6"/>
    <w:lvl w:ilvl="0" w:tplc="98160E18">
      <w:start w:val="1"/>
      <w:numFmt w:val="bullet"/>
      <w:lvlText w:val=""/>
      <w:lvlJc w:val="left"/>
      <w:pPr>
        <w:ind w:left="833" w:hanging="360"/>
      </w:pPr>
      <w:rPr>
        <w:rFonts w:ascii="Symbol" w:hAnsi="Symbol" w:hint="default"/>
      </w:rPr>
    </w:lvl>
    <w:lvl w:ilvl="1" w:tplc="04190019" w:tentative="1">
      <w:start w:val="1"/>
      <w:numFmt w:val="lowerLetter"/>
      <w:lvlText w:val="%2."/>
      <w:lvlJc w:val="left"/>
      <w:pPr>
        <w:ind w:left="1553" w:hanging="360"/>
      </w:pPr>
    </w:lvl>
    <w:lvl w:ilvl="2" w:tplc="0419001B" w:tentative="1">
      <w:start w:val="1"/>
      <w:numFmt w:val="lowerRoman"/>
      <w:lvlText w:val="%3."/>
      <w:lvlJc w:val="right"/>
      <w:pPr>
        <w:ind w:left="2273" w:hanging="180"/>
      </w:pPr>
    </w:lvl>
    <w:lvl w:ilvl="3" w:tplc="0419000F" w:tentative="1">
      <w:start w:val="1"/>
      <w:numFmt w:val="decimal"/>
      <w:lvlText w:val="%4."/>
      <w:lvlJc w:val="left"/>
      <w:pPr>
        <w:ind w:left="2993" w:hanging="360"/>
      </w:pPr>
    </w:lvl>
    <w:lvl w:ilvl="4" w:tplc="04190019" w:tentative="1">
      <w:start w:val="1"/>
      <w:numFmt w:val="lowerLetter"/>
      <w:lvlText w:val="%5."/>
      <w:lvlJc w:val="left"/>
      <w:pPr>
        <w:ind w:left="3713" w:hanging="360"/>
      </w:pPr>
    </w:lvl>
    <w:lvl w:ilvl="5" w:tplc="0419001B" w:tentative="1">
      <w:start w:val="1"/>
      <w:numFmt w:val="lowerRoman"/>
      <w:lvlText w:val="%6."/>
      <w:lvlJc w:val="right"/>
      <w:pPr>
        <w:ind w:left="4433" w:hanging="180"/>
      </w:pPr>
    </w:lvl>
    <w:lvl w:ilvl="6" w:tplc="0419000F" w:tentative="1">
      <w:start w:val="1"/>
      <w:numFmt w:val="decimal"/>
      <w:lvlText w:val="%7."/>
      <w:lvlJc w:val="left"/>
      <w:pPr>
        <w:ind w:left="5153" w:hanging="360"/>
      </w:pPr>
    </w:lvl>
    <w:lvl w:ilvl="7" w:tplc="04190019" w:tentative="1">
      <w:start w:val="1"/>
      <w:numFmt w:val="lowerLetter"/>
      <w:lvlText w:val="%8."/>
      <w:lvlJc w:val="left"/>
      <w:pPr>
        <w:ind w:left="5873" w:hanging="360"/>
      </w:pPr>
    </w:lvl>
    <w:lvl w:ilvl="8" w:tplc="0419001B" w:tentative="1">
      <w:start w:val="1"/>
      <w:numFmt w:val="lowerRoman"/>
      <w:lvlText w:val="%9."/>
      <w:lvlJc w:val="right"/>
      <w:pPr>
        <w:ind w:left="6593" w:hanging="180"/>
      </w:pPr>
    </w:lvl>
  </w:abstractNum>
  <w:abstractNum w:abstractNumId="8">
    <w:nsid w:val="0E1A3C9E"/>
    <w:multiLevelType w:val="hybridMultilevel"/>
    <w:tmpl w:val="E6DC0B2C"/>
    <w:lvl w:ilvl="0" w:tplc="05421E2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384ADD"/>
    <w:multiLevelType w:val="hybridMultilevel"/>
    <w:tmpl w:val="A8F2B6E0"/>
    <w:lvl w:ilvl="0" w:tplc="2BD0236E">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0">
    <w:nsid w:val="15562962"/>
    <w:multiLevelType w:val="hybridMultilevel"/>
    <w:tmpl w:val="342E1B20"/>
    <w:lvl w:ilvl="0" w:tplc="FAFA0780">
      <w:start w:val="1"/>
      <w:numFmt w:val="decimal"/>
      <w:lvlText w:val="%1"/>
      <w:lvlJc w:val="left"/>
      <w:pPr>
        <w:ind w:left="720" w:hanging="360"/>
      </w:pPr>
      <w:rPr>
        <w:rFonts w:ascii="Times New Roman" w:eastAsia="Calibri" w:hAnsi="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6E16A49"/>
    <w:multiLevelType w:val="hybridMultilevel"/>
    <w:tmpl w:val="0688DF7C"/>
    <w:lvl w:ilvl="0" w:tplc="41F60C62">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89B3840"/>
    <w:multiLevelType w:val="hybridMultilevel"/>
    <w:tmpl w:val="71A2CBCE"/>
    <w:lvl w:ilvl="0" w:tplc="5032ECC6">
      <w:start w:val="1"/>
      <w:numFmt w:val="decimal"/>
      <w:lvlText w:val="%1"/>
      <w:lvlJc w:val="left"/>
      <w:pPr>
        <w:ind w:left="1069" w:hanging="360"/>
      </w:pPr>
      <w:rPr>
        <w:rFonts w:ascii="Times New Roman" w:eastAsiaTheme="minorEastAsia"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9E34EC3"/>
    <w:multiLevelType w:val="hybridMultilevel"/>
    <w:tmpl w:val="AD10AFBE"/>
    <w:lvl w:ilvl="0" w:tplc="3684BEDA">
      <w:start w:val="1"/>
      <w:numFmt w:val="bullet"/>
      <w:suff w:val="space"/>
      <w:lvlText w:val=""/>
      <w:lvlJc w:val="left"/>
      <w:pPr>
        <w:ind w:left="36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A333BF7"/>
    <w:multiLevelType w:val="hybridMultilevel"/>
    <w:tmpl w:val="5838DB74"/>
    <w:lvl w:ilvl="0" w:tplc="1AD84B98">
      <w:start w:val="1"/>
      <w:numFmt w:val="decimal"/>
      <w:lvlText w:val="%1"/>
      <w:lvlJc w:val="left"/>
      <w:pPr>
        <w:ind w:left="107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1A8401F6"/>
    <w:multiLevelType w:val="hybridMultilevel"/>
    <w:tmpl w:val="BCD2589C"/>
    <w:lvl w:ilvl="0" w:tplc="FFEE03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4152A2"/>
    <w:multiLevelType w:val="hybridMultilevel"/>
    <w:tmpl w:val="C88E9824"/>
    <w:lvl w:ilvl="0" w:tplc="32E61170">
      <w:start w:val="1"/>
      <w:numFmt w:val="decimal"/>
      <w:lvlText w:val="%1"/>
      <w:lvlJc w:val="left"/>
      <w:pPr>
        <w:ind w:left="720" w:hanging="360"/>
      </w:pPr>
      <w:rPr>
        <w:rFonts w:ascii="Times New Roman" w:eastAsia="Calibri" w:hAnsi="Times New Roman" w:cs="Times New Roman"/>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1474B69"/>
    <w:multiLevelType w:val="hybridMultilevel"/>
    <w:tmpl w:val="5BC05DCA"/>
    <w:lvl w:ilvl="0" w:tplc="DB90C38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32320A2"/>
    <w:multiLevelType w:val="hybridMultilevel"/>
    <w:tmpl w:val="D2B4D7BA"/>
    <w:lvl w:ilvl="0" w:tplc="ABB4C0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58A5E80"/>
    <w:multiLevelType w:val="hybridMultilevel"/>
    <w:tmpl w:val="9C340D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6455461"/>
    <w:multiLevelType w:val="hybridMultilevel"/>
    <w:tmpl w:val="98B83AA8"/>
    <w:lvl w:ilvl="0" w:tplc="008677CC">
      <w:start w:val="1"/>
      <w:numFmt w:val="bullet"/>
      <w:suff w:val="space"/>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85D4166"/>
    <w:multiLevelType w:val="hybridMultilevel"/>
    <w:tmpl w:val="5734D77C"/>
    <w:lvl w:ilvl="0" w:tplc="04C2017C">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995030C"/>
    <w:multiLevelType w:val="hybridMultilevel"/>
    <w:tmpl w:val="68AABE94"/>
    <w:lvl w:ilvl="0" w:tplc="D1240AFA">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2B453228"/>
    <w:multiLevelType w:val="hybridMultilevel"/>
    <w:tmpl w:val="CDCA7C20"/>
    <w:lvl w:ilvl="0" w:tplc="2BDE6AD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2D2762EC"/>
    <w:multiLevelType w:val="hybridMultilevel"/>
    <w:tmpl w:val="66A2BDEC"/>
    <w:lvl w:ilvl="0" w:tplc="2BDE6AD6">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5">
    <w:nsid w:val="2F4B0D67"/>
    <w:multiLevelType w:val="hybridMultilevel"/>
    <w:tmpl w:val="9B466B44"/>
    <w:lvl w:ilvl="0" w:tplc="479C8A26">
      <w:start w:val="1"/>
      <w:numFmt w:val="bullet"/>
      <w:suff w:val="space"/>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0B96A5C"/>
    <w:multiLevelType w:val="hybridMultilevel"/>
    <w:tmpl w:val="147C4DAE"/>
    <w:lvl w:ilvl="0" w:tplc="0419000F">
      <w:start w:val="1"/>
      <w:numFmt w:val="decimal"/>
      <w:lvlText w:val="%1."/>
      <w:lvlJc w:val="left"/>
      <w:pPr>
        <w:ind w:left="2077" w:hanging="375"/>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33190A06"/>
    <w:multiLevelType w:val="hybridMultilevel"/>
    <w:tmpl w:val="9D540B56"/>
    <w:lvl w:ilvl="0" w:tplc="04190011">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34A43E86"/>
    <w:multiLevelType w:val="hybridMultilevel"/>
    <w:tmpl w:val="6408EDE4"/>
    <w:lvl w:ilvl="0" w:tplc="EECA7276">
      <w:start w:val="1"/>
      <w:numFmt w:val="decimal"/>
      <w:lvlText w:val="%1"/>
      <w:lvlJc w:val="left"/>
      <w:pPr>
        <w:ind w:left="1069" w:hanging="360"/>
      </w:pPr>
      <w:rPr>
        <w:rFonts w:ascii="Times New Roman" w:eastAsia="Calibri" w:hAnsi="Times New Roman" w:cs="Times New Roman"/>
        <w:b w:val="0"/>
        <w:lang w:val="ru-RU"/>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5094D22"/>
    <w:multiLevelType w:val="hybridMultilevel"/>
    <w:tmpl w:val="CF349EC2"/>
    <w:lvl w:ilvl="0" w:tplc="0419000F">
      <w:start w:val="1"/>
      <w:numFmt w:val="decimal"/>
      <w:lvlText w:val="%1."/>
      <w:lvlJc w:val="left"/>
      <w:pPr>
        <w:ind w:left="2149" w:hanging="360"/>
      </w:pPr>
    </w:lvl>
    <w:lvl w:ilvl="1" w:tplc="04190019">
      <w:start w:val="1"/>
      <w:numFmt w:val="lowerLetter"/>
      <w:lvlText w:val="%2."/>
      <w:lvlJc w:val="left"/>
      <w:pPr>
        <w:ind w:left="2869" w:hanging="360"/>
      </w:pPr>
    </w:lvl>
    <w:lvl w:ilvl="2" w:tplc="0419001B">
      <w:start w:val="1"/>
      <w:numFmt w:val="lowerRoman"/>
      <w:lvlText w:val="%3."/>
      <w:lvlJc w:val="right"/>
      <w:pPr>
        <w:ind w:left="3589" w:hanging="180"/>
      </w:pPr>
    </w:lvl>
    <w:lvl w:ilvl="3" w:tplc="0419000F">
      <w:start w:val="1"/>
      <w:numFmt w:val="decimal"/>
      <w:lvlText w:val="%4."/>
      <w:lvlJc w:val="left"/>
      <w:pPr>
        <w:ind w:left="4309" w:hanging="360"/>
      </w:pPr>
    </w:lvl>
    <w:lvl w:ilvl="4" w:tplc="04190019">
      <w:start w:val="1"/>
      <w:numFmt w:val="lowerLetter"/>
      <w:lvlText w:val="%5."/>
      <w:lvlJc w:val="left"/>
      <w:pPr>
        <w:ind w:left="5029" w:hanging="360"/>
      </w:pPr>
    </w:lvl>
    <w:lvl w:ilvl="5" w:tplc="0419001B">
      <w:start w:val="1"/>
      <w:numFmt w:val="lowerRoman"/>
      <w:lvlText w:val="%6."/>
      <w:lvlJc w:val="right"/>
      <w:pPr>
        <w:ind w:left="5749" w:hanging="180"/>
      </w:pPr>
    </w:lvl>
    <w:lvl w:ilvl="6" w:tplc="0419000F">
      <w:start w:val="1"/>
      <w:numFmt w:val="decimal"/>
      <w:lvlText w:val="%7."/>
      <w:lvlJc w:val="left"/>
      <w:pPr>
        <w:ind w:left="6469" w:hanging="360"/>
      </w:pPr>
    </w:lvl>
    <w:lvl w:ilvl="7" w:tplc="04190019">
      <w:start w:val="1"/>
      <w:numFmt w:val="lowerLetter"/>
      <w:lvlText w:val="%8."/>
      <w:lvlJc w:val="left"/>
      <w:pPr>
        <w:ind w:left="7189" w:hanging="360"/>
      </w:pPr>
    </w:lvl>
    <w:lvl w:ilvl="8" w:tplc="0419001B">
      <w:start w:val="1"/>
      <w:numFmt w:val="lowerRoman"/>
      <w:lvlText w:val="%9."/>
      <w:lvlJc w:val="right"/>
      <w:pPr>
        <w:ind w:left="7909" w:hanging="180"/>
      </w:pPr>
    </w:lvl>
  </w:abstractNum>
  <w:abstractNum w:abstractNumId="30">
    <w:nsid w:val="358B4F91"/>
    <w:multiLevelType w:val="hybridMultilevel"/>
    <w:tmpl w:val="7D4A10C0"/>
    <w:lvl w:ilvl="0" w:tplc="7B40A2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695CA6"/>
    <w:multiLevelType w:val="multilevel"/>
    <w:tmpl w:val="44ACEC3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3E66224C"/>
    <w:multiLevelType w:val="hybridMultilevel"/>
    <w:tmpl w:val="0C02233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45477948"/>
    <w:multiLevelType w:val="hybridMultilevel"/>
    <w:tmpl w:val="0DE8CF7C"/>
    <w:lvl w:ilvl="0" w:tplc="6F743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6347AD7"/>
    <w:multiLevelType w:val="hybridMultilevel"/>
    <w:tmpl w:val="B5E0C0B8"/>
    <w:lvl w:ilvl="0" w:tplc="3528BF18">
      <w:start w:val="1"/>
      <w:numFmt w:val="decimal"/>
      <w:lvlText w:val="%1)"/>
      <w:lvlJc w:val="left"/>
      <w:pPr>
        <w:ind w:left="1063" w:hanging="360"/>
      </w:pPr>
    </w:lvl>
    <w:lvl w:ilvl="1" w:tplc="04190019">
      <w:start w:val="1"/>
      <w:numFmt w:val="lowerLetter"/>
      <w:lvlText w:val="%2."/>
      <w:lvlJc w:val="left"/>
      <w:pPr>
        <w:ind w:left="1783" w:hanging="360"/>
      </w:pPr>
    </w:lvl>
    <w:lvl w:ilvl="2" w:tplc="0419001B">
      <w:start w:val="1"/>
      <w:numFmt w:val="lowerRoman"/>
      <w:lvlText w:val="%3."/>
      <w:lvlJc w:val="right"/>
      <w:pPr>
        <w:ind w:left="2503" w:hanging="180"/>
      </w:pPr>
    </w:lvl>
    <w:lvl w:ilvl="3" w:tplc="0419000F">
      <w:start w:val="1"/>
      <w:numFmt w:val="decimal"/>
      <w:lvlText w:val="%4."/>
      <w:lvlJc w:val="left"/>
      <w:pPr>
        <w:ind w:left="3223" w:hanging="360"/>
      </w:pPr>
    </w:lvl>
    <w:lvl w:ilvl="4" w:tplc="04190019">
      <w:start w:val="1"/>
      <w:numFmt w:val="lowerLetter"/>
      <w:lvlText w:val="%5."/>
      <w:lvlJc w:val="left"/>
      <w:pPr>
        <w:ind w:left="3943" w:hanging="360"/>
      </w:pPr>
    </w:lvl>
    <w:lvl w:ilvl="5" w:tplc="0419001B">
      <w:start w:val="1"/>
      <w:numFmt w:val="lowerRoman"/>
      <w:lvlText w:val="%6."/>
      <w:lvlJc w:val="right"/>
      <w:pPr>
        <w:ind w:left="4663" w:hanging="180"/>
      </w:pPr>
    </w:lvl>
    <w:lvl w:ilvl="6" w:tplc="0419000F">
      <w:start w:val="1"/>
      <w:numFmt w:val="decimal"/>
      <w:lvlText w:val="%7."/>
      <w:lvlJc w:val="left"/>
      <w:pPr>
        <w:ind w:left="5383" w:hanging="360"/>
      </w:pPr>
    </w:lvl>
    <w:lvl w:ilvl="7" w:tplc="04190019">
      <w:start w:val="1"/>
      <w:numFmt w:val="lowerLetter"/>
      <w:lvlText w:val="%8."/>
      <w:lvlJc w:val="left"/>
      <w:pPr>
        <w:ind w:left="6103" w:hanging="360"/>
      </w:pPr>
    </w:lvl>
    <w:lvl w:ilvl="8" w:tplc="0419001B">
      <w:start w:val="1"/>
      <w:numFmt w:val="lowerRoman"/>
      <w:lvlText w:val="%9."/>
      <w:lvlJc w:val="right"/>
      <w:pPr>
        <w:ind w:left="6823" w:hanging="180"/>
      </w:pPr>
    </w:lvl>
  </w:abstractNum>
  <w:abstractNum w:abstractNumId="35">
    <w:nsid w:val="46DE6A31"/>
    <w:multiLevelType w:val="hybridMultilevel"/>
    <w:tmpl w:val="64E87B4E"/>
    <w:lvl w:ilvl="0" w:tplc="FA96FE6E">
      <w:start w:val="1"/>
      <w:numFmt w:val="decimal"/>
      <w:lvlText w:val="%1"/>
      <w:lvlJc w:val="left"/>
      <w:pPr>
        <w:tabs>
          <w:tab w:val="num" w:pos="2770"/>
        </w:tabs>
        <w:ind w:left="277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4DBB437D"/>
    <w:multiLevelType w:val="hybridMultilevel"/>
    <w:tmpl w:val="D982D84A"/>
    <w:lvl w:ilvl="0" w:tplc="6B38CAF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514476C9"/>
    <w:multiLevelType w:val="hybridMultilevel"/>
    <w:tmpl w:val="AC04BBD2"/>
    <w:lvl w:ilvl="0" w:tplc="46F2015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52B53C12"/>
    <w:multiLevelType w:val="hybridMultilevel"/>
    <w:tmpl w:val="4E769036"/>
    <w:lvl w:ilvl="0" w:tplc="38A0DF68">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9">
    <w:nsid w:val="53FA56BD"/>
    <w:multiLevelType w:val="hybridMultilevel"/>
    <w:tmpl w:val="A748ECE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598C1750"/>
    <w:multiLevelType w:val="hybridMultilevel"/>
    <w:tmpl w:val="2FFE74DC"/>
    <w:lvl w:ilvl="0" w:tplc="9A4CD37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C21587"/>
    <w:multiLevelType w:val="hybridMultilevel"/>
    <w:tmpl w:val="09A65F5C"/>
    <w:lvl w:ilvl="0" w:tplc="57FA9502">
      <w:start w:val="1"/>
      <w:numFmt w:val="decimal"/>
      <w:lvlText w:val="%1."/>
      <w:lvlJc w:val="left"/>
      <w:pPr>
        <w:ind w:left="1413" w:hanging="705"/>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2">
    <w:nsid w:val="5AD9734A"/>
    <w:multiLevelType w:val="hybridMultilevel"/>
    <w:tmpl w:val="1AB87C1A"/>
    <w:lvl w:ilvl="0" w:tplc="8790076E">
      <w:start w:val="1"/>
      <w:numFmt w:val="decimal"/>
      <w:lvlText w:val="%1)"/>
      <w:lvlJc w:val="left"/>
      <w:pPr>
        <w:ind w:left="1070" w:hanging="360"/>
      </w:pPr>
      <w:rPr>
        <w:rFonts w:ascii="Times New Roman" w:eastAsiaTheme="minorHAnsi"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3">
    <w:nsid w:val="5BFE7C32"/>
    <w:multiLevelType w:val="hybridMultilevel"/>
    <w:tmpl w:val="9814BC8A"/>
    <w:lvl w:ilvl="0" w:tplc="6F743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CB304A2"/>
    <w:multiLevelType w:val="hybridMultilevel"/>
    <w:tmpl w:val="C010B538"/>
    <w:lvl w:ilvl="0" w:tplc="2BDE6AD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5CC42858"/>
    <w:multiLevelType w:val="hybridMultilevel"/>
    <w:tmpl w:val="8840844C"/>
    <w:lvl w:ilvl="0" w:tplc="4E00B2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6">
    <w:nsid w:val="600978F3"/>
    <w:multiLevelType w:val="hybridMultilevel"/>
    <w:tmpl w:val="B658E796"/>
    <w:lvl w:ilvl="0" w:tplc="1214D552">
      <w:start w:val="1"/>
      <w:numFmt w:val="decimal"/>
      <w:lvlText w:val="%1"/>
      <w:lvlJc w:val="left"/>
      <w:pPr>
        <w:ind w:left="3196" w:hanging="360"/>
      </w:pPr>
      <w:rPr>
        <w:rFonts w:ascii="Times New Roman" w:eastAsiaTheme="minorHAnsi" w:hAnsi="Times New Roman" w:cs="Times New Roman"/>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47">
    <w:nsid w:val="62632C33"/>
    <w:multiLevelType w:val="hybridMultilevel"/>
    <w:tmpl w:val="AD82EE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37674C1"/>
    <w:multiLevelType w:val="hybridMultilevel"/>
    <w:tmpl w:val="29561C26"/>
    <w:lvl w:ilvl="0" w:tplc="A190966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64A0340"/>
    <w:multiLevelType w:val="hybridMultilevel"/>
    <w:tmpl w:val="BCB29574"/>
    <w:lvl w:ilvl="0" w:tplc="74127A16">
      <w:start w:val="2"/>
      <w:numFmt w:val="bullet"/>
      <w:lvlText w:val="-"/>
      <w:lvlJc w:val="left"/>
      <w:pPr>
        <w:ind w:left="1429" w:hanging="360"/>
      </w:pPr>
      <w:rPr>
        <w:rFonts w:ascii="Times New Roman" w:eastAsia="Calibri"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0">
    <w:nsid w:val="679F7DE6"/>
    <w:multiLevelType w:val="hybridMultilevel"/>
    <w:tmpl w:val="62FE0BFE"/>
    <w:lvl w:ilvl="0" w:tplc="98160E18">
      <w:start w:val="1"/>
      <w:numFmt w:val="bullet"/>
      <w:lvlText w:val=""/>
      <w:lvlJc w:val="left"/>
      <w:pPr>
        <w:ind w:left="862" w:hanging="360"/>
      </w:pPr>
      <w:rPr>
        <w:rFonts w:ascii="Symbol" w:hAnsi="Symbol"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51">
    <w:nsid w:val="685F541D"/>
    <w:multiLevelType w:val="hybridMultilevel"/>
    <w:tmpl w:val="ACB4127A"/>
    <w:lvl w:ilvl="0" w:tplc="03A2DF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699962AE"/>
    <w:multiLevelType w:val="hybridMultilevel"/>
    <w:tmpl w:val="84F085C0"/>
    <w:lvl w:ilvl="0" w:tplc="8C948B54">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53">
    <w:nsid w:val="6E7C59B9"/>
    <w:multiLevelType w:val="hybridMultilevel"/>
    <w:tmpl w:val="ABA693A8"/>
    <w:lvl w:ilvl="0" w:tplc="2BDE6AD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4">
    <w:nsid w:val="6ED53542"/>
    <w:multiLevelType w:val="hybridMultilevel"/>
    <w:tmpl w:val="D34EF3A2"/>
    <w:lvl w:ilvl="0" w:tplc="EA28B846">
      <w:start w:val="1"/>
      <w:numFmt w:val="decimal"/>
      <w:suff w:val="space"/>
      <w:lvlText w:val="%1"/>
      <w:lvlJc w:val="left"/>
      <w:pPr>
        <w:ind w:left="1211"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F68392D"/>
    <w:multiLevelType w:val="hybridMultilevel"/>
    <w:tmpl w:val="CD527DF4"/>
    <w:lvl w:ilvl="0" w:tplc="24A0760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19A0101"/>
    <w:multiLevelType w:val="hybridMultilevel"/>
    <w:tmpl w:val="7B085CF2"/>
    <w:lvl w:ilvl="0" w:tplc="D5F49A6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7">
    <w:nsid w:val="731E1591"/>
    <w:multiLevelType w:val="hybridMultilevel"/>
    <w:tmpl w:val="9C38B75A"/>
    <w:lvl w:ilvl="0" w:tplc="A9106AD2">
      <w:start w:val="1"/>
      <w:numFmt w:val="decimal"/>
      <w:lvlText w:val="%1)"/>
      <w:lvlJc w:val="left"/>
      <w:pPr>
        <w:ind w:left="1068" w:hanging="360"/>
      </w:pPr>
      <w:rPr>
        <w:rFonts w:ascii="Times New Roman" w:eastAsia="Calibri"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8">
    <w:nsid w:val="75E1012C"/>
    <w:multiLevelType w:val="hybridMultilevel"/>
    <w:tmpl w:val="5A168FB8"/>
    <w:lvl w:ilvl="0" w:tplc="D5F49A6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59">
    <w:nsid w:val="761E24F8"/>
    <w:multiLevelType w:val="hybridMultilevel"/>
    <w:tmpl w:val="ED3E082A"/>
    <w:lvl w:ilvl="0" w:tplc="CC6A85A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7666E5"/>
    <w:multiLevelType w:val="hybridMultilevel"/>
    <w:tmpl w:val="A49C994C"/>
    <w:lvl w:ilvl="0" w:tplc="5CEEAFB4">
      <w:start w:val="1"/>
      <w:numFmt w:val="decimal"/>
      <w:lvlText w:val="%1"/>
      <w:lvlJc w:val="left"/>
      <w:pPr>
        <w:ind w:left="1429" w:hanging="360"/>
      </w:pPr>
      <w:rPr>
        <w:rFonts w:ascii="Times New Roman" w:eastAsia="Calibri"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7ED76269"/>
    <w:multiLevelType w:val="hybridMultilevel"/>
    <w:tmpl w:val="56F2E9F4"/>
    <w:lvl w:ilvl="0" w:tplc="1400CB1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0"/>
  </w:num>
  <w:num w:numId="3">
    <w:abstractNumId w:val="30"/>
  </w:num>
  <w:num w:numId="4">
    <w:abstractNumId w:val="47"/>
  </w:num>
  <w:num w:numId="5">
    <w:abstractNumId w:val="18"/>
  </w:num>
  <w:num w:numId="6">
    <w:abstractNumId w:val="27"/>
  </w:num>
  <w:num w:numId="7">
    <w:abstractNumId w:val="38"/>
  </w:num>
  <w:num w:numId="8">
    <w:abstractNumId w:val="42"/>
  </w:num>
  <w:num w:numId="9">
    <w:abstractNumId w:val="60"/>
  </w:num>
  <w:num w:numId="10">
    <w:abstractNumId w:val="17"/>
  </w:num>
  <w:num w:numId="11">
    <w:abstractNumId w:val="6"/>
  </w:num>
  <w:num w:numId="12">
    <w:abstractNumId w:val="55"/>
  </w:num>
  <w:num w:numId="13">
    <w:abstractNumId w:val="50"/>
  </w:num>
  <w:num w:numId="14">
    <w:abstractNumId w:val="7"/>
  </w:num>
  <w:num w:numId="15">
    <w:abstractNumId w:val="15"/>
  </w:num>
  <w:num w:numId="16">
    <w:abstractNumId w:val="16"/>
  </w:num>
  <w:num w:numId="17">
    <w:abstractNumId w:val="48"/>
  </w:num>
  <w:num w:numId="18">
    <w:abstractNumId w:val="11"/>
  </w:num>
  <w:num w:numId="19">
    <w:abstractNumId w:val="22"/>
  </w:num>
  <w:num w:numId="20">
    <w:abstractNumId w:val="8"/>
  </w:num>
  <w:num w:numId="21">
    <w:abstractNumId w:val="2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61"/>
  </w:num>
  <w:num w:numId="26">
    <w:abstractNumId w:val="33"/>
  </w:num>
  <w:num w:numId="27">
    <w:abstractNumId w:val="31"/>
  </w:num>
  <w:num w:numId="28">
    <w:abstractNumId w:val="1"/>
  </w:num>
  <w:num w:numId="29">
    <w:abstractNumId w:val="20"/>
  </w:num>
  <w:num w:numId="30">
    <w:abstractNumId w:val="13"/>
  </w:num>
  <w:num w:numId="31">
    <w:abstractNumId w:val="25"/>
  </w:num>
  <w:num w:numId="32">
    <w:abstractNumId w:val="54"/>
  </w:num>
  <w:num w:numId="33">
    <w:abstractNumId w:val="46"/>
  </w:num>
  <w:num w:numId="34">
    <w:abstractNumId w:val="39"/>
  </w:num>
  <w:num w:numId="35">
    <w:abstractNumId w:val="35"/>
  </w:num>
  <w:num w:numId="36">
    <w:abstractNumId w:val="12"/>
  </w:num>
  <w:num w:numId="37">
    <w:abstractNumId w:val="4"/>
  </w:num>
  <w:num w:numId="38">
    <w:abstractNumId w:val="51"/>
  </w:num>
  <w:num w:numId="39">
    <w:abstractNumId w:val="0"/>
    <w:lvlOverride w:ilvl="0">
      <w:lvl w:ilvl="0">
        <w:numFmt w:val="bullet"/>
        <w:lvlText w:val="—"/>
        <w:legacy w:legacy="1" w:legacySpace="0" w:legacyIndent="201"/>
        <w:lvlJc w:val="left"/>
        <w:rPr>
          <w:rFonts w:ascii="Times New Roman" w:hAnsi="Times New Roman" w:hint="default"/>
        </w:rPr>
      </w:lvl>
    </w:lvlOverride>
  </w:num>
  <w:num w:numId="40">
    <w:abstractNumId w:val="0"/>
    <w:lvlOverride w:ilvl="0">
      <w:lvl w:ilvl="0">
        <w:numFmt w:val="bullet"/>
        <w:lvlText w:val="—"/>
        <w:legacy w:legacy="1" w:legacySpace="0" w:legacyIndent="211"/>
        <w:lvlJc w:val="left"/>
        <w:rPr>
          <w:rFonts w:ascii="Times New Roman" w:hAnsi="Times New Roman" w:hint="default"/>
        </w:rPr>
      </w:lvl>
    </w:lvlOverride>
  </w:num>
  <w:num w:numId="41">
    <w:abstractNumId w:val="0"/>
    <w:lvlOverride w:ilvl="0">
      <w:lvl w:ilvl="0">
        <w:numFmt w:val="bullet"/>
        <w:lvlText w:val="—"/>
        <w:legacy w:legacy="1" w:legacySpace="0" w:legacyIndent="216"/>
        <w:lvlJc w:val="left"/>
        <w:rPr>
          <w:rFonts w:ascii="Times New Roman" w:hAnsi="Times New Roman" w:hint="default"/>
        </w:rPr>
      </w:lvl>
    </w:lvlOverride>
  </w:num>
  <w:num w:numId="42">
    <w:abstractNumId w:val="57"/>
  </w:num>
  <w:num w:numId="43">
    <w:abstractNumId w:val="45"/>
  </w:num>
  <w:num w:numId="44">
    <w:abstractNumId w:val="59"/>
  </w:num>
  <w:num w:numId="45">
    <w:abstractNumId w:val="19"/>
  </w:num>
  <w:num w:numId="46">
    <w:abstractNumId w:val="28"/>
  </w:num>
  <w:num w:numId="47">
    <w:abstractNumId w:val="49"/>
    <w:lvlOverride w:ilvl="0"/>
    <w:lvlOverride w:ilvl="1"/>
    <w:lvlOverride w:ilvl="2"/>
    <w:lvlOverride w:ilvl="3"/>
    <w:lvlOverride w:ilvl="4"/>
    <w:lvlOverride w:ilvl="5"/>
    <w:lvlOverride w:ilvl="6"/>
    <w:lvlOverride w:ilvl="7"/>
    <w:lvlOverride w:ilvl="8"/>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lvlOverride w:ilvl="0"/>
    <w:lvlOverride w:ilvl="1"/>
    <w:lvlOverride w:ilvl="2"/>
    <w:lvlOverride w:ilvl="3"/>
    <w:lvlOverride w:ilvl="4"/>
    <w:lvlOverride w:ilvl="5"/>
    <w:lvlOverride w:ilvl="6"/>
    <w:lvlOverride w:ilvl="7"/>
    <w:lvlOverride w:ilvl="8"/>
  </w:num>
  <w:num w:numId="55">
    <w:abstractNumId w:val="2"/>
    <w:lvlOverride w:ilvl="0"/>
    <w:lvlOverride w:ilvl="1"/>
    <w:lvlOverride w:ilvl="2"/>
    <w:lvlOverride w:ilvl="3"/>
    <w:lvlOverride w:ilvl="4"/>
    <w:lvlOverride w:ilvl="5"/>
    <w:lvlOverride w:ilvl="6"/>
    <w:lvlOverride w:ilvl="7"/>
    <w:lvlOverride w:ilvl="8"/>
  </w:num>
  <w:num w:numId="56">
    <w:abstractNumId w:val="3"/>
    <w:lvlOverride w:ilvl="0"/>
    <w:lvlOverride w:ilvl="1"/>
    <w:lvlOverride w:ilvl="2"/>
    <w:lvlOverride w:ilvl="3"/>
    <w:lvlOverride w:ilvl="4"/>
    <w:lvlOverride w:ilvl="5"/>
    <w:lvlOverride w:ilvl="6"/>
    <w:lvlOverride w:ilvl="7"/>
    <w:lvlOverride w:ilvl="8"/>
  </w:num>
  <w:num w:numId="5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4"/>
    <w:lvlOverride w:ilvl="0"/>
    <w:lvlOverride w:ilvl="1"/>
    <w:lvlOverride w:ilvl="2"/>
    <w:lvlOverride w:ilvl="3"/>
    <w:lvlOverride w:ilvl="4"/>
    <w:lvlOverride w:ilvl="5"/>
    <w:lvlOverride w:ilvl="6"/>
    <w:lvlOverride w:ilvl="7"/>
    <w:lvlOverride w:ilvl="8"/>
  </w:num>
  <w:num w:numId="59">
    <w:abstractNumId w:val="56"/>
    <w:lvlOverride w:ilvl="0"/>
    <w:lvlOverride w:ilvl="1"/>
    <w:lvlOverride w:ilvl="2"/>
    <w:lvlOverride w:ilvl="3"/>
    <w:lvlOverride w:ilvl="4"/>
    <w:lvlOverride w:ilvl="5"/>
    <w:lvlOverride w:ilvl="6"/>
    <w:lvlOverride w:ilvl="7"/>
    <w:lvlOverride w:ilvl="8"/>
  </w:num>
  <w:num w:numId="60">
    <w:abstractNumId w:val="58"/>
    <w:lvlOverride w:ilvl="0"/>
    <w:lvlOverride w:ilvl="1"/>
    <w:lvlOverride w:ilvl="2"/>
    <w:lvlOverride w:ilvl="3"/>
    <w:lvlOverride w:ilvl="4"/>
    <w:lvlOverride w:ilvl="5"/>
    <w:lvlOverride w:ilvl="6"/>
    <w:lvlOverride w:ilvl="7"/>
    <w:lvlOverride w:ilvl="8"/>
  </w:num>
  <w:num w:numId="61">
    <w:abstractNumId w:val="44"/>
    <w:lvlOverride w:ilvl="0"/>
    <w:lvlOverride w:ilvl="1"/>
    <w:lvlOverride w:ilvl="2"/>
    <w:lvlOverride w:ilvl="3"/>
    <w:lvlOverride w:ilvl="4"/>
    <w:lvlOverride w:ilvl="5"/>
    <w:lvlOverride w:ilvl="6"/>
    <w:lvlOverride w:ilvl="7"/>
    <w:lvlOverride w:ilvl="8"/>
  </w:num>
  <w:num w:numId="6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3"/>
    <w:lvlOverride w:ilvl="0"/>
    <w:lvlOverride w:ilvl="1"/>
    <w:lvlOverride w:ilvl="2"/>
    <w:lvlOverride w:ilvl="3"/>
    <w:lvlOverride w:ilvl="4"/>
    <w:lvlOverride w:ilvl="5"/>
    <w:lvlOverride w:ilvl="6"/>
    <w:lvlOverride w:ilvl="7"/>
    <w:lvlOverride w:ilvl="8"/>
  </w:num>
  <w:num w:numId="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E179A"/>
    <w:rsid w:val="0000108B"/>
    <w:rsid w:val="00005162"/>
    <w:rsid w:val="000051E5"/>
    <w:rsid w:val="0001330C"/>
    <w:rsid w:val="00023B5A"/>
    <w:rsid w:val="00023FBA"/>
    <w:rsid w:val="00036D48"/>
    <w:rsid w:val="0004122A"/>
    <w:rsid w:val="00041B86"/>
    <w:rsid w:val="00043165"/>
    <w:rsid w:val="000526D3"/>
    <w:rsid w:val="000659EA"/>
    <w:rsid w:val="00066CAE"/>
    <w:rsid w:val="0007565B"/>
    <w:rsid w:val="00084C7B"/>
    <w:rsid w:val="000B5F29"/>
    <w:rsid w:val="000C05CA"/>
    <w:rsid w:val="000D6666"/>
    <w:rsid w:val="000E6564"/>
    <w:rsid w:val="000F724F"/>
    <w:rsid w:val="00104594"/>
    <w:rsid w:val="00104E6F"/>
    <w:rsid w:val="001141D3"/>
    <w:rsid w:val="0013208D"/>
    <w:rsid w:val="0013662C"/>
    <w:rsid w:val="00160B4B"/>
    <w:rsid w:val="00166D3A"/>
    <w:rsid w:val="001755D4"/>
    <w:rsid w:val="00184722"/>
    <w:rsid w:val="00186214"/>
    <w:rsid w:val="00187B00"/>
    <w:rsid w:val="00190E82"/>
    <w:rsid w:val="00193CCD"/>
    <w:rsid w:val="00194BFA"/>
    <w:rsid w:val="001A227A"/>
    <w:rsid w:val="001A2BBC"/>
    <w:rsid w:val="001A4A3F"/>
    <w:rsid w:val="001B084E"/>
    <w:rsid w:val="001B147F"/>
    <w:rsid w:val="001B32CD"/>
    <w:rsid w:val="001B44CC"/>
    <w:rsid w:val="001C40FD"/>
    <w:rsid w:val="001D0ABF"/>
    <w:rsid w:val="001D1823"/>
    <w:rsid w:val="001F2239"/>
    <w:rsid w:val="00217BE0"/>
    <w:rsid w:val="00222604"/>
    <w:rsid w:val="00223E99"/>
    <w:rsid w:val="00232429"/>
    <w:rsid w:val="00240315"/>
    <w:rsid w:val="00243511"/>
    <w:rsid w:val="00250748"/>
    <w:rsid w:val="00255203"/>
    <w:rsid w:val="00256E28"/>
    <w:rsid w:val="00260940"/>
    <w:rsid w:val="0026328A"/>
    <w:rsid w:val="002639A6"/>
    <w:rsid w:val="00264BEE"/>
    <w:rsid w:val="002678A4"/>
    <w:rsid w:val="00274173"/>
    <w:rsid w:val="00281ADF"/>
    <w:rsid w:val="0028423C"/>
    <w:rsid w:val="002A0995"/>
    <w:rsid w:val="002C4005"/>
    <w:rsid w:val="002D1DC5"/>
    <w:rsid w:val="00307456"/>
    <w:rsid w:val="0031504C"/>
    <w:rsid w:val="003256EE"/>
    <w:rsid w:val="00337B1E"/>
    <w:rsid w:val="003417F4"/>
    <w:rsid w:val="00350609"/>
    <w:rsid w:val="0035612D"/>
    <w:rsid w:val="003779D2"/>
    <w:rsid w:val="003801A5"/>
    <w:rsid w:val="00387BFD"/>
    <w:rsid w:val="003A166F"/>
    <w:rsid w:val="003A7180"/>
    <w:rsid w:val="003D1A6E"/>
    <w:rsid w:val="003E3809"/>
    <w:rsid w:val="00414636"/>
    <w:rsid w:val="00415E8B"/>
    <w:rsid w:val="0043319E"/>
    <w:rsid w:val="0045405F"/>
    <w:rsid w:val="00455B75"/>
    <w:rsid w:val="00467B95"/>
    <w:rsid w:val="00475455"/>
    <w:rsid w:val="004826D6"/>
    <w:rsid w:val="004827C7"/>
    <w:rsid w:val="00484F09"/>
    <w:rsid w:val="0049216E"/>
    <w:rsid w:val="004A22C1"/>
    <w:rsid w:val="004A656A"/>
    <w:rsid w:val="004C5C86"/>
    <w:rsid w:val="0050337A"/>
    <w:rsid w:val="00524501"/>
    <w:rsid w:val="005441D1"/>
    <w:rsid w:val="00547DA7"/>
    <w:rsid w:val="0055349D"/>
    <w:rsid w:val="00553C60"/>
    <w:rsid w:val="005542CD"/>
    <w:rsid w:val="005612A1"/>
    <w:rsid w:val="00571223"/>
    <w:rsid w:val="0057414A"/>
    <w:rsid w:val="00577911"/>
    <w:rsid w:val="00595BBA"/>
    <w:rsid w:val="005A19CB"/>
    <w:rsid w:val="005A3DF4"/>
    <w:rsid w:val="005B145E"/>
    <w:rsid w:val="005C5813"/>
    <w:rsid w:val="005D09E8"/>
    <w:rsid w:val="005D6500"/>
    <w:rsid w:val="005E66F8"/>
    <w:rsid w:val="005F0567"/>
    <w:rsid w:val="005F7CF9"/>
    <w:rsid w:val="0062058C"/>
    <w:rsid w:val="006279CC"/>
    <w:rsid w:val="00653BCC"/>
    <w:rsid w:val="00661468"/>
    <w:rsid w:val="00666A5C"/>
    <w:rsid w:val="006C0E91"/>
    <w:rsid w:val="006D1487"/>
    <w:rsid w:val="006D2A8E"/>
    <w:rsid w:val="00706121"/>
    <w:rsid w:val="00706580"/>
    <w:rsid w:val="007249F4"/>
    <w:rsid w:val="00725F1C"/>
    <w:rsid w:val="00764C21"/>
    <w:rsid w:val="00776834"/>
    <w:rsid w:val="00781814"/>
    <w:rsid w:val="0078211C"/>
    <w:rsid w:val="0079505D"/>
    <w:rsid w:val="00796736"/>
    <w:rsid w:val="007A6EC0"/>
    <w:rsid w:val="007B5033"/>
    <w:rsid w:val="007C364C"/>
    <w:rsid w:val="007C6CC9"/>
    <w:rsid w:val="007D3725"/>
    <w:rsid w:val="007E3AEB"/>
    <w:rsid w:val="007F4EC1"/>
    <w:rsid w:val="00807358"/>
    <w:rsid w:val="0081044D"/>
    <w:rsid w:val="0081283A"/>
    <w:rsid w:val="00812FD6"/>
    <w:rsid w:val="00844289"/>
    <w:rsid w:val="00856C5E"/>
    <w:rsid w:val="00872B9A"/>
    <w:rsid w:val="00881865"/>
    <w:rsid w:val="00891CAD"/>
    <w:rsid w:val="008B668A"/>
    <w:rsid w:val="008C3120"/>
    <w:rsid w:val="008D2F3B"/>
    <w:rsid w:val="008D7AA1"/>
    <w:rsid w:val="0090430B"/>
    <w:rsid w:val="00916A2F"/>
    <w:rsid w:val="0093581F"/>
    <w:rsid w:val="00935DF5"/>
    <w:rsid w:val="00945E5D"/>
    <w:rsid w:val="009469D0"/>
    <w:rsid w:val="009537A7"/>
    <w:rsid w:val="00956A47"/>
    <w:rsid w:val="00961993"/>
    <w:rsid w:val="00961CFB"/>
    <w:rsid w:val="0096376C"/>
    <w:rsid w:val="00971462"/>
    <w:rsid w:val="00986D1A"/>
    <w:rsid w:val="00986D95"/>
    <w:rsid w:val="00997E1C"/>
    <w:rsid w:val="009A1B7E"/>
    <w:rsid w:val="009B2968"/>
    <w:rsid w:val="009B42EF"/>
    <w:rsid w:val="009B66C0"/>
    <w:rsid w:val="009B7588"/>
    <w:rsid w:val="009E5C32"/>
    <w:rsid w:val="009F1ACD"/>
    <w:rsid w:val="00A05119"/>
    <w:rsid w:val="00A249A6"/>
    <w:rsid w:val="00A31929"/>
    <w:rsid w:val="00A34117"/>
    <w:rsid w:val="00A414C9"/>
    <w:rsid w:val="00A43A0A"/>
    <w:rsid w:val="00A44907"/>
    <w:rsid w:val="00A4507C"/>
    <w:rsid w:val="00A648A5"/>
    <w:rsid w:val="00A75F9F"/>
    <w:rsid w:val="00A82E90"/>
    <w:rsid w:val="00A90846"/>
    <w:rsid w:val="00A974DC"/>
    <w:rsid w:val="00AA1DBC"/>
    <w:rsid w:val="00AB1BB2"/>
    <w:rsid w:val="00AD7E64"/>
    <w:rsid w:val="00AE76D6"/>
    <w:rsid w:val="00B030AA"/>
    <w:rsid w:val="00B256AA"/>
    <w:rsid w:val="00B56FC7"/>
    <w:rsid w:val="00B75021"/>
    <w:rsid w:val="00B7745A"/>
    <w:rsid w:val="00B83E8D"/>
    <w:rsid w:val="00BA78F1"/>
    <w:rsid w:val="00BB233B"/>
    <w:rsid w:val="00BD279C"/>
    <w:rsid w:val="00BE0ACE"/>
    <w:rsid w:val="00BE23A6"/>
    <w:rsid w:val="00BE3F2C"/>
    <w:rsid w:val="00BE7B00"/>
    <w:rsid w:val="00BF36AB"/>
    <w:rsid w:val="00C06311"/>
    <w:rsid w:val="00C1185C"/>
    <w:rsid w:val="00C302E8"/>
    <w:rsid w:val="00C40344"/>
    <w:rsid w:val="00C4426D"/>
    <w:rsid w:val="00C836FF"/>
    <w:rsid w:val="00CA01FF"/>
    <w:rsid w:val="00CA2F7C"/>
    <w:rsid w:val="00CC181D"/>
    <w:rsid w:val="00CD26FF"/>
    <w:rsid w:val="00CD437A"/>
    <w:rsid w:val="00CE3E72"/>
    <w:rsid w:val="00CF6091"/>
    <w:rsid w:val="00D02D4C"/>
    <w:rsid w:val="00D10CBA"/>
    <w:rsid w:val="00D1277B"/>
    <w:rsid w:val="00D12DB3"/>
    <w:rsid w:val="00D1345B"/>
    <w:rsid w:val="00D14A9F"/>
    <w:rsid w:val="00D21C96"/>
    <w:rsid w:val="00D36F99"/>
    <w:rsid w:val="00D51E10"/>
    <w:rsid w:val="00D601A8"/>
    <w:rsid w:val="00D7493E"/>
    <w:rsid w:val="00D84790"/>
    <w:rsid w:val="00D85BAB"/>
    <w:rsid w:val="00D9795C"/>
    <w:rsid w:val="00DA4C0E"/>
    <w:rsid w:val="00DA6A8D"/>
    <w:rsid w:val="00DB1198"/>
    <w:rsid w:val="00DC1208"/>
    <w:rsid w:val="00DC1BD3"/>
    <w:rsid w:val="00DC1F7E"/>
    <w:rsid w:val="00DC5630"/>
    <w:rsid w:val="00DE0B8D"/>
    <w:rsid w:val="00DE25A4"/>
    <w:rsid w:val="00DE49DB"/>
    <w:rsid w:val="00DE4CDE"/>
    <w:rsid w:val="00DE653E"/>
    <w:rsid w:val="00E00FDF"/>
    <w:rsid w:val="00E015A5"/>
    <w:rsid w:val="00E03CA0"/>
    <w:rsid w:val="00E03D39"/>
    <w:rsid w:val="00E108DB"/>
    <w:rsid w:val="00E261D5"/>
    <w:rsid w:val="00E361B5"/>
    <w:rsid w:val="00E36685"/>
    <w:rsid w:val="00E471F6"/>
    <w:rsid w:val="00E56B5C"/>
    <w:rsid w:val="00E66D87"/>
    <w:rsid w:val="00E7651B"/>
    <w:rsid w:val="00E94124"/>
    <w:rsid w:val="00E9428A"/>
    <w:rsid w:val="00E96C72"/>
    <w:rsid w:val="00EB191B"/>
    <w:rsid w:val="00EB5ED7"/>
    <w:rsid w:val="00ED30D0"/>
    <w:rsid w:val="00EE179A"/>
    <w:rsid w:val="00EE40A6"/>
    <w:rsid w:val="00EE63FF"/>
    <w:rsid w:val="00F1532C"/>
    <w:rsid w:val="00F15988"/>
    <w:rsid w:val="00F34A4F"/>
    <w:rsid w:val="00F4386A"/>
    <w:rsid w:val="00F5557C"/>
    <w:rsid w:val="00F723DF"/>
    <w:rsid w:val="00F732A2"/>
    <w:rsid w:val="00F75C38"/>
    <w:rsid w:val="00F8234A"/>
    <w:rsid w:val="00F91B34"/>
    <w:rsid w:val="00FA124F"/>
    <w:rsid w:val="00FB0D86"/>
    <w:rsid w:val="00FB2F3D"/>
    <w:rsid w:val="00FB7911"/>
    <w:rsid w:val="00FE2F8C"/>
    <w:rsid w:val="00FF50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rules v:ext="edit">
        <o:r id="V:Rule1" type="connector" idref="#Прямая со стрелкой 122"/>
        <o:r id="V:Rule2" type="connector" idref="#Прямая со стрелкой 124"/>
        <o:r id="V:Rule3" type="connector" idref="#Прямая со стрелкой 125"/>
        <o:r id="V:Rule4" type="connector" idref="#Прямая со стрелкой 128"/>
        <o:r id="V:Rule5" type="connector" idref="#Прямая со стрелкой 130"/>
        <o:r id="V:Rule6" type="connector" idref="#Прямая со стрелкой 133"/>
        <o:r id="V:Rule7" type="connector" idref="#Прямая со стрелкой 136"/>
        <o:r id="V:Rule8" type="connector" idref="#Прямая со стрелкой 139"/>
        <o:r id="V:Rule9" type="connector" idref="#Прямая со стрелкой 140"/>
        <o:r id="V:Rule10" type="connector" idref="#Прямая со стрелкой 143"/>
        <o:r id="V:Rule11" type="connector" idref="#Прямая со стрелкой 146"/>
        <o:r id="V:Rule12" type="connector" idref="#Прямая со стрелкой 149"/>
        <o:r id="V:Rule13" type="connector" idref="#Прямая со стрелкой 151"/>
        <o:r id="V:Rule14" type="connector" idref="#Прямая со стрелкой 153"/>
        <o:r id="V:Rule15" type="connector" idref="#Прямая соединительная линия 135"/>
        <o:r id="V:Rule16" type="connector" idref="#Прямая соединительная линия 147"/>
        <o:r id="V:Rule17" type="connector" idref="#Прямая со стрелкой 160"/>
        <o:r id="V:Rule18" type="connector" idref="#Прямая со стрелкой 162"/>
        <o:r id="V:Rule19" type="connector" idref="#Прямая со стрелкой 164"/>
        <o:r id="V:Rule20" type="connector" idref="#Прямая со стрелкой 165"/>
        <o:r id="V:Rule21" type="connector" idref="#Прямая со стрелкой 166"/>
        <o:r id="V:Rule22" type="connector" idref="#Прямая со стрелкой 168"/>
        <o:r id="V:Rule23" type="connector" idref="#Прямая со стрелкой 169"/>
        <o:r id="V:Rule24" type="connector" idref="#Прямая со стрелкой 171"/>
        <o:r id="V:Rule25" type="connector" idref="#Прямая соединительная линия 159"/>
        <o:r id="V:Rule26" type="connector" idref="#Прямая соединительная линия 161"/>
        <o:r id="V:Rule27" type="connector" idref="#Прямая соединительная линия 163"/>
        <o:r id="V:Rule28" type="connector" idref="#Прямая соединительная линия 167"/>
        <o:r id="V:Rule29" type="connector" idref="#Прямая соединительная линия 170"/>
        <o:r id="V:Rule30" type="connector" idref="#Прямая со стрелкой 190"/>
        <o:r id="V:Rule31" type="connector" idref="#Прямая со стрелкой 192"/>
        <o:r id="V:Rule32" type="connector" idref="#Прямая со стрелкой 193"/>
        <o:r id="V:Rule33" type="connector" idref="#Прямая со стрелкой 194"/>
        <o:r id="V:Rule34" type="connector" idref="#Прямая со стрелкой 195"/>
        <o:r id="V:Rule35" type="connector" idref="#Прямая со стрелкой 196"/>
        <o:r id="V:Rule36" type="connector" idref="#Прямая со стрелкой 197"/>
        <o:r id="V:Rule37" type="connector" idref="#Прямая со стрелкой 198"/>
        <o:r id="V:Rule38" type="connector" idref="#Прямая со стрелкой 200"/>
        <o:r id="V:Rule39" type="connector" idref="#Прямая со стрелкой 201"/>
        <o:r id="V:Rule40" type="connector" idref="#Прямая со стрелкой 202"/>
        <o:r id="V:Rule41" type="connector" idref="#Прямая со стрелкой 203"/>
        <o:r id="V:Rule42" type="connector" idref="#Прямая со стрелкой 204"/>
        <o:r id="V:Rule43" type="connector" idref="#Прямая соединительная линия 191"/>
        <o:r id="V:Rule44" type="connector" idref="#Прямая соединительная линия 199"/>
        <o:r id="V:Rule45" type="connector" idref="#Прямая соединительная линия 205"/>
        <o:r id="V:Rule46" type="connector" idref="#Прямая соединительная линия 206"/>
        <o:r id="V:Rule47" type="connector" idref="#Прямая со стрелкой 214"/>
        <o:r id="V:Rule48" type="connector" idref="#Прямая со стрелкой 216"/>
        <o:r id="V:Rule49" type="connector" idref="#Прямая соединительная линия 213"/>
        <o:r id="V:Rule50" type="connector" idref="#Прямая соединительная линия 215"/>
        <o:r id="V:Rule51" type="connector" idref="#Прямая соединительная линия 217"/>
        <o:r id="V:Rule52" type="connector" idref="#Прямая соединительная линия 21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79A"/>
    <w:pPr>
      <w:spacing w:after="160" w:line="259" w:lineRule="auto"/>
    </w:pPr>
    <w:rPr>
      <w:rFonts w:ascii="Calibri" w:eastAsia="Calibri" w:hAnsi="Calibri" w:cs="Times New Roman"/>
    </w:rPr>
  </w:style>
  <w:style w:type="paragraph" w:styleId="1">
    <w:name w:val="heading 1"/>
    <w:basedOn w:val="a"/>
    <w:next w:val="a"/>
    <w:link w:val="10"/>
    <w:uiPriority w:val="9"/>
    <w:qFormat/>
    <w:rsid w:val="00A75F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B75021"/>
    <w:pPr>
      <w:keepNext/>
      <w:spacing w:before="240" w:after="60" w:line="276" w:lineRule="auto"/>
      <w:outlineLvl w:val="1"/>
    </w:pPr>
    <w:rPr>
      <w:rFonts w:ascii="Arial" w:eastAsia="Times New Roman" w:hAnsi="Arial" w:cs="Arial"/>
      <w:b/>
      <w:bCs/>
      <w:i/>
      <w:iCs/>
      <w:sz w:val="28"/>
      <w:szCs w:val="28"/>
    </w:rPr>
  </w:style>
  <w:style w:type="paragraph" w:styleId="4">
    <w:name w:val="heading 4"/>
    <w:basedOn w:val="a"/>
    <w:next w:val="a"/>
    <w:link w:val="40"/>
    <w:qFormat/>
    <w:rsid w:val="00A75F9F"/>
    <w:pPr>
      <w:keepNext/>
      <w:spacing w:before="240" w:after="60" w:line="240" w:lineRule="auto"/>
      <w:ind w:firstLine="397"/>
      <w:jc w:val="both"/>
      <w:outlineLvl w:val="3"/>
    </w:pPr>
    <w:rPr>
      <w:rFonts w:ascii="Times New Roman" w:eastAsia="Times New Roman" w:hAnsi="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179A"/>
    <w:pPr>
      <w:tabs>
        <w:tab w:val="center" w:pos="4677"/>
        <w:tab w:val="right" w:pos="9355"/>
      </w:tabs>
      <w:spacing w:after="0" w:line="240" w:lineRule="auto"/>
    </w:pPr>
    <w:rPr>
      <w:sz w:val="20"/>
      <w:szCs w:val="20"/>
    </w:rPr>
  </w:style>
  <w:style w:type="character" w:customStyle="1" w:styleId="a4">
    <w:name w:val="Верхний колонтитул Знак"/>
    <w:basedOn w:val="a0"/>
    <w:link w:val="a3"/>
    <w:uiPriority w:val="99"/>
    <w:rsid w:val="00EE179A"/>
    <w:rPr>
      <w:rFonts w:ascii="Calibri" w:eastAsia="Calibri" w:hAnsi="Calibri" w:cs="Times New Roman"/>
      <w:sz w:val="20"/>
      <w:szCs w:val="20"/>
    </w:rPr>
  </w:style>
  <w:style w:type="paragraph" w:styleId="a5">
    <w:name w:val="footer"/>
    <w:basedOn w:val="a"/>
    <w:link w:val="a6"/>
    <w:uiPriority w:val="99"/>
    <w:unhideWhenUsed/>
    <w:rsid w:val="00EE179A"/>
    <w:pPr>
      <w:tabs>
        <w:tab w:val="center" w:pos="4677"/>
        <w:tab w:val="right" w:pos="9355"/>
      </w:tabs>
      <w:spacing w:after="0" w:line="240" w:lineRule="auto"/>
    </w:pPr>
    <w:rPr>
      <w:sz w:val="20"/>
      <w:szCs w:val="20"/>
    </w:rPr>
  </w:style>
  <w:style w:type="character" w:customStyle="1" w:styleId="a6">
    <w:name w:val="Нижний колонтитул Знак"/>
    <w:basedOn w:val="a0"/>
    <w:link w:val="a5"/>
    <w:uiPriority w:val="99"/>
    <w:rsid w:val="00EE179A"/>
    <w:rPr>
      <w:rFonts w:ascii="Calibri" w:eastAsia="Calibri" w:hAnsi="Calibri" w:cs="Times New Roman"/>
      <w:sz w:val="20"/>
      <w:szCs w:val="20"/>
    </w:rPr>
  </w:style>
  <w:style w:type="character" w:customStyle="1" w:styleId="blk">
    <w:name w:val="blk"/>
    <w:basedOn w:val="a0"/>
    <w:rsid w:val="00EE179A"/>
  </w:style>
  <w:style w:type="character" w:customStyle="1" w:styleId="translation-chunk">
    <w:name w:val="translation-chunk"/>
    <w:basedOn w:val="a0"/>
    <w:rsid w:val="00EE179A"/>
  </w:style>
  <w:style w:type="paragraph" w:styleId="a7">
    <w:name w:val="List Paragraph"/>
    <w:basedOn w:val="a"/>
    <w:uiPriority w:val="34"/>
    <w:qFormat/>
    <w:rsid w:val="00EE179A"/>
    <w:pPr>
      <w:spacing w:after="200" w:line="276" w:lineRule="auto"/>
      <w:ind w:left="720"/>
      <w:contextualSpacing/>
    </w:pPr>
    <w:rPr>
      <w:rFonts w:asciiTheme="minorHAnsi" w:eastAsiaTheme="minorHAnsi" w:hAnsiTheme="minorHAnsi" w:cstheme="minorBidi"/>
    </w:rPr>
  </w:style>
  <w:style w:type="character" w:styleId="a8">
    <w:name w:val="Hyperlink"/>
    <w:basedOn w:val="a0"/>
    <w:uiPriority w:val="99"/>
    <w:unhideWhenUsed/>
    <w:rsid w:val="00EE179A"/>
    <w:rPr>
      <w:color w:val="0000FF" w:themeColor="hyperlink"/>
      <w:u w:val="single"/>
    </w:rPr>
  </w:style>
  <w:style w:type="paragraph" w:styleId="a9">
    <w:name w:val="Normal (Web)"/>
    <w:basedOn w:val="a"/>
    <w:uiPriority w:val="99"/>
    <w:unhideWhenUsed/>
    <w:rsid w:val="00EE179A"/>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footnote text"/>
    <w:basedOn w:val="a"/>
    <w:link w:val="ab"/>
    <w:uiPriority w:val="99"/>
    <w:unhideWhenUsed/>
    <w:rsid w:val="00EE179A"/>
    <w:pPr>
      <w:spacing w:after="0" w:line="240" w:lineRule="auto"/>
    </w:pPr>
    <w:rPr>
      <w:rFonts w:asciiTheme="minorHAnsi" w:eastAsiaTheme="minorHAnsi" w:hAnsiTheme="minorHAnsi" w:cstheme="minorBidi"/>
      <w:sz w:val="20"/>
      <w:szCs w:val="20"/>
    </w:rPr>
  </w:style>
  <w:style w:type="character" w:customStyle="1" w:styleId="ab">
    <w:name w:val="Текст сноски Знак"/>
    <w:basedOn w:val="a0"/>
    <w:link w:val="aa"/>
    <w:uiPriority w:val="99"/>
    <w:rsid w:val="00EE179A"/>
    <w:rPr>
      <w:sz w:val="20"/>
      <w:szCs w:val="20"/>
    </w:rPr>
  </w:style>
  <w:style w:type="character" w:customStyle="1" w:styleId="fontstyle01">
    <w:name w:val="fontstyle01"/>
    <w:basedOn w:val="a0"/>
    <w:rsid w:val="00EE179A"/>
    <w:rPr>
      <w:rFonts w:ascii="TimesNewRoman" w:hAnsi="TimesNewRoman" w:hint="default"/>
      <w:b w:val="0"/>
      <w:bCs w:val="0"/>
      <w:i w:val="0"/>
      <w:iCs w:val="0"/>
      <w:color w:val="000000"/>
      <w:sz w:val="24"/>
      <w:szCs w:val="24"/>
    </w:rPr>
  </w:style>
  <w:style w:type="paragraph" w:styleId="ac">
    <w:name w:val="No Spacing"/>
    <w:uiPriority w:val="1"/>
    <w:qFormat/>
    <w:rsid w:val="00EE179A"/>
    <w:pPr>
      <w:spacing w:after="0" w:line="240" w:lineRule="auto"/>
    </w:pPr>
  </w:style>
  <w:style w:type="paragraph" w:styleId="HTML">
    <w:name w:val="HTML Preformatted"/>
    <w:basedOn w:val="a"/>
    <w:link w:val="HTML0"/>
    <w:uiPriority w:val="99"/>
    <w:unhideWhenUsed/>
    <w:rsid w:val="00A75F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A75F9F"/>
    <w:rPr>
      <w:rFonts w:ascii="Courier New" w:eastAsia="Times New Roman" w:hAnsi="Courier New" w:cs="Courier New"/>
      <w:sz w:val="20"/>
      <w:szCs w:val="20"/>
      <w:lang w:eastAsia="ru-RU"/>
    </w:rPr>
  </w:style>
  <w:style w:type="paragraph" w:customStyle="1" w:styleId="ad">
    <w:name w:val="диплом"/>
    <w:basedOn w:val="a"/>
    <w:uiPriority w:val="99"/>
    <w:rsid w:val="00A75F9F"/>
    <w:pPr>
      <w:widowControl w:val="0"/>
      <w:suppressAutoHyphens/>
      <w:spacing w:after="0" w:line="360" w:lineRule="auto"/>
      <w:ind w:firstLine="709"/>
      <w:jc w:val="both"/>
    </w:pPr>
    <w:rPr>
      <w:rFonts w:ascii="Times New Roman" w:eastAsia="Times New Roman" w:hAnsi="Times New Roman"/>
      <w:sz w:val="28"/>
      <w:szCs w:val="20"/>
      <w:lang w:eastAsia="ru-RU"/>
    </w:rPr>
  </w:style>
  <w:style w:type="character" w:customStyle="1" w:styleId="40">
    <w:name w:val="Заголовок 4 Знак"/>
    <w:basedOn w:val="a0"/>
    <w:link w:val="4"/>
    <w:rsid w:val="00A75F9F"/>
    <w:rPr>
      <w:rFonts w:ascii="Times New Roman" w:eastAsia="Times New Roman" w:hAnsi="Times New Roman" w:cs="Times New Roman"/>
      <w:b/>
      <w:bCs/>
      <w:sz w:val="28"/>
      <w:szCs w:val="28"/>
    </w:rPr>
  </w:style>
  <w:style w:type="character" w:styleId="ae">
    <w:name w:val="Strong"/>
    <w:basedOn w:val="a0"/>
    <w:uiPriority w:val="22"/>
    <w:qFormat/>
    <w:rsid w:val="00A75F9F"/>
    <w:rPr>
      <w:b/>
      <w:bCs/>
    </w:rPr>
  </w:style>
  <w:style w:type="character" w:customStyle="1" w:styleId="10">
    <w:name w:val="Заголовок 1 Знак"/>
    <w:basedOn w:val="a0"/>
    <w:link w:val="1"/>
    <w:uiPriority w:val="9"/>
    <w:rsid w:val="00A75F9F"/>
    <w:rPr>
      <w:rFonts w:asciiTheme="majorHAnsi" w:eastAsiaTheme="majorEastAsia" w:hAnsiTheme="majorHAnsi" w:cstheme="majorBidi"/>
      <w:b/>
      <w:bCs/>
      <w:color w:val="365F91" w:themeColor="accent1" w:themeShade="BF"/>
      <w:sz w:val="28"/>
      <w:szCs w:val="28"/>
    </w:rPr>
  </w:style>
  <w:style w:type="character" w:styleId="af">
    <w:name w:val="annotation reference"/>
    <w:basedOn w:val="a0"/>
    <w:uiPriority w:val="99"/>
    <w:semiHidden/>
    <w:unhideWhenUsed/>
    <w:rsid w:val="00A75F9F"/>
    <w:rPr>
      <w:sz w:val="16"/>
      <w:szCs w:val="16"/>
    </w:rPr>
  </w:style>
  <w:style w:type="character" w:customStyle="1" w:styleId="nobr">
    <w:name w:val="nobr"/>
    <w:basedOn w:val="a0"/>
    <w:rsid w:val="001F2239"/>
  </w:style>
  <w:style w:type="character" w:customStyle="1" w:styleId="bigtext">
    <w:name w:val="bigtext"/>
    <w:basedOn w:val="a0"/>
    <w:rsid w:val="001F2239"/>
  </w:style>
  <w:style w:type="character" w:styleId="af0">
    <w:name w:val="footnote reference"/>
    <w:basedOn w:val="a0"/>
    <w:uiPriority w:val="99"/>
    <w:semiHidden/>
    <w:unhideWhenUsed/>
    <w:rsid w:val="001F2239"/>
    <w:rPr>
      <w:vertAlign w:val="superscript"/>
    </w:rPr>
  </w:style>
  <w:style w:type="paragraph" w:styleId="af1">
    <w:name w:val="endnote text"/>
    <w:basedOn w:val="a"/>
    <w:link w:val="af2"/>
    <w:uiPriority w:val="99"/>
    <w:unhideWhenUsed/>
    <w:rsid w:val="00A82E90"/>
    <w:pPr>
      <w:spacing w:after="0" w:line="240" w:lineRule="auto"/>
    </w:pPr>
    <w:rPr>
      <w:rFonts w:asciiTheme="minorHAnsi" w:eastAsiaTheme="minorHAnsi" w:hAnsiTheme="minorHAnsi" w:cstheme="minorBidi"/>
      <w:sz w:val="20"/>
      <w:szCs w:val="20"/>
    </w:rPr>
  </w:style>
  <w:style w:type="character" w:customStyle="1" w:styleId="af2">
    <w:name w:val="Текст концевой сноски Знак"/>
    <w:basedOn w:val="a0"/>
    <w:link w:val="af1"/>
    <w:uiPriority w:val="99"/>
    <w:rsid w:val="00A82E90"/>
    <w:rPr>
      <w:sz w:val="20"/>
      <w:szCs w:val="20"/>
    </w:rPr>
  </w:style>
  <w:style w:type="character" w:styleId="af3">
    <w:name w:val="endnote reference"/>
    <w:basedOn w:val="a0"/>
    <w:uiPriority w:val="99"/>
    <w:semiHidden/>
    <w:unhideWhenUsed/>
    <w:rsid w:val="00A82E90"/>
    <w:rPr>
      <w:vertAlign w:val="superscript"/>
    </w:rPr>
  </w:style>
  <w:style w:type="paragraph" w:customStyle="1" w:styleId="Default">
    <w:name w:val="Default"/>
    <w:uiPriority w:val="99"/>
    <w:rsid w:val="00A82E90"/>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rtejustify">
    <w:name w:val="rtejustify"/>
    <w:basedOn w:val="a"/>
    <w:uiPriority w:val="99"/>
    <w:rsid w:val="00DC120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lid-translation">
    <w:name w:val="tlid-translation"/>
    <w:basedOn w:val="a0"/>
    <w:rsid w:val="00DC1208"/>
  </w:style>
  <w:style w:type="paragraph" w:customStyle="1" w:styleId="Style5">
    <w:name w:val="Style5"/>
    <w:basedOn w:val="a"/>
    <w:uiPriority w:val="99"/>
    <w:rsid w:val="005C5813"/>
    <w:pPr>
      <w:widowControl w:val="0"/>
      <w:autoSpaceDE w:val="0"/>
      <w:autoSpaceDN w:val="0"/>
      <w:adjustRightInd w:val="0"/>
      <w:spacing w:after="0" w:line="216" w:lineRule="exact"/>
      <w:ind w:firstLine="350"/>
      <w:jc w:val="both"/>
    </w:pPr>
    <w:rPr>
      <w:rFonts w:ascii="Times New Roman" w:hAnsi="Times New Roman"/>
      <w:sz w:val="24"/>
      <w:szCs w:val="24"/>
      <w:lang w:eastAsia="ru-RU"/>
    </w:rPr>
  </w:style>
  <w:style w:type="paragraph" w:customStyle="1" w:styleId="Style6">
    <w:name w:val="Style6"/>
    <w:basedOn w:val="a"/>
    <w:uiPriority w:val="99"/>
    <w:rsid w:val="005C5813"/>
    <w:pPr>
      <w:widowControl w:val="0"/>
      <w:autoSpaceDE w:val="0"/>
      <w:autoSpaceDN w:val="0"/>
      <w:adjustRightInd w:val="0"/>
      <w:spacing w:after="0" w:line="216" w:lineRule="exact"/>
      <w:jc w:val="both"/>
    </w:pPr>
    <w:rPr>
      <w:rFonts w:ascii="Times New Roman" w:hAnsi="Times New Roman"/>
      <w:sz w:val="24"/>
      <w:szCs w:val="24"/>
      <w:lang w:eastAsia="ru-RU"/>
    </w:rPr>
  </w:style>
  <w:style w:type="paragraph" w:customStyle="1" w:styleId="Style9">
    <w:name w:val="Style9"/>
    <w:basedOn w:val="a"/>
    <w:uiPriority w:val="99"/>
    <w:rsid w:val="005C5813"/>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1">
    <w:name w:val="Style11"/>
    <w:basedOn w:val="a"/>
    <w:uiPriority w:val="99"/>
    <w:rsid w:val="005C5813"/>
    <w:pPr>
      <w:widowControl w:val="0"/>
      <w:autoSpaceDE w:val="0"/>
      <w:autoSpaceDN w:val="0"/>
      <w:adjustRightInd w:val="0"/>
      <w:spacing w:after="0" w:line="240" w:lineRule="auto"/>
    </w:pPr>
    <w:rPr>
      <w:rFonts w:ascii="Times New Roman" w:hAnsi="Times New Roman"/>
      <w:sz w:val="24"/>
      <w:szCs w:val="24"/>
      <w:lang w:eastAsia="ru-RU"/>
    </w:rPr>
  </w:style>
  <w:style w:type="character" w:customStyle="1" w:styleId="FontStyle14">
    <w:name w:val="Font Style14"/>
    <w:basedOn w:val="a0"/>
    <w:rsid w:val="005C5813"/>
    <w:rPr>
      <w:rFonts w:ascii="Times New Roman" w:hAnsi="Times New Roman" w:cs="Times New Roman"/>
      <w:i/>
      <w:iCs/>
      <w:sz w:val="18"/>
      <w:szCs w:val="18"/>
    </w:rPr>
  </w:style>
  <w:style w:type="character" w:customStyle="1" w:styleId="FontStyle19">
    <w:name w:val="Font Style19"/>
    <w:basedOn w:val="a0"/>
    <w:rsid w:val="005C5813"/>
    <w:rPr>
      <w:rFonts w:ascii="Times New Roman" w:hAnsi="Times New Roman" w:cs="Times New Roman"/>
      <w:b/>
      <w:bCs/>
      <w:i/>
      <w:iCs/>
      <w:sz w:val="18"/>
      <w:szCs w:val="18"/>
    </w:rPr>
  </w:style>
  <w:style w:type="character" w:customStyle="1" w:styleId="FontStyle20">
    <w:name w:val="Font Style20"/>
    <w:basedOn w:val="a0"/>
    <w:rsid w:val="005C5813"/>
    <w:rPr>
      <w:rFonts w:ascii="Times New Roman" w:hAnsi="Times New Roman" w:cs="Times New Roman"/>
      <w:sz w:val="18"/>
      <w:szCs w:val="18"/>
    </w:rPr>
  </w:style>
  <w:style w:type="paragraph" w:customStyle="1" w:styleId="Style3">
    <w:name w:val="Style3"/>
    <w:basedOn w:val="a"/>
    <w:uiPriority w:val="99"/>
    <w:rsid w:val="005C5813"/>
    <w:pPr>
      <w:widowControl w:val="0"/>
      <w:autoSpaceDE w:val="0"/>
      <w:autoSpaceDN w:val="0"/>
      <w:adjustRightInd w:val="0"/>
      <w:spacing w:after="0" w:line="379" w:lineRule="exact"/>
      <w:jc w:val="center"/>
    </w:pPr>
    <w:rPr>
      <w:rFonts w:ascii="Times New Roman" w:hAnsi="Times New Roman"/>
      <w:sz w:val="24"/>
      <w:szCs w:val="24"/>
      <w:lang w:eastAsia="ru-RU"/>
    </w:rPr>
  </w:style>
  <w:style w:type="character" w:customStyle="1" w:styleId="FontStyle13">
    <w:name w:val="Font Style13"/>
    <w:basedOn w:val="a0"/>
    <w:rsid w:val="005C5813"/>
    <w:rPr>
      <w:rFonts w:ascii="Franklin Gothic Medium" w:hAnsi="Franklin Gothic Medium" w:cs="Franklin Gothic Medium"/>
      <w:b/>
      <w:bCs/>
      <w:sz w:val="30"/>
      <w:szCs w:val="30"/>
    </w:rPr>
  </w:style>
  <w:style w:type="paragraph" w:customStyle="1" w:styleId="Style4">
    <w:name w:val="Style4"/>
    <w:basedOn w:val="a"/>
    <w:uiPriority w:val="99"/>
    <w:rsid w:val="005C5813"/>
    <w:pPr>
      <w:widowControl w:val="0"/>
      <w:autoSpaceDE w:val="0"/>
      <w:autoSpaceDN w:val="0"/>
      <w:adjustRightInd w:val="0"/>
      <w:spacing w:after="0" w:line="216" w:lineRule="exact"/>
      <w:jc w:val="right"/>
    </w:pPr>
    <w:rPr>
      <w:rFonts w:ascii="Times New Roman" w:hAnsi="Times New Roman"/>
      <w:sz w:val="24"/>
      <w:szCs w:val="24"/>
      <w:lang w:eastAsia="ru-RU"/>
    </w:rPr>
  </w:style>
  <w:style w:type="paragraph" w:styleId="af4">
    <w:name w:val="Body Text"/>
    <w:basedOn w:val="a"/>
    <w:link w:val="af5"/>
    <w:uiPriority w:val="99"/>
    <w:rsid w:val="005C5813"/>
    <w:pPr>
      <w:tabs>
        <w:tab w:val="left" w:pos="5445"/>
        <w:tab w:val="right" w:pos="9355"/>
      </w:tabs>
      <w:spacing w:after="0" w:line="240" w:lineRule="auto"/>
      <w:jc w:val="both"/>
    </w:pPr>
    <w:rPr>
      <w:rFonts w:ascii="Times New Roman" w:eastAsia="Times New Roman" w:hAnsi="Times New Roman"/>
      <w:sz w:val="28"/>
      <w:szCs w:val="24"/>
      <w:lang w:eastAsia="ru-RU"/>
    </w:rPr>
  </w:style>
  <w:style w:type="character" w:customStyle="1" w:styleId="af5">
    <w:name w:val="Основной текст Знак"/>
    <w:basedOn w:val="a0"/>
    <w:link w:val="af4"/>
    <w:uiPriority w:val="99"/>
    <w:rsid w:val="005C5813"/>
    <w:rPr>
      <w:rFonts w:ascii="Times New Roman" w:eastAsia="Times New Roman" w:hAnsi="Times New Roman" w:cs="Times New Roman"/>
      <w:sz w:val="28"/>
      <w:szCs w:val="24"/>
      <w:lang w:eastAsia="ru-RU"/>
    </w:rPr>
  </w:style>
  <w:style w:type="paragraph" w:customStyle="1" w:styleId="af6">
    <w:name w:val="реферат"/>
    <w:basedOn w:val="a"/>
    <w:autoRedefine/>
    <w:uiPriority w:val="99"/>
    <w:rsid w:val="005C5813"/>
    <w:pPr>
      <w:widowControl w:val="0"/>
      <w:autoSpaceDE w:val="0"/>
      <w:autoSpaceDN w:val="0"/>
      <w:adjustRightInd w:val="0"/>
      <w:spacing w:after="0" w:line="360" w:lineRule="auto"/>
      <w:ind w:firstLine="709"/>
      <w:jc w:val="both"/>
    </w:pPr>
    <w:rPr>
      <w:rFonts w:ascii="Times New Roman" w:eastAsia="Times New Roman" w:hAnsi="Times New Roman" w:cs="Arial-BoldMT"/>
      <w:bCs/>
      <w:sz w:val="24"/>
      <w:szCs w:val="24"/>
      <w:shd w:val="clear" w:color="auto" w:fill="FFFFFF"/>
      <w:lang w:eastAsia="ru-RU"/>
    </w:rPr>
  </w:style>
  <w:style w:type="paragraph" w:styleId="af7">
    <w:name w:val="Balloon Text"/>
    <w:basedOn w:val="a"/>
    <w:link w:val="af8"/>
    <w:uiPriority w:val="99"/>
    <w:semiHidden/>
    <w:unhideWhenUsed/>
    <w:rsid w:val="005C5813"/>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5C5813"/>
    <w:rPr>
      <w:rFonts w:ascii="Tahoma" w:eastAsia="Calibri" w:hAnsi="Tahoma" w:cs="Tahoma"/>
      <w:sz w:val="16"/>
      <w:szCs w:val="16"/>
    </w:rPr>
  </w:style>
  <w:style w:type="character" w:customStyle="1" w:styleId="snippetequal">
    <w:name w:val="snippet_equal"/>
    <w:basedOn w:val="a0"/>
    <w:rsid w:val="00776834"/>
  </w:style>
  <w:style w:type="character" w:customStyle="1" w:styleId="PTSans9">
    <w:name w:val="Стиль ВЕСТНИК ТЕКСТ + PT Sans 9 пт Знак"/>
    <w:rsid w:val="00F75C38"/>
    <w:rPr>
      <w:rFonts w:ascii="PT Sans" w:eastAsia="Times New Roman" w:hAnsi="PT Sans" w:cs="Times New Roman" w:hint="default"/>
      <w:sz w:val="18"/>
      <w:szCs w:val="24"/>
    </w:rPr>
  </w:style>
  <w:style w:type="paragraph" w:customStyle="1" w:styleId="11">
    <w:name w:val="Абзац списка1"/>
    <w:basedOn w:val="a"/>
    <w:uiPriority w:val="99"/>
    <w:rsid w:val="005D6500"/>
    <w:pPr>
      <w:spacing w:after="200" w:line="276" w:lineRule="auto"/>
      <w:ind w:left="720"/>
      <w:contextualSpacing/>
    </w:pPr>
    <w:rPr>
      <w:lang w:eastAsia="ru-RU"/>
    </w:rPr>
  </w:style>
  <w:style w:type="character" w:customStyle="1" w:styleId="20">
    <w:name w:val="Заголовок 2 Знак"/>
    <w:basedOn w:val="a0"/>
    <w:link w:val="2"/>
    <w:rsid w:val="00B75021"/>
    <w:rPr>
      <w:rFonts w:ascii="Arial" w:eastAsia="Times New Roman" w:hAnsi="Arial" w:cs="Arial"/>
      <w:b/>
      <w:bCs/>
      <w:i/>
      <w:iCs/>
      <w:sz w:val="28"/>
      <w:szCs w:val="28"/>
    </w:rPr>
  </w:style>
  <w:style w:type="table" w:styleId="af9">
    <w:name w:val="Table Grid"/>
    <w:basedOn w:val="a1"/>
    <w:rsid w:val="00B7502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3">
    <w:name w:val="s_3"/>
    <w:basedOn w:val="a"/>
    <w:uiPriority w:val="99"/>
    <w:rsid w:val="00B750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contact-informer-targetjs-contact-informer">
    <w:name w:val="b-contact-informer-target js-contact-informer"/>
    <w:basedOn w:val="a0"/>
    <w:rsid w:val="00B75021"/>
    <w:rPr>
      <w:rFonts w:cs="Times New Roman"/>
    </w:rPr>
  </w:style>
  <w:style w:type="character" w:customStyle="1" w:styleId="hl">
    <w:name w:val="hl"/>
    <w:basedOn w:val="a0"/>
    <w:rsid w:val="00B75021"/>
  </w:style>
  <w:style w:type="paragraph" w:customStyle="1" w:styleId="s1">
    <w:name w:val="s_1"/>
    <w:basedOn w:val="a"/>
    <w:uiPriority w:val="99"/>
    <w:rsid w:val="00B75021"/>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lid-translationtranslation">
    <w:name w:val="tlid-translation translation"/>
    <w:basedOn w:val="a0"/>
    <w:rsid w:val="00B75021"/>
  </w:style>
  <w:style w:type="character" w:customStyle="1" w:styleId="refresult">
    <w:name w:val="ref_result"/>
    <w:basedOn w:val="a0"/>
    <w:rsid w:val="00B75021"/>
  </w:style>
  <w:style w:type="numbering" w:customStyle="1" w:styleId="12">
    <w:name w:val="Нет списка1"/>
    <w:next w:val="a2"/>
    <w:uiPriority w:val="99"/>
    <w:semiHidden/>
    <w:unhideWhenUsed/>
    <w:rsid w:val="00D1277B"/>
  </w:style>
  <w:style w:type="character" w:customStyle="1" w:styleId="13">
    <w:name w:val="Просмотренная гиперссылка1"/>
    <w:basedOn w:val="a0"/>
    <w:uiPriority w:val="99"/>
    <w:semiHidden/>
    <w:unhideWhenUsed/>
    <w:rsid w:val="00D1277B"/>
    <w:rPr>
      <w:color w:val="800080"/>
      <w:u w:val="single"/>
    </w:rPr>
  </w:style>
  <w:style w:type="paragraph" w:styleId="afa">
    <w:name w:val="annotation text"/>
    <w:basedOn w:val="a"/>
    <w:link w:val="14"/>
    <w:uiPriority w:val="99"/>
    <w:semiHidden/>
    <w:unhideWhenUsed/>
    <w:rsid w:val="00D1277B"/>
    <w:pPr>
      <w:spacing w:line="240" w:lineRule="auto"/>
    </w:pPr>
    <w:rPr>
      <w:sz w:val="20"/>
      <w:szCs w:val="20"/>
    </w:rPr>
  </w:style>
  <w:style w:type="character" w:customStyle="1" w:styleId="afb">
    <w:name w:val="Текст примечания Знак"/>
    <w:basedOn w:val="a0"/>
    <w:link w:val="15"/>
    <w:uiPriority w:val="99"/>
    <w:semiHidden/>
    <w:rsid w:val="00D1277B"/>
    <w:rPr>
      <w:rFonts w:ascii="Calibri" w:eastAsia="Calibri" w:hAnsi="Calibri" w:cs="Times New Roman"/>
      <w:sz w:val="20"/>
      <w:szCs w:val="20"/>
    </w:rPr>
  </w:style>
  <w:style w:type="paragraph" w:styleId="afc">
    <w:name w:val="annotation subject"/>
    <w:basedOn w:val="afa"/>
    <w:next w:val="afa"/>
    <w:link w:val="afd"/>
    <w:uiPriority w:val="99"/>
    <w:semiHidden/>
    <w:unhideWhenUsed/>
    <w:rsid w:val="00D1277B"/>
    <w:rPr>
      <w:rFonts w:ascii="Times New Roman" w:hAnsi="Times New Roman"/>
      <w:b/>
      <w:bCs/>
      <w:lang w:eastAsia="ru-RU"/>
    </w:rPr>
  </w:style>
  <w:style w:type="character" w:customStyle="1" w:styleId="afd">
    <w:name w:val="Тема примечания Знак"/>
    <w:basedOn w:val="afb"/>
    <w:link w:val="afc"/>
    <w:uiPriority w:val="99"/>
    <w:semiHidden/>
    <w:rsid w:val="00D1277B"/>
    <w:rPr>
      <w:rFonts w:ascii="Times New Roman" w:eastAsia="Calibri" w:hAnsi="Times New Roman" w:cs="Times New Roman"/>
      <w:b/>
      <w:bCs/>
      <w:sz w:val="20"/>
      <w:szCs w:val="20"/>
      <w:lang w:eastAsia="ru-RU"/>
    </w:rPr>
  </w:style>
  <w:style w:type="paragraph" w:customStyle="1" w:styleId="110">
    <w:name w:val="Заголовок 11"/>
    <w:basedOn w:val="a"/>
    <w:next w:val="a"/>
    <w:uiPriority w:val="9"/>
    <w:semiHidden/>
    <w:qFormat/>
    <w:rsid w:val="00D1277B"/>
    <w:pPr>
      <w:keepNext/>
      <w:keepLines/>
      <w:spacing w:before="480" w:after="0" w:line="254" w:lineRule="auto"/>
      <w:outlineLvl w:val="0"/>
    </w:pPr>
    <w:rPr>
      <w:rFonts w:ascii="Cambria" w:eastAsia="Times New Roman" w:hAnsi="Cambria"/>
      <w:b/>
      <w:bCs/>
      <w:color w:val="365F91"/>
      <w:sz w:val="28"/>
      <w:szCs w:val="28"/>
    </w:rPr>
  </w:style>
  <w:style w:type="paragraph" w:customStyle="1" w:styleId="ConsPlusNormal">
    <w:name w:val="ConsPlusNormal"/>
    <w:uiPriority w:val="99"/>
    <w:semiHidden/>
    <w:rsid w:val="00D127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itle">
    <w:name w:val="ConsPlusTitle"/>
    <w:uiPriority w:val="99"/>
    <w:semiHidden/>
    <w:rsid w:val="00D1277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5">
    <w:name w:val="Текст примечания1"/>
    <w:basedOn w:val="a"/>
    <w:next w:val="afa"/>
    <w:link w:val="afb"/>
    <w:uiPriority w:val="99"/>
    <w:semiHidden/>
    <w:rsid w:val="00D1277B"/>
    <w:pPr>
      <w:spacing w:after="0" w:line="240" w:lineRule="auto"/>
    </w:pPr>
    <w:rPr>
      <w:sz w:val="20"/>
      <w:szCs w:val="20"/>
    </w:rPr>
  </w:style>
  <w:style w:type="paragraph" w:customStyle="1" w:styleId="16">
    <w:name w:val="Тема примечания1"/>
    <w:basedOn w:val="afa"/>
    <w:next w:val="afa"/>
    <w:uiPriority w:val="99"/>
    <w:semiHidden/>
    <w:rsid w:val="00D1277B"/>
    <w:pPr>
      <w:spacing w:after="0"/>
    </w:pPr>
    <w:rPr>
      <w:rFonts w:ascii="Times New Roman" w:hAnsi="Times New Roman"/>
      <w:b/>
      <w:bCs/>
      <w:lang w:eastAsia="ru-RU"/>
    </w:rPr>
  </w:style>
  <w:style w:type="character" w:customStyle="1" w:styleId="17">
    <w:name w:val="Гиперссылка1"/>
    <w:basedOn w:val="a0"/>
    <w:uiPriority w:val="99"/>
    <w:semiHidden/>
    <w:rsid w:val="00D1277B"/>
    <w:rPr>
      <w:color w:val="0000FF"/>
      <w:u w:val="single"/>
    </w:rPr>
  </w:style>
  <w:style w:type="character" w:customStyle="1" w:styleId="UnresolvedMention">
    <w:name w:val="Unresolved Mention"/>
    <w:basedOn w:val="a0"/>
    <w:uiPriority w:val="99"/>
    <w:semiHidden/>
    <w:rsid w:val="00D1277B"/>
    <w:rPr>
      <w:color w:val="605E5C"/>
      <w:shd w:val="clear" w:color="auto" w:fill="E1DFDD"/>
    </w:rPr>
  </w:style>
  <w:style w:type="character" w:customStyle="1" w:styleId="apple-converted-space">
    <w:name w:val="apple-converted-space"/>
    <w:rsid w:val="00D1277B"/>
  </w:style>
  <w:style w:type="character" w:customStyle="1" w:styleId="14">
    <w:name w:val="Текст примечания Знак1"/>
    <w:basedOn w:val="a0"/>
    <w:link w:val="afa"/>
    <w:uiPriority w:val="99"/>
    <w:semiHidden/>
    <w:locked/>
    <w:rsid w:val="00D1277B"/>
    <w:rPr>
      <w:rFonts w:ascii="Calibri" w:eastAsia="Calibri" w:hAnsi="Calibri" w:cs="Times New Roman"/>
      <w:sz w:val="20"/>
      <w:szCs w:val="20"/>
    </w:rPr>
  </w:style>
  <w:style w:type="character" w:customStyle="1" w:styleId="18">
    <w:name w:val="Тема примечания Знак1"/>
    <w:basedOn w:val="14"/>
    <w:uiPriority w:val="99"/>
    <w:semiHidden/>
    <w:rsid w:val="00D1277B"/>
    <w:rPr>
      <w:rFonts w:ascii="Calibri" w:eastAsia="Calibri" w:hAnsi="Calibri" w:cs="Times New Roman"/>
      <w:b/>
      <w:bCs/>
      <w:sz w:val="20"/>
      <w:szCs w:val="20"/>
    </w:rPr>
  </w:style>
  <w:style w:type="character" w:customStyle="1" w:styleId="111">
    <w:name w:val="Заголовок 1 Знак1"/>
    <w:basedOn w:val="a0"/>
    <w:uiPriority w:val="9"/>
    <w:rsid w:val="00D1277B"/>
    <w:rPr>
      <w:rFonts w:ascii="Cambria" w:eastAsia="Times New Roman" w:hAnsi="Cambria" w:cs="Times New Roman" w:hint="default"/>
      <w:b/>
      <w:bCs/>
      <w:color w:val="365F91"/>
      <w:sz w:val="28"/>
      <w:szCs w:val="28"/>
    </w:rPr>
  </w:style>
  <w:style w:type="table" w:customStyle="1" w:styleId="19">
    <w:name w:val="Сетка таблицы1"/>
    <w:basedOn w:val="a1"/>
    <w:uiPriority w:val="59"/>
    <w:rsid w:val="00D127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1"/>
    <w:uiPriority w:val="59"/>
    <w:rsid w:val="00D1277B"/>
    <w:pPr>
      <w:spacing w:after="0" w:line="240" w:lineRule="auto"/>
    </w:pPr>
    <w:rPr>
      <w:rFonts w:ascii="Calibri" w:eastAsia="Times New Roman" w:hAnsi="Calibri" w:cs="Times New Roma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FollowedHyperlink"/>
    <w:basedOn w:val="a0"/>
    <w:uiPriority w:val="99"/>
    <w:semiHidden/>
    <w:unhideWhenUsed/>
    <w:rsid w:val="00D1277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701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cyberleninka.ru/article/n/osobennosti-statusa-gosudarstvennyh-korporatsiy-i-perspektivy-razvitiya" TargetMode="External"/><Relationship Id="rId21" Type="http://schemas.openxmlformats.org/officeDocument/2006/relationships/hyperlink" Target="mailto:ttyana.kornienko@mail.ru" TargetMode="External"/><Relationship Id="rId42" Type="http://schemas.openxmlformats.org/officeDocument/2006/relationships/hyperlink" Target="https://pravo.studio/gosudarstva-prava_1066-teoriya/otvetstvennost-mejdunarodnom-prave-79642.html" TargetMode="External"/><Relationship Id="rId63" Type="http://schemas.openxmlformats.org/officeDocument/2006/relationships/hyperlink" Target="http://www.consultant.ru/document/cons_doc_LAW_16758/" TargetMode="External"/><Relationship Id="rId84" Type="http://schemas.openxmlformats.org/officeDocument/2006/relationships/hyperlink" Target="https://www.1000dokumente.de/?c=dokument_de&amp;dokument=0014_gru&amp;l=ru&amp;object=translation" TargetMode="External"/><Relationship Id="rId138" Type="http://schemas.openxmlformats.org/officeDocument/2006/relationships/hyperlink" Target="http://www.consultant.ru/document/cons_doc_LAW_29379/" TargetMode="External"/><Relationship Id="rId159" Type="http://schemas.openxmlformats.org/officeDocument/2006/relationships/hyperlink" Target="https://cyberleninka.ru/article/n/kriminologicheskaya-harakteristika-prestupleniy-v-sfere-kompyuternoy-informatsii" TargetMode="External"/><Relationship Id="rId170" Type="http://schemas.openxmlformats.org/officeDocument/2006/relationships/hyperlink" Target="https://cyberleninka.ru/article/n/pravovye-i-organizatsionnye-problemy-organov-prokuratury-po-provedeniyu-antikorruptsionnoy-ekspertizy" TargetMode="External"/><Relationship Id="rId191" Type="http://schemas.openxmlformats.org/officeDocument/2006/relationships/hyperlink" Target="http://www.consultant.ru/document/cons_doc_LAW_28399/" TargetMode="External"/><Relationship Id="rId205" Type="http://schemas.openxmlformats.org/officeDocument/2006/relationships/chart" Target="charts/chart7.xml"/><Relationship Id="rId226" Type="http://schemas.openxmlformats.org/officeDocument/2006/relationships/image" Target="media/image4.emf"/><Relationship Id="rId107" Type="http://schemas.openxmlformats.org/officeDocument/2006/relationships/hyperlink" Target="https://www.sudact.ru/arbitral/doc/TR5gF1QLYoHj" TargetMode="External"/><Relationship Id="rId11" Type="http://schemas.openxmlformats.org/officeDocument/2006/relationships/hyperlink" Target="http://www.hklii.hk/eng/hk/legis/ord/32/s2.html" TargetMode="External"/><Relationship Id="rId32" Type="http://schemas.openxmlformats.org/officeDocument/2006/relationships/hyperlink" Target="mailto:dkumankova@mail.ru" TargetMode="External"/><Relationship Id="rId53" Type="http://schemas.openxmlformats.org/officeDocument/2006/relationships/hyperlink" Target="http://www.consultant.ru/document/cons_doc_LAW_33773/" TargetMode="External"/><Relationship Id="rId74" Type="http://schemas.openxmlformats.org/officeDocument/2006/relationships/hyperlink" Target="http://www.consultant.ru/cons/cgi/online.cgi?req=doc&amp;base=LAW&amp;n=314901&amp;fld=134&amp;dst=100006,0&amp;rnd=0.9998995295360595" TargetMode="External"/><Relationship Id="rId128" Type="http://schemas.openxmlformats.org/officeDocument/2006/relationships/hyperlink" Target="mailto:basov1910@list.ru" TargetMode="External"/><Relationship Id="rId149" Type="http://schemas.openxmlformats.org/officeDocument/2006/relationships/hyperlink" Target="http://www.consultant.ru/document/cons_doc_LAW_161817/" TargetMode="External"/><Relationship Id="rId5" Type="http://schemas.openxmlformats.org/officeDocument/2006/relationships/settings" Target="settings.xml"/><Relationship Id="rId95" Type="http://schemas.openxmlformats.org/officeDocument/2006/relationships/hyperlink" Target="https://sudact.ru/regular/doc/QbaXrzBmboW8/?regular-txt=&amp;regular-case_doc=&amp;regular-lawchunkinfo=%D0%A1%D1%82%D0%B0%D1%82%D1%8C%D1%8F+272.+%D0%9F%D0%BE%D1%81%D0%BB%D0%B5%D0%B4%D1%81%D1%82%D0%B2%D0%B8%D1%8F+%D1%83%D1%82%D1%80%D0%B0%D1%82%D1%8B+%D1%81%D0%BE%D0%B1%D1%81%D1%82%D0%B2%D0%B5%D0%BD%D0%BD%D0%B8%D0%BA%D0%BE%D0%BC+%D0%BD%D0%B5%D0%B4%D0%B2%D0%B8%D0%B6%D0%B8%D0%BC%D0%BE%D1%81%D1%82%D0%B8+%D0%BF%D1%80%D0%B0%D0%B2%D0%B0+%D0%BF%D0%BE%D0%BB%D1%8C%D0%B7%D0%BE%D0%B2%D0%B0%D0%BD%D0%B8%D1%8F+%D0%B7%D0%B5%D0%BC%D0%B5%D0%BB%D1%8C%D0%BD%D1%8B%D0%BC+%D1%83%D1%87%D0%B0%D1%81%D1%82%D0%BA%D0%BE%D0%BC%28%D0%93%D0%9A+%D0%A0%D0%A4%29&amp;regular-doc_type=&amp;regular-date_from=01.01.2018&amp;regular-date_to=11.04.2019&amp;regular-workflow_stage=&amp;regular-area=1049&amp;regular-court=&amp;regular-judge=&amp;_=1555656332817" TargetMode="External"/><Relationship Id="rId160" Type="http://schemas.openxmlformats.org/officeDocument/2006/relationships/hyperlink" Target="https://docplayer.ru/27686591-Gosudarstvennaya-sluzhba-v-zarubezhnyh-stranah.html" TargetMode="External"/><Relationship Id="rId181" Type="http://schemas.openxmlformats.org/officeDocument/2006/relationships/hyperlink" Target="mailto:genyaltobasova@mail.ru" TargetMode="External"/><Relationship Id="rId216" Type="http://schemas.openxmlformats.org/officeDocument/2006/relationships/hyperlink" Target="file:///C:\Users\User\Desktop\-------&#1057;&#1073;&#1086;&#1088;&#1085;&#1080;&#1082;.&#1050;&#1086;&#1085;&#1092;&#1077;&#1088;&#1077;&#1085;&#1094;&#1080;&#1103;.%20&#1048;&#1055;.%202019.docx" TargetMode="External"/><Relationship Id="rId22" Type="http://schemas.openxmlformats.org/officeDocument/2006/relationships/hyperlink" Target="http://www.consultant.ru/document/cons_doc_LAW_37868/" TargetMode="External"/><Relationship Id="rId27" Type="http://schemas.openxmlformats.org/officeDocument/2006/relationships/hyperlink" Target="http://base.garant.ru/2564911/" TargetMode="External"/><Relationship Id="rId43" Type="http://schemas.openxmlformats.org/officeDocument/2006/relationships/hyperlink" Target="https://pravo.studio/gosudarstva-prava_1066-teoriya/otvetstvennost-mejdunarodnom-prave-79642.html" TargetMode="External"/><Relationship Id="rId48" Type="http://schemas.openxmlformats.org/officeDocument/2006/relationships/hyperlink" Target="http://www.consultant.ru/document/cons_doc_LAW_182649/" TargetMode="External"/><Relationship Id="rId64" Type="http://schemas.openxmlformats.org/officeDocument/2006/relationships/hyperlink" Target="http://www.japaneselawtranslation.go.jp/law/detail/?id=2252&amp;vm=04&amp;re=01" TargetMode="External"/><Relationship Id="rId69" Type="http://schemas.openxmlformats.org/officeDocument/2006/relationships/hyperlink" Target="http://www.crnjapan.net/The_Japan_Childrens_%20Rights_Network/div-types.html" TargetMode="External"/><Relationship Id="rId113" Type="http://schemas.openxmlformats.org/officeDocument/2006/relationships/hyperlink" Target="http://www.consultant.ru/cons/cgi/online.cgi?req=doc&amp;base=ARB002&amp;n=371211" TargetMode="External"/><Relationship Id="rId118" Type="http://schemas.openxmlformats.org/officeDocument/2006/relationships/hyperlink" Target="https://veb.ru/files/?file=6c30c09e4bcf1956c2c7dd3ec2b2f6bd.pdf" TargetMode="External"/><Relationship Id="rId134" Type="http://schemas.openxmlformats.org/officeDocument/2006/relationships/hyperlink" Target="https://fedstat.ru/indicator/36186" TargetMode="External"/><Relationship Id="rId139" Type="http://schemas.openxmlformats.org/officeDocument/2006/relationships/hyperlink" Target="mailto:denis.vaskin.1997@mail.ru" TargetMode="External"/><Relationship Id="rId80" Type="http://schemas.openxmlformats.org/officeDocument/2006/relationships/hyperlink" Target="http://www.consultant.ru/document/%20cons_doc_LAW_28399/" TargetMode="External"/><Relationship Id="rId85" Type="http://schemas.openxmlformats.org/officeDocument/2006/relationships/hyperlink" Target="https://spravochnick.ru/pravo_i_yurisprudenciya/%20grazhdanskiy_kodeks/grazhdanskiy_kodeks_italii/" TargetMode="External"/><Relationship Id="rId150" Type="http://schemas.openxmlformats.org/officeDocument/2006/relationships/hyperlink" Target="http://www.consultant.ru/document/cons_doc_LAW_161817/" TargetMode="External"/><Relationship Id="rId155" Type="http://schemas.openxmlformats.org/officeDocument/2006/relationships/hyperlink" Target="http://ivo.garant.ru/" TargetMode="External"/><Relationship Id="rId171" Type="http://schemas.openxmlformats.org/officeDocument/2006/relationships/hyperlink" Target="https://elibrary.ru/item.asp?id=30305235" TargetMode="External"/><Relationship Id="rId176" Type="http://schemas.openxmlformats.org/officeDocument/2006/relationships/hyperlink" Target="http://www.consultant.ru/law/hotdocs/19045.html/" TargetMode="External"/><Relationship Id="rId192" Type="http://schemas.openxmlformats.org/officeDocument/2006/relationships/hyperlink" Target="http://www.consultant.ru/edu/student/download_books/" TargetMode="External"/><Relationship Id="rId197" Type="http://schemas.openxmlformats.org/officeDocument/2006/relationships/footer" Target="footer1.xml"/><Relationship Id="rId206" Type="http://schemas.openxmlformats.org/officeDocument/2006/relationships/chart" Target="charts/chart8.xml"/><Relationship Id="rId227" Type="http://schemas.openxmlformats.org/officeDocument/2006/relationships/header" Target="header1.xml"/><Relationship Id="rId201" Type="http://schemas.openxmlformats.org/officeDocument/2006/relationships/diagramColors" Target="diagrams/colors1.xml"/><Relationship Id="rId222" Type="http://schemas.openxmlformats.org/officeDocument/2006/relationships/hyperlink" Target="file:///C:\Users\User\Desktop\-------&#1057;&#1073;&#1086;&#1088;&#1085;&#1080;&#1082;.&#1050;&#1086;&#1085;&#1092;&#1077;&#1088;&#1077;&#1085;&#1094;&#1080;&#1103;.%20&#1048;&#1055;.%202019.docx" TargetMode="External"/><Relationship Id="rId12" Type="http://schemas.openxmlformats.org/officeDocument/2006/relationships/hyperlink" Target="http://www.hklii.hk/eng/hk/legis/ord/32/s2.html" TargetMode="External"/><Relationship Id="rId17" Type="http://schemas.openxmlformats.org/officeDocument/2006/relationships/hyperlink" Target="https://www.lexology.com/library/detail.aspx?g=26eaaa10-7d66-4767-8f6f-cda27bf24e2e" TargetMode="External"/><Relationship Id="rId33" Type="http://schemas.openxmlformats.org/officeDocument/2006/relationships/hyperlink" Target="http://www.npc.gov.cn/englishnpc/Law/2011-02/16/content_1620761.htm" TargetMode="External"/><Relationship Id="rId38" Type="http://schemas.openxmlformats.org/officeDocument/2006/relationships/hyperlink" Target="http://www.strana-oz.ru/2004/6/gosudarstvenno-chastnoe-partnerstvo-v-rossii-problemy-stanovleniya" TargetMode="External"/><Relationship Id="rId59" Type="http://schemas.openxmlformats.org/officeDocument/2006/relationships/hyperlink" Target="https://asia-business.ru/law/law3/building/" TargetMode="External"/><Relationship Id="rId103" Type="http://schemas.openxmlformats.org/officeDocument/2006/relationships/hyperlink" Target="https://www.sudact.ru/arbitral/doc/6rd5T6XbXUrP" TargetMode="External"/><Relationship Id="rId108" Type="http://schemas.openxmlformats.org/officeDocument/2006/relationships/hyperlink" Target="https://www.sudact.ru/arbitral/doc/Tbf8ltr5RRLr" TargetMode="External"/><Relationship Id="rId124" Type="http://schemas.openxmlformats.org/officeDocument/2006/relationships/hyperlink" Target="https://cyberleninka.ru/article/n/gosudarstvennye-korporatsii-i-ih-rol-v-innovatsionnom-razvitii-rossiyskoy-ekonomiki" TargetMode="External"/><Relationship Id="rId129" Type="http://schemas.openxmlformats.org/officeDocument/2006/relationships/hyperlink" Target="http://www.consultant.ru/document/cons_doc_LAW_6542/" TargetMode="External"/><Relationship Id="rId54" Type="http://schemas.openxmlformats.org/officeDocument/2006/relationships/hyperlink" Target="http://www.consultant.ru/document/cons_doc_LAW_51040/" TargetMode="External"/><Relationship Id="rId70" Type="http://schemas.openxmlformats.org/officeDocument/2006/relationships/hyperlink" Target="https://www.international-divorce.com/japan_family_courts.htm" TargetMode="External"/><Relationship Id="rId75" Type="http://schemas.openxmlformats.org/officeDocument/2006/relationships/hyperlink" Target="https://www.international-divorce.com/japan_family_courts.htm" TargetMode="External"/><Relationship Id="rId91" Type="http://schemas.openxmlformats.org/officeDocument/2006/relationships/hyperlink" Target="https://rg.ru/2015/12/31/prikaz-dok.html" TargetMode="External"/><Relationship Id="rId96" Type="http://schemas.openxmlformats.org/officeDocument/2006/relationships/hyperlink" Target="http://www.consultant.ru/document/cons_doc_LAW_33773/" TargetMode="External"/><Relationship Id="rId140" Type="http://schemas.openxmlformats.org/officeDocument/2006/relationships/hyperlink" Target="http://www.consultant.ru/document/cons_doc_LAW_28399/" TargetMode="External"/><Relationship Id="rId145" Type="http://schemas.openxmlformats.org/officeDocument/2006/relationships/hyperlink" Target="http://www.justicemaker.ru/view-article.php?id=22&amp;art=3768" TargetMode="External"/><Relationship Id="rId161" Type="http://schemas.openxmlformats.org/officeDocument/2006/relationships/hyperlink" Target="consultantplus://offline/ref=2E519B7FEB8AFA5F82A4F13572AC7B778060E04A3F8D1D0836E59EC97F0D706F7B321DD2C1D4D8DA43502741D59FE8194AF491643725TEO" TargetMode="External"/><Relationship Id="rId166" Type="http://schemas.openxmlformats.org/officeDocument/2006/relationships/hyperlink" Target="http://www.consultant.ru/document/cons_doc_LAW_220113/" TargetMode="External"/><Relationship Id="rId182" Type="http://schemas.openxmlformats.org/officeDocument/2006/relationships/hyperlink" Target="http://www.consultant.ru/document/cons_doc_LAW_28399/" TargetMode="External"/><Relationship Id="rId187" Type="http://schemas.openxmlformats.org/officeDocument/2006/relationships/chart" Target="charts/chart3.xml"/><Relationship Id="rId217" Type="http://schemas.openxmlformats.org/officeDocument/2006/relationships/hyperlink" Target="file:///C:\Users\User\Desktop\-------&#1057;&#1073;&#1086;&#1088;&#1085;&#1080;&#1082;.&#1050;&#1086;&#1085;&#1092;&#1077;&#1088;&#1077;&#1085;&#1094;&#1080;&#1103;.%20&#1048;&#1055;.%202019.docx"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file:///C:\Users\User\Desktop\-------&#1057;&#1073;&#1086;&#1088;&#1085;&#1080;&#1082;.&#1050;&#1086;&#1085;&#1092;&#1077;&#1088;&#1077;&#1085;&#1094;&#1080;&#1103;.%20&#1048;&#1055;.%202019.docx" TargetMode="External"/><Relationship Id="rId23" Type="http://schemas.openxmlformats.org/officeDocument/2006/relationships/hyperlink" Target="https://xn--b1aew.xn--p1ai/Deljatelnost/statistics/migracionnaya/item/12162186/" TargetMode="External"/><Relationship Id="rId28" Type="http://schemas.openxmlformats.org/officeDocument/2006/relationships/hyperlink" Target="http://base.garant.ru/2564581/" TargetMode="External"/><Relationship Id="rId49" Type="http://schemas.openxmlformats.org/officeDocument/2006/relationships/hyperlink" Target="https://cyberleninka.ru/article/v/nekotorye-problemy-primeneniya-definitsii-samovolnaya-postroyka" TargetMode="External"/><Relationship Id="rId114" Type="http://schemas.openxmlformats.org/officeDocument/2006/relationships/hyperlink" Target="https://www.sudact.ru/arbitral/doc/ccB2Ov18J8LU" TargetMode="External"/><Relationship Id="rId119" Type="http://schemas.openxmlformats.org/officeDocument/2006/relationships/hyperlink" Target="https://cyberleninka.ru/article/n/goskorporatsii-v-sovremennoy-rossii-funktsii-struktura-i-osobennosti-deyatelnosti" TargetMode="External"/><Relationship Id="rId44" Type="http://schemas.openxmlformats.org/officeDocument/2006/relationships/hyperlink" Target="http://www.consultant.ru/document/cons_doc_LAW_34154/ddc04c8d5183f11e651ef4286f0a0c82aa1c98a8/" TargetMode="External"/><Relationship Id="rId60" Type="http://schemas.openxmlformats.org/officeDocument/2006/relationships/hyperlink" Target="http://razvod-expert.ru/alimenty/vyplata/" TargetMode="External"/><Relationship Id="rId65" Type="http://schemas.openxmlformats.org/officeDocument/2006/relationships/hyperlink" Target="http://mayaksbor.ru/news/society/chislo_razvodov_v_rf_v_nachale_2019_goda_rezko_sokratilos/" TargetMode="External"/><Relationship Id="rId81" Type="http://schemas.openxmlformats.org/officeDocument/2006/relationships/hyperlink" Target="http://pnu.edu.ru/ru/faculties/full_time/uf/iogip/study/studentsbooks/histsources2/igpzio63/" TargetMode="External"/><Relationship Id="rId86" Type="http://schemas.openxmlformats.org/officeDocument/2006/relationships/hyperlink" Target="http://www.russia-italia.com/documenti/costituzioneitalianarusso.pdf" TargetMode="External"/><Relationship Id="rId130" Type="http://schemas.openxmlformats.org/officeDocument/2006/relationships/hyperlink" Target="http://www.consultant.ru/document/cons_doc_LAW_50799/" TargetMode="External"/><Relationship Id="rId135" Type="http://schemas.openxmlformats.org/officeDocument/2006/relationships/hyperlink" Target="https://www.primorsky.ru/authorities/governor-staff/child/%D0%94%D0%9E%D0%9A%D0%9B%D0%90%D0%94%202017.pdf" TargetMode="External"/><Relationship Id="rId151" Type="http://schemas.openxmlformats.org/officeDocument/2006/relationships/hyperlink" Target="http://www.consultant.ru/document/cons_doc_LAW_161817/" TargetMode="External"/><Relationship Id="rId156" Type="http://schemas.openxmlformats.org/officeDocument/2006/relationships/hyperlink" Target="http://ivo.garant.ru/" TargetMode="External"/><Relationship Id="rId177" Type="http://schemas.openxmlformats.org/officeDocument/2006/relationships/hyperlink" Target="http://www.consultant.ru/document/cons_doc_LAW_71450/" TargetMode="External"/><Relationship Id="rId198" Type="http://schemas.openxmlformats.org/officeDocument/2006/relationships/diagramData" Target="diagrams/data1.xml"/><Relationship Id="rId172" Type="http://schemas.openxmlformats.org/officeDocument/2006/relationships/hyperlink" Target="https://elibrary.ru/contents.asp?id=34540860" TargetMode="External"/><Relationship Id="rId193" Type="http://schemas.openxmlformats.org/officeDocument/2006/relationships/hyperlink" Target="http://www.consultant.ru/cons/cgi/online.cgi?req" TargetMode="External"/><Relationship Id="rId202" Type="http://schemas.microsoft.com/office/2007/relationships/diagramDrawing" Target="diagrams/drawing1.xml"/><Relationship Id="rId207" Type="http://schemas.openxmlformats.org/officeDocument/2006/relationships/chart" Target="charts/chart9.xml"/><Relationship Id="rId223" Type="http://schemas.openxmlformats.org/officeDocument/2006/relationships/image" Target="media/image3.wmf"/><Relationship Id="rId228" Type="http://schemas.openxmlformats.org/officeDocument/2006/relationships/fontTable" Target="fontTable.xml"/><Relationship Id="rId13" Type="http://schemas.openxmlformats.org/officeDocument/2006/relationships/hyperlink" Target="http://www.hklii.hk/eng/hk/legis/ord/32/s2.html" TargetMode="External"/><Relationship Id="rId18" Type="http://schemas.openxmlformats.org/officeDocument/2006/relationships/hyperlink" Target="https://www.iflr.com/Article/3458458/2015-Insolvency-and-Corporate-Reorganisation-Report-Hong-Kong.html?ArticleId=3458458" TargetMode="External"/><Relationship Id="rId39" Type="http://schemas.openxmlformats.org/officeDocument/2006/relationships/hyperlink" Target="https://www.imemo.ru/files/File/ru/publ/2014/2014_022" TargetMode="External"/><Relationship Id="rId109" Type="http://schemas.openxmlformats.org/officeDocument/2006/relationships/hyperlink" Target="https://www.sudact.ru/arbitral/doc/Rh2zPuSDfaN" TargetMode="External"/><Relationship Id="rId34" Type="http://schemas.openxmlformats.org/officeDocument/2006/relationships/hyperlink" Target="https://www.govinfo.gov/content/pkg/USCODE-2010-title17/html/USCODE-2010-title17-chap5-sec506.htm" TargetMode="External"/><Relationship Id="rId50" Type="http://schemas.openxmlformats.org/officeDocument/2006/relationships/hyperlink" Target="https://elibrary.ru/download/elibrary_27158291_98538491.pdf" TargetMode="External"/><Relationship Id="rId55" Type="http://schemas.openxmlformats.org/officeDocument/2006/relationships/hyperlink" Target="http://www.consultant.ru/document/cons_doc_LAW_100466/" TargetMode="External"/><Relationship Id="rId76" Type="http://schemas.openxmlformats.org/officeDocument/2006/relationships/hyperlink" Target="http://www.japaneselawtranslation.go.jp/law/detail/?id=2252&amp;vm=04&amp;re=01" TargetMode="External"/><Relationship Id="rId97" Type="http://schemas.openxmlformats.org/officeDocument/2006/relationships/hyperlink" Target="http://www.consultant.ru/document/cons_doc_LAW_5142/" TargetMode="External"/><Relationship Id="rId104" Type="http://schemas.openxmlformats.org/officeDocument/2006/relationships/hyperlink" Target="https://www.sudact.ru/arbitral/doc/AYqKbPLFLdHb/" TargetMode="External"/><Relationship Id="rId120" Type="http://schemas.openxmlformats.org/officeDocument/2006/relationships/hyperlink" Target="https://rosatom.ru/upload/iblock/e5d/e5d0fefbd69c8d8a779ef817be2a63d0.pdf" TargetMode="External"/><Relationship Id="rId125" Type="http://schemas.openxmlformats.org/officeDocument/2006/relationships/hyperlink" Target="http://www.titan2.ru/holding/today" TargetMode="External"/><Relationship Id="rId141" Type="http://schemas.openxmlformats.org/officeDocument/2006/relationships/hyperlink" Target="https://62.xn--b1aew.xn--p1ai/press_slujba/press_reliz/item/546406/" TargetMode="External"/><Relationship Id="rId146" Type="http://schemas.openxmlformats.org/officeDocument/2006/relationships/hyperlink" Target="http://base.spinform.ru/show_doc.fwx?rgn=77612" TargetMode="External"/><Relationship Id="rId167" Type="http://schemas.openxmlformats.org/officeDocument/2006/relationships/hyperlink" Target="http://www.consultant.ru/document/cons_doc_LAW_220113/" TargetMode="External"/><Relationship Id="rId188" Type="http://schemas.openxmlformats.org/officeDocument/2006/relationships/chart" Target="charts/chart4.xml"/><Relationship Id="rId7" Type="http://schemas.openxmlformats.org/officeDocument/2006/relationships/footnotes" Target="footnotes.xml"/><Relationship Id="rId71" Type="http://schemas.openxmlformats.org/officeDocument/2006/relationships/hyperlink" Target="https://esstu.ru/library/free/Konf/SocialRab/" TargetMode="External"/><Relationship Id="rId92" Type="http://schemas.openxmlformats.org/officeDocument/2006/relationships/hyperlink" Target="https://sudact.ru/regular/doc/l5K3CCtaEc58/?regular-txt=&amp;regular-case_doc=&amp;regular-lawchunkinfo=%D0%A1%D1%82%D0%B0%D1%82%D1%8C%D1%8F+273.+%D0%9F%D0%B5%D1%80%D0%B5%D1%85%D0%BE%D0%B4+%D0%BF%D1%80%D0%B0%D0%B2%D0%B0+%D0%BD%D0%B0+%D0%B7%D0%B5%D0%BC%D0%B5%D0%BB%D1%8C%D0%BD%D1%8B%D0%B9+%D1%83%D1%87%D0%B0%D1%81%D1%82%D0%BE%D0%BA+%D0%BF%D1%80%D0%B8+%D0%BE%D1%82%D1%87%D1%83%D0%B6%D0%B4%D0%B5%D0%BD%D0%B8%D0%B8+%D0%BD%D0%B0%D1%85%D0%BE%D0%B4%D1%8F%D1%89%D0%B8%D1%85%D1%81%D1%8F+%D0%BD%D0%B0+%D0%BD%D0%B5%D0%BC+%D0%B7%D0%B4%D0%B0%D0%BD%D0%B8%D0%B9+%D0%B8%D0%BB%D0%B8+%D1%81%D0%BE%D0%BE%D1%80%D1%83%D0%B6%D0%B5%D0%BD%D0%B8%D0%B9%28%D0%93%D0%9A+%D0%A0%D0%A4%29&amp;regular-doc_type=&amp;regular-date_from=01.01.2018&amp;regular-date_to=11.04.2019&amp;regular-workflow_stage=&amp;regular-area=1049&amp;regular-court=&amp;regular-judge=&amp;_=1555574197060" TargetMode="External"/><Relationship Id="rId162" Type="http://schemas.openxmlformats.org/officeDocument/2006/relationships/hyperlink" Target="consultantplus://offline/ref=1EE389C0AF8615065B1E2472540ECC8A7502F6F958759F072EA2E16D4D64253412920D5D5CB35385724C6D4183u739I" TargetMode="External"/><Relationship Id="rId183" Type="http://schemas.openxmlformats.org/officeDocument/2006/relationships/hyperlink" Target="http://www.consultant.ru/document/cons_doc_LAW_46936/" TargetMode="External"/><Relationship Id="rId213" Type="http://schemas.openxmlformats.org/officeDocument/2006/relationships/hyperlink" Target="file:///C:\Users\User\Desktop\-------&#1057;&#1073;&#1086;&#1088;&#1085;&#1080;&#1082;.&#1050;&#1086;&#1085;&#1092;&#1077;&#1088;&#1077;&#1085;&#1094;&#1080;&#1103;.%20&#1048;&#1055;.%202019.docx" TargetMode="External"/><Relationship Id="rId218" Type="http://schemas.openxmlformats.org/officeDocument/2006/relationships/hyperlink" Target="file:///C:\Users\User\Desktop\-------&#1057;&#1073;&#1086;&#1088;&#1085;&#1080;&#1082;.&#1050;&#1086;&#1085;&#1092;&#1077;&#1088;&#1077;&#1085;&#1094;&#1080;&#1103;.%20&#1048;&#1055;.%202019.docx" TargetMode="External"/><Relationship Id="rId2" Type="http://schemas.openxmlformats.org/officeDocument/2006/relationships/numbering" Target="numbering.xml"/><Relationship Id="rId29" Type="http://schemas.openxmlformats.org/officeDocument/2006/relationships/hyperlink" Target="http://www.mid.ru/foreign_policy/international_contracts/2_contract/-/storage-viewer/bilateral/page-87/45009" TargetMode="External"/><Relationship Id="rId24" Type="http://schemas.openxmlformats.org/officeDocument/2006/relationships/hyperlink" Target="https://xn--b1aew.xn--p1ai/Deljatelnost/statistics/migracionnaya/item/15850787/" TargetMode="External"/><Relationship Id="rId40" Type="http://schemas.openxmlformats.org/officeDocument/2006/relationships/hyperlink" Target="mailto:vlazarevph@gmail.com" TargetMode="External"/><Relationship Id="rId45" Type="http://schemas.openxmlformats.org/officeDocument/2006/relationships/hyperlink" Target="http://legal.un.org/ilc/publications/yearbooks/russian/ilc_2001_v2_p2.pdf" TargetMode="External"/><Relationship Id="rId66" Type="http://schemas.openxmlformats.org/officeDocument/2006/relationships/hyperlink" Target="https://matome.naver.jp/odai/2135934983301998101" TargetMode="External"/><Relationship Id="rId87" Type="http://schemas.openxmlformats.org/officeDocument/2006/relationships/hyperlink" Target="http://mosaiikki.info/lakiasiat/files/Finlex-Zakon-o-zashcite-detei-ru20070417.pdf" TargetMode="External"/><Relationship Id="rId110" Type="http://schemas.openxmlformats.org/officeDocument/2006/relationships/hyperlink" Target="https://www.sudact.ru/arbitral/doc/gz0h1GYhaU1L/?page=16&amp;arbitral-" TargetMode="External"/><Relationship Id="rId115" Type="http://schemas.openxmlformats.org/officeDocument/2006/relationships/hyperlink" Target="http://www.consultant.ru/document/cons_doc_LAW_103038/" TargetMode="External"/><Relationship Id="rId131" Type="http://schemas.openxmlformats.org/officeDocument/2006/relationships/hyperlink" Target="http://www.consultant.ru/document/cons_doc_LAW_34661/" TargetMode="External"/><Relationship Id="rId136" Type="http://schemas.openxmlformats.org/officeDocument/2006/relationships/hyperlink" Target="http://crimestat.ru/offenses_chart" TargetMode="External"/><Relationship Id="rId157" Type="http://schemas.openxmlformats.org/officeDocument/2006/relationships/hyperlink" Target="http://sudact.ru/regular/doc/%201KmWTdMX4qHo/?regular-txt=&amp;regular-case_doc=1-878%2F1%2F2017&amp;regular-lawc%20hunk%20info%20=&amp;regular-doc_type=&amp;%20regular-date_from=01.06.2017&amp;regular-date_to=01.06.2018&amp;regular-work%20flow_stage=&amp;regular-area=&amp;regular-court=&amp;regular-judge=&amp;_=1549%20502373593" TargetMode="External"/><Relationship Id="rId178" Type="http://schemas.openxmlformats.org/officeDocument/2006/relationships/hyperlink" Target="http://www.consultant.ru/document/cons_doc_LAW_23509/" TargetMode="External"/><Relationship Id="rId61" Type="http://schemas.openxmlformats.org/officeDocument/2006/relationships/hyperlink" Target="http://www.consultant.ru/document/cons_doc_LAW_28399/" TargetMode="External"/><Relationship Id="rId82" Type="http://schemas.openxmlformats.org/officeDocument/2006/relationships/hyperlink" Target="http://www.legislation.gov.uk/ukpga/1996/27/contents" TargetMode="External"/><Relationship Id="rId152" Type="http://schemas.openxmlformats.org/officeDocument/2006/relationships/hyperlink" Target="http://www.consultant.ru/document/cons_doc_LAW_161817/" TargetMode="External"/><Relationship Id="rId173" Type="http://schemas.openxmlformats.org/officeDocument/2006/relationships/hyperlink" Target="https://elibrary.ru/contents.asp?id=34540860&amp;selid=30305235" TargetMode="External"/><Relationship Id="rId194" Type="http://schemas.openxmlformats.org/officeDocument/2006/relationships/hyperlink" Target="http://www.consultant.ru/" TargetMode="External"/><Relationship Id="rId199" Type="http://schemas.openxmlformats.org/officeDocument/2006/relationships/diagramLayout" Target="diagrams/layout1.xml"/><Relationship Id="rId203" Type="http://schemas.openxmlformats.org/officeDocument/2006/relationships/image" Target="media/image2.png"/><Relationship Id="rId208" Type="http://schemas.openxmlformats.org/officeDocument/2006/relationships/hyperlink" Target="consultantplus://offline/ref=31682BCCCCB2E7BE27B9414D1B21E5DAF0F6CA3FE38B4E6F85DEBD1F929E3A1BCE4EEBD86D7B77C9vBtBE" TargetMode="External"/><Relationship Id="rId229" Type="http://schemas.openxmlformats.org/officeDocument/2006/relationships/theme" Target="theme/theme1.xml"/><Relationship Id="rId19" Type="http://schemas.openxmlformats.org/officeDocument/2006/relationships/hyperlink" Target="http://www.cdep.ru/index.php?id=79&amp;item=4476" TargetMode="External"/><Relationship Id="rId224" Type="http://schemas.openxmlformats.org/officeDocument/2006/relationships/oleObject" Target="embeddings/oleObject1.bin"/><Relationship Id="rId14" Type="http://schemas.openxmlformats.org/officeDocument/2006/relationships/hyperlink" Target="http://www.hklii.hk/eng/hk/legis/ord/32/s2.html" TargetMode="External"/><Relationship Id="rId30" Type="http://schemas.openxmlformats.org/officeDocument/2006/relationships/hyperlink" Target="http://www.mid.ru/en/foreign_policy/international_contracts/2_contract/-/storage-viewer/bilateral/page-215/46812" TargetMode="External"/><Relationship Id="rId35" Type="http://schemas.openxmlformats.org/officeDocument/2006/relationships/hyperlink" Target="http://www.sipo.gov.cn/mtjj/2012/201206/t20120614_708736.html" TargetMode="External"/><Relationship Id="rId56" Type="http://schemas.openxmlformats.org/officeDocument/2006/relationships/hyperlink" Target="http://www.consultant.ru/document/cons_doc_LAW_160427/" TargetMode="External"/><Relationship Id="rId77" Type="http://schemas.openxmlformats.org/officeDocument/2006/relationships/hyperlink" Target="http://www.consultant.ru/document/cons_doc_LAW_8982" TargetMode="External"/><Relationship Id="rId100" Type="http://schemas.openxmlformats.org/officeDocument/2006/relationships/hyperlink" Target="https://sudact.ru/regular/doc/QbaXrzBmboW8/?regular-txt=&amp;regular-case_doc=&amp;regular-lawchunkinfo=%D0%A1%D1%82%D0%B0%D1%82%D1%8C%D1%8F+272.+%D0%9F%D0%BE%D1%81%D0%BB%D0%B5%D0%B4%D1%81%D1%82%D0%B2%D0%B8%D1%8F+%D1%83%D1%82%D1%80%D0%B0%D1%82%D1%8B+%D1%81%D0%BE%D0%B1%D1%81%D1%82%D0%B2%D0%B5%D0%BD%D0%BD%D0%B8%D0%BA%D0%BE%D0%BC+%D0%BD%D0%B5%D0%B4%D0%B2%D0%B8%D0%B6%D0%B8%D0%BC%D0%BE%D1%81%D1%82%D0%B8+%D0%BF%D1%80%D0%B0%D0%B2%D0%B0+%D0%BF%D0%BE%D0%BB%D1%8C%D0%B7%D0%BE%D0%B2%D0%B0%D0%BD%D0%B8%D1%8F+%D0%B7%D0%B5%D0%BC%D0%B5%D0%BB%D1%8C%D0%BD%D1%8B%D0%BC+%D1%83%D1%87%D0%B0%D1%81%D1%82%D0%BA%D0%BE%D0%BC%28%D0%93%D0%9A+%D0%A0%D0%A4%29&amp;regular-doc_type=&amp;regular-date_from=01.01.2018&amp;regular-date_to=11.04.2019&amp;regular-workflow_stage=&amp;regular-area=1049&amp;regular-court=&amp;regular-judge=&amp;_=1555656332817" TargetMode="External"/><Relationship Id="rId105" Type="http://schemas.openxmlformats.org/officeDocument/2006/relationships/hyperlink" Target="https://www.sudact.ru/arbitral/doc/OzWX24iimoT" TargetMode="External"/><Relationship Id="rId126" Type="http://schemas.openxmlformats.org/officeDocument/2006/relationships/hyperlink" Target="http://www.consultant.ru/document/cons_doc_LAW_8824/" TargetMode="External"/><Relationship Id="rId147" Type="http://schemas.openxmlformats.org/officeDocument/2006/relationships/hyperlink" Target="http://etalonline.by/?type=text&amp;regnum=HK9900295" TargetMode="External"/><Relationship Id="rId168" Type="http://schemas.openxmlformats.org/officeDocument/2006/relationships/hyperlink" Target="http://www.consultant.ru/document/cons_doc_LAW_308817/" TargetMode="External"/><Relationship Id="rId8" Type="http://schemas.openxmlformats.org/officeDocument/2006/relationships/endnotes" Target="endnotes.xml"/><Relationship Id="rId51" Type="http://schemas.openxmlformats.org/officeDocument/2006/relationships/hyperlink" Target="https://elibrary.ru/download/elibrary_30735416_59245889.pdf" TargetMode="External"/><Relationship Id="rId72" Type="http://schemas.openxmlformats.org/officeDocument/2006/relationships/hyperlink" Target="http://www.japaneselawtranslation.go.jp/law/detail/?id=2252&amp;vm=04&amp;re=02" TargetMode="External"/><Relationship Id="rId93" Type="http://schemas.openxmlformats.org/officeDocument/2006/relationships/hyperlink" Target="https://sudact.ru/law/federalnyi-zakon-ot-25102001-n-137-fz-o/" TargetMode="External"/><Relationship Id="rId98" Type="http://schemas.openxmlformats.org/officeDocument/2006/relationships/hyperlink" Target="https://sudact.ru/regular/court/7rMwE1Gh2YLf/" TargetMode="External"/><Relationship Id="rId121" Type="http://schemas.openxmlformats.org/officeDocument/2006/relationships/hyperlink" Target="http://www.consultant.ru/document/cons_doc_LAW_53088/" TargetMode="External"/><Relationship Id="rId142" Type="http://schemas.openxmlformats.org/officeDocument/2006/relationships/hyperlink" Target="http://docs.cntd.ru/document/494220986" TargetMode="External"/><Relationship Id="rId163" Type="http://schemas.openxmlformats.org/officeDocument/2006/relationships/hyperlink" Target="mailto:maskim.le@bk.ru" TargetMode="External"/><Relationship Id="rId184" Type="http://schemas.openxmlformats.org/officeDocument/2006/relationships/image" Target="media/image1.png"/><Relationship Id="rId189" Type="http://schemas.openxmlformats.org/officeDocument/2006/relationships/chart" Target="charts/chart5.xml"/><Relationship Id="rId219" Type="http://schemas.openxmlformats.org/officeDocument/2006/relationships/hyperlink" Target="file:///C:\Users\User\Desktop\-------&#1057;&#1073;&#1086;&#1088;&#1085;&#1080;&#1082;.&#1050;&#1086;&#1085;&#1092;&#1077;&#1088;&#1077;&#1085;&#1094;&#1080;&#1103;.%20&#1048;&#1055;.%202019.docx" TargetMode="External"/><Relationship Id="rId3" Type="http://schemas.openxmlformats.org/officeDocument/2006/relationships/styles" Target="styles.xml"/><Relationship Id="rId214" Type="http://schemas.openxmlformats.org/officeDocument/2006/relationships/hyperlink" Target="file:///C:\Users\User\Desktop\-------&#1057;&#1073;&#1086;&#1088;&#1085;&#1080;&#1082;.&#1050;&#1086;&#1085;&#1092;&#1077;&#1088;&#1077;&#1085;&#1094;&#1080;&#1103;.%20&#1048;&#1055;.%202019.docx" TargetMode="External"/><Relationship Id="rId25" Type="http://schemas.openxmlformats.org/officeDocument/2006/relationships/hyperlink" Target="https://www.lawmix.ru/abrolaw/13064" TargetMode="External"/><Relationship Id="rId46" Type="http://schemas.openxmlformats.org/officeDocument/2006/relationships/hyperlink" Target="http://www.consultant.ru/document/cons_doc_LAW_5142/%23dst0" TargetMode="External"/><Relationship Id="rId67" Type="http://schemas.openxmlformats.org/officeDocument/2006/relationships/hyperlink" Target="https://research-journal.org/culture/osobennosti-razvoda-v-sovremennoj-yaponii" TargetMode="External"/><Relationship Id="rId116" Type="http://schemas.openxmlformats.org/officeDocument/2006/relationships/hyperlink" Target="mailto:alensun@list.ru" TargetMode="External"/><Relationship Id="rId137" Type="http://schemas.openxmlformats.org/officeDocument/2006/relationships/hyperlink" Target="https://sledcom.ru/activities/statistic" TargetMode="External"/><Relationship Id="rId158" Type="http://schemas.openxmlformats.org/officeDocument/2006/relationships/hyperlink" Target="http://www.procuror" TargetMode="External"/><Relationship Id="rId20" Type="http://schemas.openxmlformats.org/officeDocument/2006/relationships/hyperlink" Target="http://www.consultant.ru/document/cons_doc_LAW_8982/" TargetMode="External"/><Relationship Id="rId41" Type="http://schemas.openxmlformats.org/officeDocument/2006/relationships/hyperlink" Target="https://pravo.studio/gosudarstva-prava_1066-teoriya/otvetstvennost-mejdunarodnom-prave-79642.html" TargetMode="External"/><Relationship Id="rId62" Type="http://schemas.openxmlformats.org/officeDocument/2006/relationships/hyperlink" Target="http://www.consultant.ru/document/cons_doc_LAW_8982/" TargetMode="External"/><Relationship Id="rId83" Type="http://schemas.openxmlformats.org/officeDocument/2006/relationships/hyperlink" Target="http://pnu.edu.ru/ru/faculties/full_time/uf/iogip/study/studentsbooks/histsources2/igpzio63/" TargetMode="External"/><Relationship Id="rId88" Type="http://schemas.openxmlformats.org/officeDocument/2006/relationships/hyperlink" Target="http://www.consultant.ru/document/cons_doc_LAW_313891/acf1e29f7c0d593ace6ea1bdfea8b48b5fc87a70/" TargetMode="External"/><Relationship Id="rId111" Type="http://schemas.openxmlformats.org/officeDocument/2006/relationships/hyperlink" Target="https://www.sudact.ru/arbitral/doc/IbYtMYmmJVbW" TargetMode="External"/><Relationship Id="rId132" Type="http://schemas.openxmlformats.org/officeDocument/2006/relationships/hyperlink" Target="http://www.consultant.ru/document/cons_doc_LAW_77647/" TargetMode="External"/><Relationship Id="rId153" Type="http://schemas.openxmlformats.org/officeDocument/2006/relationships/hyperlink" Target="http://www.consultant.ru/document/cons_doc_LAW_161817/" TargetMode="External"/><Relationship Id="rId174" Type="http://schemas.openxmlformats.org/officeDocument/2006/relationships/hyperlink" Target="https://cyberleninka.ru/journal/n/pravoporyadok-istoriya-teoriya-praktika" TargetMode="External"/><Relationship Id="rId179" Type="http://schemas.openxmlformats.org/officeDocument/2006/relationships/hyperlink" Target="http://base.garant.ru/12133556/" TargetMode="External"/><Relationship Id="rId195" Type="http://schemas.openxmlformats.org/officeDocument/2006/relationships/hyperlink" Target="http://www.szrf.ru/szrf/doc.phtml?nb=107&amp;issid=1072011001000&amp;docid=31" TargetMode="External"/><Relationship Id="rId209" Type="http://schemas.openxmlformats.org/officeDocument/2006/relationships/hyperlink" Target="file:///C:\Users\User\Desktop\-------&#1057;&#1073;&#1086;&#1088;&#1085;&#1080;&#1082;.&#1050;&#1086;&#1085;&#1092;&#1077;&#1088;&#1077;&#1085;&#1094;&#1080;&#1103;.%20&#1048;&#1055;.%202019.docx" TargetMode="External"/><Relationship Id="rId190" Type="http://schemas.openxmlformats.org/officeDocument/2006/relationships/hyperlink" Target="http://www.consultant.ru/cons/cgi/online.cgi?req=doc&amp;ts=8384431407383331929368866&amp;cacheid=B829D476A9C65CFC812D1F767D753D61&amp;mode=splus&amp;base=LAW&amp;n=322450&amp;rnd=0.7666540104751058" TargetMode="External"/><Relationship Id="rId204" Type="http://schemas.openxmlformats.org/officeDocument/2006/relationships/chart" Target="charts/chart6.xml"/><Relationship Id="rId220" Type="http://schemas.openxmlformats.org/officeDocument/2006/relationships/hyperlink" Target="file:///C:\Users\User\Desktop\-------&#1057;&#1073;&#1086;&#1088;&#1085;&#1080;&#1082;.&#1050;&#1086;&#1085;&#1092;&#1077;&#1088;&#1077;&#1085;&#1094;&#1080;&#1103;.%20&#1048;&#1055;.%202019.docx" TargetMode="External"/><Relationship Id="rId225" Type="http://schemas.openxmlformats.org/officeDocument/2006/relationships/hyperlink" Target="mailto:dza@primorsky.ru" TargetMode="External"/><Relationship Id="rId15" Type="http://schemas.openxmlformats.org/officeDocument/2006/relationships/hyperlink" Target="http://www.hklii.hk/eng/hk/legis/ord/32/s2.html" TargetMode="External"/><Relationship Id="rId36" Type="http://schemas.openxmlformats.org/officeDocument/2006/relationships/hyperlink" Target="http://www.japaneselawtranslation.go.jp/law/detail/?id=2088&amp;vm=04&amp;re=02" TargetMode="External"/><Relationship Id="rId57" Type="http://schemas.openxmlformats.org/officeDocument/2006/relationships/hyperlink" Target="https://elibrary.ru/download/elibrary_22003762_57003304.pdf" TargetMode="External"/><Relationship Id="rId106" Type="http://schemas.openxmlformats.org/officeDocument/2006/relationships/hyperlink" Target="https://www.sudact.ru/arbitral/doc/G6trHOjr26dX" TargetMode="External"/><Relationship Id="rId127" Type="http://schemas.openxmlformats.org/officeDocument/2006/relationships/hyperlink" Target="http://ecsocman.hse.ru/data/474/883/1219/journal5.4-11.pdf" TargetMode="External"/><Relationship Id="rId10" Type="http://schemas.openxmlformats.org/officeDocument/2006/relationships/hyperlink" Target="http://sbf-group.com" TargetMode="External"/><Relationship Id="rId31" Type="http://schemas.openxmlformats.org/officeDocument/2006/relationships/hyperlink" Target="http://www.consultant.ru/document/cons_doc_LAW_34683/" TargetMode="External"/><Relationship Id="rId52" Type="http://schemas.openxmlformats.org/officeDocument/2006/relationships/hyperlink" Target="https://www.lawmix.ru/comm/2565" TargetMode="External"/><Relationship Id="rId73" Type="http://schemas.openxmlformats.org/officeDocument/2006/relationships/hyperlink" Target="https://travel.state.gov/content/travel/en/Intercountry-Adoption/Intercountry-Adoption-Country-Information/Japan.html" TargetMode="External"/><Relationship Id="rId78" Type="http://schemas.openxmlformats.org/officeDocument/2006/relationships/hyperlink" Target="http://www.consultant.ru/%20document/cons_doc_LAW_314643/" TargetMode="External"/><Relationship Id="rId94" Type="http://schemas.openxmlformats.org/officeDocument/2006/relationships/hyperlink" Target="https://sudact.ru/regular/doc/XM2R5cY4vxQQ/?regular-txt=&amp;regular-case_doc=&amp;regular-lawchunkinfo=%D0%A1%D1%82%D0%B0%D1%82%D1%8C%D1%8F+39.20.+%D0%9E%D1%81%D0%BE%D0%B1%D0%B5%D0%BD%D0%BD%D0%BE%D1%81%D1%82%D0%B8+%D0%BF%D1%80%D0%B5%D0%B4%D0%BE%D1%81%D1%82%D0%B0%D0%B2%D0%BB%D0%B5%D0%BD%D0%B8%D1%8F+%D0%B7%D0%B5%D0%BC%D0%B5%D0%BB%D1%8C%D0%BD%D0%BE%D0%B3%D0%BE+%D1%83%D1%87%D0%B0%D1%81%D1%82%D0%BA%D0%B0%2C+%D0%BD%D0%B0%D1%85%D0%BE%D0%B4%D1%8F%D1%89%D0%B5%D0%B3%D0%BE%D1%81%D1%8F+%D0%B2+%D0%B3%D0%BE%D1%81%D1%83%D0%B4%D0%B0%D1%80%D1%81%D1%82%D0%B2%D0%B5%D0%BD%D0%BD%D0%BE%D0%B9+%D0%B8%D0%BB%D0%B8+%D0%BC%D1%83%D0%BD%D0%B8%D1%86%D0%B8%D0%BF%D0%B0%D0%BB%D1%8C%D0%BD%D0%BE%D0%B9+%D1%81%D0%BE%D0%B1%D1%81%D1%82%D0%B2%D0%B5%D0%BD%D0%BD%D0%BE%D1%81%D1%82%D0%B8%2C+%D0%BD%D0%B0+%D0%BA%D0%BE%D1%82%D0%BE%D1%80%D0%BE%D0%BC+%D1%80%D0%B0%D1%81%D0%BF%D0%BE%D0%BB%D0%BE%D0%B6%D0%B5%D0%BD%D1%8B+%D0%B7%D0%B4%D0%B0%D0%BD%D0%B8%D0%B5%2C+%D1%81%D0%BE%D0%BE%D1%80%D1%83%D0%B6%D0%B5%D0%BD%D0%B8%D0%B5%28%D0%97%D0%B5%D0%BC%D0%B5%D0%BB%D1%8C%D0%BD%D1%8B%D0%B9+%D0%BA%D0%BE%D0%B4%D0%B5%D0%BA%D1%81%29&amp;regular-doc_type=&amp;regular-date_from=01.01.2018&amp;regular-date_to=11.04.2019&amp;regular-workflow_stage=&amp;regular-area=1049&amp;regular-court=&amp;regular-judge=&amp;_=1555632388001" TargetMode="External"/><Relationship Id="rId99" Type="http://schemas.openxmlformats.org/officeDocument/2006/relationships/hyperlink" Target="https://sudact.ru/regular/doc/XM2R5cY4vxQQ/?regular-txt=&amp;regular-case_doc=&amp;regular-lawchunkinfo=%D0%A1%D1%82%D0%B0%D1%82%D1%8C%D1%8F+39.20.+%D0%9E%D1%81%D0%BE%D0%B1%D0%B5%D0%BD%D0%BD%D0%BE%D1%81%D1%82%D0%B8+%D0%BF%D1%80%D0%B5%D0%B4%D0%BE%D1%81%D1%82%D0%B0%D0%B2%D0%BB%D0%B5%D0%BD%D0%B8%D1%8F+%D0%B7%D0%B5%D0%BC%D0%B5%D0%BB%D1%8C%D0%BD%D0%BE%D0%B3%D0%BE+%D1%83%D1%87%D0%B0%D1%81%D1%82%D0%BA%D0%B0%2C+%D0%BD%D0%B0%D1%85%D0%BE%D0%B4%D1%8F%D1%89%D0%B5%D0%B3%D0%BE%D1%81%D1%8F+%D0%B2+%D0%B3%D0%BE%D1%81%D1%83%D0%B4%D0%B0%D1%80%D1%81%D1%82%D0%B2%D0%B5%D0%BD%D0%BD%D0%BE%D0%B9+%D0%B8%D0%BB%D0%B8+%D0%BC%D1%83%D0%BD%D0%B8%D1%86%D0%B8%D0%BF%D0%B0%D0%BB%D1%8C%D0%BD%D0%BE%D0%B9+%D1%81%D0%BE%D0%B1%D1%81%D1%82%D0%B2%D0%B5%D0%BD%D0%BD%D0%BE%D1%81%D1%82%D0%B8%2C+%D0%BD%D0%B0+%D0%BA%D0%BE%D1%82%D0%BE%D1%80%D0%BE%D0%BC+%D1%80%D0%B0%D1%81%D0%BF%D0%BE%D0%BB%D0%BE%D0%B6%D0%B5%D0%BD%D1%8B+%D0%B7%D0%B4%D0%B0%D0%BD%D0%B8%D0%B5%2C+%D1%81%D0%BE%D0%BE%D1%80%D1%83%D0%B6%D0%B5%D0%BD%D0%B8%D0%B5%28%D0%97%D0%B5%D0%BC%D0%B5%D0%BB%D1%8C%D0%BD%D1%8B%D0%B9+%D0%BA%D0%BE%D0%B4%D0%B5%D0%BA%D1%81%29&amp;regular-doc_type=&amp;regular-date_from=01.01.2018&amp;regular-date_to=11.04.2019&amp;regular-workflow_stage=&amp;regular-area=1049&amp;regular-court=&amp;regular-judge=&amp;_=1555632388001" TargetMode="External"/><Relationship Id="rId101" Type="http://schemas.openxmlformats.org/officeDocument/2006/relationships/hyperlink" Target="mailto:tolkacheva_anastasia@mail.ru" TargetMode="External"/><Relationship Id="rId122" Type="http://schemas.openxmlformats.org/officeDocument/2006/relationships/hyperlink" Target="https://veb.ru/files/?file=c229463943bef25153d7342b77d90bd6.pdf" TargetMode="External"/><Relationship Id="rId143" Type="http://schemas.openxmlformats.org/officeDocument/2006/relationships/hyperlink" Target="https://b-ok.org/book/519812/106eb7" TargetMode="External"/><Relationship Id="rId148" Type="http://schemas.openxmlformats.org/officeDocument/2006/relationships/hyperlink" Target="http://online.zakon.kz/Document/?doc_id=31575852" TargetMode="External"/><Relationship Id="rId164" Type="http://schemas.openxmlformats.org/officeDocument/2006/relationships/hyperlink" Target="https://base.garant.ru/12174916/" TargetMode="External"/><Relationship Id="rId169" Type="http://schemas.openxmlformats.org/officeDocument/2006/relationships/hyperlink" Target="https://cyberleninka.ru/journal/n/izvestiya-altayskogo-gosudarstvennogo-universiteta" TargetMode="External"/><Relationship Id="rId185"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hyperlink" Target="mailto:starikova-dasha@mail.ru" TargetMode="External"/><Relationship Id="rId180" Type="http://schemas.openxmlformats.org/officeDocument/2006/relationships/hyperlink" Target="mailto:genyaltobasova@mail.ru" TargetMode="External"/><Relationship Id="rId210" Type="http://schemas.openxmlformats.org/officeDocument/2006/relationships/hyperlink" Target="file:///C:\Users\User\Desktop\-------&#1057;&#1073;&#1086;&#1088;&#1085;&#1080;&#1082;.&#1050;&#1086;&#1085;&#1092;&#1077;&#1088;&#1077;&#1085;&#1094;&#1080;&#1103;.%20&#1048;&#1055;.%202019.docx" TargetMode="External"/><Relationship Id="rId215" Type="http://schemas.openxmlformats.org/officeDocument/2006/relationships/hyperlink" Target="file:///C:\Users\User\Desktop\-------&#1057;&#1073;&#1086;&#1088;&#1085;&#1080;&#1082;.&#1050;&#1086;&#1085;&#1092;&#1077;&#1088;&#1077;&#1085;&#1094;&#1080;&#1103;.%20&#1048;&#1055;.%202019.docx" TargetMode="External"/><Relationship Id="rId26" Type="http://schemas.openxmlformats.org/officeDocument/2006/relationships/hyperlink" Target="http://www.mid.ru/foreign_policy/international_contracts/2_contract/-/storage-viewer/bilateral/page-344/48390" TargetMode="External"/><Relationship Id="rId47" Type="http://schemas.openxmlformats.org/officeDocument/2006/relationships/hyperlink" Target="http://www.consultant.ru/document/cons_doc_LAW_95720/" TargetMode="External"/><Relationship Id="rId68" Type="http://schemas.openxmlformats.org/officeDocument/2006/relationships/hyperlink" Target="http://uristinfo.net/semejnoe-pravo/213-semejnoe-pravo-rossii-lm-pchelintseva.html" TargetMode="External"/><Relationship Id="rId89" Type="http://schemas.openxmlformats.org/officeDocument/2006/relationships/hyperlink" Target="http://www.consultant.ru/document/cons_doc_LAW_130453/" TargetMode="External"/><Relationship Id="rId112" Type="http://schemas.openxmlformats.org/officeDocument/2006/relationships/hyperlink" Target="http://www.consultant.ru/document/cons_doc_LAW_37800/" TargetMode="External"/><Relationship Id="rId133" Type="http://schemas.openxmlformats.org/officeDocument/2006/relationships/hyperlink" Target="http://www.consultant.ru/document/cons_doc_LAW_314646/" TargetMode="External"/><Relationship Id="rId154" Type="http://schemas.openxmlformats.org/officeDocument/2006/relationships/hyperlink" Target="http://ivo.garant.ru/" TargetMode="External"/><Relationship Id="rId175" Type="http://schemas.openxmlformats.org/officeDocument/2006/relationships/hyperlink" Target="http://www.consultant.ru/document/cons_doc_LAW_28399/" TargetMode="External"/><Relationship Id="rId196" Type="http://schemas.openxmlformats.org/officeDocument/2006/relationships/hyperlink" Target="http://ombudsman74.ru/Publications/News/Show?id=204" TargetMode="External"/><Relationship Id="rId200" Type="http://schemas.openxmlformats.org/officeDocument/2006/relationships/diagramQuickStyle" Target="diagrams/quickStyle1.xml"/><Relationship Id="rId16" Type="http://schemas.openxmlformats.org/officeDocument/2006/relationships/hyperlink" Target="https://take-profit.org/statistics/bankruptcies/hong-kong/" TargetMode="External"/><Relationship Id="rId221" Type="http://schemas.openxmlformats.org/officeDocument/2006/relationships/hyperlink" Target="file:///C:\Users\User\Desktop\-------&#1057;&#1073;&#1086;&#1088;&#1085;&#1080;&#1082;.&#1050;&#1086;&#1085;&#1092;&#1077;&#1088;&#1077;&#1085;&#1094;&#1080;&#1103;.%20&#1048;&#1055;.%202019.docx" TargetMode="External"/><Relationship Id="rId37" Type="http://schemas.openxmlformats.org/officeDocument/2006/relationships/hyperlink" Target="mailto:anastasialishuta@gmail.com" TargetMode="External"/><Relationship Id="rId58" Type="http://schemas.openxmlformats.org/officeDocument/2006/relationships/hyperlink" Target="http://chinalawinfo.ru/civil_law/law_real_right" TargetMode="External"/><Relationship Id="rId79" Type="http://schemas.openxmlformats.org/officeDocument/2006/relationships/hyperlink" Target="https://tass.ru/interviews/3917127" TargetMode="External"/><Relationship Id="rId102" Type="http://schemas.openxmlformats.org/officeDocument/2006/relationships/hyperlink" Target="https://www.sudact.ru/arbitral/doc/Rh2zPuSDfaN/?arbitral-" TargetMode="External"/><Relationship Id="rId123" Type="http://schemas.openxmlformats.org/officeDocument/2006/relationships/hyperlink" Target="http://www.roskazna.ru/finansovye-operacii/svedeniya-o-dvizhenii-sredstv-po-schetam/stabilizatsionnyy-fond/svedeniya-o-dvizhenii-sredstv-stabilizatsionnogo-fonda-rf-2004-2007/" TargetMode="External"/><Relationship Id="rId144" Type="http://schemas.openxmlformats.org/officeDocument/2006/relationships/hyperlink" Target="https://legalscience.ru/blizhajshij-nomer/ugolovnyj-protsess-kriminalistika-operativno-rozysknaya-deyatelnost/375-poryadok-dejstvij.html" TargetMode="External"/><Relationship Id="rId90" Type="http://schemas.openxmlformats.org/officeDocument/2006/relationships/hyperlink" Target="http://www.consultant.ru/document/cons_doc_LAW_51057/" TargetMode="External"/><Relationship Id="rId165" Type="http://schemas.openxmlformats.org/officeDocument/2006/relationships/hyperlink" Target="http://www.consultant.ru/document/cons_doc_LAW_298222/" TargetMode="External"/><Relationship Id="rId186" Type="http://schemas.openxmlformats.org/officeDocument/2006/relationships/chart" Target="charts/chart2.xml"/><Relationship Id="rId211" Type="http://schemas.openxmlformats.org/officeDocument/2006/relationships/hyperlink" Target="file:///C:\Users\User\Desktop\-------&#1057;&#1073;&#1086;&#1088;&#1085;&#1080;&#1082;.&#1050;&#1086;&#1085;&#1092;&#1077;&#1088;&#1077;&#1085;&#1094;&#1080;&#1103;.%20&#1048;&#1055;.%202019.doc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4.xml.rels><?xml version="1.0" encoding="UTF-8" standalone="yes"?>
<Relationships xmlns="http://schemas.openxmlformats.org/package/2006/relationships"><Relationship Id="rId1" Type="http://schemas.openxmlformats.org/officeDocument/2006/relationships/oleObject" Target="&#1050;&#1085;&#1080;&#1075;&#1072;2"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50;&#1085;&#1080;&#1075;&#1072;3" TargetMode="Externa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1.xml"/></Relationships>
</file>

<file path=word/charts/_rels/chart7.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2.xml"/></Relationships>
</file>

<file path=word/charts/_rels/chart8.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3.xml"/></Relationships>
</file>

<file path=word/charts/_rels/chart9.xml.rels><?xml version="1.0" encoding="UTF-8" standalone="yes"?>
<Relationships xmlns="http://schemas.openxmlformats.org/package/2006/relationships"><Relationship Id="rId2" Type="http://schemas.openxmlformats.org/officeDocument/2006/relationships/oleObject" Target="NULL" TargetMode="External"/><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176749781277512"/>
          <c:y val="0.11108705161854729"/>
          <c:w val="0.44167038495188182"/>
          <c:h val="0.87243532830001191"/>
        </c:manualLayout>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Лист1!$A$1:$B$1</c:f>
              <c:strCache>
                <c:ptCount val="2"/>
                <c:pt idx="0">
                  <c:v>женщины</c:v>
                </c:pt>
                <c:pt idx="1">
                  <c:v>мужчины</c:v>
                </c:pt>
              </c:strCache>
            </c:strRef>
          </c:cat>
          <c:val>
            <c:numRef>
              <c:f>Лист1!$A$2:$B$2</c:f>
              <c:numCache>
                <c:formatCode>General</c:formatCode>
                <c:ptCount val="2"/>
                <c:pt idx="0">
                  <c:v>7.9</c:v>
                </c:pt>
                <c:pt idx="1">
                  <c:v>92.1</c:v>
                </c:pt>
              </c:numCache>
            </c:numRef>
          </c:val>
        </c:ser>
        <c:dLbls>
          <c:showLegendKey val="0"/>
          <c:showVal val="0"/>
          <c:showCatName val="0"/>
          <c:showSerName val="0"/>
          <c:showPercent val="0"/>
          <c:showBubbleSize val="0"/>
          <c:showLeaderLines val="1"/>
        </c:dLbls>
        <c:firstSliceAng val="0"/>
      </c:pieChart>
    </c:plotArea>
    <c:legend>
      <c:legendPos val="b"/>
      <c:layout>
        <c:manualLayout>
          <c:xMode val="edge"/>
          <c:yMode val="edge"/>
          <c:x val="0.64829068241470511"/>
          <c:y val="0.50424577136191306"/>
          <c:w val="0.3478630796150507"/>
          <c:h val="0.26890237678623508"/>
        </c:manualLayout>
      </c:layout>
      <c:overlay val="0"/>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174814937593097"/>
          <c:y val="0.10509047984908577"/>
          <c:w val="0.45957276870675284"/>
          <c:h val="0.83910771465634915"/>
        </c:manualLayout>
      </c:layout>
      <c:pieChart>
        <c:varyColors val="1"/>
        <c:ser>
          <c:idx val="0"/>
          <c:order val="0"/>
          <c:tx>
            <c:strRef>
              <c:f>Лист1!$B$1</c:f>
              <c:strCache>
                <c:ptCount val="1"/>
                <c:pt idx="0">
                  <c:v>Образование</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Лист1!$A$2:$A$5</c:f>
              <c:strCache>
                <c:ptCount val="4"/>
                <c:pt idx="0">
                  <c:v>Высшее профессиональное</c:v>
                </c:pt>
                <c:pt idx="1">
                  <c:v>Среднее профессиональное</c:v>
                </c:pt>
                <c:pt idx="2">
                  <c:v>Среднее общее</c:v>
                </c:pt>
                <c:pt idx="3">
                  <c:v>Основное общее, начальное</c:v>
                </c:pt>
              </c:strCache>
            </c:strRef>
          </c:cat>
          <c:val>
            <c:numRef>
              <c:f>Лист1!$B$2:$B$5</c:f>
              <c:numCache>
                <c:formatCode>General</c:formatCode>
                <c:ptCount val="4"/>
                <c:pt idx="0">
                  <c:v>34</c:v>
                </c:pt>
                <c:pt idx="1">
                  <c:v>28</c:v>
                </c:pt>
                <c:pt idx="2">
                  <c:v>25</c:v>
                </c:pt>
                <c:pt idx="3">
                  <c:v>11</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0239480763550179"/>
          <c:y val="5.9236920527773934E-2"/>
          <c:w val="0.38189599314403"/>
          <c:h val="0.88152562650646671"/>
        </c:manualLayout>
      </c:layout>
      <c:overlay val="0"/>
      <c:txPr>
        <a:bodyPr/>
        <a:lstStyle/>
        <a:p>
          <a:pPr>
            <a:defRPr sz="1100"/>
          </a:pPr>
          <a:endParaRPr lang="ru-RU"/>
        </a:p>
      </c:txPr>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46234640734265"/>
          <c:y val="0.11269811211599748"/>
          <c:w val="0.45629304104368879"/>
          <c:h val="0.8384926536773657"/>
        </c:manualLayout>
      </c:layout>
      <c:pieChart>
        <c:varyColors val="1"/>
        <c:ser>
          <c:idx val="0"/>
          <c:order val="0"/>
          <c:tx>
            <c:strRef>
              <c:f>Лист1!$B$1</c:f>
              <c:strCache>
                <c:ptCount val="1"/>
                <c:pt idx="0">
                  <c:v>Социальное положение</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Лист1!$A$2:$A$6</c:f>
              <c:strCache>
                <c:ptCount val="5"/>
                <c:pt idx="0">
                  <c:v>рабочие</c:v>
                </c:pt>
                <c:pt idx="1">
                  <c:v>коммерческие служащие</c:v>
                </c:pt>
                <c:pt idx="2">
                  <c:v>учащиеся</c:v>
                </c:pt>
                <c:pt idx="3">
                  <c:v>лица, не имеющие постоянного источника дохода</c:v>
                </c:pt>
                <c:pt idx="4">
                  <c:v>безработные</c:v>
                </c:pt>
              </c:strCache>
            </c:strRef>
          </c:cat>
          <c:val>
            <c:numRef>
              <c:f>Лист1!$B$2:$B$6</c:f>
              <c:numCache>
                <c:formatCode>General</c:formatCode>
                <c:ptCount val="5"/>
                <c:pt idx="0">
                  <c:v>22</c:v>
                </c:pt>
                <c:pt idx="1">
                  <c:v>19</c:v>
                </c:pt>
                <c:pt idx="2">
                  <c:v>6</c:v>
                </c:pt>
                <c:pt idx="3">
                  <c:v>47</c:v>
                </c:pt>
                <c:pt idx="4">
                  <c:v>1</c:v>
                </c:pt>
              </c:numCache>
            </c:numRef>
          </c:val>
        </c:ser>
        <c:dLbls>
          <c:showLegendKey val="0"/>
          <c:showVal val="0"/>
          <c:showCatName val="0"/>
          <c:showSerName val="0"/>
          <c:showPercent val="0"/>
          <c:showBubbleSize val="0"/>
          <c:showLeaderLines val="1"/>
        </c:dLbls>
        <c:firstSliceAng val="0"/>
      </c:pieChart>
    </c:plotArea>
    <c:legend>
      <c:legendPos val="r"/>
      <c:layout>
        <c:manualLayout>
          <c:xMode val="edge"/>
          <c:yMode val="edge"/>
          <c:x val="0.64445060550328981"/>
          <c:y val="3.4354772552197446E-2"/>
          <c:w val="0.3406492434318717"/>
          <c:h val="0.96515588659645701"/>
        </c:manualLayout>
      </c:layout>
      <c:overlay val="0"/>
      <c:txPr>
        <a:bodyPr/>
        <a:lstStyle/>
        <a:p>
          <a:pPr>
            <a:defRPr sz="1000" spc="-100" baseline="0"/>
          </a:pPr>
          <a:endParaRPr lang="ru-RU"/>
        </a:p>
      </c:txPr>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pie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Лист1!$A$1:$C$1</c:f>
              <c:strCache>
                <c:ptCount val="3"/>
                <c:pt idx="0">
                  <c:v>имели неснятую или непогашенную судимость</c:v>
                </c:pt>
                <c:pt idx="1">
                  <c:v>имели снятую или непогашенную судимость</c:v>
                </c:pt>
                <c:pt idx="2">
                  <c:v>несудимы</c:v>
                </c:pt>
              </c:strCache>
            </c:strRef>
          </c:cat>
          <c:val>
            <c:numRef>
              <c:f>Лист1!$A$2:$C$2</c:f>
              <c:numCache>
                <c:formatCode>General</c:formatCode>
                <c:ptCount val="3"/>
                <c:pt idx="0">
                  <c:v>7.9</c:v>
                </c:pt>
                <c:pt idx="1">
                  <c:v>3.1</c:v>
                </c:pt>
                <c:pt idx="2">
                  <c:v>89</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4167322834645767E-2"/>
          <c:y val="5.0925925925925923E-2"/>
          <c:w val="0.53888888888888964"/>
          <c:h val="0.89814814814814814"/>
        </c:manualLayout>
      </c:layout>
      <c:pieChart>
        <c:varyColors val="1"/>
        <c:ser>
          <c:idx val="0"/>
          <c:order val="0"/>
          <c:explosion val="14"/>
          <c:dPt>
            <c:idx val="0"/>
            <c:bubble3D val="0"/>
            <c:explosion val="0"/>
          </c:dPt>
          <c:dPt>
            <c:idx val="1"/>
            <c:bubble3D val="0"/>
            <c:explosion val="70"/>
          </c:dPt>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15:layout/>
              </c:ext>
            </c:extLst>
          </c:dLbls>
          <c:cat>
            <c:strRef>
              <c:f>Лист1!$A$1:$C$1</c:f>
              <c:strCache>
                <c:ptCount val="3"/>
                <c:pt idx="0">
                  <c:v>группой лиц</c:v>
                </c:pt>
                <c:pt idx="1">
                  <c:v>из них организованной группой</c:v>
                </c:pt>
                <c:pt idx="2">
                  <c:v>единолично</c:v>
                </c:pt>
              </c:strCache>
            </c:strRef>
          </c:cat>
          <c:val>
            <c:numRef>
              <c:f>Лист1!$A$2:$C$2</c:f>
              <c:numCache>
                <c:formatCode>General</c:formatCode>
                <c:ptCount val="3"/>
                <c:pt idx="0">
                  <c:v>11.5</c:v>
                </c:pt>
                <c:pt idx="1">
                  <c:v>3.1</c:v>
                </c:pt>
                <c:pt idx="2">
                  <c:v>88.5</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zero"/>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40"/>
    </mc:Choice>
    <mc:Fallback>
      <c:style val="40"/>
    </mc:Fallback>
  </mc:AlternateContent>
  <c:clrMapOvr bg1="lt1" tx1="dk1" bg2="lt2" tx2="dk2" accent1="accent1" accent2="accent2" accent3="accent3" accent4="accent4" accent5="accent5" accent6="accent6" hlink="hlink" folHlink="folHlink"/>
  <c:chart>
    <c:title>
      <c:tx>
        <c:rich>
          <a:bodyPr/>
          <a:lstStyle/>
          <a:p>
            <a:pPr>
              <a:defRPr/>
            </a:pPr>
            <a:r>
              <a:rPr lang="ru-RU" sz="1200">
                <a:latin typeface="Times New Roman" panose="02020603050405020304" pitchFamily="18" charset="0"/>
                <a:cs typeface="Times New Roman" panose="02020603050405020304" pitchFamily="18" charset="0"/>
              </a:rPr>
              <a:t>Интенсивность преступности среди н/л в возрасте 14-17 лет в городе Владивостоке</a:t>
            </a:r>
          </a:p>
        </c:rich>
      </c:tx>
      <c:layout>
        <c:manualLayout>
          <c:xMode val="edge"/>
          <c:yMode val="edge"/>
          <c:x val="0.12248596222562531"/>
          <c:y val="0"/>
        </c:manualLayout>
      </c:layout>
      <c:overlay val="0"/>
    </c:title>
    <c:autoTitleDeleted val="0"/>
    <c:plotArea>
      <c:layout>
        <c:manualLayout>
          <c:layoutTarget val="inner"/>
          <c:xMode val="edge"/>
          <c:yMode val="edge"/>
          <c:x val="2.8075548749361919E-2"/>
          <c:y val="0.22212636326596361"/>
          <c:w val="0.94384890250127618"/>
          <c:h val="0.64598434672200267"/>
        </c:manualLayout>
      </c:layout>
      <c:lineChart>
        <c:grouping val="standard"/>
        <c:varyColors val="0"/>
        <c:ser>
          <c:idx val="0"/>
          <c:order val="0"/>
          <c:tx>
            <c:strRef>
              <c:f>Лист1!$B$1</c:f>
              <c:strCache>
                <c:ptCount val="1"/>
                <c:pt idx="0">
                  <c:v>Столбец1</c:v>
                </c:pt>
              </c:strCache>
            </c:strRef>
          </c:tx>
          <c:marker>
            <c:symbol val="none"/>
          </c:marker>
          <c:dLbls>
            <c:dLbl>
              <c:idx val="0"/>
              <c:layout>
                <c:manualLayout>
                  <c:x val="-2.5523226135783564E-2"/>
                  <c:y val="8.0080080080080079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9914-4297-B922-0927B87B2B2D}"/>
                </c:ext>
              </c:extLst>
            </c:dLbl>
            <c:dLbl>
              <c:idx val="1"/>
              <c:layout>
                <c:manualLayout>
                  <c:x val="-3.0627871362940276E-2"/>
                  <c:y val="-5.505505505505505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9914-4297-B922-0927B87B2B2D}"/>
                </c:ext>
              </c:extLst>
            </c:dLbl>
            <c:dLbl>
              <c:idx val="2"/>
              <c:layout>
                <c:manualLayout>
                  <c:x val="-3.0627871362940227E-2"/>
                  <c:y val="8.5085085085085083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914-4297-B922-0927B87B2B2D}"/>
                </c:ext>
              </c:extLst>
            </c:dLbl>
            <c:dLbl>
              <c:idx val="3"/>
              <c:layout>
                <c:manualLayout>
                  <c:x val="-2.8075548749361919E-2"/>
                  <c:y val="-6.00600600600600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9914-4297-B922-0927B87B2B2D}"/>
                </c:ext>
              </c:extLst>
            </c:dLbl>
            <c:dLbl>
              <c:idx val="4"/>
              <c:layout>
                <c:manualLayout>
                  <c:x val="-2.5523226135783471E-2"/>
                  <c:y val="9.009009009009008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9914-4297-B922-0927B87B2B2D}"/>
                </c:ext>
              </c:extLst>
            </c:dLbl>
            <c:dLbl>
              <c:idx val="5"/>
              <c:layout>
                <c:manualLayout>
                  <c:x val="-3.3180193976518634E-2"/>
                  <c:y val="-6.006006006006006E-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9914-4297-B922-0927B87B2B2D}"/>
                </c:ext>
              </c:extLst>
            </c:dLbl>
            <c:spPr>
              <a:noFill/>
              <a:ln>
                <a:noFill/>
              </a:ln>
              <a:effectLst/>
            </c:spPr>
            <c:txPr>
              <a:bodyPr/>
              <a:lstStyle/>
              <a:p>
                <a:pPr>
                  <a:defRPr sz="1050"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0</c:formatCode>
                <c:ptCount val="6"/>
                <c:pt idx="0">
                  <c:v>5.9</c:v>
                </c:pt>
                <c:pt idx="1">
                  <c:v>7.2</c:v>
                </c:pt>
                <c:pt idx="2">
                  <c:v>6.3</c:v>
                </c:pt>
                <c:pt idx="3">
                  <c:v>6.5</c:v>
                </c:pt>
                <c:pt idx="4">
                  <c:v>5.2</c:v>
                </c:pt>
                <c:pt idx="5">
                  <c:v>5.9</c:v>
                </c:pt>
              </c:numCache>
            </c:numRef>
          </c:val>
          <c:smooth val="0"/>
          <c:extLst xmlns:c16r2="http://schemas.microsoft.com/office/drawing/2015/06/chart">
            <c:ext xmlns:c16="http://schemas.microsoft.com/office/drawing/2014/chart" uri="{C3380CC4-5D6E-409C-BE32-E72D297353CC}">
              <c16:uniqueId val="{00000006-9914-4297-B922-0927B87B2B2D}"/>
            </c:ext>
          </c:extLst>
        </c:ser>
        <c:dLbls>
          <c:showLegendKey val="0"/>
          <c:showVal val="1"/>
          <c:showCatName val="0"/>
          <c:showSerName val="0"/>
          <c:showPercent val="0"/>
          <c:showBubbleSize val="0"/>
        </c:dLbls>
        <c:marker val="1"/>
        <c:smooth val="0"/>
        <c:axId val="220696576"/>
        <c:axId val="220699264"/>
      </c:lineChart>
      <c:catAx>
        <c:axId val="220696576"/>
        <c:scaling>
          <c:orientation val="minMax"/>
        </c:scaling>
        <c:delete val="0"/>
        <c:axPos val="b"/>
        <c:numFmt formatCode="General" sourceLinked="1"/>
        <c:majorTickMark val="none"/>
        <c:minorTickMark val="none"/>
        <c:tickLblPos val="nextTo"/>
        <c:txPr>
          <a:bodyPr/>
          <a:lstStyle/>
          <a:p>
            <a:pPr>
              <a:defRPr sz="1200" b="1">
                <a:latin typeface="Times New Roman" panose="02020603050405020304" pitchFamily="18" charset="0"/>
                <a:cs typeface="Times New Roman" panose="02020603050405020304" pitchFamily="18" charset="0"/>
              </a:defRPr>
            </a:pPr>
            <a:endParaRPr lang="ru-RU"/>
          </a:p>
        </c:txPr>
        <c:crossAx val="220699264"/>
        <c:crosses val="autoZero"/>
        <c:auto val="1"/>
        <c:lblAlgn val="ctr"/>
        <c:lblOffset val="100"/>
        <c:noMultiLvlLbl val="0"/>
      </c:catAx>
      <c:valAx>
        <c:axId val="220699264"/>
        <c:scaling>
          <c:orientation val="minMax"/>
        </c:scaling>
        <c:delete val="1"/>
        <c:axPos val="l"/>
        <c:numFmt formatCode="0" sourceLinked="1"/>
        <c:majorTickMark val="none"/>
        <c:minorTickMark val="none"/>
        <c:tickLblPos val="nextTo"/>
        <c:crossAx val="220696576"/>
        <c:crosses val="autoZero"/>
        <c:crossBetween val="between"/>
      </c:valAx>
    </c:plotArea>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title>
      <c:tx>
        <c:rich>
          <a:bodyPr/>
          <a:lstStyle/>
          <a:p>
            <a:pPr>
              <a:defRPr/>
            </a:pPr>
            <a:r>
              <a:rPr lang="ru-RU"/>
              <a:t>Интенсивность преступности н/л по районам г. Владивостока</a:t>
            </a:r>
          </a:p>
        </c:rich>
      </c:tx>
      <c:layout>
        <c:manualLayout>
          <c:xMode val="edge"/>
          <c:yMode val="edge"/>
          <c:x val="0.19105015035545705"/>
          <c:y val="2.7066159724622518E-2"/>
        </c:manualLayout>
      </c:layout>
      <c:overlay val="0"/>
    </c:title>
    <c:autoTitleDeleted val="0"/>
    <c:plotArea>
      <c:layout>
        <c:manualLayout>
          <c:layoutTarget val="inner"/>
          <c:xMode val="edge"/>
          <c:yMode val="edge"/>
          <c:x val="0.29322183048150274"/>
          <c:y val="0.12618758829388751"/>
          <c:w val="0.70677816951849726"/>
          <c:h val="0.5783640207852806"/>
        </c:manualLayout>
      </c:layout>
      <c:lineChart>
        <c:grouping val="standard"/>
        <c:varyColors val="0"/>
        <c:ser>
          <c:idx val="0"/>
          <c:order val="0"/>
          <c:tx>
            <c:strRef>
              <c:f>Лист1!$B$1</c:f>
              <c:strCache>
                <c:ptCount val="1"/>
                <c:pt idx="0">
                  <c:v>Ленинский район</c:v>
                </c:pt>
              </c:strCache>
            </c:strRef>
          </c:tx>
          <c:marker>
            <c:symbol val="none"/>
          </c:marker>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pt idx="0">
                  <c:v>6</c:v>
                </c:pt>
                <c:pt idx="1">
                  <c:v>5</c:v>
                </c:pt>
                <c:pt idx="2">
                  <c:v>4</c:v>
                </c:pt>
                <c:pt idx="3">
                  <c:v>7</c:v>
                </c:pt>
                <c:pt idx="4">
                  <c:v>3</c:v>
                </c:pt>
                <c:pt idx="5">
                  <c:v>3</c:v>
                </c:pt>
              </c:numCache>
            </c:numRef>
          </c:val>
          <c:smooth val="0"/>
          <c:extLst xmlns:c16r2="http://schemas.microsoft.com/office/drawing/2015/06/chart">
            <c:ext xmlns:c16="http://schemas.microsoft.com/office/drawing/2014/chart" uri="{C3380CC4-5D6E-409C-BE32-E72D297353CC}">
              <c16:uniqueId val="{00000000-32A0-43BF-B5EB-FD3279FCD894}"/>
            </c:ext>
          </c:extLst>
        </c:ser>
        <c:ser>
          <c:idx val="1"/>
          <c:order val="1"/>
          <c:tx>
            <c:strRef>
              <c:f>Лист1!$C$1</c:f>
              <c:strCache>
                <c:ptCount val="1"/>
                <c:pt idx="0">
                  <c:v>Первомайский район</c:v>
                </c:pt>
              </c:strCache>
            </c:strRef>
          </c:tx>
          <c:marker>
            <c:symbol val="none"/>
          </c:marker>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3</c:v>
                </c:pt>
                <c:pt idx="1">
                  <c:v>4</c:v>
                </c:pt>
                <c:pt idx="2">
                  <c:v>4</c:v>
                </c:pt>
                <c:pt idx="3">
                  <c:v>6</c:v>
                </c:pt>
                <c:pt idx="4">
                  <c:v>4</c:v>
                </c:pt>
                <c:pt idx="5">
                  <c:v>3</c:v>
                </c:pt>
              </c:numCache>
            </c:numRef>
          </c:val>
          <c:smooth val="0"/>
          <c:extLst xmlns:c16r2="http://schemas.microsoft.com/office/drawing/2015/06/chart">
            <c:ext xmlns:c16="http://schemas.microsoft.com/office/drawing/2014/chart" uri="{C3380CC4-5D6E-409C-BE32-E72D297353CC}">
              <c16:uniqueId val="{00000001-32A0-43BF-B5EB-FD3279FCD894}"/>
            </c:ext>
          </c:extLst>
        </c:ser>
        <c:ser>
          <c:idx val="2"/>
          <c:order val="2"/>
          <c:tx>
            <c:strRef>
              <c:f>Лист1!$D$1</c:f>
              <c:strCache>
                <c:ptCount val="1"/>
                <c:pt idx="0">
                  <c:v>Первореченский район </c:v>
                </c:pt>
              </c:strCache>
            </c:strRef>
          </c:tx>
          <c:marker>
            <c:symbol val="none"/>
          </c:marker>
          <c:cat>
            <c:numRef>
              <c:f>Лист1!$A$2:$A$7</c:f>
              <c:numCache>
                <c:formatCode>General</c:formatCode>
                <c:ptCount val="6"/>
                <c:pt idx="0">
                  <c:v>2012</c:v>
                </c:pt>
                <c:pt idx="1">
                  <c:v>2013</c:v>
                </c:pt>
                <c:pt idx="2">
                  <c:v>2014</c:v>
                </c:pt>
                <c:pt idx="3">
                  <c:v>2015</c:v>
                </c:pt>
                <c:pt idx="4">
                  <c:v>2016</c:v>
                </c:pt>
                <c:pt idx="5">
                  <c:v>2017</c:v>
                </c:pt>
              </c:numCache>
            </c:numRef>
          </c:cat>
          <c:val>
            <c:numRef>
              <c:f>Лист1!$D$2:$D$7</c:f>
              <c:numCache>
                <c:formatCode>General</c:formatCode>
                <c:ptCount val="6"/>
                <c:pt idx="0">
                  <c:v>7</c:v>
                </c:pt>
                <c:pt idx="1">
                  <c:v>7</c:v>
                </c:pt>
                <c:pt idx="2">
                  <c:v>6</c:v>
                </c:pt>
                <c:pt idx="3">
                  <c:v>5</c:v>
                </c:pt>
                <c:pt idx="4">
                  <c:v>8</c:v>
                </c:pt>
                <c:pt idx="5">
                  <c:v>7</c:v>
                </c:pt>
              </c:numCache>
            </c:numRef>
          </c:val>
          <c:smooth val="0"/>
          <c:extLst xmlns:c16r2="http://schemas.microsoft.com/office/drawing/2015/06/chart">
            <c:ext xmlns:c16="http://schemas.microsoft.com/office/drawing/2014/chart" uri="{C3380CC4-5D6E-409C-BE32-E72D297353CC}">
              <c16:uniqueId val="{00000002-32A0-43BF-B5EB-FD3279FCD894}"/>
            </c:ext>
          </c:extLst>
        </c:ser>
        <c:ser>
          <c:idx val="3"/>
          <c:order val="3"/>
          <c:tx>
            <c:strRef>
              <c:f>Лист1!$E$1</c:f>
              <c:strCache>
                <c:ptCount val="1"/>
                <c:pt idx="0">
                  <c:v>Фрунзенский район</c:v>
                </c:pt>
              </c:strCache>
            </c:strRef>
          </c:tx>
          <c:marker>
            <c:symbol val="none"/>
          </c:marker>
          <c:cat>
            <c:numRef>
              <c:f>Лист1!$A$2:$A$7</c:f>
              <c:numCache>
                <c:formatCode>General</c:formatCode>
                <c:ptCount val="6"/>
                <c:pt idx="0">
                  <c:v>2012</c:v>
                </c:pt>
                <c:pt idx="1">
                  <c:v>2013</c:v>
                </c:pt>
                <c:pt idx="2">
                  <c:v>2014</c:v>
                </c:pt>
                <c:pt idx="3">
                  <c:v>2015</c:v>
                </c:pt>
                <c:pt idx="4">
                  <c:v>2016</c:v>
                </c:pt>
                <c:pt idx="5">
                  <c:v>2017</c:v>
                </c:pt>
              </c:numCache>
            </c:numRef>
          </c:cat>
          <c:val>
            <c:numRef>
              <c:f>Лист1!$E$2:$E$7</c:f>
              <c:numCache>
                <c:formatCode>General</c:formatCode>
                <c:ptCount val="6"/>
                <c:pt idx="0">
                  <c:v>8</c:v>
                </c:pt>
                <c:pt idx="1">
                  <c:v>16</c:v>
                </c:pt>
                <c:pt idx="2">
                  <c:v>18</c:v>
                </c:pt>
                <c:pt idx="3">
                  <c:v>9</c:v>
                </c:pt>
                <c:pt idx="4">
                  <c:v>14</c:v>
                </c:pt>
                <c:pt idx="5">
                  <c:v>20</c:v>
                </c:pt>
              </c:numCache>
            </c:numRef>
          </c:val>
          <c:smooth val="0"/>
          <c:extLst xmlns:c16r2="http://schemas.microsoft.com/office/drawing/2015/06/chart">
            <c:ext xmlns:c16="http://schemas.microsoft.com/office/drawing/2014/chart" uri="{C3380CC4-5D6E-409C-BE32-E72D297353CC}">
              <c16:uniqueId val="{00000003-32A0-43BF-B5EB-FD3279FCD894}"/>
            </c:ext>
          </c:extLst>
        </c:ser>
        <c:ser>
          <c:idx val="4"/>
          <c:order val="4"/>
          <c:tx>
            <c:strRef>
              <c:f>Лист1!$F$1</c:f>
              <c:strCache>
                <c:ptCount val="1"/>
                <c:pt idx="0">
                  <c:v>Советский район</c:v>
                </c:pt>
              </c:strCache>
            </c:strRef>
          </c:tx>
          <c:marker>
            <c:symbol val="none"/>
          </c:marker>
          <c:cat>
            <c:numRef>
              <c:f>Лист1!$A$2:$A$7</c:f>
              <c:numCache>
                <c:formatCode>General</c:formatCode>
                <c:ptCount val="6"/>
                <c:pt idx="0">
                  <c:v>2012</c:v>
                </c:pt>
                <c:pt idx="1">
                  <c:v>2013</c:v>
                </c:pt>
                <c:pt idx="2">
                  <c:v>2014</c:v>
                </c:pt>
                <c:pt idx="3">
                  <c:v>2015</c:v>
                </c:pt>
                <c:pt idx="4">
                  <c:v>2016</c:v>
                </c:pt>
                <c:pt idx="5">
                  <c:v>2017</c:v>
                </c:pt>
              </c:numCache>
            </c:numRef>
          </c:cat>
          <c:val>
            <c:numRef>
              <c:f>Лист1!$F$2:$F$7</c:f>
              <c:numCache>
                <c:formatCode>General</c:formatCode>
                <c:ptCount val="6"/>
                <c:pt idx="0">
                  <c:v>8</c:v>
                </c:pt>
                <c:pt idx="1">
                  <c:v>11</c:v>
                </c:pt>
                <c:pt idx="2">
                  <c:v>8</c:v>
                </c:pt>
                <c:pt idx="3">
                  <c:v>7</c:v>
                </c:pt>
                <c:pt idx="4">
                  <c:v>3</c:v>
                </c:pt>
                <c:pt idx="5">
                  <c:v>4</c:v>
                </c:pt>
              </c:numCache>
            </c:numRef>
          </c:val>
          <c:smooth val="0"/>
          <c:extLst xmlns:c16r2="http://schemas.microsoft.com/office/drawing/2015/06/chart">
            <c:ext xmlns:c16="http://schemas.microsoft.com/office/drawing/2014/chart" uri="{C3380CC4-5D6E-409C-BE32-E72D297353CC}">
              <c16:uniqueId val="{00000004-32A0-43BF-B5EB-FD3279FCD894}"/>
            </c:ext>
          </c:extLst>
        </c:ser>
        <c:dLbls>
          <c:showLegendKey val="0"/>
          <c:showVal val="0"/>
          <c:showCatName val="0"/>
          <c:showSerName val="0"/>
          <c:showPercent val="0"/>
          <c:showBubbleSize val="0"/>
        </c:dLbls>
        <c:marker val="1"/>
        <c:smooth val="0"/>
        <c:axId val="221871488"/>
        <c:axId val="221877376"/>
      </c:lineChart>
      <c:catAx>
        <c:axId val="221871488"/>
        <c:scaling>
          <c:orientation val="minMax"/>
        </c:scaling>
        <c:delete val="0"/>
        <c:axPos val="b"/>
        <c:numFmt formatCode="General" sourceLinked="1"/>
        <c:majorTickMark val="none"/>
        <c:minorTickMark val="none"/>
        <c:tickLblPos val="nextTo"/>
        <c:crossAx val="221877376"/>
        <c:crosses val="autoZero"/>
        <c:auto val="1"/>
        <c:lblAlgn val="ctr"/>
        <c:lblOffset val="100"/>
        <c:noMultiLvlLbl val="0"/>
      </c:catAx>
      <c:valAx>
        <c:axId val="221877376"/>
        <c:scaling>
          <c:orientation val="minMax"/>
        </c:scaling>
        <c:delete val="0"/>
        <c:axPos val="l"/>
        <c:majorGridlines/>
        <c:title>
          <c:tx>
            <c:rich>
              <a:bodyPr/>
              <a:lstStyle/>
              <a:p>
                <a:pPr>
                  <a:defRPr/>
                </a:pPr>
                <a:r>
                  <a:rPr lang="ru-RU"/>
                  <a:t>Коэффициенты преступности</a:t>
                </a:r>
              </a:p>
            </c:rich>
          </c:tx>
          <c:layout>
            <c:manualLayout>
              <c:xMode val="edge"/>
              <c:yMode val="edge"/>
              <c:x val="9.986351706036746E-2"/>
              <c:y val="0.1474931677811987"/>
            </c:manualLayout>
          </c:layout>
          <c:overlay val="0"/>
        </c:title>
        <c:numFmt formatCode="General" sourceLinked="1"/>
        <c:majorTickMark val="none"/>
        <c:minorTickMark val="none"/>
        <c:tickLblPos val="nextTo"/>
        <c:crossAx val="221871488"/>
        <c:crosses val="autoZero"/>
        <c:crossBetween val="between"/>
      </c:valAx>
      <c:dTable>
        <c:showHorzBorder val="1"/>
        <c:showVertBorder val="1"/>
        <c:showOutline val="1"/>
        <c:showKeys val="1"/>
      </c:dTable>
    </c:plotArea>
    <c:plotVisOnly val="1"/>
    <c:dispBlanksAs val="gap"/>
    <c:showDLblsOverMax val="0"/>
  </c:chart>
  <c:txPr>
    <a:bodyPr/>
    <a:lstStyle/>
    <a:p>
      <a:pPr>
        <a:defRPr sz="10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4"/>
    </mc:Choice>
    <mc:Fallback>
      <c:style val="34"/>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a:latin typeface="Times New Roman" panose="02020603050405020304" pitchFamily="18" charset="0"/>
                <a:cs typeface="Times New Roman" panose="02020603050405020304" pitchFamily="18" charset="0"/>
              </a:rPr>
              <a:t>Динамика</a:t>
            </a:r>
            <a:r>
              <a:rPr lang="ru-RU" sz="1200" baseline="0">
                <a:latin typeface="Times New Roman" panose="02020603050405020304" pitchFamily="18" charset="0"/>
                <a:cs typeface="Times New Roman" panose="02020603050405020304" pitchFamily="18" charset="0"/>
              </a:rPr>
              <a:t> семей, поставленных на учёт и снятых с учёта в г.Владивостоке</a:t>
            </a:r>
            <a:endParaRPr lang="ru-RU" sz="1200">
              <a:latin typeface="Times New Roman" panose="02020603050405020304" pitchFamily="18" charset="0"/>
              <a:cs typeface="Times New Roman" panose="02020603050405020304" pitchFamily="18" charset="0"/>
            </a:endParaRPr>
          </a:p>
        </c:rich>
      </c:tx>
      <c:layout>
        <c:manualLayout>
          <c:xMode val="edge"/>
          <c:yMode val="edge"/>
          <c:x val="0.11593140153755174"/>
          <c:y val="0"/>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3741690408357077E-2"/>
          <c:y val="0.23476138063387239"/>
          <c:w val="0.94776828110161448"/>
          <c:h val="0.66884507380125879"/>
        </c:manualLayout>
      </c:layout>
      <c:bar3DChart>
        <c:barDir val="col"/>
        <c:grouping val="clustered"/>
        <c:varyColors val="0"/>
        <c:ser>
          <c:idx val="0"/>
          <c:order val="0"/>
          <c:tx>
            <c:strRef>
              <c:f>Лист1!$B$1</c:f>
              <c:strCache>
                <c:ptCount val="1"/>
                <c:pt idx="0">
                  <c:v>Поставлено семей</c:v>
                </c:pt>
              </c:strCache>
            </c:strRef>
          </c:tx>
          <c:invertIfNegative val="0"/>
          <c:dLbls>
            <c:spPr>
              <a:noFill/>
              <a:ln>
                <a:noFill/>
              </a:ln>
              <a:effectLst/>
            </c:spPr>
            <c:txPr>
              <a:bodyPr/>
              <a:lstStyle/>
              <a:p>
                <a:pPr>
                  <a:defRPr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Лист1!$B$2:$B$7</c:f>
              <c:numCache>
                <c:formatCode>General</c:formatCode>
                <c:ptCount val="6"/>
                <c:pt idx="0">
                  <c:v>293</c:v>
                </c:pt>
                <c:pt idx="1">
                  <c:v>245</c:v>
                </c:pt>
                <c:pt idx="2">
                  <c:v>181</c:v>
                </c:pt>
                <c:pt idx="3">
                  <c:v>209</c:v>
                </c:pt>
                <c:pt idx="4">
                  <c:v>174</c:v>
                </c:pt>
                <c:pt idx="5">
                  <c:v>167</c:v>
                </c:pt>
              </c:numCache>
            </c:numRef>
          </c:val>
          <c:extLst xmlns:c16r2="http://schemas.microsoft.com/office/drawing/2015/06/chart">
            <c:ext xmlns:c16="http://schemas.microsoft.com/office/drawing/2014/chart" uri="{C3380CC4-5D6E-409C-BE32-E72D297353CC}">
              <c16:uniqueId val="{00000000-DEF9-400B-A885-A099C52FA127}"/>
            </c:ext>
          </c:extLst>
        </c:ser>
        <c:ser>
          <c:idx val="1"/>
          <c:order val="1"/>
          <c:tx>
            <c:strRef>
              <c:f>Лист1!$C$1</c:f>
              <c:strCache>
                <c:ptCount val="1"/>
                <c:pt idx="0">
                  <c:v>Снято семей</c:v>
                </c:pt>
              </c:strCache>
            </c:strRef>
          </c:tx>
          <c:invertIfNegative val="0"/>
          <c:dLbls>
            <c:spPr>
              <a:noFill/>
              <a:ln>
                <a:noFill/>
              </a:ln>
              <a:effectLst/>
            </c:spPr>
            <c:txPr>
              <a:bodyPr/>
              <a:lstStyle/>
              <a:p>
                <a:pPr>
                  <a:defRPr b="1">
                    <a:latin typeface="Times New Roman" panose="02020603050405020304" pitchFamily="18" charset="0"/>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numRef>
              <c:f>Лист1!$A$2:$A$7</c:f>
              <c:numCache>
                <c:formatCode>General</c:formatCode>
                <c:ptCount val="6"/>
                <c:pt idx="0">
                  <c:v>2012</c:v>
                </c:pt>
                <c:pt idx="1">
                  <c:v>2013</c:v>
                </c:pt>
                <c:pt idx="2">
                  <c:v>2014</c:v>
                </c:pt>
                <c:pt idx="3">
                  <c:v>2015</c:v>
                </c:pt>
                <c:pt idx="4">
                  <c:v>2016</c:v>
                </c:pt>
                <c:pt idx="5">
                  <c:v>2017</c:v>
                </c:pt>
              </c:numCache>
            </c:numRef>
          </c:cat>
          <c:val>
            <c:numRef>
              <c:f>Лист1!$C$2:$C$7</c:f>
              <c:numCache>
                <c:formatCode>General</c:formatCode>
                <c:ptCount val="6"/>
                <c:pt idx="0">
                  <c:v>70</c:v>
                </c:pt>
                <c:pt idx="1">
                  <c:v>45</c:v>
                </c:pt>
                <c:pt idx="2">
                  <c:v>80</c:v>
                </c:pt>
                <c:pt idx="3">
                  <c:v>81</c:v>
                </c:pt>
                <c:pt idx="4">
                  <c:v>82</c:v>
                </c:pt>
                <c:pt idx="5">
                  <c:v>91</c:v>
                </c:pt>
              </c:numCache>
            </c:numRef>
          </c:val>
          <c:extLst xmlns:c16r2="http://schemas.microsoft.com/office/drawing/2015/06/chart">
            <c:ext xmlns:c16="http://schemas.microsoft.com/office/drawing/2014/chart" uri="{C3380CC4-5D6E-409C-BE32-E72D297353CC}">
              <c16:uniqueId val="{00000001-DEF9-400B-A885-A099C52FA127}"/>
            </c:ext>
          </c:extLst>
        </c:ser>
        <c:dLbls>
          <c:showLegendKey val="0"/>
          <c:showVal val="1"/>
          <c:showCatName val="0"/>
          <c:showSerName val="0"/>
          <c:showPercent val="0"/>
          <c:showBubbleSize val="0"/>
        </c:dLbls>
        <c:gapWidth val="150"/>
        <c:shape val="cylinder"/>
        <c:axId val="221894144"/>
        <c:axId val="221895680"/>
        <c:axId val="0"/>
      </c:bar3DChart>
      <c:catAx>
        <c:axId val="221894144"/>
        <c:scaling>
          <c:orientation val="minMax"/>
        </c:scaling>
        <c:delete val="0"/>
        <c:axPos val="b"/>
        <c:numFmt formatCode="General" sourceLinked="1"/>
        <c:majorTickMark val="none"/>
        <c:minorTickMark val="none"/>
        <c:tickLblPos val="nextTo"/>
        <c:txPr>
          <a:bodyPr/>
          <a:lstStyle/>
          <a:p>
            <a:pPr>
              <a:defRPr b="1">
                <a:latin typeface="Times New Roman" panose="02020603050405020304" pitchFamily="18" charset="0"/>
                <a:cs typeface="Times New Roman" panose="02020603050405020304" pitchFamily="18" charset="0"/>
              </a:defRPr>
            </a:pPr>
            <a:endParaRPr lang="ru-RU"/>
          </a:p>
        </c:txPr>
        <c:crossAx val="221895680"/>
        <c:crosses val="autoZero"/>
        <c:auto val="1"/>
        <c:lblAlgn val="ctr"/>
        <c:lblOffset val="100"/>
        <c:noMultiLvlLbl val="0"/>
      </c:catAx>
      <c:valAx>
        <c:axId val="221895680"/>
        <c:scaling>
          <c:orientation val="minMax"/>
        </c:scaling>
        <c:delete val="1"/>
        <c:axPos val="l"/>
        <c:numFmt formatCode="General" sourceLinked="1"/>
        <c:majorTickMark val="none"/>
        <c:minorTickMark val="none"/>
        <c:tickLblPos val="nextTo"/>
        <c:crossAx val="221894144"/>
        <c:crosses val="autoZero"/>
        <c:crossBetween val="between"/>
      </c:valAx>
    </c:plotArea>
    <c:legend>
      <c:legendPos val="t"/>
      <c:layout>
        <c:manualLayout>
          <c:xMode val="edge"/>
          <c:yMode val="edge"/>
          <c:x val="0.26315513979555977"/>
          <c:y val="0.18319892473118279"/>
          <c:w val="0.45145481489902173"/>
          <c:h val="7.8587675969724297E-2"/>
        </c:manualLayout>
      </c:layout>
      <c:overlay val="0"/>
      <c:txPr>
        <a:bodyPr/>
        <a:lstStyle/>
        <a:p>
          <a:pPr>
            <a:defRPr sz="1200" b="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9"/>
    </mc:Choice>
    <mc:Fallback>
      <c:style val="39"/>
    </mc:Fallback>
  </mc:AlternateContent>
  <c:clrMapOvr bg1="lt1" tx1="dk1" bg2="lt2" tx2="dk2" accent1="accent1" accent2="accent2" accent3="accent3" accent4="accent4" accent5="accent5" accent6="accent6" hlink="hlink" folHlink="folHlink"/>
  <c:chart>
    <c:title>
      <c:tx>
        <c:rich>
          <a:bodyPr/>
          <a:lstStyle/>
          <a:p>
            <a:pPr>
              <a:defRPr sz="1300" b="0"/>
            </a:pPr>
            <a:r>
              <a:rPr lang="ru-RU" sz="1000" b="0">
                <a:latin typeface="Times New Roman" panose="02020603050405020304" pitchFamily="18" charset="0"/>
                <a:cs typeface="Times New Roman" panose="02020603050405020304" pitchFamily="18" charset="0"/>
              </a:rPr>
              <a:t>Количество</a:t>
            </a:r>
            <a:r>
              <a:rPr lang="ru-RU" sz="1000" b="0" baseline="0">
                <a:latin typeface="Times New Roman" panose="02020603050405020304" pitchFamily="18" charset="0"/>
                <a:cs typeface="Times New Roman" panose="02020603050405020304" pitchFamily="18" charset="0"/>
              </a:rPr>
              <a:t> н/л, в отношении которых проводилась ИПР в разрезе районов</a:t>
            </a:r>
            <a:endParaRPr lang="ru-RU" sz="1000" b="0">
              <a:latin typeface="Times New Roman" panose="02020603050405020304" pitchFamily="18" charset="0"/>
              <a:cs typeface="Times New Roman" panose="02020603050405020304" pitchFamily="18" charset="0"/>
            </a:endParaRPr>
          </a:p>
        </c:rich>
      </c:tx>
      <c:layout>
        <c:manualLayout>
          <c:xMode val="edge"/>
          <c:yMode val="edge"/>
          <c:x val="0.14864311855384274"/>
          <c:y val="0"/>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9.8661875413008082E-2"/>
          <c:y val="7.9877192472712133E-2"/>
          <c:w val="0.87758750955047538"/>
          <c:h val="0.59257963603258079"/>
        </c:manualLayout>
      </c:layout>
      <c:bar3DChart>
        <c:barDir val="col"/>
        <c:grouping val="clustered"/>
        <c:varyColors val="0"/>
        <c:ser>
          <c:idx val="0"/>
          <c:order val="0"/>
          <c:tx>
            <c:strRef>
              <c:f>Лист1!$B$1</c:f>
              <c:strCache>
                <c:ptCount val="1"/>
                <c:pt idx="0">
                  <c:v>2015</c:v>
                </c:pt>
              </c:strCache>
            </c:strRef>
          </c:tx>
          <c:invertIfNegative val="0"/>
          <c:cat>
            <c:strRef>
              <c:f>Лист1!$A$2:$A$6</c:f>
              <c:strCache>
                <c:ptCount val="5"/>
                <c:pt idx="0">
                  <c:v>Ленинский район</c:v>
                </c:pt>
                <c:pt idx="1">
                  <c:v>Первомайский район</c:v>
                </c:pt>
                <c:pt idx="2">
                  <c:v>Первореченский район </c:v>
                </c:pt>
                <c:pt idx="3">
                  <c:v>Фрунзенский район</c:v>
                </c:pt>
                <c:pt idx="4">
                  <c:v>Советский район </c:v>
                </c:pt>
              </c:strCache>
            </c:strRef>
          </c:cat>
          <c:val>
            <c:numRef>
              <c:f>Лист1!$B$2:$B$6</c:f>
              <c:numCache>
                <c:formatCode>General</c:formatCode>
                <c:ptCount val="5"/>
                <c:pt idx="0">
                  <c:v>108</c:v>
                </c:pt>
                <c:pt idx="1">
                  <c:v>221</c:v>
                </c:pt>
                <c:pt idx="2">
                  <c:v>146</c:v>
                </c:pt>
                <c:pt idx="3">
                  <c:v>74</c:v>
                </c:pt>
                <c:pt idx="4">
                  <c:v>164</c:v>
                </c:pt>
              </c:numCache>
            </c:numRef>
          </c:val>
          <c:extLst xmlns:c16r2="http://schemas.microsoft.com/office/drawing/2015/06/chart">
            <c:ext xmlns:c16="http://schemas.microsoft.com/office/drawing/2014/chart" uri="{C3380CC4-5D6E-409C-BE32-E72D297353CC}">
              <c16:uniqueId val="{00000000-797A-4D1F-8BC1-54EF2FBACAB6}"/>
            </c:ext>
          </c:extLst>
        </c:ser>
        <c:ser>
          <c:idx val="1"/>
          <c:order val="1"/>
          <c:tx>
            <c:strRef>
              <c:f>Лист1!$C$1</c:f>
              <c:strCache>
                <c:ptCount val="1"/>
                <c:pt idx="0">
                  <c:v>2016</c:v>
                </c:pt>
              </c:strCache>
            </c:strRef>
          </c:tx>
          <c:invertIfNegative val="0"/>
          <c:cat>
            <c:strRef>
              <c:f>Лист1!$A$2:$A$6</c:f>
              <c:strCache>
                <c:ptCount val="5"/>
                <c:pt idx="0">
                  <c:v>Ленинский район</c:v>
                </c:pt>
                <c:pt idx="1">
                  <c:v>Первомайский район</c:v>
                </c:pt>
                <c:pt idx="2">
                  <c:v>Первореченский район </c:v>
                </c:pt>
                <c:pt idx="3">
                  <c:v>Фрунзенский район</c:v>
                </c:pt>
                <c:pt idx="4">
                  <c:v>Советский район </c:v>
                </c:pt>
              </c:strCache>
            </c:strRef>
          </c:cat>
          <c:val>
            <c:numRef>
              <c:f>Лист1!$C$2:$C$6</c:f>
              <c:numCache>
                <c:formatCode>General</c:formatCode>
                <c:ptCount val="5"/>
                <c:pt idx="0">
                  <c:v>186</c:v>
                </c:pt>
                <c:pt idx="1">
                  <c:v>310</c:v>
                </c:pt>
                <c:pt idx="2">
                  <c:v>283</c:v>
                </c:pt>
                <c:pt idx="3">
                  <c:v>119</c:v>
                </c:pt>
                <c:pt idx="4">
                  <c:v>265</c:v>
                </c:pt>
              </c:numCache>
            </c:numRef>
          </c:val>
          <c:extLst xmlns:c16r2="http://schemas.microsoft.com/office/drawing/2015/06/chart">
            <c:ext xmlns:c16="http://schemas.microsoft.com/office/drawing/2014/chart" uri="{C3380CC4-5D6E-409C-BE32-E72D297353CC}">
              <c16:uniqueId val="{00000001-797A-4D1F-8BC1-54EF2FBACAB6}"/>
            </c:ext>
          </c:extLst>
        </c:ser>
        <c:dLbls>
          <c:showLegendKey val="0"/>
          <c:showVal val="0"/>
          <c:showCatName val="0"/>
          <c:showSerName val="0"/>
          <c:showPercent val="0"/>
          <c:showBubbleSize val="0"/>
        </c:dLbls>
        <c:gapWidth val="150"/>
        <c:shape val="cylinder"/>
        <c:axId val="235148416"/>
        <c:axId val="235149952"/>
        <c:axId val="0"/>
      </c:bar3DChart>
      <c:catAx>
        <c:axId val="235148416"/>
        <c:scaling>
          <c:orientation val="minMax"/>
        </c:scaling>
        <c:delete val="0"/>
        <c:axPos val="b"/>
        <c:numFmt formatCode="General" sourceLinked="0"/>
        <c:majorTickMark val="none"/>
        <c:minorTickMark val="none"/>
        <c:tickLblPos val="nextTo"/>
        <c:crossAx val="235149952"/>
        <c:crosses val="autoZero"/>
        <c:auto val="1"/>
        <c:lblAlgn val="ctr"/>
        <c:lblOffset val="100"/>
        <c:noMultiLvlLbl val="0"/>
      </c:catAx>
      <c:valAx>
        <c:axId val="235149952"/>
        <c:scaling>
          <c:orientation val="minMax"/>
        </c:scaling>
        <c:delete val="0"/>
        <c:axPos val="l"/>
        <c:majorGridlines/>
        <c:numFmt formatCode="General" sourceLinked="1"/>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35148416"/>
        <c:crosses val="autoZero"/>
        <c:crossBetween val="between"/>
      </c:valAx>
      <c:dTable>
        <c:showHorzBorder val="1"/>
        <c:showVertBorder val="1"/>
        <c:showOutline val="1"/>
        <c:showKeys val="1"/>
        <c:txPr>
          <a:bodyPr/>
          <a:lstStyle/>
          <a:p>
            <a:pPr rtl="0">
              <a:defRPr sz="1000">
                <a:latin typeface="Times New Roman" panose="02020603050405020304" pitchFamily="18" charset="0"/>
                <a:cs typeface="Times New Roman" panose="02020603050405020304" pitchFamily="18" charset="0"/>
              </a:defRPr>
            </a:pPr>
            <a:endParaRPr lang="ru-RU"/>
          </a:p>
        </c:txPr>
      </c:dTable>
    </c:plotArea>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12CC62-D192-49BA-8112-1A8E651F305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4A3E682E-436C-4064-9FB6-19ECD07D3D0C}">
      <dgm:prSet phldrT="[Текст]" custT="1"/>
      <dgm:spPr>
        <a:xfrm>
          <a:off x="2481752" y="1897"/>
          <a:ext cx="2205148" cy="1043620"/>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Система комиссий по делам несовершеннолетних и защите их прав на территории Приморского края </a:t>
          </a:r>
        </a:p>
      </dgm:t>
    </dgm:pt>
    <dgm:pt modelId="{249D13A8-F8E4-4D7B-A49E-E1AE3757532D}" type="parTrans" cxnId="{D7AADA4E-35A2-45AA-B1FB-D67B9B8FE512}">
      <dgm:prSet/>
      <dgm:spPr/>
      <dgm:t>
        <a:bodyPr/>
        <a:lstStyle/>
        <a:p>
          <a:endParaRPr lang="ru-RU"/>
        </a:p>
      </dgm:t>
    </dgm:pt>
    <dgm:pt modelId="{87BF98F4-323C-4989-A917-FA5D44F404EC}" type="sibTrans" cxnId="{D7AADA4E-35A2-45AA-B1FB-D67B9B8FE512}">
      <dgm:prSet/>
      <dgm:spPr/>
      <dgm:t>
        <a:bodyPr/>
        <a:lstStyle/>
        <a:p>
          <a:endParaRPr lang="ru-RU"/>
        </a:p>
      </dgm:t>
    </dgm:pt>
    <dgm:pt modelId="{A74B6637-59B8-4CC8-B21A-4BDB435E92B6}" type="asst">
      <dgm:prSet phldrT="[Текст]" custT="1"/>
      <dgm:spPr>
        <a:xfrm>
          <a:off x="816562" y="1483837"/>
          <a:ext cx="2503602" cy="1043620"/>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Приморская краевая межведомственная комиссия по делам несовершеннолетних и защите их прав</a:t>
          </a:r>
        </a:p>
      </dgm:t>
    </dgm:pt>
    <dgm:pt modelId="{EC68923B-9B12-471D-ACF3-6D52D6663C59}" type="parTrans" cxnId="{BB9CE6D8-46FE-4A29-9DB8-A2A85C5ED2CB}">
      <dgm:prSet/>
      <dgm:spPr>
        <a:xfrm>
          <a:off x="3320165" y="1045517"/>
          <a:ext cx="264161" cy="960130"/>
        </a:xfrm>
        <a:noFill/>
        <a:ln w="25400" cap="flat" cmpd="sng" algn="ctr">
          <a:solidFill>
            <a:sysClr val="windowText" lastClr="000000">
              <a:shade val="60000"/>
              <a:hueOff val="0"/>
              <a:satOff val="0"/>
              <a:lumOff val="0"/>
              <a:alphaOff val="0"/>
            </a:sysClr>
          </a:solidFill>
          <a:prstDash val="solid"/>
        </a:ln>
        <a:effectLst/>
      </dgm:spPr>
      <dgm:t>
        <a:bodyPr/>
        <a:lstStyle/>
        <a:p>
          <a:endParaRPr lang="ru-RU"/>
        </a:p>
      </dgm:t>
    </dgm:pt>
    <dgm:pt modelId="{49D07C3D-BCD2-4F1A-8D07-7C76897FFF92}" type="sibTrans" cxnId="{BB9CE6D8-46FE-4A29-9DB8-A2A85C5ED2CB}">
      <dgm:prSet/>
      <dgm:spPr/>
      <dgm:t>
        <a:bodyPr/>
        <a:lstStyle/>
        <a:p>
          <a:endParaRPr lang="ru-RU"/>
        </a:p>
      </dgm:t>
    </dgm:pt>
    <dgm:pt modelId="{06082BEB-BDD9-478C-A27B-165E6DAE189F}" type="asst">
      <dgm:prSet phldrT="[Текст]" custT="1"/>
      <dgm:spPr>
        <a:xfrm>
          <a:off x="3803486" y="2965777"/>
          <a:ext cx="3013285" cy="1043620"/>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Поселковые комиссии по делам несовершеннолетних и защите их прав, образуемые в соответствии со статьей 21  Закона № 296</a:t>
          </a:r>
        </a:p>
      </dgm:t>
    </dgm:pt>
    <dgm:pt modelId="{4748AADF-B951-4FFC-8B56-D715E6806024}" type="parTrans" cxnId="{124DB9C1-14C9-497A-852C-26A5BC8A62E2}">
      <dgm:prSet/>
      <dgm:spPr>
        <a:xfrm>
          <a:off x="3584326" y="1045517"/>
          <a:ext cx="219160" cy="2442070"/>
        </a:xfrm>
        <a:noFill/>
        <a:ln w="25400" cap="flat" cmpd="sng" algn="ctr">
          <a:solidFill>
            <a:sysClr val="windowText" lastClr="000000">
              <a:shade val="60000"/>
              <a:hueOff val="0"/>
              <a:satOff val="0"/>
              <a:lumOff val="0"/>
              <a:alphaOff val="0"/>
            </a:sysClr>
          </a:solidFill>
          <a:prstDash val="solid"/>
        </a:ln>
        <a:effectLst/>
      </dgm:spPr>
      <dgm:t>
        <a:bodyPr/>
        <a:lstStyle/>
        <a:p>
          <a:endParaRPr lang="ru-RU"/>
        </a:p>
      </dgm:t>
    </dgm:pt>
    <dgm:pt modelId="{6B339142-3573-48D3-9373-751F0786644A}" type="sibTrans" cxnId="{124DB9C1-14C9-497A-852C-26A5BC8A62E2}">
      <dgm:prSet/>
      <dgm:spPr/>
      <dgm:t>
        <a:bodyPr/>
        <a:lstStyle/>
        <a:p>
          <a:endParaRPr lang="ru-RU"/>
        </a:p>
      </dgm:t>
    </dgm:pt>
    <dgm:pt modelId="{B2523D90-A9FA-4FE9-9EC8-3AAAB60F998B}" type="asst">
      <dgm:prSet phldrT="[Текст]" custT="1"/>
      <dgm:spPr>
        <a:xfrm>
          <a:off x="3803486" y="1483837"/>
          <a:ext cx="2980453" cy="1043620"/>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Районные (городские) комиссии по делам несовершеннолетних и защите их прав, образуемые в муниципальных районах, городских округах</a:t>
          </a:r>
        </a:p>
      </dgm:t>
    </dgm:pt>
    <dgm:pt modelId="{DC11AFBB-CE10-4268-BDB2-21E496427079}" type="parTrans" cxnId="{38AE01FD-9F62-428B-8889-5F6AB62E52CD}">
      <dgm:prSet/>
      <dgm:spPr>
        <a:xfrm>
          <a:off x="3584326" y="1045517"/>
          <a:ext cx="219160" cy="960130"/>
        </a:xfrm>
        <a:noFill/>
        <a:ln w="25400" cap="flat" cmpd="sng" algn="ctr">
          <a:solidFill>
            <a:sysClr val="windowText" lastClr="000000">
              <a:shade val="60000"/>
              <a:hueOff val="0"/>
              <a:satOff val="0"/>
              <a:lumOff val="0"/>
              <a:alphaOff val="0"/>
            </a:sysClr>
          </a:solidFill>
          <a:prstDash val="solid"/>
        </a:ln>
        <a:effectLst/>
      </dgm:spPr>
      <dgm:t>
        <a:bodyPr/>
        <a:lstStyle/>
        <a:p>
          <a:endParaRPr lang="ru-RU"/>
        </a:p>
      </dgm:t>
    </dgm:pt>
    <dgm:pt modelId="{76E5CB77-D84C-4E14-9EC9-D8EDDE29B826}" type="sibTrans" cxnId="{38AE01FD-9F62-428B-8889-5F6AB62E52CD}">
      <dgm:prSet/>
      <dgm:spPr/>
      <dgm:t>
        <a:bodyPr/>
        <a:lstStyle/>
        <a:p>
          <a:endParaRPr lang="ru-RU"/>
        </a:p>
      </dgm:t>
    </dgm:pt>
    <dgm:pt modelId="{F93D0195-31C6-4844-99E5-DC6FCC039D11}" type="asst">
      <dgm:prSet phldrT="[Текст]" custT="1"/>
      <dgm:spPr>
        <a:xfrm>
          <a:off x="816562" y="2965777"/>
          <a:ext cx="2548603" cy="1043620"/>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Районные в городе комиссии по делам несовершеннолетних и защите их прав, образуемые Владивостокским городским округом в соответствии со статьей 13 Закона № 296</a:t>
          </a:r>
        </a:p>
      </dgm:t>
    </dgm:pt>
    <dgm:pt modelId="{604D7047-824C-44DE-AEB9-F4053DEB5562}" type="parTrans" cxnId="{593E46F1-5A18-4D05-802D-93D448D78A92}">
      <dgm:prSet/>
      <dgm:spPr>
        <a:xfrm>
          <a:off x="3365166" y="1045517"/>
          <a:ext cx="219160" cy="2442070"/>
        </a:xfrm>
        <a:noFill/>
        <a:ln w="25400" cap="flat" cmpd="sng" algn="ctr">
          <a:solidFill>
            <a:sysClr val="windowText" lastClr="000000">
              <a:shade val="60000"/>
              <a:hueOff val="0"/>
              <a:satOff val="0"/>
              <a:lumOff val="0"/>
              <a:alphaOff val="0"/>
            </a:sysClr>
          </a:solidFill>
          <a:prstDash val="solid"/>
        </a:ln>
        <a:effectLst/>
      </dgm:spPr>
      <dgm:t>
        <a:bodyPr/>
        <a:lstStyle/>
        <a:p>
          <a:endParaRPr lang="ru-RU"/>
        </a:p>
      </dgm:t>
    </dgm:pt>
    <dgm:pt modelId="{F1E4046A-683F-4C72-821F-561885D6E1C0}" type="sibTrans" cxnId="{593E46F1-5A18-4D05-802D-93D448D78A92}">
      <dgm:prSet/>
      <dgm:spPr/>
      <dgm:t>
        <a:bodyPr/>
        <a:lstStyle/>
        <a:p>
          <a:endParaRPr lang="ru-RU"/>
        </a:p>
      </dgm:t>
    </dgm:pt>
    <dgm:pt modelId="{9BDCD7B1-1346-4266-8D25-AFE3E328B980}" type="pres">
      <dgm:prSet presAssocID="{0D12CC62-D192-49BA-8112-1A8E651F3056}" presName="hierChild1" presStyleCnt="0">
        <dgm:presLayoutVars>
          <dgm:orgChart val="1"/>
          <dgm:chPref val="1"/>
          <dgm:dir/>
          <dgm:animOne val="branch"/>
          <dgm:animLvl val="lvl"/>
          <dgm:resizeHandles/>
        </dgm:presLayoutVars>
      </dgm:prSet>
      <dgm:spPr/>
      <dgm:t>
        <a:bodyPr/>
        <a:lstStyle/>
        <a:p>
          <a:endParaRPr lang="ru-RU"/>
        </a:p>
      </dgm:t>
    </dgm:pt>
    <dgm:pt modelId="{6775DC0A-5883-40F7-826A-DD11862878FF}" type="pres">
      <dgm:prSet presAssocID="{4A3E682E-436C-4064-9FB6-19ECD07D3D0C}" presName="hierRoot1" presStyleCnt="0">
        <dgm:presLayoutVars>
          <dgm:hierBranch val="init"/>
        </dgm:presLayoutVars>
      </dgm:prSet>
      <dgm:spPr/>
    </dgm:pt>
    <dgm:pt modelId="{EC441581-6D54-49D7-A668-AB6C31604DC6}" type="pres">
      <dgm:prSet presAssocID="{4A3E682E-436C-4064-9FB6-19ECD07D3D0C}" presName="rootComposite1" presStyleCnt="0"/>
      <dgm:spPr/>
    </dgm:pt>
    <dgm:pt modelId="{41C0A7E2-0E61-44FA-A89D-43558B8775A4}" type="pres">
      <dgm:prSet presAssocID="{4A3E682E-436C-4064-9FB6-19ECD07D3D0C}" presName="rootText1" presStyleLbl="node0" presStyleIdx="0" presStyleCnt="1" custScaleX="105649">
        <dgm:presLayoutVars>
          <dgm:chPref val="3"/>
        </dgm:presLayoutVars>
      </dgm:prSet>
      <dgm:spPr>
        <a:prstGeom prst="rect">
          <a:avLst/>
        </a:prstGeom>
      </dgm:spPr>
      <dgm:t>
        <a:bodyPr/>
        <a:lstStyle/>
        <a:p>
          <a:endParaRPr lang="ru-RU"/>
        </a:p>
      </dgm:t>
    </dgm:pt>
    <dgm:pt modelId="{7F146BA1-803C-43BD-AB7C-4D47C4D322EC}" type="pres">
      <dgm:prSet presAssocID="{4A3E682E-436C-4064-9FB6-19ECD07D3D0C}" presName="rootConnector1" presStyleLbl="node1" presStyleIdx="0" presStyleCnt="0"/>
      <dgm:spPr/>
      <dgm:t>
        <a:bodyPr/>
        <a:lstStyle/>
        <a:p>
          <a:endParaRPr lang="ru-RU"/>
        </a:p>
      </dgm:t>
    </dgm:pt>
    <dgm:pt modelId="{BEEF88D1-7763-40BA-8A6C-1CCB8106013F}" type="pres">
      <dgm:prSet presAssocID="{4A3E682E-436C-4064-9FB6-19ECD07D3D0C}" presName="hierChild2" presStyleCnt="0"/>
      <dgm:spPr/>
    </dgm:pt>
    <dgm:pt modelId="{A18B4BA3-093C-4CA1-9978-042B18DF903A}" type="pres">
      <dgm:prSet presAssocID="{4A3E682E-436C-4064-9FB6-19ECD07D3D0C}" presName="hierChild3" presStyleCnt="0"/>
      <dgm:spPr/>
    </dgm:pt>
    <dgm:pt modelId="{07A76E3B-F6D2-45D9-A5B1-B6B3D5F34CF1}" type="pres">
      <dgm:prSet presAssocID="{EC68923B-9B12-471D-ACF3-6D52D6663C59}" presName="Name111" presStyleLbl="parChTrans1D2" presStyleIdx="0" presStyleCnt="4"/>
      <dgm:spPr>
        <a:custGeom>
          <a:avLst/>
          <a:gdLst/>
          <a:ahLst/>
          <a:cxnLst/>
          <a:rect l="0" t="0" r="0" b="0"/>
          <a:pathLst>
            <a:path>
              <a:moveTo>
                <a:pt x="249326" y="0"/>
              </a:moveTo>
              <a:lnTo>
                <a:pt x="249326" y="906211"/>
              </a:lnTo>
              <a:lnTo>
                <a:pt x="0" y="906211"/>
              </a:lnTo>
            </a:path>
          </a:pathLst>
        </a:custGeom>
      </dgm:spPr>
      <dgm:t>
        <a:bodyPr/>
        <a:lstStyle/>
        <a:p>
          <a:endParaRPr lang="ru-RU"/>
        </a:p>
      </dgm:t>
    </dgm:pt>
    <dgm:pt modelId="{B8A5E5FB-DEC3-4FDC-8DD9-D6A7B24567E2}" type="pres">
      <dgm:prSet presAssocID="{A74B6637-59B8-4CC8-B21A-4BDB435E92B6}" presName="hierRoot3" presStyleCnt="0">
        <dgm:presLayoutVars>
          <dgm:hierBranch val="init"/>
        </dgm:presLayoutVars>
      </dgm:prSet>
      <dgm:spPr/>
    </dgm:pt>
    <dgm:pt modelId="{84CD5D1E-302D-4B42-A74B-C8559BE3DE44}" type="pres">
      <dgm:prSet presAssocID="{A74B6637-59B8-4CC8-B21A-4BDB435E92B6}" presName="rootComposite3" presStyleCnt="0"/>
      <dgm:spPr/>
    </dgm:pt>
    <dgm:pt modelId="{9ECA3949-79D1-4118-9846-CE01DCFF9AA4}" type="pres">
      <dgm:prSet presAssocID="{A74B6637-59B8-4CC8-B21A-4BDB435E92B6}" presName="rootText3" presStyleLbl="asst1" presStyleIdx="0" presStyleCnt="4" custScaleX="119948">
        <dgm:presLayoutVars>
          <dgm:chPref val="3"/>
        </dgm:presLayoutVars>
      </dgm:prSet>
      <dgm:spPr>
        <a:prstGeom prst="rect">
          <a:avLst/>
        </a:prstGeom>
      </dgm:spPr>
      <dgm:t>
        <a:bodyPr/>
        <a:lstStyle/>
        <a:p>
          <a:endParaRPr lang="ru-RU"/>
        </a:p>
      </dgm:t>
    </dgm:pt>
    <dgm:pt modelId="{256AEBE4-900D-4564-9877-546A9837F63C}" type="pres">
      <dgm:prSet presAssocID="{A74B6637-59B8-4CC8-B21A-4BDB435E92B6}" presName="rootConnector3" presStyleLbl="asst1" presStyleIdx="0" presStyleCnt="4"/>
      <dgm:spPr/>
      <dgm:t>
        <a:bodyPr/>
        <a:lstStyle/>
        <a:p>
          <a:endParaRPr lang="ru-RU"/>
        </a:p>
      </dgm:t>
    </dgm:pt>
    <dgm:pt modelId="{DB035F01-F4BF-49A3-9DE3-703C63748349}" type="pres">
      <dgm:prSet presAssocID="{A74B6637-59B8-4CC8-B21A-4BDB435E92B6}" presName="hierChild6" presStyleCnt="0"/>
      <dgm:spPr/>
    </dgm:pt>
    <dgm:pt modelId="{26A64322-DBEB-49E8-BF30-A2252146E812}" type="pres">
      <dgm:prSet presAssocID="{A74B6637-59B8-4CC8-B21A-4BDB435E92B6}" presName="hierChild7" presStyleCnt="0"/>
      <dgm:spPr/>
    </dgm:pt>
    <dgm:pt modelId="{987A1539-0525-4141-A891-B68279531892}" type="pres">
      <dgm:prSet presAssocID="{DC11AFBB-CE10-4268-BDB2-21E496427079}" presName="Name111" presStyleLbl="parChTrans1D2" presStyleIdx="1" presStyleCnt="4"/>
      <dgm:spPr>
        <a:custGeom>
          <a:avLst/>
          <a:gdLst/>
          <a:ahLst/>
          <a:cxnLst/>
          <a:rect l="0" t="0" r="0" b="0"/>
          <a:pathLst>
            <a:path>
              <a:moveTo>
                <a:pt x="0" y="0"/>
              </a:moveTo>
              <a:lnTo>
                <a:pt x="0" y="906211"/>
              </a:lnTo>
              <a:lnTo>
                <a:pt x="206852" y="906211"/>
              </a:lnTo>
            </a:path>
          </a:pathLst>
        </a:custGeom>
      </dgm:spPr>
      <dgm:t>
        <a:bodyPr/>
        <a:lstStyle/>
        <a:p>
          <a:endParaRPr lang="ru-RU"/>
        </a:p>
      </dgm:t>
    </dgm:pt>
    <dgm:pt modelId="{9CFF81F0-C789-40BF-90CF-141CCD6FF860}" type="pres">
      <dgm:prSet presAssocID="{B2523D90-A9FA-4FE9-9EC8-3AAAB60F998B}" presName="hierRoot3" presStyleCnt="0">
        <dgm:presLayoutVars>
          <dgm:hierBranch val="init"/>
        </dgm:presLayoutVars>
      </dgm:prSet>
      <dgm:spPr/>
    </dgm:pt>
    <dgm:pt modelId="{A3F6E2B4-8AC1-4E62-9B58-C6648C5CDC4C}" type="pres">
      <dgm:prSet presAssocID="{B2523D90-A9FA-4FE9-9EC8-3AAAB60F998B}" presName="rootComposite3" presStyleCnt="0"/>
      <dgm:spPr/>
    </dgm:pt>
    <dgm:pt modelId="{49456145-41CA-47D2-BB82-4F7DB018EFE5}" type="pres">
      <dgm:prSet presAssocID="{B2523D90-A9FA-4FE9-9EC8-3AAAB60F998B}" presName="rootText3" presStyleLbl="asst1" presStyleIdx="1" presStyleCnt="4" custScaleX="142794">
        <dgm:presLayoutVars>
          <dgm:chPref val="3"/>
        </dgm:presLayoutVars>
      </dgm:prSet>
      <dgm:spPr>
        <a:prstGeom prst="rect">
          <a:avLst/>
        </a:prstGeom>
      </dgm:spPr>
      <dgm:t>
        <a:bodyPr/>
        <a:lstStyle/>
        <a:p>
          <a:endParaRPr lang="ru-RU"/>
        </a:p>
      </dgm:t>
    </dgm:pt>
    <dgm:pt modelId="{4DCE9870-3AE6-4BFD-BB9D-F132432FFE71}" type="pres">
      <dgm:prSet presAssocID="{B2523D90-A9FA-4FE9-9EC8-3AAAB60F998B}" presName="rootConnector3" presStyleLbl="asst1" presStyleIdx="1" presStyleCnt="4"/>
      <dgm:spPr/>
      <dgm:t>
        <a:bodyPr/>
        <a:lstStyle/>
        <a:p>
          <a:endParaRPr lang="ru-RU"/>
        </a:p>
      </dgm:t>
    </dgm:pt>
    <dgm:pt modelId="{75B679C6-6345-4696-98D1-F01BBDCC1B9D}" type="pres">
      <dgm:prSet presAssocID="{B2523D90-A9FA-4FE9-9EC8-3AAAB60F998B}" presName="hierChild6" presStyleCnt="0"/>
      <dgm:spPr/>
    </dgm:pt>
    <dgm:pt modelId="{1CEDCA92-8454-4A9C-91D5-946E029062DA}" type="pres">
      <dgm:prSet presAssocID="{B2523D90-A9FA-4FE9-9EC8-3AAAB60F998B}" presName="hierChild7" presStyleCnt="0"/>
      <dgm:spPr/>
    </dgm:pt>
    <dgm:pt modelId="{B55F79AB-3FCD-4BF0-BB47-14B297A7B1FA}" type="pres">
      <dgm:prSet presAssocID="{604D7047-824C-44DE-AEB9-F4053DEB5562}" presName="Name111" presStyleLbl="parChTrans1D2" presStyleIdx="2" presStyleCnt="4"/>
      <dgm:spPr>
        <a:custGeom>
          <a:avLst/>
          <a:gdLst/>
          <a:ahLst/>
          <a:cxnLst/>
          <a:rect l="0" t="0" r="0" b="0"/>
          <a:pathLst>
            <a:path>
              <a:moveTo>
                <a:pt x="206852" y="0"/>
              </a:moveTo>
              <a:lnTo>
                <a:pt x="206852" y="2304929"/>
              </a:lnTo>
              <a:lnTo>
                <a:pt x="0" y="2304929"/>
              </a:lnTo>
            </a:path>
          </a:pathLst>
        </a:custGeom>
      </dgm:spPr>
      <dgm:t>
        <a:bodyPr/>
        <a:lstStyle/>
        <a:p>
          <a:endParaRPr lang="ru-RU"/>
        </a:p>
      </dgm:t>
    </dgm:pt>
    <dgm:pt modelId="{961C8B37-4C9B-473C-AAA5-E735A9B76672}" type="pres">
      <dgm:prSet presAssocID="{F93D0195-31C6-4844-99E5-DC6FCC039D11}" presName="hierRoot3" presStyleCnt="0">
        <dgm:presLayoutVars>
          <dgm:hierBranch val="init"/>
        </dgm:presLayoutVars>
      </dgm:prSet>
      <dgm:spPr/>
    </dgm:pt>
    <dgm:pt modelId="{6A18F026-6431-4A64-A3C7-1DD017FC2A72}" type="pres">
      <dgm:prSet presAssocID="{F93D0195-31C6-4844-99E5-DC6FCC039D11}" presName="rootComposite3" presStyleCnt="0"/>
      <dgm:spPr/>
    </dgm:pt>
    <dgm:pt modelId="{56672560-090B-412C-9999-10EF47578553}" type="pres">
      <dgm:prSet presAssocID="{F93D0195-31C6-4844-99E5-DC6FCC039D11}" presName="rootText3" presStyleLbl="asst1" presStyleIdx="2" presStyleCnt="4" custScaleX="122104">
        <dgm:presLayoutVars>
          <dgm:chPref val="3"/>
        </dgm:presLayoutVars>
      </dgm:prSet>
      <dgm:spPr>
        <a:prstGeom prst="rect">
          <a:avLst/>
        </a:prstGeom>
      </dgm:spPr>
      <dgm:t>
        <a:bodyPr/>
        <a:lstStyle/>
        <a:p>
          <a:endParaRPr lang="ru-RU"/>
        </a:p>
      </dgm:t>
    </dgm:pt>
    <dgm:pt modelId="{C97277D0-D5E4-4870-BB62-71D9F66EFD40}" type="pres">
      <dgm:prSet presAssocID="{F93D0195-31C6-4844-99E5-DC6FCC039D11}" presName="rootConnector3" presStyleLbl="asst1" presStyleIdx="2" presStyleCnt="4"/>
      <dgm:spPr/>
      <dgm:t>
        <a:bodyPr/>
        <a:lstStyle/>
        <a:p>
          <a:endParaRPr lang="ru-RU"/>
        </a:p>
      </dgm:t>
    </dgm:pt>
    <dgm:pt modelId="{FD3CC95D-2C2D-418C-8F60-81183C3BE01A}" type="pres">
      <dgm:prSet presAssocID="{F93D0195-31C6-4844-99E5-DC6FCC039D11}" presName="hierChild6" presStyleCnt="0"/>
      <dgm:spPr/>
    </dgm:pt>
    <dgm:pt modelId="{B14F891E-1A96-4E8F-B121-707C1062179F}" type="pres">
      <dgm:prSet presAssocID="{F93D0195-31C6-4844-99E5-DC6FCC039D11}" presName="hierChild7" presStyleCnt="0"/>
      <dgm:spPr/>
    </dgm:pt>
    <dgm:pt modelId="{2C192A3C-5855-4746-B652-010367FDDA4B}" type="pres">
      <dgm:prSet presAssocID="{4748AADF-B951-4FFC-8B56-D715E6806024}" presName="Name111" presStyleLbl="parChTrans1D2" presStyleIdx="3" presStyleCnt="4"/>
      <dgm:spPr>
        <a:custGeom>
          <a:avLst/>
          <a:gdLst/>
          <a:ahLst/>
          <a:cxnLst/>
          <a:rect l="0" t="0" r="0" b="0"/>
          <a:pathLst>
            <a:path>
              <a:moveTo>
                <a:pt x="0" y="0"/>
              </a:moveTo>
              <a:lnTo>
                <a:pt x="0" y="2304929"/>
              </a:lnTo>
              <a:lnTo>
                <a:pt x="206852" y="2304929"/>
              </a:lnTo>
            </a:path>
          </a:pathLst>
        </a:custGeom>
      </dgm:spPr>
      <dgm:t>
        <a:bodyPr/>
        <a:lstStyle/>
        <a:p>
          <a:endParaRPr lang="ru-RU"/>
        </a:p>
      </dgm:t>
    </dgm:pt>
    <dgm:pt modelId="{3B059881-5C5D-464C-97E3-B70CD2884617}" type="pres">
      <dgm:prSet presAssocID="{06082BEB-BDD9-478C-A27B-165E6DAE189F}" presName="hierRoot3" presStyleCnt="0">
        <dgm:presLayoutVars>
          <dgm:hierBranch val="init"/>
        </dgm:presLayoutVars>
      </dgm:prSet>
      <dgm:spPr/>
    </dgm:pt>
    <dgm:pt modelId="{0F4F73B2-ED41-4E9D-BA0A-EE85916E1B1E}" type="pres">
      <dgm:prSet presAssocID="{06082BEB-BDD9-478C-A27B-165E6DAE189F}" presName="rootComposite3" presStyleCnt="0"/>
      <dgm:spPr/>
    </dgm:pt>
    <dgm:pt modelId="{3F37A6B8-E802-429B-9DCC-CF44B3A505C5}" type="pres">
      <dgm:prSet presAssocID="{06082BEB-BDD9-478C-A27B-165E6DAE189F}" presName="rootText3" presStyleLbl="asst1" presStyleIdx="3" presStyleCnt="4" custScaleX="144367">
        <dgm:presLayoutVars>
          <dgm:chPref val="3"/>
        </dgm:presLayoutVars>
      </dgm:prSet>
      <dgm:spPr>
        <a:prstGeom prst="rect">
          <a:avLst/>
        </a:prstGeom>
      </dgm:spPr>
      <dgm:t>
        <a:bodyPr/>
        <a:lstStyle/>
        <a:p>
          <a:endParaRPr lang="ru-RU"/>
        </a:p>
      </dgm:t>
    </dgm:pt>
    <dgm:pt modelId="{BD3BAEC1-DDE8-4C29-8C44-D5415F65C654}" type="pres">
      <dgm:prSet presAssocID="{06082BEB-BDD9-478C-A27B-165E6DAE189F}" presName="rootConnector3" presStyleLbl="asst1" presStyleIdx="3" presStyleCnt="4"/>
      <dgm:spPr/>
      <dgm:t>
        <a:bodyPr/>
        <a:lstStyle/>
        <a:p>
          <a:endParaRPr lang="ru-RU"/>
        </a:p>
      </dgm:t>
    </dgm:pt>
    <dgm:pt modelId="{9C8B451B-4347-4BF7-9F48-00229CF458A3}" type="pres">
      <dgm:prSet presAssocID="{06082BEB-BDD9-478C-A27B-165E6DAE189F}" presName="hierChild6" presStyleCnt="0"/>
      <dgm:spPr/>
    </dgm:pt>
    <dgm:pt modelId="{29B3D374-CA07-4B06-BD7A-7DBD65FEEE68}" type="pres">
      <dgm:prSet presAssocID="{06082BEB-BDD9-478C-A27B-165E6DAE189F}" presName="hierChild7" presStyleCnt="0"/>
      <dgm:spPr/>
    </dgm:pt>
  </dgm:ptLst>
  <dgm:cxnLst>
    <dgm:cxn modelId="{82965E4F-9F43-4D66-9BB3-2237D71A472F}" type="presOf" srcId="{4A3E682E-436C-4064-9FB6-19ECD07D3D0C}" destId="{41C0A7E2-0E61-44FA-A89D-43558B8775A4}" srcOrd="0" destOrd="0" presId="urn:microsoft.com/office/officeart/2005/8/layout/orgChart1"/>
    <dgm:cxn modelId="{AFFCFB60-8589-4399-A7A8-EDC87E16EC40}" type="presOf" srcId="{EC68923B-9B12-471D-ACF3-6D52D6663C59}" destId="{07A76E3B-F6D2-45D9-A5B1-B6B3D5F34CF1}" srcOrd="0" destOrd="0" presId="urn:microsoft.com/office/officeart/2005/8/layout/orgChart1"/>
    <dgm:cxn modelId="{A3A8001A-C1B3-4A94-A39B-A3FD09FB7C50}" type="presOf" srcId="{4748AADF-B951-4FFC-8B56-D715E6806024}" destId="{2C192A3C-5855-4746-B652-010367FDDA4B}" srcOrd="0" destOrd="0" presId="urn:microsoft.com/office/officeart/2005/8/layout/orgChart1"/>
    <dgm:cxn modelId="{D7AADA4E-35A2-45AA-B1FB-D67B9B8FE512}" srcId="{0D12CC62-D192-49BA-8112-1A8E651F3056}" destId="{4A3E682E-436C-4064-9FB6-19ECD07D3D0C}" srcOrd="0" destOrd="0" parTransId="{249D13A8-F8E4-4D7B-A49E-E1AE3757532D}" sibTransId="{87BF98F4-323C-4989-A917-FA5D44F404EC}"/>
    <dgm:cxn modelId="{8BD6324B-C3F0-4237-BA5F-353385C0E740}" type="presOf" srcId="{B2523D90-A9FA-4FE9-9EC8-3AAAB60F998B}" destId="{49456145-41CA-47D2-BB82-4F7DB018EFE5}" srcOrd="0" destOrd="0" presId="urn:microsoft.com/office/officeart/2005/8/layout/orgChart1"/>
    <dgm:cxn modelId="{121D8868-2232-4814-81A1-FCE2CE641B5F}" type="presOf" srcId="{06082BEB-BDD9-478C-A27B-165E6DAE189F}" destId="{3F37A6B8-E802-429B-9DCC-CF44B3A505C5}" srcOrd="0" destOrd="0" presId="urn:microsoft.com/office/officeart/2005/8/layout/orgChart1"/>
    <dgm:cxn modelId="{AE5DE961-5A16-4F00-AE76-B7FFB5A4A9DE}" type="presOf" srcId="{A74B6637-59B8-4CC8-B21A-4BDB435E92B6}" destId="{256AEBE4-900D-4564-9877-546A9837F63C}" srcOrd="1" destOrd="0" presId="urn:microsoft.com/office/officeart/2005/8/layout/orgChart1"/>
    <dgm:cxn modelId="{593E46F1-5A18-4D05-802D-93D448D78A92}" srcId="{4A3E682E-436C-4064-9FB6-19ECD07D3D0C}" destId="{F93D0195-31C6-4844-99E5-DC6FCC039D11}" srcOrd="2" destOrd="0" parTransId="{604D7047-824C-44DE-AEB9-F4053DEB5562}" sibTransId="{F1E4046A-683F-4C72-821F-561885D6E1C0}"/>
    <dgm:cxn modelId="{472959BB-51F9-4FB0-952A-66DA66307FB5}" type="presOf" srcId="{06082BEB-BDD9-478C-A27B-165E6DAE189F}" destId="{BD3BAEC1-DDE8-4C29-8C44-D5415F65C654}" srcOrd="1" destOrd="0" presId="urn:microsoft.com/office/officeart/2005/8/layout/orgChart1"/>
    <dgm:cxn modelId="{124DB9C1-14C9-497A-852C-26A5BC8A62E2}" srcId="{4A3E682E-436C-4064-9FB6-19ECD07D3D0C}" destId="{06082BEB-BDD9-478C-A27B-165E6DAE189F}" srcOrd="3" destOrd="0" parTransId="{4748AADF-B951-4FFC-8B56-D715E6806024}" sibTransId="{6B339142-3573-48D3-9373-751F0786644A}"/>
    <dgm:cxn modelId="{D8EAE48C-8DBC-428B-8B52-0B94071D54AB}" type="presOf" srcId="{DC11AFBB-CE10-4268-BDB2-21E496427079}" destId="{987A1539-0525-4141-A891-B68279531892}" srcOrd="0" destOrd="0" presId="urn:microsoft.com/office/officeart/2005/8/layout/orgChart1"/>
    <dgm:cxn modelId="{38AE01FD-9F62-428B-8889-5F6AB62E52CD}" srcId="{4A3E682E-436C-4064-9FB6-19ECD07D3D0C}" destId="{B2523D90-A9FA-4FE9-9EC8-3AAAB60F998B}" srcOrd="1" destOrd="0" parTransId="{DC11AFBB-CE10-4268-BDB2-21E496427079}" sibTransId="{76E5CB77-D84C-4E14-9EC9-D8EDDE29B826}"/>
    <dgm:cxn modelId="{5FAED8C0-EACD-4C2E-9EDB-3077DC1091BC}" type="presOf" srcId="{F93D0195-31C6-4844-99E5-DC6FCC039D11}" destId="{56672560-090B-412C-9999-10EF47578553}" srcOrd="0" destOrd="0" presId="urn:microsoft.com/office/officeart/2005/8/layout/orgChart1"/>
    <dgm:cxn modelId="{0D3D1E9F-C362-4440-8603-52622FE9937D}" type="presOf" srcId="{604D7047-824C-44DE-AEB9-F4053DEB5562}" destId="{B55F79AB-3FCD-4BF0-BB47-14B297A7B1FA}" srcOrd="0" destOrd="0" presId="urn:microsoft.com/office/officeart/2005/8/layout/orgChart1"/>
    <dgm:cxn modelId="{DEE4F602-8AB6-4063-A8AC-C2D36EB14E96}" type="presOf" srcId="{4A3E682E-436C-4064-9FB6-19ECD07D3D0C}" destId="{7F146BA1-803C-43BD-AB7C-4D47C4D322EC}" srcOrd="1" destOrd="0" presId="urn:microsoft.com/office/officeart/2005/8/layout/orgChart1"/>
    <dgm:cxn modelId="{BB9CE6D8-46FE-4A29-9DB8-A2A85C5ED2CB}" srcId="{4A3E682E-436C-4064-9FB6-19ECD07D3D0C}" destId="{A74B6637-59B8-4CC8-B21A-4BDB435E92B6}" srcOrd="0" destOrd="0" parTransId="{EC68923B-9B12-471D-ACF3-6D52D6663C59}" sibTransId="{49D07C3D-BCD2-4F1A-8D07-7C76897FFF92}"/>
    <dgm:cxn modelId="{9AB34B56-F307-4A8C-9439-2E141EA79119}" type="presOf" srcId="{B2523D90-A9FA-4FE9-9EC8-3AAAB60F998B}" destId="{4DCE9870-3AE6-4BFD-BB9D-F132432FFE71}" srcOrd="1" destOrd="0" presId="urn:microsoft.com/office/officeart/2005/8/layout/orgChart1"/>
    <dgm:cxn modelId="{EB5A2F98-AA1C-4C60-B83E-E295BADC6525}" type="presOf" srcId="{0D12CC62-D192-49BA-8112-1A8E651F3056}" destId="{9BDCD7B1-1346-4266-8D25-AFE3E328B980}" srcOrd="0" destOrd="0" presId="urn:microsoft.com/office/officeart/2005/8/layout/orgChart1"/>
    <dgm:cxn modelId="{F0994B11-FC3C-46AC-8E14-62879A0FD844}" type="presOf" srcId="{F93D0195-31C6-4844-99E5-DC6FCC039D11}" destId="{C97277D0-D5E4-4870-BB62-71D9F66EFD40}" srcOrd="1" destOrd="0" presId="urn:microsoft.com/office/officeart/2005/8/layout/orgChart1"/>
    <dgm:cxn modelId="{79890E9D-233F-4CFA-B9E1-A1D7A01A2558}" type="presOf" srcId="{A74B6637-59B8-4CC8-B21A-4BDB435E92B6}" destId="{9ECA3949-79D1-4118-9846-CE01DCFF9AA4}" srcOrd="0" destOrd="0" presId="urn:microsoft.com/office/officeart/2005/8/layout/orgChart1"/>
    <dgm:cxn modelId="{CF083292-176D-4AE8-AE53-0B4FCBBBF967}" type="presParOf" srcId="{9BDCD7B1-1346-4266-8D25-AFE3E328B980}" destId="{6775DC0A-5883-40F7-826A-DD11862878FF}" srcOrd="0" destOrd="0" presId="urn:microsoft.com/office/officeart/2005/8/layout/orgChart1"/>
    <dgm:cxn modelId="{5BBFC5DD-A25E-4852-99D0-D8867F58646D}" type="presParOf" srcId="{6775DC0A-5883-40F7-826A-DD11862878FF}" destId="{EC441581-6D54-49D7-A668-AB6C31604DC6}" srcOrd="0" destOrd="0" presId="urn:microsoft.com/office/officeart/2005/8/layout/orgChart1"/>
    <dgm:cxn modelId="{F4A0B165-238F-406D-B28A-415BFD5487DC}" type="presParOf" srcId="{EC441581-6D54-49D7-A668-AB6C31604DC6}" destId="{41C0A7E2-0E61-44FA-A89D-43558B8775A4}" srcOrd="0" destOrd="0" presId="urn:microsoft.com/office/officeart/2005/8/layout/orgChart1"/>
    <dgm:cxn modelId="{2431BADE-8218-4856-98A3-D6F1DE1D6A64}" type="presParOf" srcId="{EC441581-6D54-49D7-A668-AB6C31604DC6}" destId="{7F146BA1-803C-43BD-AB7C-4D47C4D322EC}" srcOrd="1" destOrd="0" presId="urn:microsoft.com/office/officeart/2005/8/layout/orgChart1"/>
    <dgm:cxn modelId="{342288BF-303A-44D1-8B2D-1BCF71F9FE66}" type="presParOf" srcId="{6775DC0A-5883-40F7-826A-DD11862878FF}" destId="{BEEF88D1-7763-40BA-8A6C-1CCB8106013F}" srcOrd="1" destOrd="0" presId="urn:microsoft.com/office/officeart/2005/8/layout/orgChart1"/>
    <dgm:cxn modelId="{06AA02A8-0DAF-47CE-B3B4-697A7BA49DCF}" type="presParOf" srcId="{6775DC0A-5883-40F7-826A-DD11862878FF}" destId="{A18B4BA3-093C-4CA1-9978-042B18DF903A}" srcOrd="2" destOrd="0" presId="urn:microsoft.com/office/officeart/2005/8/layout/orgChart1"/>
    <dgm:cxn modelId="{FBD5A267-8FAA-470B-B3E8-5221F541410B}" type="presParOf" srcId="{A18B4BA3-093C-4CA1-9978-042B18DF903A}" destId="{07A76E3B-F6D2-45D9-A5B1-B6B3D5F34CF1}" srcOrd="0" destOrd="0" presId="urn:microsoft.com/office/officeart/2005/8/layout/orgChart1"/>
    <dgm:cxn modelId="{74B50D69-DB9D-46E3-929B-23D11B9FDA57}" type="presParOf" srcId="{A18B4BA3-093C-4CA1-9978-042B18DF903A}" destId="{B8A5E5FB-DEC3-4FDC-8DD9-D6A7B24567E2}" srcOrd="1" destOrd="0" presId="urn:microsoft.com/office/officeart/2005/8/layout/orgChart1"/>
    <dgm:cxn modelId="{09F24898-98A2-4790-ADA8-60E73A647AE7}" type="presParOf" srcId="{B8A5E5FB-DEC3-4FDC-8DD9-D6A7B24567E2}" destId="{84CD5D1E-302D-4B42-A74B-C8559BE3DE44}" srcOrd="0" destOrd="0" presId="urn:microsoft.com/office/officeart/2005/8/layout/orgChart1"/>
    <dgm:cxn modelId="{0A7F2FCA-F2F6-4D18-A7BC-DD0AA7047200}" type="presParOf" srcId="{84CD5D1E-302D-4B42-A74B-C8559BE3DE44}" destId="{9ECA3949-79D1-4118-9846-CE01DCFF9AA4}" srcOrd="0" destOrd="0" presId="urn:microsoft.com/office/officeart/2005/8/layout/orgChart1"/>
    <dgm:cxn modelId="{CB8EBA3E-B8CE-43D4-9927-021FAA784B6F}" type="presParOf" srcId="{84CD5D1E-302D-4B42-A74B-C8559BE3DE44}" destId="{256AEBE4-900D-4564-9877-546A9837F63C}" srcOrd="1" destOrd="0" presId="urn:microsoft.com/office/officeart/2005/8/layout/orgChart1"/>
    <dgm:cxn modelId="{D55440D6-58DC-48B0-93A5-0A96BC3A3C8E}" type="presParOf" srcId="{B8A5E5FB-DEC3-4FDC-8DD9-D6A7B24567E2}" destId="{DB035F01-F4BF-49A3-9DE3-703C63748349}" srcOrd="1" destOrd="0" presId="urn:microsoft.com/office/officeart/2005/8/layout/orgChart1"/>
    <dgm:cxn modelId="{D756A7C8-71C4-4602-9A03-504E027BD5F8}" type="presParOf" srcId="{B8A5E5FB-DEC3-4FDC-8DD9-D6A7B24567E2}" destId="{26A64322-DBEB-49E8-BF30-A2252146E812}" srcOrd="2" destOrd="0" presId="urn:microsoft.com/office/officeart/2005/8/layout/orgChart1"/>
    <dgm:cxn modelId="{B833E54E-FC2D-4102-9B5D-EE3C5DA2EFC4}" type="presParOf" srcId="{A18B4BA3-093C-4CA1-9978-042B18DF903A}" destId="{987A1539-0525-4141-A891-B68279531892}" srcOrd="2" destOrd="0" presId="urn:microsoft.com/office/officeart/2005/8/layout/orgChart1"/>
    <dgm:cxn modelId="{DFE4E757-5AAB-41A0-A4CD-3C76A6704905}" type="presParOf" srcId="{A18B4BA3-093C-4CA1-9978-042B18DF903A}" destId="{9CFF81F0-C789-40BF-90CF-141CCD6FF860}" srcOrd="3" destOrd="0" presId="urn:microsoft.com/office/officeart/2005/8/layout/orgChart1"/>
    <dgm:cxn modelId="{B5207F7F-BD22-4902-A32C-DC5F9A85A1DF}" type="presParOf" srcId="{9CFF81F0-C789-40BF-90CF-141CCD6FF860}" destId="{A3F6E2B4-8AC1-4E62-9B58-C6648C5CDC4C}" srcOrd="0" destOrd="0" presId="urn:microsoft.com/office/officeart/2005/8/layout/orgChart1"/>
    <dgm:cxn modelId="{C386CEED-FDB4-41F4-B8D1-C3CB9364F4BA}" type="presParOf" srcId="{A3F6E2B4-8AC1-4E62-9B58-C6648C5CDC4C}" destId="{49456145-41CA-47D2-BB82-4F7DB018EFE5}" srcOrd="0" destOrd="0" presId="urn:microsoft.com/office/officeart/2005/8/layout/orgChart1"/>
    <dgm:cxn modelId="{037207A0-D2F9-4C67-B15E-120B614E6EA4}" type="presParOf" srcId="{A3F6E2B4-8AC1-4E62-9B58-C6648C5CDC4C}" destId="{4DCE9870-3AE6-4BFD-BB9D-F132432FFE71}" srcOrd="1" destOrd="0" presId="urn:microsoft.com/office/officeart/2005/8/layout/orgChart1"/>
    <dgm:cxn modelId="{5117A254-D1E3-43C5-858B-72BE3209A13A}" type="presParOf" srcId="{9CFF81F0-C789-40BF-90CF-141CCD6FF860}" destId="{75B679C6-6345-4696-98D1-F01BBDCC1B9D}" srcOrd="1" destOrd="0" presId="urn:microsoft.com/office/officeart/2005/8/layout/orgChart1"/>
    <dgm:cxn modelId="{19ADD549-D1FD-4EAA-88C1-56EC23B6C593}" type="presParOf" srcId="{9CFF81F0-C789-40BF-90CF-141CCD6FF860}" destId="{1CEDCA92-8454-4A9C-91D5-946E029062DA}" srcOrd="2" destOrd="0" presId="urn:microsoft.com/office/officeart/2005/8/layout/orgChart1"/>
    <dgm:cxn modelId="{15312D97-0709-4963-B81A-B55C01A50FCA}" type="presParOf" srcId="{A18B4BA3-093C-4CA1-9978-042B18DF903A}" destId="{B55F79AB-3FCD-4BF0-BB47-14B297A7B1FA}" srcOrd="4" destOrd="0" presId="urn:microsoft.com/office/officeart/2005/8/layout/orgChart1"/>
    <dgm:cxn modelId="{F2A9051E-A5BA-43EE-A308-0BF6E00E98C3}" type="presParOf" srcId="{A18B4BA3-093C-4CA1-9978-042B18DF903A}" destId="{961C8B37-4C9B-473C-AAA5-E735A9B76672}" srcOrd="5" destOrd="0" presId="urn:microsoft.com/office/officeart/2005/8/layout/orgChart1"/>
    <dgm:cxn modelId="{5714A370-BA0F-4356-BF05-ABDE66624847}" type="presParOf" srcId="{961C8B37-4C9B-473C-AAA5-E735A9B76672}" destId="{6A18F026-6431-4A64-A3C7-1DD017FC2A72}" srcOrd="0" destOrd="0" presId="urn:microsoft.com/office/officeart/2005/8/layout/orgChart1"/>
    <dgm:cxn modelId="{FDC2ED02-5325-40BD-892A-9A86774D853E}" type="presParOf" srcId="{6A18F026-6431-4A64-A3C7-1DD017FC2A72}" destId="{56672560-090B-412C-9999-10EF47578553}" srcOrd="0" destOrd="0" presId="urn:microsoft.com/office/officeart/2005/8/layout/orgChart1"/>
    <dgm:cxn modelId="{077270C5-728D-4883-8BFE-70FA01460CAC}" type="presParOf" srcId="{6A18F026-6431-4A64-A3C7-1DD017FC2A72}" destId="{C97277D0-D5E4-4870-BB62-71D9F66EFD40}" srcOrd="1" destOrd="0" presId="urn:microsoft.com/office/officeart/2005/8/layout/orgChart1"/>
    <dgm:cxn modelId="{AD616121-D8B8-4E08-ABAB-1862E87C8D7C}" type="presParOf" srcId="{961C8B37-4C9B-473C-AAA5-E735A9B76672}" destId="{FD3CC95D-2C2D-418C-8F60-81183C3BE01A}" srcOrd="1" destOrd="0" presId="urn:microsoft.com/office/officeart/2005/8/layout/orgChart1"/>
    <dgm:cxn modelId="{F54686FB-6ABF-492D-AC86-964D80D039F8}" type="presParOf" srcId="{961C8B37-4C9B-473C-AAA5-E735A9B76672}" destId="{B14F891E-1A96-4E8F-B121-707C1062179F}" srcOrd="2" destOrd="0" presId="urn:microsoft.com/office/officeart/2005/8/layout/orgChart1"/>
    <dgm:cxn modelId="{0C53B275-8FED-4E78-8B82-1AA8BB5B526D}" type="presParOf" srcId="{A18B4BA3-093C-4CA1-9978-042B18DF903A}" destId="{2C192A3C-5855-4746-B652-010367FDDA4B}" srcOrd="6" destOrd="0" presId="urn:microsoft.com/office/officeart/2005/8/layout/orgChart1"/>
    <dgm:cxn modelId="{3D1D6DA7-D8D8-4C6B-9F28-58C7CD10CD32}" type="presParOf" srcId="{A18B4BA3-093C-4CA1-9978-042B18DF903A}" destId="{3B059881-5C5D-464C-97E3-B70CD2884617}" srcOrd="7" destOrd="0" presId="urn:microsoft.com/office/officeart/2005/8/layout/orgChart1"/>
    <dgm:cxn modelId="{F8032CDF-C75E-4077-8D61-8E6D1A09C77E}" type="presParOf" srcId="{3B059881-5C5D-464C-97E3-B70CD2884617}" destId="{0F4F73B2-ED41-4E9D-BA0A-EE85916E1B1E}" srcOrd="0" destOrd="0" presId="urn:microsoft.com/office/officeart/2005/8/layout/orgChart1"/>
    <dgm:cxn modelId="{99DF7BE0-56C7-4523-9324-528E263015BE}" type="presParOf" srcId="{0F4F73B2-ED41-4E9D-BA0A-EE85916E1B1E}" destId="{3F37A6B8-E802-429B-9DCC-CF44B3A505C5}" srcOrd="0" destOrd="0" presId="urn:microsoft.com/office/officeart/2005/8/layout/orgChart1"/>
    <dgm:cxn modelId="{7FC21ECD-A1E0-4054-BDCA-E9CF2E95843A}" type="presParOf" srcId="{0F4F73B2-ED41-4E9D-BA0A-EE85916E1B1E}" destId="{BD3BAEC1-DDE8-4C29-8C44-D5415F65C654}" srcOrd="1" destOrd="0" presId="urn:microsoft.com/office/officeart/2005/8/layout/orgChart1"/>
    <dgm:cxn modelId="{454EBE1B-A529-4D8B-8BF5-1C7C74DDCDB6}" type="presParOf" srcId="{3B059881-5C5D-464C-97E3-B70CD2884617}" destId="{9C8B451B-4347-4BF7-9F48-00229CF458A3}" srcOrd="1" destOrd="0" presId="urn:microsoft.com/office/officeart/2005/8/layout/orgChart1"/>
    <dgm:cxn modelId="{1DD33D5E-688F-4022-8098-E2E2656550E2}" type="presParOf" srcId="{3B059881-5C5D-464C-97E3-B70CD2884617}" destId="{29B3D374-CA07-4B06-BD7A-7DBD65FEEE68}" srcOrd="2" destOrd="0" presId="urn:microsoft.com/office/officeart/2005/8/layout/orgChart1"/>
  </dgm:cxnLst>
  <dgm:bg/>
  <dgm:whole/>
  <dgm:extLst>
    <a:ext uri="http://schemas.microsoft.com/office/drawing/2008/diagram">
      <dsp:dataModelExt xmlns:dsp="http://schemas.microsoft.com/office/drawing/2008/diagram" relId="rId20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192A3C-5855-4746-B652-010367FDDA4B}">
      <dsp:nvSpPr>
        <dsp:cNvPr id="0" name=""/>
        <dsp:cNvSpPr/>
      </dsp:nvSpPr>
      <dsp:spPr>
        <a:xfrm>
          <a:off x="3584326" y="1045517"/>
          <a:ext cx="219160" cy="2442070"/>
        </a:xfrm>
        <a:custGeom>
          <a:avLst/>
          <a:gdLst/>
          <a:ahLst/>
          <a:cxnLst/>
          <a:rect l="0" t="0" r="0" b="0"/>
          <a:pathLst>
            <a:path>
              <a:moveTo>
                <a:pt x="0" y="0"/>
              </a:moveTo>
              <a:lnTo>
                <a:pt x="0" y="2304929"/>
              </a:lnTo>
              <a:lnTo>
                <a:pt x="206852" y="2304929"/>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55F79AB-3FCD-4BF0-BB47-14B297A7B1FA}">
      <dsp:nvSpPr>
        <dsp:cNvPr id="0" name=""/>
        <dsp:cNvSpPr/>
      </dsp:nvSpPr>
      <dsp:spPr>
        <a:xfrm>
          <a:off x="3365166" y="1045517"/>
          <a:ext cx="219160" cy="2442070"/>
        </a:xfrm>
        <a:custGeom>
          <a:avLst/>
          <a:gdLst/>
          <a:ahLst/>
          <a:cxnLst/>
          <a:rect l="0" t="0" r="0" b="0"/>
          <a:pathLst>
            <a:path>
              <a:moveTo>
                <a:pt x="206852" y="0"/>
              </a:moveTo>
              <a:lnTo>
                <a:pt x="206852" y="2304929"/>
              </a:lnTo>
              <a:lnTo>
                <a:pt x="0" y="2304929"/>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987A1539-0525-4141-A891-B68279531892}">
      <dsp:nvSpPr>
        <dsp:cNvPr id="0" name=""/>
        <dsp:cNvSpPr/>
      </dsp:nvSpPr>
      <dsp:spPr>
        <a:xfrm>
          <a:off x="3584326" y="1045517"/>
          <a:ext cx="219160" cy="960130"/>
        </a:xfrm>
        <a:custGeom>
          <a:avLst/>
          <a:gdLst/>
          <a:ahLst/>
          <a:cxnLst/>
          <a:rect l="0" t="0" r="0" b="0"/>
          <a:pathLst>
            <a:path>
              <a:moveTo>
                <a:pt x="0" y="0"/>
              </a:moveTo>
              <a:lnTo>
                <a:pt x="0" y="906211"/>
              </a:lnTo>
              <a:lnTo>
                <a:pt x="206852" y="9062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07A76E3B-F6D2-45D9-A5B1-B6B3D5F34CF1}">
      <dsp:nvSpPr>
        <dsp:cNvPr id="0" name=""/>
        <dsp:cNvSpPr/>
      </dsp:nvSpPr>
      <dsp:spPr>
        <a:xfrm>
          <a:off x="3320165" y="1045517"/>
          <a:ext cx="264161" cy="960130"/>
        </a:xfrm>
        <a:custGeom>
          <a:avLst/>
          <a:gdLst/>
          <a:ahLst/>
          <a:cxnLst/>
          <a:rect l="0" t="0" r="0" b="0"/>
          <a:pathLst>
            <a:path>
              <a:moveTo>
                <a:pt x="249326" y="0"/>
              </a:moveTo>
              <a:lnTo>
                <a:pt x="249326" y="906211"/>
              </a:lnTo>
              <a:lnTo>
                <a:pt x="0" y="9062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41C0A7E2-0E61-44FA-A89D-43558B8775A4}">
      <dsp:nvSpPr>
        <dsp:cNvPr id="0" name=""/>
        <dsp:cNvSpPr/>
      </dsp:nvSpPr>
      <dsp:spPr>
        <a:xfrm>
          <a:off x="2481752" y="1897"/>
          <a:ext cx="2205148" cy="1043620"/>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Система комиссий по делам несовершеннолетних и защите их прав на территории Приморского края </a:t>
          </a:r>
        </a:p>
      </dsp:txBody>
      <dsp:txXfrm>
        <a:off x="2481752" y="1897"/>
        <a:ext cx="2205148" cy="1043620"/>
      </dsp:txXfrm>
    </dsp:sp>
    <dsp:sp modelId="{9ECA3949-79D1-4118-9846-CE01DCFF9AA4}">
      <dsp:nvSpPr>
        <dsp:cNvPr id="0" name=""/>
        <dsp:cNvSpPr/>
      </dsp:nvSpPr>
      <dsp:spPr>
        <a:xfrm>
          <a:off x="816562" y="1483837"/>
          <a:ext cx="2503602" cy="1043620"/>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Приморская краевая межведомственная комиссия по делам несовершеннолетних и защите их прав</a:t>
          </a:r>
        </a:p>
      </dsp:txBody>
      <dsp:txXfrm>
        <a:off x="816562" y="1483837"/>
        <a:ext cx="2503602" cy="1043620"/>
      </dsp:txXfrm>
    </dsp:sp>
    <dsp:sp modelId="{49456145-41CA-47D2-BB82-4F7DB018EFE5}">
      <dsp:nvSpPr>
        <dsp:cNvPr id="0" name=""/>
        <dsp:cNvSpPr/>
      </dsp:nvSpPr>
      <dsp:spPr>
        <a:xfrm>
          <a:off x="3803486" y="1483837"/>
          <a:ext cx="2980453" cy="1043620"/>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Районные (городские) комиссии по делам несовершеннолетних и защите их прав, образуемые в муниципальных районах, городских округах</a:t>
          </a:r>
        </a:p>
      </dsp:txBody>
      <dsp:txXfrm>
        <a:off x="3803486" y="1483837"/>
        <a:ext cx="2980453" cy="1043620"/>
      </dsp:txXfrm>
    </dsp:sp>
    <dsp:sp modelId="{56672560-090B-412C-9999-10EF47578553}">
      <dsp:nvSpPr>
        <dsp:cNvPr id="0" name=""/>
        <dsp:cNvSpPr/>
      </dsp:nvSpPr>
      <dsp:spPr>
        <a:xfrm>
          <a:off x="816562" y="2965777"/>
          <a:ext cx="2548603" cy="1043620"/>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Районные в городе комиссии по делам несовершеннолетних и защите их прав, образуемые Владивостокским городским округом в соответствии со статьей 13 Закона № 296</a:t>
          </a:r>
        </a:p>
      </dsp:txBody>
      <dsp:txXfrm>
        <a:off x="816562" y="2965777"/>
        <a:ext cx="2548603" cy="1043620"/>
      </dsp:txXfrm>
    </dsp:sp>
    <dsp:sp modelId="{3F37A6B8-E802-429B-9DCC-CF44B3A505C5}">
      <dsp:nvSpPr>
        <dsp:cNvPr id="0" name=""/>
        <dsp:cNvSpPr/>
      </dsp:nvSpPr>
      <dsp:spPr>
        <a:xfrm>
          <a:off x="3803486" y="2965777"/>
          <a:ext cx="3013285" cy="1043620"/>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Поселковые комиссии по делам несовершеннолетних и защите их прав, образуемые в соответствии со статьей 21  Закона № 296</a:t>
          </a:r>
        </a:p>
      </dsp:txBody>
      <dsp:txXfrm>
        <a:off x="3803486" y="2965777"/>
        <a:ext cx="3013285" cy="104362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7E04D4-464C-4122-82E3-3421C846B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599</Pages>
  <Words>225306</Words>
  <Characters>1284248</Characters>
  <Application>Microsoft Office Word</Application>
  <DocSecurity>0</DocSecurity>
  <Lines>10702</Lines>
  <Paragraphs>3013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anna406</dc:creator>
  <cp:keywords/>
  <dc:description/>
  <cp:lastModifiedBy>User</cp:lastModifiedBy>
  <cp:revision>244</cp:revision>
  <dcterms:created xsi:type="dcterms:W3CDTF">2019-06-27T00:55:00Z</dcterms:created>
  <dcterms:modified xsi:type="dcterms:W3CDTF">2019-07-06T07:11:00Z</dcterms:modified>
</cp:coreProperties>
</file>