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42869" w:rsidRPr="00991F9D" w:rsidRDefault="000B3CDE" w:rsidP="00200F69">
      <w:pPr>
        <w:spacing w:after="0" w:line="360" w:lineRule="auto"/>
        <w:ind w:firstLine="708"/>
        <w:rPr>
          <w:rFonts w:ascii="Times New Roman" w:hAnsi="Times New Roman" w:cs="Times New Roman"/>
          <w:b/>
          <w:bCs/>
          <w:sz w:val="24"/>
          <w:szCs w:val="24"/>
        </w:rPr>
      </w:pPr>
      <w:r>
        <w:rPr>
          <w:rFonts w:ascii="Times New Roman" w:hAnsi="Times New Roman" w:cs="Times New Roman"/>
          <w:b/>
          <w:bCs/>
          <w:sz w:val="24"/>
          <w:szCs w:val="24"/>
        </w:rPr>
        <w:t xml:space="preserve">Рубрика: </w:t>
      </w:r>
      <w:r w:rsidR="00200F69" w:rsidRPr="00F27F50">
        <w:rPr>
          <w:rFonts w:ascii="Times New Roman" w:hAnsi="Times New Roman" w:cs="Times New Roman"/>
          <w:sz w:val="24"/>
          <w:szCs w:val="24"/>
        </w:rPr>
        <w:t>Анализ доходов, прибыли и расходов</w:t>
      </w:r>
    </w:p>
    <w:p w:rsidR="00155221" w:rsidRDefault="00155221" w:rsidP="008156F7">
      <w:pPr>
        <w:suppressAutoHyphens/>
        <w:spacing w:line="360" w:lineRule="auto"/>
        <w:ind w:left="709"/>
        <w:rPr>
          <w:rFonts w:ascii="Times New Roman" w:hAnsi="Times New Roman" w:cs="Times New Roman"/>
          <w:b/>
          <w:bCs/>
          <w:sz w:val="24"/>
          <w:szCs w:val="24"/>
        </w:rPr>
      </w:pPr>
      <w:r>
        <w:rPr>
          <w:rFonts w:ascii="Times New Roman" w:hAnsi="Times New Roman" w:cs="Times New Roman"/>
          <w:b/>
          <w:bCs/>
          <w:sz w:val="24"/>
          <w:szCs w:val="24"/>
        </w:rPr>
        <w:t>УДК</w:t>
      </w:r>
      <w:r w:rsidRPr="00155221">
        <w:t xml:space="preserve"> </w:t>
      </w:r>
      <w:r w:rsidRPr="00F27F50">
        <w:rPr>
          <w:rFonts w:ascii="Times New Roman" w:hAnsi="Times New Roman" w:cs="Times New Roman"/>
          <w:sz w:val="24"/>
          <w:szCs w:val="24"/>
        </w:rPr>
        <w:t>332.812.123</w:t>
      </w:r>
    </w:p>
    <w:p w:rsidR="00F31596" w:rsidRDefault="00F31596" w:rsidP="008156F7">
      <w:pPr>
        <w:suppressAutoHyphens/>
        <w:spacing w:line="360" w:lineRule="auto"/>
        <w:ind w:left="709"/>
        <w:rPr>
          <w:rFonts w:ascii="Times New Roman" w:hAnsi="Times New Roman" w:cs="Times New Roman"/>
          <w:b/>
          <w:bCs/>
          <w:sz w:val="24"/>
          <w:szCs w:val="24"/>
        </w:rPr>
      </w:pPr>
      <w:r w:rsidRPr="00991F9D">
        <w:rPr>
          <w:rFonts w:ascii="Times New Roman" w:hAnsi="Times New Roman" w:cs="Times New Roman"/>
          <w:b/>
          <w:bCs/>
          <w:sz w:val="24"/>
          <w:szCs w:val="24"/>
        </w:rPr>
        <w:t>Аналитические возможности отчета о финансовых результатах в условиях применения ФСБУ 9/2025 «Доходы»</w:t>
      </w:r>
    </w:p>
    <w:p w:rsidR="00200F69" w:rsidRDefault="00200F69" w:rsidP="00991F9D">
      <w:pPr>
        <w:suppressAutoHyphens/>
        <w:spacing w:before="120" w:after="0" w:line="360" w:lineRule="auto"/>
        <w:ind w:left="567" w:right="567"/>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БУБНОВСКАЯ Татьяна Викторовна, </w:t>
      </w:r>
      <w:r w:rsidRPr="00200F69">
        <w:rPr>
          <w:rFonts w:ascii="Times New Roman" w:eastAsia="Calibri" w:hAnsi="Times New Roman" w:cs="Times New Roman"/>
          <w:bCs/>
          <w:sz w:val="24"/>
          <w:szCs w:val="24"/>
          <w:lang w:eastAsia="ru-RU"/>
        </w:rPr>
        <w:t>SPIN</w:t>
      </w:r>
      <w:r>
        <w:rPr>
          <w:rFonts w:ascii="Times New Roman" w:eastAsia="Calibri" w:hAnsi="Times New Roman" w:cs="Times New Roman"/>
          <w:bCs/>
          <w:sz w:val="24"/>
          <w:szCs w:val="24"/>
          <w:lang w:eastAsia="ru-RU"/>
        </w:rPr>
        <w:t xml:space="preserve">-код </w:t>
      </w:r>
      <w:r w:rsidRPr="00200F69">
        <w:rPr>
          <w:rFonts w:ascii="Times New Roman" w:eastAsia="Calibri" w:hAnsi="Times New Roman" w:cs="Times New Roman"/>
          <w:bCs/>
          <w:sz w:val="24"/>
          <w:szCs w:val="24"/>
          <w:lang w:eastAsia="ru-RU"/>
        </w:rPr>
        <w:t>3817-3978</w:t>
      </w:r>
      <w:r>
        <w:rPr>
          <w:rFonts w:ascii="Times New Roman" w:eastAsia="Calibri" w:hAnsi="Times New Roman" w:cs="Times New Roman"/>
          <w:bCs/>
          <w:sz w:val="24"/>
          <w:szCs w:val="24"/>
          <w:lang w:eastAsia="ru-RU"/>
        </w:rPr>
        <w:t xml:space="preserve">, </w:t>
      </w:r>
      <w:r w:rsidRPr="00200F69">
        <w:rPr>
          <w:rFonts w:ascii="Times New Roman" w:eastAsia="Calibri" w:hAnsi="Times New Roman" w:cs="Times New Roman"/>
          <w:bCs/>
          <w:sz w:val="24"/>
          <w:szCs w:val="24"/>
          <w:lang w:eastAsia="ru-RU"/>
        </w:rPr>
        <w:t xml:space="preserve">ORCID ID </w:t>
      </w:r>
      <w:hyperlink r:id="rId8" w:history="1">
        <w:r w:rsidRPr="00200D82">
          <w:rPr>
            <w:rStyle w:val="a3"/>
            <w:rFonts w:ascii="Times New Roman" w:eastAsia="Calibri" w:hAnsi="Times New Roman" w:cs="Times New Roman"/>
            <w:bCs/>
            <w:sz w:val="24"/>
            <w:szCs w:val="24"/>
            <w:lang w:eastAsia="ru-RU"/>
          </w:rPr>
          <w:t>https://orcid.org/0000-0002-4625-5434</w:t>
        </w:r>
      </w:hyperlink>
      <w:r>
        <w:rPr>
          <w:rFonts w:ascii="Times New Roman" w:eastAsia="Calibri" w:hAnsi="Times New Roman" w:cs="Times New Roman"/>
          <w:bCs/>
          <w:sz w:val="24"/>
          <w:szCs w:val="24"/>
          <w:lang w:eastAsia="ru-RU"/>
        </w:rPr>
        <w:t xml:space="preserve">, </w:t>
      </w:r>
      <w:r w:rsidR="00B9562C">
        <w:rPr>
          <w:rFonts w:ascii="Times New Roman" w:eastAsia="Calibri" w:hAnsi="Times New Roman" w:cs="Times New Roman"/>
          <w:bCs/>
          <w:sz w:val="24"/>
          <w:szCs w:val="24"/>
          <w:lang w:eastAsia="ru-RU"/>
        </w:rPr>
        <w:t xml:space="preserve">кандидат экономических наук, доцент кафедры экономики и управления Владивостокского государственного университета, г. Владивосток, Россия, </w:t>
      </w:r>
      <w:r w:rsidR="00B9562C" w:rsidRPr="00B9562C">
        <w:rPr>
          <w:rFonts w:ascii="Times New Roman" w:eastAsia="Calibri" w:hAnsi="Times New Roman" w:cs="Times New Roman"/>
          <w:bCs/>
          <w:sz w:val="24"/>
          <w:szCs w:val="24"/>
          <w:lang w:eastAsia="ru-RU"/>
        </w:rPr>
        <w:t>tatyana.bubnovskaya@vvsu.ru</w:t>
      </w:r>
    </w:p>
    <w:p w:rsidR="00200F69" w:rsidRPr="00200F69" w:rsidRDefault="00200F69" w:rsidP="00991F9D">
      <w:pPr>
        <w:suppressAutoHyphens/>
        <w:spacing w:before="120" w:after="0" w:line="360" w:lineRule="auto"/>
        <w:ind w:left="567" w:right="567"/>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ОСЛОПОВА Марина Владимировна</w:t>
      </w:r>
      <w:r w:rsidR="00B9562C">
        <w:rPr>
          <w:rFonts w:ascii="Times New Roman" w:eastAsia="Calibri" w:hAnsi="Times New Roman" w:cs="Times New Roman"/>
          <w:bCs/>
          <w:sz w:val="24"/>
          <w:szCs w:val="24"/>
          <w:lang w:eastAsia="ru-RU"/>
        </w:rPr>
        <w:t xml:space="preserve">, </w:t>
      </w:r>
      <w:r w:rsidR="00B9562C" w:rsidRPr="00B9562C">
        <w:rPr>
          <w:rFonts w:ascii="Times New Roman" w:eastAsia="Calibri" w:hAnsi="Times New Roman" w:cs="Times New Roman"/>
          <w:bCs/>
          <w:sz w:val="24"/>
          <w:szCs w:val="24"/>
          <w:lang w:eastAsia="ru-RU"/>
        </w:rPr>
        <w:t xml:space="preserve">SPIN-код 1616-6738, ORCID ID https://orcid.org/0000-0001-8894-6543, кандидат экономических наук, </w:t>
      </w:r>
      <w:r w:rsidR="00B9562C">
        <w:rPr>
          <w:rFonts w:ascii="Times New Roman" w:eastAsia="Calibri" w:hAnsi="Times New Roman" w:cs="Times New Roman"/>
          <w:bCs/>
          <w:sz w:val="24"/>
          <w:szCs w:val="24"/>
          <w:lang w:eastAsia="ru-RU"/>
        </w:rPr>
        <w:t>заведующий кафедрой</w:t>
      </w:r>
      <w:r w:rsidR="00B9562C" w:rsidRPr="00B9562C">
        <w:rPr>
          <w:rFonts w:ascii="Times New Roman" w:eastAsia="Calibri" w:hAnsi="Times New Roman" w:cs="Times New Roman"/>
          <w:bCs/>
          <w:sz w:val="24"/>
          <w:szCs w:val="24"/>
          <w:lang w:eastAsia="ru-RU"/>
        </w:rPr>
        <w:t xml:space="preserve"> кафедры экономики и управления Владивостокского государственного университета, г. Владивосток, Россия, Marina.Oslopova@vvsu.ru</w:t>
      </w:r>
    </w:p>
    <w:p w:rsidR="00B46EF2" w:rsidRDefault="00B46EF2" w:rsidP="00991F9D">
      <w:pPr>
        <w:suppressAutoHyphens/>
        <w:spacing w:before="120" w:after="0" w:line="360" w:lineRule="auto"/>
        <w:ind w:left="567" w:right="567"/>
        <w:jc w:val="both"/>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 xml:space="preserve">Ответственный автор: </w:t>
      </w:r>
      <w:r w:rsidRPr="00F27F50">
        <w:rPr>
          <w:rFonts w:ascii="Times New Roman" w:eastAsia="Calibri" w:hAnsi="Times New Roman" w:cs="Times New Roman"/>
          <w:bCs/>
          <w:sz w:val="24"/>
          <w:szCs w:val="24"/>
          <w:lang w:eastAsia="ru-RU"/>
        </w:rPr>
        <w:t>Бубновская Т.В. +79147319486</w:t>
      </w:r>
    </w:p>
    <w:p w:rsidR="00B9562C" w:rsidRDefault="00B9562C" w:rsidP="00991F9D">
      <w:pPr>
        <w:suppressAutoHyphens/>
        <w:spacing w:before="120" w:after="0" w:line="360" w:lineRule="auto"/>
        <w:ind w:left="567" w:right="567"/>
        <w:jc w:val="both"/>
        <w:rPr>
          <w:rFonts w:ascii="Times New Roman" w:eastAsia="Calibri" w:hAnsi="Times New Roman" w:cs="Times New Roman"/>
          <w:b/>
          <w:sz w:val="24"/>
          <w:szCs w:val="24"/>
          <w:lang w:eastAsia="ru-RU"/>
        </w:rPr>
      </w:pPr>
      <w:r w:rsidRPr="00B9562C">
        <w:rPr>
          <w:rFonts w:ascii="Times New Roman" w:eastAsia="Calibri" w:hAnsi="Times New Roman" w:cs="Times New Roman"/>
          <w:b/>
          <w:sz w:val="24"/>
          <w:szCs w:val="24"/>
          <w:lang w:eastAsia="ru-RU"/>
        </w:rPr>
        <w:t>Классификатор JEL</w:t>
      </w:r>
      <w:r>
        <w:rPr>
          <w:rFonts w:ascii="Times New Roman" w:eastAsia="Calibri" w:hAnsi="Times New Roman" w:cs="Times New Roman"/>
          <w:b/>
          <w:sz w:val="24"/>
          <w:szCs w:val="24"/>
          <w:lang w:eastAsia="ru-RU"/>
        </w:rPr>
        <w:t xml:space="preserve">: </w:t>
      </w:r>
      <w:r w:rsidRPr="00F27F50">
        <w:rPr>
          <w:rFonts w:ascii="Times New Roman" w:eastAsia="Calibri" w:hAnsi="Times New Roman" w:cs="Times New Roman"/>
          <w:bCs/>
          <w:sz w:val="24"/>
          <w:szCs w:val="24"/>
          <w:lang w:eastAsia="ru-RU"/>
        </w:rPr>
        <w:t>М</w:t>
      </w:r>
    </w:p>
    <w:p w:rsidR="00B9562C" w:rsidRDefault="00B9562C" w:rsidP="00991F9D">
      <w:pPr>
        <w:suppressAutoHyphens/>
        <w:spacing w:before="120" w:after="0" w:line="360" w:lineRule="auto"/>
        <w:ind w:left="567" w:right="567"/>
        <w:jc w:val="both"/>
        <w:rPr>
          <w:rFonts w:ascii="Times New Roman" w:eastAsia="Calibri" w:hAnsi="Times New Roman" w:cs="Times New Roman"/>
          <w:b/>
          <w:sz w:val="24"/>
          <w:szCs w:val="24"/>
          <w:lang w:eastAsia="ru-RU"/>
        </w:rPr>
      </w:pPr>
      <w:r w:rsidRPr="00B9562C">
        <w:rPr>
          <w:rFonts w:ascii="Times New Roman" w:eastAsia="Calibri" w:hAnsi="Times New Roman" w:cs="Times New Roman"/>
          <w:b/>
          <w:sz w:val="24"/>
          <w:szCs w:val="24"/>
          <w:lang w:eastAsia="ru-RU"/>
        </w:rPr>
        <w:t>Шифр и наименование научной специальности</w:t>
      </w:r>
      <w:r>
        <w:rPr>
          <w:rFonts w:ascii="Times New Roman" w:eastAsia="Calibri" w:hAnsi="Times New Roman" w:cs="Times New Roman"/>
          <w:b/>
          <w:sz w:val="24"/>
          <w:szCs w:val="24"/>
          <w:lang w:eastAsia="ru-RU"/>
        </w:rPr>
        <w:t xml:space="preserve">: </w:t>
      </w:r>
      <w:r w:rsidRPr="00F27F50">
        <w:rPr>
          <w:rFonts w:ascii="Times New Roman" w:eastAsia="Calibri" w:hAnsi="Times New Roman" w:cs="Times New Roman"/>
          <w:bCs/>
          <w:sz w:val="24"/>
          <w:szCs w:val="24"/>
          <w:lang w:eastAsia="ru-RU"/>
        </w:rPr>
        <w:t>5.2.1. Экономическая теория (экономические науки)</w:t>
      </w:r>
    </w:p>
    <w:p w:rsidR="00FA736F" w:rsidRDefault="00F31596" w:rsidP="00FA736F">
      <w:pPr>
        <w:suppressAutoHyphens/>
        <w:spacing w:after="0" w:line="360" w:lineRule="auto"/>
        <w:ind w:left="567" w:right="567"/>
        <w:jc w:val="both"/>
        <w:rPr>
          <w:rFonts w:ascii="Times New Roman" w:eastAsia="Calibri" w:hAnsi="Times New Roman" w:cs="Times New Roman"/>
          <w:bCs/>
          <w:i/>
          <w:iCs/>
          <w:sz w:val="24"/>
          <w:szCs w:val="24"/>
          <w:lang w:eastAsia="ru-RU"/>
        </w:rPr>
      </w:pPr>
      <w:r w:rsidRPr="00991F9D">
        <w:rPr>
          <w:rFonts w:ascii="Times New Roman" w:eastAsia="Calibri" w:hAnsi="Times New Roman" w:cs="Times New Roman"/>
          <w:b/>
          <w:i/>
          <w:iCs/>
          <w:sz w:val="24"/>
          <w:szCs w:val="24"/>
          <w:lang w:eastAsia="ru-RU"/>
        </w:rPr>
        <w:t>Аннотация.</w:t>
      </w:r>
      <w:r w:rsidRPr="00991F9D">
        <w:rPr>
          <w:rFonts w:ascii="Times New Roman" w:eastAsia="Calibri" w:hAnsi="Times New Roman" w:cs="Times New Roman"/>
          <w:bCs/>
          <w:i/>
          <w:iCs/>
          <w:sz w:val="24"/>
          <w:szCs w:val="24"/>
          <w:lang w:eastAsia="ru-RU"/>
        </w:rPr>
        <w:t xml:space="preserve"> </w:t>
      </w:r>
    </w:p>
    <w:p w:rsidR="00D4244C" w:rsidRPr="00D4244C" w:rsidRDefault="00D4244C" w:rsidP="00FA736F">
      <w:pPr>
        <w:suppressAutoHyphens/>
        <w:spacing w:after="0" w:line="360" w:lineRule="auto"/>
        <w:ind w:left="567" w:right="567"/>
        <w:jc w:val="both"/>
        <w:rPr>
          <w:rFonts w:ascii="Times New Roman" w:eastAsia="Calibri" w:hAnsi="Times New Roman" w:cs="Times New Roman"/>
          <w:bCs/>
          <w:i/>
          <w:iCs/>
          <w:sz w:val="24"/>
          <w:szCs w:val="24"/>
          <w:lang w:eastAsia="ru-RU"/>
        </w:rPr>
      </w:pPr>
      <w:r w:rsidRPr="00FA736F">
        <w:rPr>
          <w:rFonts w:ascii="Times New Roman" w:eastAsia="Calibri" w:hAnsi="Times New Roman" w:cs="Times New Roman"/>
          <w:b/>
          <w:i/>
          <w:iCs/>
          <w:sz w:val="24"/>
          <w:szCs w:val="24"/>
          <w:lang w:eastAsia="ru-RU"/>
        </w:rPr>
        <w:t>Предмет</w:t>
      </w:r>
      <w:r>
        <w:rPr>
          <w:rFonts w:ascii="Times New Roman" w:eastAsia="Calibri" w:hAnsi="Times New Roman" w:cs="Times New Roman"/>
          <w:bCs/>
          <w:i/>
          <w:iCs/>
          <w:sz w:val="24"/>
          <w:szCs w:val="24"/>
          <w:lang w:eastAsia="ru-RU"/>
        </w:rPr>
        <w:t xml:space="preserve">: </w:t>
      </w:r>
      <w:r w:rsidR="00FA736F">
        <w:rPr>
          <w:rFonts w:ascii="Times New Roman" w:eastAsia="Calibri" w:hAnsi="Times New Roman" w:cs="Times New Roman"/>
          <w:bCs/>
          <w:i/>
          <w:iCs/>
          <w:sz w:val="24"/>
          <w:szCs w:val="24"/>
          <w:lang w:eastAsia="ru-RU"/>
        </w:rPr>
        <w:t>отчет о финансовых результатах организации под влиянием ФСБУ 9/2025 «Доходы» и его аналитические возможности.</w:t>
      </w:r>
    </w:p>
    <w:p w:rsidR="00D4244C" w:rsidRDefault="00D4244C" w:rsidP="00FA736F">
      <w:pPr>
        <w:suppressAutoHyphens/>
        <w:spacing w:after="0" w:line="360" w:lineRule="auto"/>
        <w:ind w:left="567" w:right="567"/>
        <w:jc w:val="both"/>
        <w:rPr>
          <w:rFonts w:ascii="Times New Roman" w:eastAsia="Calibri" w:hAnsi="Times New Roman" w:cs="Times New Roman"/>
          <w:bCs/>
          <w:i/>
          <w:iCs/>
          <w:sz w:val="24"/>
          <w:szCs w:val="24"/>
          <w:lang w:eastAsia="ru-RU"/>
        </w:rPr>
      </w:pPr>
      <w:r w:rsidRPr="00515680">
        <w:rPr>
          <w:rFonts w:ascii="Times New Roman" w:eastAsia="Calibri" w:hAnsi="Times New Roman" w:cs="Times New Roman"/>
          <w:b/>
          <w:i/>
          <w:iCs/>
          <w:sz w:val="24"/>
          <w:szCs w:val="24"/>
          <w:lang w:eastAsia="ru-RU"/>
        </w:rPr>
        <w:t>Цель исследования</w:t>
      </w:r>
      <w:r w:rsidRPr="00D4244C">
        <w:rPr>
          <w:rFonts w:ascii="Times New Roman" w:eastAsia="Calibri" w:hAnsi="Times New Roman" w:cs="Times New Roman"/>
          <w:bCs/>
          <w:i/>
          <w:iCs/>
          <w:sz w:val="24"/>
          <w:szCs w:val="24"/>
          <w:lang w:eastAsia="ru-RU"/>
        </w:rPr>
        <w:t xml:space="preserve"> заключается в развитии представлений о взаимосвязи методологии учета доходов и аналитической интерпретации финансовых результатов.</w:t>
      </w:r>
    </w:p>
    <w:p w:rsidR="00D4244C" w:rsidRDefault="00D4244C" w:rsidP="00FA736F">
      <w:pPr>
        <w:suppressAutoHyphens/>
        <w:spacing w:after="0" w:line="360" w:lineRule="auto"/>
        <w:ind w:left="567" w:right="567"/>
        <w:jc w:val="both"/>
        <w:rPr>
          <w:rFonts w:ascii="Times New Roman" w:eastAsia="Calibri" w:hAnsi="Times New Roman" w:cs="Times New Roman"/>
          <w:bCs/>
          <w:i/>
          <w:iCs/>
          <w:sz w:val="24"/>
          <w:szCs w:val="24"/>
          <w:lang w:eastAsia="ru-RU"/>
        </w:rPr>
      </w:pPr>
      <w:r w:rsidRPr="00FA736F">
        <w:rPr>
          <w:rFonts w:ascii="Times New Roman" w:eastAsia="Calibri" w:hAnsi="Times New Roman" w:cs="Times New Roman"/>
          <w:b/>
          <w:i/>
          <w:iCs/>
          <w:sz w:val="24"/>
          <w:szCs w:val="24"/>
          <w:lang w:eastAsia="ru-RU"/>
        </w:rPr>
        <w:t>Методы исследования</w:t>
      </w:r>
      <w:r w:rsidRPr="00D4244C">
        <w:rPr>
          <w:rFonts w:ascii="Times New Roman" w:eastAsia="Calibri" w:hAnsi="Times New Roman" w:cs="Times New Roman"/>
          <w:bCs/>
          <w:i/>
          <w:iCs/>
          <w:sz w:val="24"/>
          <w:szCs w:val="24"/>
          <w:lang w:eastAsia="ru-RU"/>
        </w:rPr>
        <w:t>: метод сбора теоретической информации, метод формализации, а также анализ, синтез и сравнение.</w:t>
      </w:r>
      <w:r>
        <w:rPr>
          <w:rFonts w:ascii="Times New Roman" w:eastAsia="Calibri" w:hAnsi="Times New Roman" w:cs="Times New Roman"/>
          <w:bCs/>
          <w:i/>
          <w:iCs/>
          <w:sz w:val="24"/>
          <w:szCs w:val="24"/>
          <w:lang w:eastAsia="ru-RU"/>
        </w:rPr>
        <w:t xml:space="preserve"> </w:t>
      </w:r>
    </w:p>
    <w:p w:rsidR="00D4244C" w:rsidRPr="00D4244C" w:rsidRDefault="00D4244C" w:rsidP="00FA736F">
      <w:pPr>
        <w:suppressAutoHyphens/>
        <w:spacing w:after="0" w:line="360" w:lineRule="auto"/>
        <w:ind w:left="567" w:right="567"/>
        <w:jc w:val="both"/>
        <w:rPr>
          <w:rFonts w:ascii="Times New Roman" w:eastAsia="Calibri" w:hAnsi="Times New Roman" w:cs="Times New Roman"/>
          <w:bCs/>
          <w:i/>
          <w:iCs/>
          <w:sz w:val="24"/>
          <w:szCs w:val="24"/>
          <w:lang w:eastAsia="ru-RU"/>
        </w:rPr>
      </w:pPr>
      <w:r w:rsidRPr="00FA736F">
        <w:rPr>
          <w:rFonts w:ascii="Times New Roman" w:eastAsia="Calibri" w:hAnsi="Times New Roman" w:cs="Times New Roman"/>
          <w:b/>
          <w:i/>
          <w:iCs/>
          <w:sz w:val="24"/>
          <w:szCs w:val="24"/>
          <w:lang w:eastAsia="ru-RU"/>
        </w:rPr>
        <w:t>Результаты работы</w:t>
      </w:r>
      <w:r>
        <w:rPr>
          <w:rFonts w:ascii="Times New Roman" w:eastAsia="Calibri" w:hAnsi="Times New Roman" w:cs="Times New Roman"/>
          <w:bCs/>
          <w:i/>
          <w:iCs/>
          <w:sz w:val="24"/>
          <w:szCs w:val="24"/>
          <w:lang w:eastAsia="ru-RU"/>
        </w:rPr>
        <w:t>:</w:t>
      </w:r>
      <w:r w:rsidRPr="00D4244C">
        <w:rPr>
          <w:rFonts w:ascii="Times New Roman" w:eastAsia="Calibri" w:hAnsi="Times New Roman" w:cs="Times New Roman"/>
          <w:bCs/>
          <w:i/>
          <w:iCs/>
          <w:sz w:val="24"/>
          <w:szCs w:val="24"/>
          <w:lang w:eastAsia="ru-RU"/>
        </w:rPr>
        <w:t xml:space="preserve"> </w:t>
      </w:r>
      <w:r w:rsidR="00FA736F">
        <w:rPr>
          <w:rFonts w:ascii="Times New Roman" w:eastAsia="Calibri" w:hAnsi="Times New Roman" w:cs="Times New Roman"/>
          <w:bCs/>
          <w:i/>
          <w:iCs/>
          <w:sz w:val="24"/>
          <w:szCs w:val="24"/>
          <w:lang w:eastAsia="ru-RU"/>
        </w:rPr>
        <w:t>в</w:t>
      </w:r>
      <w:r w:rsidR="00FA736F" w:rsidRPr="00FA736F">
        <w:rPr>
          <w:rFonts w:ascii="Times New Roman" w:eastAsia="Calibri" w:hAnsi="Times New Roman" w:cs="Times New Roman"/>
          <w:bCs/>
          <w:i/>
          <w:iCs/>
          <w:sz w:val="24"/>
          <w:szCs w:val="24"/>
          <w:lang w:eastAsia="ru-RU"/>
        </w:rPr>
        <w:t xml:space="preserve">ыявлено, что внедрение ФСБУ 9/2025 приводит к изменению момента признания выручки, усложнению структуры доходов, включению оценочных элементов (переменное возмещение, дисконтирование), что повышает содержательность отчета о </w:t>
      </w:r>
      <w:r w:rsidR="00FA736F" w:rsidRPr="00FA736F">
        <w:rPr>
          <w:rFonts w:ascii="Times New Roman" w:eastAsia="Calibri" w:hAnsi="Times New Roman" w:cs="Times New Roman"/>
          <w:bCs/>
          <w:i/>
          <w:iCs/>
          <w:sz w:val="24"/>
          <w:szCs w:val="24"/>
          <w:lang w:eastAsia="ru-RU"/>
        </w:rPr>
        <w:lastRenderedPageBreak/>
        <w:t>финансовых результатах, но одновременно увеличивает зависимость аналитических выводов от качества учетной политики и профессионального суждения. На примере организации показано, как корректировки, связанные с передачей контроля, скидками и отсрочкой платежа, влияют на ключевые показатели рентабельности, снижая операционную прибыль, но повышая реалистичность оценки деятельности.</w:t>
      </w:r>
    </w:p>
    <w:p w:rsidR="00D4244C" w:rsidRPr="00D4244C" w:rsidRDefault="00FA736F" w:rsidP="00FA736F">
      <w:pPr>
        <w:suppressAutoHyphens/>
        <w:spacing w:after="0" w:line="360" w:lineRule="auto"/>
        <w:ind w:left="567" w:right="567"/>
        <w:jc w:val="both"/>
        <w:rPr>
          <w:rFonts w:ascii="Times New Roman" w:eastAsia="Calibri" w:hAnsi="Times New Roman" w:cs="Times New Roman"/>
          <w:bCs/>
          <w:i/>
          <w:iCs/>
          <w:sz w:val="24"/>
          <w:szCs w:val="24"/>
          <w:lang w:eastAsia="ru-RU"/>
        </w:rPr>
      </w:pPr>
      <w:r w:rsidRPr="00FA736F">
        <w:rPr>
          <w:rFonts w:ascii="Times New Roman" w:eastAsia="Calibri" w:hAnsi="Times New Roman" w:cs="Times New Roman"/>
          <w:b/>
          <w:i/>
          <w:iCs/>
          <w:sz w:val="24"/>
          <w:szCs w:val="24"/>
          <w:lang w:eastAsia="ru-RU"/>
        </w:rPr>
        <w:t>О</w:t>
      </w:r>
      <w:r w:rsidR="00D4244C" w:rsidRPr="00FA736F">
        <w:rPr>
          <w:rFonts w:ascii="Times New Roman" w:eastAsia="Calibri" w:hAnsi="Times New Roman" w:cs="Times New Roman"/>
          <w:b/>
          <w:i/>
          <w:iCs/>
          <w:sz w:val="24"/>
          <w:szCs w:val="24"/>
          <w:lang w:eastAsia="ru-RU"/>
        </w:rPr>
        <w:t>бласть применения результатов</w:t>
      </w:r>
      <w:r w:rsidR="00D4244C">
        <w:rPr>
          <w:rFonts w:ascii="Times New Roman" w:eastAsia="Calibri" w:hAnsi="Times New Roman" w:cs="Times New Roman"/>
          <w:bCs/>
          <w:i/>
          <w:iCs/>
          <w:sz w:val="24"/>
          <w:szCs w:val="24"/>
          <w:lang w:eastAsia="ru-RU"/>
        </w:rPr>
        <w:t>:</w:t>
      </w:r>
      <w:r>
        <w:rPr>
          <w:rFonts w:ascii="Times New Roman" w:eastAsia="Calibri" w:hAnsi="Times New Roman" w:cs="Times New Roman"/>
          <w:bCs/>
          <w:i/>
          <w:iCs/>
          <w:sz w:val="24"/>
          <w:szCs w:val="24"/>
          <w:lang w:eastAsia="ru-RU"/>
        </w:rPr>
        <w:t xml:space="preserve"> результаты могут быль использованы в деятельности предприятий при переходе на ФСБУ 9/2025, в работе служб экономического анализа. </w:t>
      </w:r>
    </w:p>
    <w:p w:rsidR="00D4244C" w:rsidRDefault="00FA736F" w:rsidP="00FA736F">
      <w:pPr>
        <w:suppressAutoHyphens/>
        <w:spacing w:after="0" w:line="360" w:lineRule="auto"/>
        <w:ind w:left="567" w:right="567"/>
        <w:jc w:val="both"/>
        <w:rPr>
          <w:rFonts w:ascii="Times New Roman" w:eastAsia="Calibri" w:hAnsi="Times New Roman" w:cs="Times New Roman"/>
          <w:bCs/>
          <w:i/>
          <w:iCs/>
          <w:sz w:val="24"/>
          <w:szCs w:val="24"/>
          <w:lang w:eastAsia="ru-RU"/>
        </w:rPr>
      </w:pPr>
      <w:r w:rsidRPr="00FA736F">
        <w:rPr>
          <w:rFonts w:ascii="Times New Roman" w:eastAsia="Calibri" w:hAnsi="Times New Roman" w:cs="Times New Roman"/>
          <w:b/>
          <w:i/>
          <w:iCs/>
          <w:sz w:val="24"/>
          <w:szCs w:val="24"/>
          <w:lang w:eastAsia="ru-RU"/>
        </w:rPr>
        <w:t>В</w:t>
      </w:r>
      <w:r w:rsidR="00D4244C" w:rsidRPr="00FA736F">
        <w:rPr>
          <w:rFonts w:ascii="Times New Roman" w:eastAsia="Calibri" w:hAnsi="Times New Roman" w:cs="Times New Roman"/>
          <w:b/>
          <w:i/>
          <w:iCs/>
          <w:sz w:val="24"/>
          <w:szCs w:val="24"/>
          <w:lang w:eastAsia="ru-RU"/>
        </w:rPr>
        <w:t>ыводы</w:t>
      </w:r>
      <w:r w:rsidR="00D4244C">
        <w:rPr>
          <w:rFonts w:ascii="Times New Roman" w:eastAsia="Calibri" w:hAnsi="Times New Roman" w:cs="Times New Roman"/>
          <w:bCs/>
          <w:i/>
          <w:iCs/>
          <w:sz w:val="24"/>
          <w:szCs w:val="24"/>
          <w:lang w:eastAsia="ru-RU"/>
        </w:rPr>
        <w:t>:</w:t>
      </w:r>
      <w:r w:rsidRPr="00FA736F">
        <w:t xml:space="preserve"> </w:t>
      </w:r>
      <w:r w:rsidRPr="00FA736F">
        <w:rPr>
          <w:rFonts w:ascii="Times New Roman" w:eastAsia="Calibri" w:hAnsi="Times New Roman" w:cs="Times New Roman"/>
          <w:bCs/>
          <w:i/>
          <w:iCs/>
          <w:sz w:val="24"/>
          <w:szCs w:val="24"/>
          <w:lang w:eastAsia="ru-RU"/>
        </w:rPr>
        <w:t>ФСБУ 9/2025 трансформирует отчет о финансовых результатах из ретроспективного документа в инструмент, сочетающий оценку прошлой и будущей эффективности. Расширение аналитических возможностей требует от пользователей более глубокого понимания учетных принципов и активного использования пояснений к отчетности</w:t>
      </w:r>
      <w:r w:rsidR="00D4244C" w:rsidRPr="00D4244C">
        <w:rPr>
          <w:rFonts w:ascii="Times New Roman" w:eastAsia="Calibri" w:hAnsi="Times New Roman" w:cs="Times New Roman"/>
          <w:bCs/>
          <w:i/>
          <w:iCs/>
          <w:sz w:val="24"/>
          <w:szCs w:val="24"/>
          <w:lang w:eastAsia="ru-RU"/>
        </w:rPr>
        <w:t>.</w:t>
      </w:r>
    </w:p>
    <w:p w:rsidR="00F31596" w:rsidRPr="00991F9D" w:rsidRDefault="00F31596" w:rsidP="00FA736F">
      <w:pPr>
        <w:suppressAutoHyphens/>
        <w:spacing w:after="0" w:line="360" w:lineRule="auto"/>
        <w:ind w:left="567" w:right="567"/>
        <w:jc w:val="both"/>
        <w:rPr>
          <w:rFonts w:ascii="Times New Roman" w:eastAsia="Calibri" w:hAnsi="Times New Roman" w:cs="Times New Roman"/>
          <w:bCs/>
          <w:i/>
          <w:iCs/>
          <w:sz w:val="24"/>
          <w:szCs w:val="24"/>
          <w:lang w:eastAsia="ru-RU"/>
        </w:rPr>
      </w:pPr>
      <w:r w:rsidRPr="00991F9D">
        <w:rPr>
          <w:rFonts w:ascii="Times New Roman" w:eastAsia="Calibri" w:hAnsi="Times New Roman" w:cs="Times New Roman"/>
          <w:b/>
          <w:i/>
          <w:iCs/>
          <w:sz w:val="24"/>
          <w:szCs w:val="24"/>
          <w:lang w:eastAsia="ru-RU"/>
        </w:rPr>
        <w:t>Ключевые слова:</w:t>
      </w:r>
      <w:r w:rsidRPr="00991F9D">
        <w:rPr>
          <w:rFonts w:ascii="Times New Roman" w:eastAsia="Calibri" w:hAnsi="Times New Roman" w:cs="Times New Roman"/>
          <w:bCs/>
          <w:i/>
          <w:iCs/>
          <w:sz w:val="24"/>
          <w:szCs w:val="24"/>
          <w:lang w:eastAsia="ru-RU"/>
        </w:rPr>
        <w:t xml:space="preserve"> доходы, </w:t>
      </w:r>
      <w:r w:rsidR="00D4244C">
        <w:rPr>
          <w:rFonts w:ascii="Times New Roman" w:eastAsia="Calibri" w:hAnsi="Times New Roman" w:cs="Times New Roman"/>
          <w:bCs/>
          <w:i/>
          <w:iCs/>
          <w:sz w:val="24"/>
          <w:szCs w:val="24"/>
          <w:lang w:eastAsia="ru-RU"/>
        </w:rPr>
        <w:t>ФСБУ</w:t>
      </w:r>
      <w:r w:rsidRPr="00991F9D">
        <w:rPr>
          <w:rFonts w:ascii="Times New Roman" w:eastAsia="Calibri" w:hAnsi="Times New Roman" w:cs="Times New Roman"/>
          <w:bCs/>
          <w:i/>
          <w:iCs/>
          <w:sz w:val="24"/>
          <w:szCs w:val="24"/>
          <w:lang w:eastAsia="ru-RU"/>
        </w:rPr>
        <w:t xml:space="preserve"> 9/2025 «Доходы», </w:t>
      </w:r>
      <w:r w:rsidR="00D4244C">
        <w:rPr>
          <w:rFonts w:ascii="Times New Roman" w:eastAsia="Calibri" w:hAnsi="Times New Roman" w:cs="Times New Roman"/>
          <w:bCs/>
          <w:i/>
          <w:iCs/>
          <w:sz w:val="24"/>
          <w:szCs w:val="24"/>
          <w:lang w:eastAsia="ru-RU"/>
        </w:rPr>
        <w:t>МСФО</w:t>
      </w:r>
      <w:r w:rsidRPr="00991F9D">
        <w:rPr>
          <w:rFonts w:ascii="Times New Roman" w:eastAsia="Calibri" w:hAnsi="Times New Roman" w:cs="Times New Roman"/>
          <w:bCs/>
          <w:i/>
          <w:iCs/>
          <w:sz w:val="24"/>
          <w:szCs w:val="24"/>
          <w:lang w:eastAsia="ru-RU"/>
        </w:rPr>
        <w:t xml:space="preserve"> 15 «Выручка по договорам с покупателями», отчет о финансовых результатах, аналитические возможности.</w:t>
      </w:r>
    </w:p>
    <w:p w:rsidR="00155221" w:rsidRPr="00155221" w:rsidRDefault="00155221" w:rsidP="007556DB">
      <w:pPr>
        <w:widowControl w:val="0"/>
        <w:spacing w:after="0" w:line="360" w:lineRule="auto"/>
        <w:ind w:left="567"/>
        <w:contextualSpacing/>
        <w:jc w:val="both"/>
        <w:rPr>
          <w:rFonts w:ascii="Times New Roman" w:eastAsia="Times New Roman" w:hAnsi="Times New Roman" w:cs="Times New Roman"/>
          <w:b/>
          <w:bCs/>
          <w:sz w:val="24"/>
          <w:szCs w:val="24"/>
          <w:lang w:val="en-US" w:eastAsia="ru-RU"/>
        </w:rPr>
      </w:pPr>
      <w:r w:rsidRPr="00155221">
        <w:rPr>
          <w:rFonts w:ascii="Times New Roman" w:eastAsia="Times New Roman" w:hAnsi="Times New Roman" w:cs="Times New Roman"/>
          <w:b/>
          <w:bCs/>
          <w:sz w:val="24"/>
          <w:szCs w:val="24"/>
          <w:lang w:val="en-US" w:eastAsia="ru-RU"/>
        </w:rPr>
        <w:t>Analytical capabilities of the financial performance report in the context of applying FSBU 9/2025 "Revenue"</w:t>
      </w:r>
    </w:p>
    <w:p w:rsidR="00155221" w:rsidRPr="00155221" w:rsidRDefault="00155221" w:rsidP="00155221">
      <w:pPr>
        <w:widowControl w:val="0"/>
        <w:spacing w:after="0" w:line="360" w:lineRule="auto"/>
        <w:ind w:firstLine="709"/>
        <w:contextualSpacing/>
        <w:jc w:val="both"/>
        <w:rPr>
          <w:rFonts w:ascii="Times New Roman" w:eastAsia="Times New Roman" w:hAnsi="Times New Roman" w:cs="Times New Roman"/>
          <w:b/>
          <w:bCs/>
          <w:sz w:val="24"/>
          <w:szCs w:val="24"/>
          <w:lang w:val="en-US" w:eastAsia="ru-RU"/>
        </w:rPr>
      </w:pPr>
      <w:r w:rsidRPr="00155221">
        <w:rPr>
          <w:rFonts w:ascii="Times New Roman" w:eastAsia="Times New Roman" w:hAnsi="Times New Roman" w:cs="Times New Roman"/>
          <w:b/>
          <w:bCs/>
          <w:sz w:val="24"/>
          <w:szCs w:val="24"/>
          <w:lang w:val="en-US" w:eastAsia="ru-RU"/>
        </w:rPr>
        <w:t>Tatiana V. Bubnovskaya</w:t>
      </w:r>
    </w:p>
    <w:p w:rsidR="00155221" w:rsidRPr="00155221" w:rsidRDefault="00155221" w:rsidP="00155221">
      <w:pPr>
        <w:widowControl w:val="0"/>
        <w:spacing w:after="0" w:line="360" w:lineRule="auto"/>
        <w:ind w:firstLine="709"/>
        <w:contextualSpacing/>
        <w:jc w:val="both"/>
        <w:rPr>
          <w:rFonts w:ascii="Times New Roman" w:eastAsia="Times New Roman" w:hAnsi="Times New Roman" w:cs="Times New Roman"/>
          <w:b/>
          <w:bCs/>
          <w:sz w:val="24"/>
          <w:szCs w:val="24"/>
          <w:lang w:val="en-US" w:eastAsia="ru-RU"/>
        </w:rPr>
      </w:pPr>
      <w:r w:rsidRPr="00155221">
        <w:rPr>
          <w:rFonts w:ascii="Times New Roman" w:eastAsia="Times New Roman" w:hAnsi="Times New Roman" w:cs="Times New Roman"/>
          <w:b/>
          <w:bCs/>
          <w:sz w:val="24"/>
          <w:szCs w:val="24"/>
          <w:lang w:val="en-US" w:eastAsia="ru-RU"/>
        </w:rPr>
        <w:t>Marina V. Oslopova</w:t>
      </w:r>
    </w:p>
    <w:p w:rsidR="00155221" w:rsidRPr="00155221" w:rsidRDefault="00155221" w:rsidP="007556DB">
      <w:pPr>
        <w:widowControl w:val="0"/>
        <w:spacing w:after="0" w:line="360" w:lineRule="auto"/>
        <w:ind w:firstLine="709"/>
        <w:contextualSpacing/>
        <w:jc w:val="both"/>
        <w:rPr>
          <w:rFonts w:ascii="Times New Roman" w:eastAsia="Times New Roman" w:hAnsi="Times New Roman" w:cs="Times New Roman"/>
          <w:b/>
          <w:bCs/>
          <w:sz w:val="24"/>
          <w:szCs w:val="24"/>
          <w:lang w:val="en-US" w:eastAsia="ru-RU"/>
        </w:rPr>
      </w:pPr>
      <w:r w:rsidRPr="00155221">
        <w:rPr>
          <w:rFonts w:ascii="Times New Roman" w:eastAsia="Times New Roman" w:hAnsi="Times New Roman" w:cs="Times New Roman"/>
          <w:b/>
          <w:bCs/>
          <w:sz w:val="24"/>
          <w:szCs w:val="24"/>
          <w:lang w:val="en-US" w:eastAsia="ru-RU"/>
        </w:rPr>
        <w:t>Vladivostok State University</w:t>
      </w:r>
      <w:r w:rsidR="007556DB" w:rsidRPr="00F27F50">
        <w:rPr>
          <w:rFonts w:ascii="Times New Roman" w:eastAsia="Times New Roman" w:hAnsi="Times New Roman" w:cs="Times New Roman"/>
          <w:b/>
          <w:bCs/>
          <w:sz w:val="24"/>
          <w:szCs w:val="24"/>
          <w:lang w:val="en-US" w:eastAsia="ru-RU"/>
        </w:rPr>
        <w:t xml:space="preserve">, </w:t>
      </w:r>
      <w:r w:rsidRPr="00155221">
        <w:rPr>
          <w:rFonts w:ascii="Times New Roman" w:eastAsia="Times New Roman" w:hAnsi="Times New Roman" w:cs="Times New Roman"/>
          <w:b/>
          <w:bCs/>
          <w:sz w:val="24"/>
          <w:szCs w:val="24"/>
          <w:lang w:val="en-US" w:eastAsia="ru-RU"/>
        </w:rPr>
        <w:t>Vladivostok. Russia</w:t>
      </w:r>
    </w:p>
    <w:p w:rsidR="00155221" w:rsidRDefault="00155221" w:rsidP="00FA736F">
      <w:pPr>
        <w:widowControl w:val="0"/>
        <w:spacing w:after="0" w:line="360" w:lineRule="auto"/>
        <w:ind w:firstLine="709"/>
        <w:contextualSpacing/>
        <w:jc w:val="both"/>
        <w:rPr>
          <w:rFonts w:ascii="Times New Roman" w:eastAsia="Times New Roman" w:hAnsi="Times New Roman" w:cs="Times New Roman"/>
          <w:b/>
          <w:bCs/>
          <w:i/>
          <w:iCs/>
          <w:sz w:val="24"/>
          <w:szCs w:val="24"/>
          <w:lang w:val="en-US" w:eastAsia="ru-RU"/>
        </w:rPr>
      </w:pPr>
      <w:r w:rsidRPr="00155221">
        <w:rPr>
          <w:rFonts w:ascii="Times New Roman" w:eastAsia="Times New Roman" w:hAnsi="Times New Roman" w:cs="Times New Roman"/>
          <w:b/>
          <w:bCs/>
          <w:i/>
          <w:iCs/>
          <w:sz w:val="24"/>
          <w:szCs w:val="24"/>
          <w:lang w:val="en-US" w:eastAsia="ru-RU"/>
        </w:rPr>
        <w:t xml:space="preserve">Abstract. </w:t>
      </w:r>
    </w:p>
    <w:p w:rsidR="00515680" w:rsidRDefault="00FA736F" w:rsidP="00FA736F">
      <w:pPr>
        <w:widowControl w:val="0"/>
        <w:spacing w:after="0" w:line="360" w:lineRule="auto"/>
        <w:ind w:firstLine="709"/>
        <w:contextualSpacing/>
        <w:jc w:val="both"/>
        <w:rPr>
          <w:rFonts w:ascii="Times New Roman" w:eastAsia="Times New Roman" w:hAnsi="Times New Roman" w:cs="Times New Roman"/>
          <w:i/>
          <w:iCs/>
          <w:sz w:val="24"/>
          <w:szCs w:val="24"/>
          <w:lang w:val="en-US" w:eastAsia="ru-RU"/>
        </w:rPr>
      </w:pPr>
      <w:r w:rsidRPr="00FA736F">
        <w:rPr>
          <w:rFonts w:ascii="Times New Roman" w:eastAsia="Times New Roman" w:hAnsi="Times New Roman" w:cs="Times New Roman"/>
          <w:b/>
          <w:bCs/>
          <w:i/>
          <w:iCs/>
          <w:sz w:val="24"/>
          <w:szCs w:val="24"/>
          <w:lang w:val="en-US" w:eastAsia="ru-RU"/>
        </w:rPr>
        <w:t xml:space="preserve">Subject: </w:t>
      </w:r>
      <w:r w:rsidRPr="00FA736F">
        <w:rPr>
          <w:rFonts w:ascii="Times New Roman" w:eastAsia="Times New Roman" w:hAnsi="Times New Roman" w:cs="Times New Roman"/>
          <w:i/>
          <w:iCs/>
          <w:sz w:val="24"/>
          <w:szCs w:val="24"/>
          <w:lang w:val="en-US" w:eastAsia="ru-RU"/>
        </w:rPr>
        <w:t xml:space="preserve">Financial performance reports under the influence of FSBU 9/2025 "Revenue" and their analytical capabilities. </w:t>
      </w:r>
    </w:p>
    <w:p w:rsidR="00FA736F" w:rsidRDefault="00FA736F" w:rsidP="00FA736F">
      <w:pPr>
        <w:widowControl w:val="0"/>
        <w:spacing w:after="0" w:line="360" w:lineRule="auto"/>
        <w:ind w:firstLine="709"/>
        <w:contextualSpacing/>
        <w:jc w:val="both"/>
        <w:rPr>
          <w:rFonts w:ascii="Times New Roman" w:eastAsia="Times New Roman" w:hAnsi="Times New Roman" w:cs="Times New Roman"/>
          <w:i/>
          <w:iCs/>
          <w:sz w:val="24"/>
          <w:szCs w:val="24"/>
          <w:lang w:val="en-US" w:eastAsia="ru-RU"/>
        </w:rPr>
      </w:pPr>
      <w:r w:rsidRPr="00515680">
        <w:rPr>
          <w:rFonts w:ascii="Times New Roman" w:eastAsia="Times New Roman" w:hAnsi="Times New Roman" w:cs="Times New Roman"/>
          <w:b/>
          <w:bCs/>
          <w:i/>
          <w:iCs/>
          <w:sz w:val="24"/>
          <w:szCs w:val="24"/>
          <w:lang w:val="en-US" w:eastAsia="ru-RU"/>
        </w:rPr>
        <w:t>The purpose of this study</w:t>
      </w:r>
      <w:r w:rsidRPr="00FA736F">
        <w:rPr>
          <w:rFonts w:ascii="Times New Roman" w:eastAsia="Times New Roman" w:hAnsi="Times New Roman" w:cs="Times New Roman"/>
          <w:i/>
          <w:iCs/>
          <w:sz w:val="24"/>
          <w:szCs w:val="24"/>
          <w:lang w:val="en-US" w:eastAsia="ru-RU"/>
        </w:rPr>
        <w:t xml:space="preserve"> is to develop understanding of the relationship between revenue accounting methodology and the analytical interpretation of financial results.</w:t>
      </w:r>
    </w:p>
    <w:p w:rsidR="00FA736F" w:rsidRDefault="00FA736F" w:rsidP="00FA736F">
      <w:pPr>
        <w:widowControl w:val="0"/>
        <w:spacing w:after="0" w:line="360" w:lineRule="auto"/>
        <w:ind w:firstLine="709"/>
        <w:contextualSpacing/>
        <w:jc w:val="both"/>
        <w:rPr>
          <w:rFonts w:ascii="Times New Roman" w:eastAsia="Times New Roman" w:hAnsi="Times New Roman" w:cs="Times New Roman"/>
          <w:i/>
          <w:iCs/>
          <w:sz w:val="24"/>
          <w:szCs w:val="24"/>
          <w:lang w:val="en-US" w:eastAsia="ru-RU"/>
        </w:rPr>
      </w:pPr>
      <w:r w:rsidRPr="00FA736F">
        <w:rPr>
          <w:rFonts w:ascii="Times New Roman" w:eastAsia="Times New Roman" w:hAnsi="Times New Roman" w:cs="Times New Roman"/>
          <w:b/>
          <w:bCs/>
          <w:i/>
          <w:iCs/>
          <w:sz w:val="24"/>
          <w:szCs w:val="24"/>
          <w:lang w:val="en-US" w:eastAsia="ru-RU"/>
        </w:rPr>
        <w:t>Research methods</w:t>
      </w:r>
      <w:r w:rsidRPr="00FA736F">
        <w:rPr>
          <w:rFonts w:ascii="Times New Roman" w:eastAsia="Times New Roman" w:hAnsi="Times New Roman" w:cs="Times New Roman"/>
          <w:i/>
          <w:iCs/>
          <w:sz w:val="24"/>
          <w:szCs w:val="24"/>
          <w:lang w:val="en-US" w:eastAsia="ru-RU"/>
        </w:rPr>
        <w:t>: method of collecting theoretical information, method of formalization, as well as analysis, synthesis and comparison.</w:t>
      </w:r>
    </w:p>
    <w:p w:rsidR="00FA736F" w:rsidRDefault="00FA736F" w:rsidP="00FA736F">
      <w:pPr>
        <w:widowControl w:val="0"/>
        <w:spacing w:after="0" w:line="360" w:lineRule="auto"/>
        <w:ind w:firstLine="709"/>
        <w:contextualSpacing/>
        <w:jc w:val="both"/>
        <w:rPr>
          <w:rFonts w:ascii="Times New Roman" w:eastAsia="Times New Roman" w:hAnsi="Times New Roman" w:cs="Times New Roman"/>
          <w:i/>
          <w:iCs/>
          <w:sz w:val="24"/>
          <w:szCs w:val="24"/>
          <w:lang w:val="en-US" w:eastAsia="ru-RU"/>
        </w:rPr>
      </w:pPr>
    </w:p>
    <w:p w:rsidR="00FA736F" w:rsidRDefault="00FA736F" w:rsidP="00FA736F">
      <w:pPr>
        <w:widowControl w:val="0"/>
        <w:spacing w:after="0" w:line="360" w:lineRule="auto"/>
        <w:ind w:firstLine="709"/>
        <w:contextualSpacing/>
        <w:jc w:val="both"/>
        <w:rPr>
          <w:rFonts w:ascii="Times New Roman" w:eastAsia="Times New Roman" w:hAnsi="Times New Roman" w:cs="Times New Roman"/>
          <w:i/>
          <w:iCs/>
          <w:sz w:val="24"/>
          <w:szCs w:val="24"/>
          <w:lang w:val="en-US" w:eastAsia="ru-RU"/>
        </w:rPr>
      </w:pPr>
      <w:r w:rsidRPr="00FA736F">
        <w:rPr>
          <w:rFonts w:ascii="Times New Roman" w:eastAsia="Times New Roman" w:hAnsi="Times New Roman" w:cs="Times New Roman"/>
          <w:b/>
          <w:bCs/>
          <w:i/>
          <w:iCs/>
          <w:sz w:val="24"/>
          <w:szCs w:val="24"/>
          <w:lang w:val="en-US" w:eastAsia="ru-RU"/>
        </w:rPr>
        <w:lastRenderedPageBreak/>
        <w:t>Results of the work</w:t>
      </w:r>
      <w:r w:rsidRPr="00FA736F">
        <w:rPr>
          <w:rFonts w:ascii="Times New Roman" w:eastAsia="Times New Roman" w:hAnsi="Times New Roman" w:cs="Times New Roman"/>
          <w:i/>
          <w:iCs/>
          <w:sz w:val="24"/>
          <w:szCs w:val="24"/>
          <w:lang w:val="en-US" w:eastAsia="ru-RU"/>
        </w:rPr>
        <w:t>: it was revealed that the implementation of FSBU 9/2025 leads to a change in the moment of revenue recognition, a more complex income structure, and the inclusion of estimated elements (variable compensation, discounting), which increases the content of the financial performance report, but at the same time increases the dependence of analytical conclusions on the quality of accounting policies and professional judgment.</w:t>
      </w:r>
      <w:r w:rsidRPr="00FA736F">
        <w:rPr>
          <w:lang w:val="en-US"/>
        </w:rPr>
        <w:t xml:space="preserve"> </w:t>
      </w:r>
      <w:r w:rsidRPr="00FA736F">
        <w:rPr>
          <w:rFonts w:ascii="Times New Roman" w:eastAsia="Times New Roman" w:hAnsi="Times New Roman" w:cs="Times New Roman"/>
          <w:i/>
          <w:iCs/>
          <w:sz w:val="24"/>
          <w:szCs w:val="24"/>
          <w:lang w:val="en-US" w:eastAsia="ru-RU"/>
        </w:rPr>
        <w:t>An example organization demonstrates how adjustments related to transfers of control, discounts, and payment deferrals affect key profitability indicators, reducing operating profit but increasing the realism of performance assessments.</w:t>
      </w:r>
    </w:p>
    <w:p w:rsidR="00FA736F" w:rsidRDefault="00FA736F" w:rsidP="00FA736F">
      <w:pPr>
        <w:widowControl w:val="0"/>
        <w:spacing w:after="0" w:line="360" w:lineRule="auto"/>
        <w:ind w:firstLine="709"/>
        <w:contextualSpacing/>
        <w:jc w:val="both"/>
        <w:rPr>
          <w:rFonts w:ascii="Times New Roman" w:eastAsia="Times New Roman" w:hAnsi="Times New Roman" w:cs="Times New Roman"/>
          <w:i/>
          <w:iCs/>
          <w:sz w:val="24"/>
          <w:szCs w:val="24"/>
          <w:lang w:val="en-US" w:eastAsia="ru-RU"/>
        </w:rPr>
      </w:pPr>
      <w:r w:rsidRPr="00FA736F">
        <w:rPr>
          <w:rFonts w:ascii="Times New Roman" w:eastAsia="Times New Roman" w:hAnsi="Times New Roman" w:cs="Times New Roman"/>
          <w:i/>
          <w:iCs/>
          <w:sz w:val="24"/>
          <w:szCs w:val="24"/>
          <w:lang w:val="en-US" w:eastAsia="ru-RU"/>
        </w:rPr>
        <w:t>Scope of application of the results: the results can be used in the activities of enterprises during the transition to FSBU 9/2025, in the work of economic analysis services.</w:t>
      </w:r>
    </w:p>
    <w:p w:rsidR="00FA736F" w:rsidRPr="00FA736F" w:rsidRDefault="00FA736F" w:rsidP="00FA736F">
      <w:pPr>
        <w:widowControl w:val="0"/>
        <w:spacing w:after="0" w:line="360" w:lineRule="auto"/>
        <w:ind w:firstLine="709"/>
        <w:contextualSpacing/>
        <w:jc w:val="both"/>
        <w:rPr>
          <w:rFonts w:ascii="Times New Roman" w:eastAsia="Times New Roman" w:hAnsi="Times New Roman" w:cs="Times New Roman"/>
          <w:i/>
          <w:iCs/>
          <w:sz w:val="24"/>
          <w:szCs w:val="24"/>
          <w:lang w:val="en-US" w:eastAsia="ru-RU"/>
        </w:rPr>
      </w:pPr>
      <w:r w:rsidRPr="00FA736F">
        <w:rPr>
          <w:rFonts w:ascii="Times New Roman" w:eastAsia="Times New Roman" w:hAnsi="Times New Roman" w:cs="Times New Roman"/>
          <w:b/>
          <w:bCs/>
          <w:i/>
          <w:iCs/>
          <w:sz w:val="24"/>
          <w:szCs w:val="24"/>
          <w:lang w:val="en-US" w:eastAsia="ru-RU"/>
        </w:rPr>
        <w:t>Conclusions</w:t>
      </w:r>
      <w:r w:rsidRPr="00FA736F">
        <w:rPr>
          <w:rFonts w:ascii="Times New Roman" w:eastAsia="Times New Roman" w:hAnsi="Times New Roman" w:cs="Times New Roman"/>
          <w:i/>
          <w:iCs/>
          <w:sz w:val="24"/>
          <w:szCs w:val="24"/>
          <w:lang w:val="en-US" w:eastAsia="ru-RU"/>
        </w:rPr>
        <w:t>: FSBU 9/2025 transforms the financial performance report from a retrospective document into a tool that combines the assessment of past and future performance. Expanding analytical capabilities requires users to develop a deeper understanding of accounting principles and actively utilize the explanatory notes to the financial statements.</w:t>
      </w:r>
    </w:p>
    <w:p w:rsidR="00155221" w:rsidRDefault="00FA736F" w:rsidP="00155221">
      <w:pPr>
        <w:widowControl w:val="0"/>
        <w:spacing w:after="0" w:line="360" w:lineRule="auto"/>
        <w:ind w:firstLine="709"/>
        <w:contextualSpacing/>
        <w:jc w:val="both"/>
        <w:rPr>
          <w:rFonts w:ascii="Times New Roman" w:eastAsia="Times New Roman" w:hAnsi="Times New Roman" w:cs="Times New Roman"/>
          <w:b/>
          <w:bCs/>
          <w:i/>
          <w:iCs/>
          <w:sz w:val="24"/>
          <w:szCs w:val="24"/>
          <w:lang w:val="en-US" w:eastAsia="ru-RU"/>
        </w:rPr>
      </w:pPr>
      <w:r w:rsidRPr="00FA736F">
        <w:rPr>
          <w:rFonts w:ascii="Times New Roman" w:eastAsia="Times New Roman" w:hAnsi="Times New Roman" w:cs="Times New Roman"/>
          <w:b/>
          <w:bCs/>
          <w:i/>
          <w:iCs/>
          <w:sz w:val="24"/>
          <w:szCs w:val="24"/>
          <w:lang w:val="en-US" w:eastAsia="ru-RU"/>
        </w:rPr>
        <w:t xml:space="preserve">Keywords: </w:t>
      </w:r>
      <w:r w:rsidRPr="00BF7B86">
        <w:rPr>
          <w:rFonts w:ascii="Times New Roman" w:eastAsia="Times New Roman" w:hAnsi="Times New Roman" w:cs="Times New Roman"/>
          <w:i/>
          <w:iCs/>
          <w:sz w:val="24"/>
          <w:szCs w:val="24"/>
          <w:lang w:val="en-US" w:eastAsia="ru-RU"/>
        </w:rPr>
        <w:t>revenue, FSBU 9/2025 “Revenue”, IFRS 15 “Revenue from Contracts with Customers”, financial performance statement, analytical capabilities.</w:t>
      </w:r>
    </w:p>
    <w:p w:rsidR="00F31596" w:rsidRPr="00991F9D" w:rsidRDefault="00F31596" w:rsidP="00991F9D">
      <w:pPr>
        <w:widowControl w:val="0"/>
        <w:spacing w:after="0" w:line="360" w:lineRule="auto"/>
        <w:ind w:firstLine="709"/>
        <w:contextualSpacing/>
        <w:jc w:val="both"/>
        <w:rPr>
          <w:rFonts w:ascii="Times New Roman" w:eastAsia="Times New Roman" w:hAnsi="Times New Roman" w:cs="Times New Roman"/>
          <w:b/>
          <w:bCs/>
          <w:sz w:val="24"/>
          <w:szCs w:val="24"/>
          <w:lang w:eastAsia="ru-RU"/>
        </w:rPr>
      </w:pPr>
      <w:r w:rsidRPr="00991F9D">
        <w:rPr>
          <w:rFonts w:ascii="Times New Roman" w:eastAsia="Times New Roman" w:hAnsi="Times New Roman" w:cs="Times New Roman"/>
          <w:b/>
          <w:bCs/>
          <w:sz w:val="24"/>
          <w:szCs w:val="24"/>
          <w:lang w:eastAsia="ru-RU"/>
        </w:rPr>
        <w:t>Введение</w:t>
      </w:r>
    </w:p>
    <w:p w:rsidR="00F31596" w:rsidRPr="00991F9D" w:rsidRDefault="00F31596" w:rsidP="00991F9D">
      <w:pPr>
        <w:widowControl w:val="0"/>
        <w:spacing w:after="0" w:line="360" w:lineRule="auto"/>
        <w:ind w:firstLine="709"/>
        <w:contextualSpacing/>
        <w:jc w:val="both"/>
        <w:rPr>
          <w:rFonts w:ascii="Times New Roman" w:hAnsi="Times New Roman" w:cs="Times New Roman"/>
          <w:sz w:val="24"/>
          <w:szCs w:val="24"/>
        </w:rPr>
      </w:pPr>
      <w:r w:rsidRPr="00991F9D">
        <w:rPr>
          <w:rFonts w:ascii="Times New Roman" w:eastAsia="Times New Roman" w:hAnsi="Times New Roman" w:cs="Times New Roman"/>
          <w:sz w:val="24"/>
          <w:szCs w:val="24"/>
          <w:lang w:eastAsia="ru-RU"/>
        </w:rPr>
        <w:t>Доходы традиционно рассматриваются как центральный элемент финансового результата организации, однако именно эта категория на протяжении десятилетий оставалась одной из наиболее методологически уязвимых в российской системе бухгалтерского учета. Формально закреплённые правила признания доходов долгое время опирались на юридические признаки хозяйственных операций - прежде всего на момент перехода права собственности, - что обеспечивало относительную простоту учета, но одновременно ограничивало аналитическую ценность формируемой отчетной информации. В условиях усложнения договорных конструкций, роста доли услуг, цифровых продуктов и долгосрочных контрактов такой подход постепенно перестал отражать экономическую сущность создаваемой стоимости.</w:t>
      </w:r>
      <w:r w:rsidRPr="00991F9D">
        <w:rPr>
          <w:rFonts w:ascii="Times New Roman" w:hAnsi="Times New Roman" w:cs="Times New Roman"/>
          <w:sz w:val="24"/>
          <w:szCs w:val="24"/>
        </w:rPr>
        <w:t xml:space="preserve"> </w:t>
      </w:r>
    </w:p>
    <w:p w:rsidR="00F31596" w:rsidRPr="00991F9D" w:rsidRDefault="00F31596" w:rsidP="00991F9D">
      <w:pPr>
        <w:widowControl w:val="0"/>
        <w:spacing w:after="0" w:line="360" w:lineRule="auto"/>
        <w:ind w:firstLine="709"/>
        <w:contextualSpacing/>
        <w:jc w:val="both"/>
        <w:rPr>
          <w:rFonts w:ascii="Times New Roman" w:hAnsi="Times New Roman" w:cs="Times New Roman"/>
          <w:sz w:val="24"/>
          <w:szCs w:val="24"/>
        </w:rPr>
      </w:pPr>
      <w:r w:rsidRPr="00991F9D">
        <w:rPr>
          <w:rFonts w:ascii="Times New Roman" w:hAnsi="Times New Roman" w:cs="Times New Roman"/>
          <w:sz w:val="24"/>
          <w:szCs w:val="24"/>
        </w:rPr>
        <w:t xml:space="preserve">В идеальной модели бухгалтерского учета информация о доходах должна отвечать одновременно нескольким критериям: отражать экономическую сущность операций, быть сопоставимой во времени и между организациями, </w:t>
      </w:r>
      <w:r w:rsidRPr="00991F9D">
        <w:rPr>
          <w:rFonts w:ascii="Times New Roman" w:hAnsi="Times New Roman" w:cs="Times New Roman"/>
          <w:sz w:val="24"/>
          <w:szCs w:val="24"/>
        </w:rPr>
        <w:lastRenderedPageBreak/>
        <w:t xml:space="preserve">обеспечивать аналитическую полезность для различных групп пользователей и не создавать избыточной неопределенности, связанной с субъективными оценками. Международные стандарты финансовой отчетности декларируют достижение именно такого баланса, что находит отражение в Концептуальных основах финансовой отчетности IASB </w:t>
      </w:r>
      <w:r w:rsidR="009E3D4D" w:rsidRPr="00991F9D">
        <w:rPr>
          <w:rFonts w:ascii="Times New Roman" w:hAnsi="Times New Roman" w:cs="Times New Roman"/>
          <w:sz w:val="24"/>
          <w:szCs w:val="24"/>
        </w:rPr>
        <w:t>[1]</w:t>
      </w:r>
      <w:r w:rsidRPr="00991F9D">
        <w:rPr>
          <w:rFonts w:ascii="Times New Roman" w:hAnsi="Times New Roman" w:cs="Times New Roman"/>
          <w:sz w:val="24"/>
          <w:szCs w:val="24"/>
        </w:rPr>
        <w:t>.</w:t>
      </w:r>
    </w:p>
    <w:p w:rsidR="00F31596" w:rsidRPr="00991F9D" w:rsidRDefault="00F31596" w:rsidP="00991F9D">
      <w:pPr>
        <w:widowControl w:val="0"/>
        <w:spacing w:after="0" w:line="360" w:lineRule="auto"/>
        <w:ind w:firstLine="709"/>
        <w:contextualSpacing/>
        <w:jc w:val="both"/>
        <w:rPr>
          <w:rFonts w:ascii="Times New Roman" w:hAnsi="Times New Roman" w:cs="Times New Roman"/>
          <w:sz w:val="24"/>
          <w:szCs w:val="24"/>
        </w:rPr>
      </w:pPr>
      <w:r w:rsidRPr="00991F9D">
        <w:rPr>
          <w:rFonts w:ascii="Times New Roman" w:hAnsi="Times New Roman" w:cs="Times New Roman"/>
          <w:sz w:val="24"/>
          <w:szCs w:val="24"/>
        </w:rPr>
        <w:t>ФСБУ 9/2025 формально ориентирован на эти же принципы</w:t>
      </w:r>
      <w:r w:rsidR="008156F7">
        <w:rPr>
          <w:rStyle w:val="af0"/>
          <w:rFonts w:ascii="Times New Roman" w:hAnsi="Times New Roman" w:cs="Times New Roman"/>
          <w:sz w:val="24"/>
          <w:szCs w:val="24"/>
        </w:rPr>
        <w:footnoteReference w:id="1"/>
      </w:r>
      <w:r w:rsidRPr="00991F9D">
        <w:rPr>
          <w:rFonts w:ascii="Times New Roman" w:hAnsi="Times New Roman" w:cs="Times New Roman"/>
          <w:sz w:val="24"/>
          <w:szCs w:val="24"/>
        </w:rPr>
        <w:t>. В стандарте закрепляется расширенное определение доходов как увеличения экономических выгод, вводится дифференцированная классификация доходов, уточняются условия признания выручки, а ключевым критерием становится передача контроля над продукцией или услугой. Вместе с тем, на практике возникает ряд существенных расхождений между декларируемой целью стандарта и реальными последствиями его применения.</w:t>
      </w:r>
    </w:p>
    <w:p w:rsidR="00F31596" w:rsidRPr="00991F9D" w:rsidRDefault="00F31596" w:rsidP="00991F9D">
      <w:pPr>
        <w:widowControl w:val="0"/>
        <w:spacing w:after="0" w:line="360" w:lineRule="auto"/>
        <w:ind w:firstLine="709"/>
        <w:contextualSpacing/>
        <w:jc w:val="both"/>
        <w:rPr>
          <w:rFonts w:ascii="Times New Roman" w:hAnsi="Times New Roman" w:cs="Times New Roman"/>
          <w:sz w:val="24"/>
          <w:szCs w:val="24"/>
        </w:rPr>
      </w:pPr>
      <w:r w:rsidRPr="00991F9D">
        <w:rPr>
          <w:rFonts w:ascii="Times New Roman" w:hAnsi="Times New Roman" w:cs="Times New Roman"/>
          <w:sz w:val="24"/>
          <w:szCs w:val="24"/>
        </w:rPr>
        <w:t>Во-первых, отказ от бинарной классификации доходов, характерной для ПБУ 9/99, и переход к более сложной структуре доходов, включаемых и не включаемых в чистую прибыль, требует пересмотра логики формирования показателей отчета о финансовых результатах. При этом действующие формы отчетности и методические рекомендации пока в полной мере не адаптированы к новым требованиям, что создает риск формального применения стандарта без изменения аналитического содержания отчетности.</w:t>
      </w:r>
    </w:p>
    <w:p w:rsidR="00F31596" w:rsidRPr="00991F9D" w:rsidRDefault="00F31596" w:rsidP="00991F9D">
      <w:pPr>
        <w:widowControl w:val="0"/>
        <w:spacing w:after="0" w:line="360" w:lineRule="auto"/>
        <w:ind w:firstLine="709"/>
        <w:contextualSpacing/>
        <w:jc w:val="both"/>
        <w:rPr>
          <w:rFonts w:ascii="Times New Roman" w:hAnsi="Times New Roman" w:cs="Times New Roman"/>
          <w:sz w:val="24"/>
          <w:szCs w:val="24"/>
        </w:rPr>
      </w:pPr>
      <w:r w:rsidRPr="00991F9D">
        <w:rPr>
          <w:rFonts w:ascii="Times New Roman" w:hAnsi="Times New Roman" w:cs="Times New Roman"/>
          <w:sz w:val="24"/>
          <w:szCs w:val="24"/>
        </w:rPr>
        <w:t>Во-вторых, внедрение концепции передачи контроля и признания выручки по мере исполнения обязательств усиливает роль профессионального суждения бухгалтера. С одной стороны, это позволяет более точно отражать экономическую реальность, особенно в долгосрочных и комплексных договорах. С другой - возрастает вариативность учетных решений, что снижает сопоставимость данных и усложняет анализ финансовых результатов как внутри организации, так и между различными экономическими субъектами</w:t>
      </w:r>
      <w:r w:rsidR="009E3D4D" w:rsidRPr="00991F9D">
        <w:rPr>
          <w:rFonts w:ascii="Times New Roman" w:hAnsi="Times New Roman" w:cs="Times New Roman"/>
          <w:sz w:val="24"/>
          <w:szCs w:val="24"/>
        </w:rPr>
        <w:t xml:space="preserve"> [</w:t>
      </w:r>
      <w:r w:rsidR="00600CF1">
        <w:rPr>
          <w:rFonts w:ascii="Times New Roman" w:hAnsi="Times New Roman" w:cs="Times New Roman"/>
          <w:sz w:val="24"/>
          <w:szCs w:val="24"/>
        </w:rPr>
        <w:t>2</w:t>
      </w:r>
      <w:r w:rsidR="009E3D4D" w:rsidRPr="00991F9D">
        <w:rPr>
          <w:rFonts w:ascii="Times New Roman" w:hAnsi="Times New Roman" w:cs="Times New Roman"/>
          <w:sz w:val="24"/>
          <w:szCs w:val="24"/>
        </w:rPr>
        <w:t>]</w:t>
      </w:r>
      <w:r w:rsidRPr="00991F9D">
        <w:rPr>
          <w:rFonts w:ascii="Times New Roman" w:hAnsi="Times New Roman" w:cs="Times New Roman"/>
          <w:sz w:val="24"/>
          <w:szCs w:val="24"/>
        </w:rPr>
        <w:t>.</w:t>
      </w:r>
    </w:p>
    <w:p w:rsidR="00F31596" w:rsidRPr="00991F9D" w:rsidRDefault="00F31596" w:rsidP="00991F9D">
      <w:pPr>
        <w:widowControl w:val="0"/>
        <w:spacing w:after="0" w:line="360" w:lineRule="auto"/>
        <w:ind w:firstLine="709"/>
        <w:contextualSpacing/>
        <w:jc w:val="both"/>
        <w:rPr>
          <w:rFonts w:ascii="Times New Roman" w:hAnsi="Times New Roman" w:cs="Times New Roman"/>
          <w:sz w:val="24"/>
          <w:szCs w:val="24"/>
        </w:rPr>
      </w:pPr>
      <w:r w:rsidRPr="00991F9D">
        <w:rPr>
          <w:rFonts w:ascii="Times New Roman" w:hAnsi="Times New Roman" w:cs="Times New Roman"/>
          <w:sz w:val="24"/>
          <w:szCs w:val="24"/>
        </w:rPr>
        <w:t xml:space="preserve">В-третьих, в научных и практических публикациях преобладает фокус на методологических различиях между ПБУ 9/99, ФСБУ 9/2025 и </w:t>
      </w:r>
      <w:r w:rsidRPr="00991F9D">
        <w:rPr>
          <w:rFonts w:ascii="Times New Roman" w:hAnsi="Times New Roman" w:cs="Times New Roman"/>
          <w:sz w:val="24"/>
          <w:szCs w:val="24"/>
          <w:lang w:val="de-DE"/>
        </w:rPr>
        <w:t>IFRS 15</w:t>
      </w:r>
      <w:r w:rsidRPr="00991F9D">
        <w:rPr>
          <w:rFonts w:ascii="Times New Roman" w:hAnsi="Times New Roman" w:cs="Times New Roman"/>
          <w:sz w:val="24"/>
          <w:szCs w:val="24"/>
        </w:rPr>
        <w:t xml:space="preserve">, тогда как вопросы аналитических последствий этих различий для отчета о финансовых </w:t>
      </w:r>
      <w:r w:rsidRPr="00991F9D">
        <w:rPr>
          <w:rFonts w:ascii="Times New Roman" w:hAnsi="Times New Roman" w:cs="Times New Roman"/>
          <w:sz w:val="24"/>
          <w:szCs w:val="24"/>
        </w:rPr>
        <w:lastRenderedPageBreak/>
        <w:t>результатах остаются недостаточно разработанными. В большинстве работ изменения в учете доходов рассматриваются либо как нормативное нововведение</w:t>
      </w:r>
      <w:r w:rsidR="00600CF1">
        <w:rPr>
          <w:rFonts w:ascii="Times New Roman" w:hAnsi="Times New Roman" w:cs="Times New Roman"/>
          <w:sz w:val="24"/>
          <w:szCs w:val="24"/>
        </w:rPr>
        <w:t xml:space="preserve"> в работах Кузнецовой И.В.</w:t>
      </w:r>
      <w:r w:rsidR="00D02C6A" w:rsidRPr="00991F9D">
        <w:rPr>
          <w:rFonts w:ascii="Times New Roman" w:hAnsi="Times New Roman" w:cs="Times New Roman"/>
          <w:sz w:val="24"/>
          <w:szCs w:val="24"/>
        </w:rPr>
        <w:t xml:space="preserve"> [</w:t>
      </w:r>
      <w:r w:rsidR="00600CF1">
        <w:rPr>
          <w:rFonts w:ascii="Times New Roman" w:hAnsi="Times New Roman" w:cs="Times New Roman"/>
          <w:sz w:val="24"/>
          <w:szCs w:val="24"/>
        </w:rPr>
        <w:t>3</w:t>
      </w:r>
      <w:r w:rsidR="00D02C6A" w:rsidRPr="00991F9D">
        <w:rPr>
          <w:rFonts w:ascii="Times New Roman" w:hAnsi="Times New Roman" w:cs="Times New Roman"/>
          <w:sz w:val="24"/>
          <w:szCs w:val="24"/>
        </w:rPr>
        <w:t xml:space="preserve">, </w:t>
      </w:r>
      <w:r w:rsidR="00600CF1">
        <w:rPr>
          <w:rFonts w:ascii="Times New Roman" w:hAnsi="Times New Roman" w:cs="Times New Roman"/>
          <w:sz w:val="24"/>
          <w:szCs w:val="24"/>
        </w:rPr>
        <w:t>4</w:t>
      </w:r>
      <w:r w:rsidR="00D02C6A" w:rsidRPr="00991F9D">
        <w:rPr>
          <w:rFonts w:ascii="Times New Roman" w:hAnsi="Times New Roman" w:cs="Times New Roman"/>
          <w:sz w:val="24"/>
          <w:szCs w:val="24"/>
        </w:rPr>
        <w:t>]</w:t>
      </w:r>
      <w:r w:rsidRPr="00991F9D">
        <w:rPr>
          <w:rFonts w:ascii="Times New Roman" w:hAnsi="Times New Roman" w:cs="Times New Roman"/>
          <w:sz w:val="24"/>
          <w:szCs w:val="24"/>
        </w:rPr>
        <w:t>, либо как техническая проблема перехода</w:t>
      </w:r>
      <w:r w:rsidR="00600CF1">
        <w:rPr>
          <w:rFonts w:ascii="Times New Roman" w:hAnsi="Times New Roman" w:cs="Times New Roman"/>
          <w:sz w:val="24"/>
          <w:szCs w:val="24"/>
        </w:rPr>
        <w:t xml:space="preserve"> в работах авторов Качан </w:t>
      </w:r>
      <w:r w:rsidR="000B3CDE">
        <w:rPr>
          <w:rFonts w:ascii="Times New Roman" w:hAnsi="Times New Roman" w:cs="Times New Roman"/>
          <w:sz w:val="24"/>
          <w:szCs w:val="24"/>
        </w:rPr>
        <w:t xml:space="preserve">Н.А., </w:t>
      </w:r>
      <w:r w:rsidR="00600CF1">
        <w:rPr>
          <w:rFonts w:ascii="Times New Roman" w:hAnsi="Times New Roman" w:cs="Times New Roman"/>
          <w:sz w:val="24"/>
          <w:szCs w:val="24"/>
        </w:rPr>
        <w:t xml:space="preserve">Плотниковой О.В., </w:t>
      </w:r>
      <w:r w:rsidR="000B3CDE">
        <w:rPr>
          <w:rFonts w:ascii="Times New Roman" w:hAnsi="Times New Roman" w:cs="Times New Roman"/>
          <w:sz w:val="24"/>
          <w:szCs w:val="24"/>
        </w:rPr>
        <w:t>Рыбаченко Э.В.</w:t>
      </w:r>
      <w:r w:rsidR="00D02C6A" w:rsidRPr="00991F9D">
        <w:rPr>
          <w:rFonts w:ascii="Times New Roman" w:hAnsi="Times New Roman" w:cs="Times New Roman"/>
          <w:sz w:val="24"/>
          <w:szCs w:val="24"/>
        </w:rPr>
        <w:t xml:space="preserve"> [</w:t>
      </w:r>
      <w:r w:rsidR="00600CF1">
        <w:rPr>
          <w:rFonts w:ascii="Times New Roman" w:hAnsi="Times New Roman" w:cs="Times New Roman"/>
          <w:sz w:val="24"/>
          <w:szCs w:val="24"/>
        </w:rPr>
        <w:t>5-7</w:t>
      </w:r>
      <w:r w:rsidR="00D02C6A" w:rsidRPr="00991F9D">
        <w:rPr>
          <w:rFonts w:ascii="Times New Roman" w:hAnsi="Times New Roman" w:cs="Times New Roman"/>
          <w:sz w:val="24"/>
          <w:szCs w:val="24"/>
        </w:rPr>
        <w:t>]</w:t>
      </w:r>
      <w:r w:rsidRPr="00991F9D">
        <w:rPr>
          <w:rFonts w:ascii="Times New Roman" w:hAnsi="Times New Roman" w:cs="Times New Roman"/>
          <w:sz w:val="24"/>
          <w:szCs w:val="24"/>
        </w:rPr>
        <w:t>, без системного анализа того, как новые правила влияют на интерпретацию финансовых показателей и принятие управленческих решений.</w:t>
      </w:r>
    </w:p>
    <w:p w:rsidR="00F31596" w:rsidRPr="00991F9D" w:rsidRDefault="00F31596" w:rsidP="00991F9D">
      <w:pPr>
        <w:widowControl w:val="0"/>
        <w:spacing w:after="0" w:line="360" w:lineRule="auto"/>
        <w:ind w:firstLine="709"/>
        <w:contextualSpacing/>
        <w:jc w:val="both"/>
        <w:rPr>
          <w:rFonts w:ascii="Times New Roman" w:hAnsi="Times New Roman" w:cs="Times New Roman"/>
          <w:sz w:val="24"/>
          <w:szCs w:val="24"/>
        </w:rPr>
      </w:pPr>
      <w:r w:rsidRPr="00991F9D">
        <w:rPr>
          <w:rFonts w:ascii="Times New Roman" w:hAnsi="Times New Roman" w:cs="Times New Roman"/>
          <w:sz w:val="24"/>
          <w:szCs w:val="24"/>
        </w:rPr>
        <w:t>Существенный вклад в исследование проблем учета доходов в условиях реформирования российской системы бухгалтерского учета внесли работы Т.Ю. Дружиловской, Л.А. Елиной, Т.В. Алляевой, Л.В. Сотниковой и других авторов. В их исследованиях подробно анализируются концептуальные изменения, заложенные в проекте и утвержденной редакции ФСБУ 9/2025, проводится сопоставление с МСФО 15, выявляются терминологические и методологические расхождения</w:t>
      </w:r>
      <w:r w:rsidR="009E3D4D" w:rsidRPr="00991F9D">
        <w:rPr>
          <w:rFonts w:ascii="Times New Roman" w:hAnsi="Times New Roman" w:cs="Times New Roman"/>
          <w:sz w:val="24"/>
          <w:szCs w:val="24"/>
        </w:rPr>
        <w:t xml:space="preserve"> [</w:t>
      </w:r>
      <w:r w:rsidR="000B3CDE">
        <w:rPr>
          <w:rFonts w:ascii="Times New Roman" w:hAnsi="Times New Roman" w:cs="Times New Roman"/>
          <w:sz w:val="24"/>
          <w:szCs w:val="24"/>
        </w:rPr>
        <w:t>8</w:t>
      </w:r>
      <w:r w:rsidR="009E3D4D" w:rsidRPr="00991F9D">
        <w:rPr>
          <w:rFonts w:ascii="Times New Roman" w:hAnsi="Times New Roman" w:cs="Times New Roman"/>
          <w:sz w:val="24"/>
          <w:szCs w:val="24"/>
        </w:rPr>
        <w:t>,</w:t>
      </w:r>
      <w:r w:rsidR="007C0FAF" w:rsidRPr="00991F9D">
        <w:rPr>
          <w:rFonts w:ascii="Times New Roman" w:hAnsi="Times New Roman" w:cs="Times New Roman"/>
          <w:sz w:val="24"/>
          <w:szCs w:val="24"/>
        </w:rPr>
        <w:t xml:space="preserve"> </w:t>
      </w:r>
      <w:r w:rsidR="000B3CDE">
        <w:rPr>
          <w:rFonts w:ascii="Times New Roman" w:hAnsi="Times New Roman" w:cs="Times New Roman"/>
          <w:sz w:val="24"/>
          <w:szCs w:val="24"/>
        </w:rPr>
        <w:t>9</w:t>
      </w:r>
      <w:r w:rsidR="009E3D4D" w:rsidRPr="00991F9D">
        <w:rPr>
          <w:rFonts w:ascii="Times New Roman" w:hAnsi="Times New Roman" w:cs="Times New Roman"/>
          <w:sz w:val="24"/>
          <w:szCs w:val="24"/>
        </w:rPr>
        <w:t>]</w:t>
      </w:r>
      <w:r w:rsidRPr="00991F9D">
        <w:rPr>
          <w:rFonts w:ascii="Times New Roman" w:hAnsi="Times New Roman" w:cs="Times New Roman"/>
          <w:sz w:val="24"/>
          <w:szCs w:val="24"/>
        </w:rPr>
        <w:t>.</w:t>
      </w:r>
    </w:p>
    <w:p w:rsidR="00F31596" w:rsidRPr="00991F9D" w:rsidRDefault="00F31596" w:rsidP="00991F9D">
      <w:pPr>
        <w:widowControl w:val="0"/>
        <w:spacing w:after="0" w:line="360" w:lineRule="auto"/>
        <w:ind w:firstLine="709"/>
        <w:contextualSpacing/>
        <w:jc w:val="both"/>
        <w:rPr>
          <w:rFonts w:ascii="Times New Roman" w:hAnsi="Times New Roman" w:cs="Times New Roman"/>
          <w:sz w:val="24"/>
          <w:szCs w:val="24"/>
        </w:rPr>
      </w:pPr>
      <w:r w:rsidRPr="00991F9D">
        <w:rPr>
          <w:rFonts w:ascii="Times New Roman" w:hAnsi="Times New Roman" w:cs="Times New Roman"/>
          <w:sz w:val="24"/>
          <w:szCs w:val="24"/>
        </w:rPr>
        <w:t>Отдельное направление исследований посвящено вопросам признания выручки по договорам длительного цикла и применению метода «по мере готовности». Эти работы подчеркивают как преимущества нового подхода с точки зрения отражения экономической сущности операций, так и его уязвимость, связанную с высокой оценочностью и сложностью практической реализации</w:t>
      </w:r>
      <w:r w:rsidR="007C0FAF" w:rsidRPr="00991F9D">
        <w:rPr>
          <w:rFonts w:ascii="Times New Roman" w:hAnsi="Times New Roman" w:cs="Times New Roman"/>
          <w:sz w:val="24"/>
          <w:szCs w:val="24"/>
        </w:rPr>
        <w:t xml:space="preserve"> [</w:t>
      </w:r>
      <w:r w:rsidR="00D02C6A" w:rsidRPr="00991F9D">
        <w:rPr>
          <w:rFonts w:ascii="Times New Roman" w:hAnsi="Times New Roman" w:cs="Times New Roman"/>
          <w:sz w:val="24"/>
          <w:szCs w:val="24"/>
        </w:rPr>
        <w:t>1</w:t>
      </w:r>
      <w:r w:rsidR="000B3CDE">
        <w:rPr>
          <w:rFonts w:ascii="Times New Roman" w:hAnsi="Times New Roman" w:cs="Times New Roman"/>
          <w:sz w:val="24"/>
          <w:szCs w:val="24"/>
        </w:rPr>
        <w:t>0</w:t>
      </w:r>
      <w:r w:rsidR="007C0FAF" w:rsidRPr="00991F9D">
        <w:rPr>
          <w:rFonts w:ascii="Times New Roman" w:hAnsi="Times New Roman" w:cs="Times New Roman"/>
          <w:sz w:val="24"/>
          <w:szCs w:val="24"/>
        </w:rPr>
        <w:t>]</w:t>
      </w:r>
      <w:r w:rsidRPr="00991F9D">
        <w:rPr>
          <w:rFonts w:ascii="Times New Roman" w:hAnsi="Times New Roman" w:cs="Times New Roman"/>
          <w:sz w:val="24"/>
          <w:szCs w:val="24"/>
        </w:rPr>
        <w:t>.</w:t>
      </w:r>
    </w:p>
    <w:p w:rsidR="00F31596" w:rsidRPr="00991F9D" w:rsidRDefault="00F31596" w:rsidP="00991F9D">
      <w:pPr>
        <w:widowControl w:val="0"/>
        <w:spacing w:after="0" w:line="360" w:lineRule="auto"/>
        <w:ind w:firstLine="709"/>
        <w:contextualSpacing/>
        <w:jc w:val="both"/>
        <w:rPr>
          <w:rFonts w:ascii="Times New Roman" w:hAnsi="Times New Roman" w:cs="Times New Roman"/>
          <w:sz w:val="24"/>
          <w:szCs w:val="24"/>
        </w:rPr>
      </w:pPr>
      <w:r w:rsidRPr="00991F9D">
        <w:rPr>
          <w:rFonts w:ascii="Times New Roman" w:hAnsi="Times New Roman" w:cs="Times New Roman"/>
          <w:sz w:val="24"/>
          <w:szCs w:val="24"/>
        </w:rPr>
        <w:t>В то же время анализ научной литературы показывает, что большинство исследований концентрируется на учетной технике и нормативных аспектах, тогда как влияние ФСБУ 9/2025 на структуру, содержание и аналитическую интерпретацию отчета о финансовых результатах остается фрагментарно освещенным. Как правило, отчет о финансовых результатах рассматривается либо в историческом контексте его развития, либо в сравнении российских и международных форм отчетности, без увязки с конкретными изменениями в стандартах учета доходов</w:t>
      </w:r>
      <w:r w:rsidR="007C0FAF" w:rsidRPr="00991F9D">
        <w:rPr>
          <w:rFonts w:ascii="Times New Roman" w:hAnsi="Times New Roman" w:cs="Times New Roman"/>
          <w:sz w:val="24"/>
          <w:szCs w:val="24"/>
        </w:rPr>
        <w:t xml:space="preserve"> [</w:t>
      </w:r>
      <w:r w:rsidR="000B3CDE">
        <w:rPr>
          <w:rFonts w:ascii="Times New Roman" w:hAnsi="Times New Roman" w:cs="Times New Roman"/>
          <w:sz w:val="24"/>
          <w:szCs w:val="24"/>
        </w:rPr>
        <w:t>8</w:t>
      </w:r>
      <w:r w:rsidR="00784E88" w:rsidRPr="00991F9D">
        <w:rPr>
          <w:rFonts w:ascii="Times New Roman" w:hAnsi="Times New Roman" w:cs="Times New Roman"/>
          <w:sz w:val="24"/>
          <w:szCs w:val="24"/>
        </w:rPr>
        <w:t xml:space="preserve">, </w:t>
      </w:r>
      <w:r w:rsidR="000B3CDE">
        <w:rPr>
          <w:rFonts w:ascii="Times New Roman" w:hAnsi="Times New Roman" w:cs="Times New Roman"/>
          <w:sz w:val="24"/>
          <w:szCs w:val="24"/>
        </w:rPr>
        <w:t>11</w:t>
      </w:r>
      <w:r w:rsidR="00192946" w:rsidRPr="00991F9D">
        <w:rPr>
          <w:rFonts w:ascii="Times New Roman" w:hAnsi="Times New Roman" w:cs="Times New Roman"/>
          <w:sz w:val="24"/>
          <w:szCs w:val="24"/>
        </w:rPr>
        <w:t xml:space="preserve">, </w:t>
      </w:r>
      <w:r w:rsidR="00D02C6A" w:rsidRPr="00991F9D">
        <w:rPr>
          <w:rFonts w:ascii="Times New Roman" w:hAnsi="Times New Roman" w:cs="Times New Roman"/>
          <w:sz w:val="24"/>
          <w:szCs w:val="24"/>
        </w:rPr>
        <w:t>1</w:t>
      </w:r>
      <w:r w:rsidR="000B3CDE">
        <w:rPr>
          <w:rFonts w:ascii="Times New Roman" w:hAnsi="Times New Roman" w:cs="Times New Roman"/>
          <w:sz w:val="24"/>
          <w:szCs w:val="24"/>
        </w:rPr>
        <w:t>2, 13</w:t>
      </w:r>
      <w:r w:rsidR="007C0FAF" w:rsidRPr="00991F9D">
        <w:rPr>
          <w:rFonts w:ascii="Times New Roman" w:hAnsi="Times New Roman" w:cs="Times New Roman"/>
          <w:sz w:val="24"/>
          <w:szCs w:val="24"/>
        </w:rPr>
        <w:t>]</w:t>
      </w:r>
      <w:r w:rsidRPr="00991F9D">
        <w:rPr>
          <w:rFonts w:ascii="Times New Roman" w:hAnsi="Times New Roman" w:cs="Times New Roman"/>
          <w:sz w:val="24"/>
          <w:szCs w:val="24"/>
        </w:rPr>
        <w:t>.</w:t>
      </w:r>
    </w:p>
    <w:p w:rsidR="00F31596" w:rsidRPr="00991F9D" w:rsidRDefault="00F31596" w:rsidP="00991F9D">
      <w:pPr>
        <w:widowControl w:val="0"/>
        <w:spacing w:after="0" w:line="360" w:lineRule="auto"/>
        <w:ind w:firstLine="709"/>
        <w:contextualSpacing/>
        <w:jc w:val="both"/>
        <w:rPr>
          <w:rFonts w:ascii="Times New Roman" w:hAnsi="Times New Roman" w:cs="Times New Roman"/>
          <w:sz w:val="24"/>
          <w:szCs w:val="24"/>
        </w:rPr>
      </w:pPr>
      <w:r w:rsidRPr="00991F9D">
        <w:rPr>
          <w:rFonts w:ascii="Times New Roman" w:hAnsi="Times New Roman" w:cs="Times New Roman"/>
          <w:sz w:val="24"/>
          <w:szCs w:val="24"/>
        </w:rPr>
        <w:t>Таким образом, несмотря на значительный массив публикаций, сохраняется отчетливый научный разрыв между исследованиями методологии учета доходов и анализом отчетных показателей, формируемых на основе этой методологии. Именно этот разрыв и определяет актуальность настоящего исследования.</w:t>
      </w:r>
    </w:p>
    <w:p w:rsidR="00F31596" w:rsidRPr="00991F9D" w:rsidRDefault="00F31596" w:rsidP="00991F9D">
      <w:pPr>
        <w:widowControl w:val="0"/>
        <w:spacing w:after="0" w:line="360" w:lineRule="auto"/>
        <w:ind w:firstLine="709"/>
        <w:jc w:val="both"/>
        <w:rPr>
          <w:rFonts w:ascii="Times New Roman" w:hAnsi="Times New Roman" w:cs="Times New Roman"/>
          <w:sz w:val="24"/>
          <w:szCs w:val="24"/>
          <w:highlight w:val="yellow"/>
        </w:rPr>
      </w:pPr>
      <w:bookmarkStart w:id="0" w:name="_Hlk224940919"/>
      <w:r w:rsidRPr="00991F9D">
        <w:rPr>
          <w:rFonts w:ascii="Times New Roman" w:hAnsi="Times New Roman" w:cs="Times New Roman"/>
          <w:sz w:val="24"/>
          <w:szCs w:val="24"/>
        </w:rPr>
        <w:t>Цель исследования заключается в развитии представлений о взаимосвязи методологии учета доходов и аналитической интерпретации финансовых результатов.</w:t>
      </w:r>
      <w:bookmarkEnd w:id="0"/>
      <w:r w:rsidRPr="00991F9D">
        <w:rPr>
          <w:rFonts w:ascii="Times New Roman" w:hAnsi="Times New Roman" w:cs="Times New Roman"/>
          <w:sz w:val="24"/>
          <w:szCs w:val="24"/>
        </w:rPr>
        <w:t xml:space="preserve"> В отличие от большинства существующих работ, сосредоточенных на </w:t>
      </w:r>
      <w:r w:rsidRPr="00991F9D">
        <w:rPr>
          <w:rFonts w:ascii="Times New Roman" w:hAnsi="Times New Roman" w:cs="Times New Roman"/>
          <w:sz w:val="24"/>
          <w:szCs w:val="24"/>
        </w:rPr>
        <w:lastRenderedPageBreak/>
        <w:t>нормативных аспектах внедрения ФСБУ 9</w:t>
      </w:r>
      <w:r w:rsidR="00446CA8" w:rsidRPr="00991F9D">
        <w:rPr>
          <w:rFonts w:ascii="Times New Roman" w:hAnsi="Times New Roman" w:cs="Times New Roman"/>
          <w:sz w:val="24"/>
          <w:szCs w:val="24"/>
        </w:rPr>
        <w:t>/2025</w:t>
      </w:r>
      <w:r w:rsidRPr="00991F9D">
        <w:rPr>
          <w:rFonts w:ascii="Times New Roman" w:hAnsi="Times New Roman" w:cs="Times New Roman"/>
          <w:sz w:val="24"/>
          <w:szCs w:val="24"/>
        </w:rPr>
        <w:t>, настоящее исследование акцентирует внимание на отчетности как на конечном продукте учетной системы и на тех аналитических возможностях и ограничениях, которые формируются в результате применения нового стандарта.</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Результаты исследования: выводы и обобщения, имеющие значение </w:t>
      </w:r>
      <w:r w:rsidR="00446CA8" w:rsidRPr="00991F9D">
        <w:rPr>
          <w:rFonts w:ascii="Times New Roman" w:hAnsi="Times New Roman" w:cs="Times New Roman"/>
          <w:sz w:val="24"/>
          <w:szCs w:val="24"/>
        </w:rPr>
        <w:t>для повышения аналитичности отчета о финансовых результатах коммерческих предприятий</w:t>
      </w:r>
      <w:r w:rsidRPr="00991F9D">
        <w:rPr>
          <w:rFonts w:ascii="Times New Roman" w:hAnsi="Times New Roman" w:cs="Times New Roman"/>
          <w:sz w:val="24"/>
          <w:szCs w:val="24"/>
        </w:rPr>
        <w:t>.</w:t>
      </w:r>
    </w:p>
    <w:p w:rsidR="00F31596" w:rsidRPr="00991F9D" w:rsidRDefault="00991F9D" w:rsidP="00991F9D">
      <w:pPr>
        <w:widowControl w:val="0"/>
        <w:spacing w:after="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М</w:t>
      </w:r>
      <w:r w:rsidRPr="00991F9D">
        <w:rPr>
          <w:rFonts w:ascii="Times New Roman" w:hAnsi="Times New Roman" w:cs="Times New Roman"/>
          <w:b/>
          <w:bCs/>
          <w:sz w:val="24"/>
          <w:szCs w:val="24"/>
        </w:rPr>
        <w:t>атериалы и методы исследования</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Связь ФСБУ 9/2025 «Доходы» с международным стандартом </w:t>
      </w:r>
      <w:r w:rsidRPr="00991F9D">
        <w:rPr>
          <w:rFonts w:ascii="Times New Roman" w:hAnsi="Times New Roman" w:cs="Times New Roman"/>
          <w:sz w:val="24"/>
          <w:szCs w:val="24"/>
          <w:lang w:val="de-DE"/>
        </w:rPr>
        <w:t xml:space="preserve">IFRS 15 </w:t>
      </w:r>
      <w:r w:rsidRPr="00991F9D">
        <w:rPr>
          <w:rFonts w:ascii="Times New Roman" w:hAnsi="Times New Roman" w:cs="Times New Roman"/>
          <w:sz w:val="24"/>
          <w:szCs w:val="24"/>
        </w:rPr>
        <w:t>носит принципиальный, а не декларативный характер. Российский стандарт воспроизводит ключевые элементы международной модели учета выручки: ориентацию на договор с покупателем как основной объект анализа, признание выручки через исполнение обязательств, учет переменного возмещения, дисконтирование при отсрочке платежей, а также признание выручки либо в момент передачи контроля, либо по мере его передачи. Тем самым ФСБУ 9/2025 формально встраивается в современную концепцию учета доходов, основанную на экономической сущности операций, а не на их юридической форме.</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Вместе с тем, при внешнем сходстве методологических конструкций различия между ФСБУ 9/2025 и </w:t>
      </w:r>
      <w:r w:rsidRPr="00991F9D">
        <w:rPr>
          <w:rFonts w:ascii="Times New Roman" w:hAnsi="Times New Roman" w:cs="Times New Roman"/>
          <w:sz w:val="24"/>
          <w:szCs w:val="24"/>
          <w:lang w:val="de-DE"/>
        </w:rPr>
        <w:t xml:space="preserve">IFRS 15 </w:t>
      </w:r>
      <w:r w:rsidRPr="00991F9D">
        <w:rPr>
          <w:rFonts w:ascii="Times New Roman" w:hAnsi="Times New Roman" w:cs="Times New Roman"/>
          <w:sz w:val="24"/>
          <w:szCs w:val="24"/>
        </w:rPr>
        <w:t>проявляются не столько в тексте стандартов, сколько в контексте их применения и в последствиях для финансовой отчетности</w:t>
      </w:r>
      <w:r w:rsidRPr="00991F9D">
        <w:rPr>
          <w:rFonts w:ascii="Times New Roman" w:hAnsi="Times New Roman" w:cs="Times New Roman"/>
          <w:sz w:val="24"/>
          <w:szCs w:val="24"/>
          <w:lang w:val="de-DE"/>
        </w:rPr>
        <w:t xml:space="preserve">. IFRS 15 </w:t>
      </w:r>
      <w:r w:rsidRPr="00991F9D">
        <w:rPr>
          <w:rFonts w:ascii="Times New Roman" w:hAnsi="Times New Roman" w:cs="Times New Roman"/>
          <w:sz w:val="24"/>
          <w:szCs w:val="24"/>
        </w:rPr>
        <w:t>изначально разрабатывался как универсальный стандарт для глобального рынка капитала, где пользователи отчетности - инвесторы, аналитики, кредиторы - обладают высоким уровнем подготовки и ориентированы на интерпретацию сложных оценочных моделей. Российская бухгалтерская отчетность традиционно выполняла более широкие функции, включая фискальные, контрольные и статистические, что сдерживало развитие оценочных подходов и профессионального суждения</w:t>
      </w:r>
      <w:r w:rsidR="008156F7">
        <w:rPr>
          <w:rStyle w:val="af0"/>
          <w:rFonts w:ascii="Times New Roman" w:hAnsi="Times New Roman" w:cs="Times New Roman"/>
          <w:sz w:val="24"/>
          <w:szCs w:val="24"/>
        </w:rPr>
        <w:footnoteReference w:id="2"/>
      </w:r>
      <w:r w:rsidRPr="00991F9D">
        <w:rPr>
          <w:rFonts w:ascii="Times New Roman" w:hAnsi="Times New Roman" w:cs="Times New Roman"/>
          <w:sz w:val="24"/>
          <w:szCs w:val="24"/>
        </w:rPr>
        <w:t>.</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ФСБУ 9/2025, по сути, переносит в российскую практику модель, рассчитанную на иную институциональную среду. Это обстоятельство существенно </w:t>
      </w:r>
      <w:r w:rsidRPr="00991F9D">
        <w:rPr>
          <w:rFonts w:ascii="Times New Roman" w:hAnsi="Times New Roman" w:cs="Times New Roman"/>
          <w:sz w:val="24"/>
          <w:szCs w:val="24"/>
        </w:rPr>
        <w:lastRenderedPageBreak/>
        <w:t>влияет на характер трансформации отчетности. Если в системе МСФО отчет о прибылях и убытках (</w:t>
      </w:r>
      <w:r w:rsidRPr="00991F9D">
        <w:rPr>
          <w:rFonts w:ascii="Times New Roman" w:hAnsi="Times New Roman" w:cs="Times New Roman"/>
          <w:sz w:val="24"/>
          <w:szCs w:val="24"/>
          <w:lang w:val="en-US"/>
        </w:rPr>
        <w:t>statement</w:t>
      </w:r>
      <w:r w:rsidRPr="00991F9D">
        <w:rPr>
          <w:rFonts w:ascii="Times New Roman" w:hAnsi="Times New Roman" w:cs="Times New Roman"/>
          <w:sz w:val="24"/>
          <w:szCs w:val="24"/>
        </w:rPr>
        <w:t xml:space="preserve"> </w:t>
      </w:r>
      <w:r w:rsidRPr="00991F9D">
        <w:rPr>
          <w:rFonts w:ascii="Times New Roman" w:hAnsi="Times New Roman" w:cs="Times New Roman"/>
          <w:sz w:val="24"/>
          <w:szCs w:val="24"/>
          <w:lang w:val="en-US"/>
        </w:rPr>
        <w:t>of</w:t>
      </w:r>
      <w:r w:rsidRPr="00991F9D">
        <w:rPr>
          <w:rFonts w:ascii="Times New Roman" w:hAnsi="Times New Roman" w:cs="Times New Roman"/>
          <w:sz w:val="24"/>
          <w:szCs w:val="24"/>
        </w:rPr>
        <w:t xml:space="preserve"> </w:t>
      </w:r>
      <w:r w:rsidRPr="00991F9D">
        <w:rPr>
          <w:rFonts w:ascii="Times New Roman" w:hAnsi="Times New Roman" w:cs="Times New Roman"/>
          <w:sz w:val="24"/>
          <w:szCs w:val="24"/>
          <w:lang w:val="en-US"/>
        </w:rPr>
        <w:t>profit</w:t>
      </w:r>
      <w:r w:rsidRPr="00991F9D">
        <w:rPr>
          <w:rFonts w:ascii="Times New Roman" w:hAnsi="Times New Roman" w:cs="Times New Roman"/>
          <w:sz w:val="24"/>
          <w:szCs w:val="24"/>
        </w:rPr>
        <w:t xml:space="preserve"> </w:t>
      </w:r>
      <w:r w:rsidRPr="00991F9D">
        <w:rPr>
          <w:rFonts w:ascii="Times New Roman" w:hAnsi="Times New Roman" w:cs="Times New Roman"/>
          <w:sz w:val="24"/>
          <w:szCs w:val="24"/>
          <w:lang w:val="en-US"/>
        </w:rPr>
        <w:t>or</w:t>
      </w:r>
      <w:r w:rsidRPr="00991F9D">
        <w:rPr>
          <w:rFonts w:ascii="Times New Roman" w:hAnsi="Times New Roman" w:cs="Times New Roman"/>
          <w:sz w:val="24"/>
          <w:szCs w:val="24"/>
        </w:rPr>
        <w:t xml:space="preserve"> </w:t>
      </w:r>
      <w:r w:rsidRPr="00991F9D">
        <w:rPr>
          <w:rFonts w:ascii="Times New Roman" w:hAnsi="Times New Roman" w:cs="Times New Roman"/>
          <w:sz w:val="24"/>
          <w:szCs w:val="24"/>
          <w:lang w:val="en-US"/>
        </w:rPr>
        <w:t>loss</w:t>
      </w:r>
      <w:r w:rsidRPr="00991F9D">
        <w:rPr>
          <w:rFonts w:ascii="Times New Roman" w:hAnsi="Times New Roman" w:cs="Times New Roman"/>
          <w:sz w:val="24"/>
          <w:szCs w:val="24"/>
        </w:rPr>
        <w:t>) изначально строится как аналитический инструмент, то в российской практике отчет о финансовых результатах долгое время воспринимался как производная форма, агрегирующая данные бухгалтерского учета без глубокого раскрытия логики их формирования.</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Именно здесь возникает ключевое противоречие: методология учета доходов усложняется быстрее, чем трансформируется сама отчетная форма и практика ее анализа. В результате возрастает риск того, что новые учетные правила будут применяться формально, без адекватного отражения их экономического смысла в отчетности и без расширения аналитических возможностей для пользователей.</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Отчет о финансовых результатах занимает особое место в системе бухгалтерской (финансовой) отчетности, поскольку именно в нем происходит концентрация эффектов от изменений в учете доходов и расходов. Введение ФСБУ 9/2025 влияет на данный отчет сразу по нескольким направлениям.</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Во-первых, изменяется момент признания выручки, что напрямую отражается на динамике доходов по отчетным периодам. Признание выручки по мере исполнения обязательств сглаживает резкие колебания финансовых результатов, характерные для учета «по факту завершения», но одновременно усложняет сопоставление данных с предыдущими периодами, сформированными по иным правилам. Для аналитика это означает необходимость более глубокого понимания учетной политики организации и условий ее договоров с контрагентами.</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Во-вторых, уточнение классификации доходов и выделение доходов, отличных от выручки, усиливает значение структуры отчета о финансовых результатах. При внешне неизменной форме отчета его содержание становится менее однородным: показатели выручки могут включать операции различной экономической природы, а часть доходов выводится за рамки чистой прибыли. Это обстоятельство требует пересмотра традиционных аналитических коэффициентов и показателей рентабельности, используемых в практике финансового анализа.</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В-третьих, внедрение оценочных элементов - учета ожидаемых скидок, переменного возмещения, дисконтирования - приводит к тому, что показатели доходов приобретают прогнозный характер. Фактически в отчет о финансовых результатах начинают включаться оценки будущих экономических выгод, а не только </w:t>
      </w:r>
      <w:r w:rsidRPr="00991F9D">
        <w:rPr>
          <w:rFonts w:ascii="Times New Roman" w:hAnsi="Times New Roman" w:cs="Times New Roman"/>
          <w:sz w:val="24"/>
          <w:szCs w:val="24"/>
        </w:rPr>
        <w:lastRenderedPageBreak/>
        <w:t xml:space="preserve">результаты уже завершенных операций. С одной стороны, это повышает релевантность информации для принятия решений, с другой </w:t>
      </w:r>
      <w:r w:rsidR="00505030" w:rsidRPr="00991F9D">
        <w:rPr>
          <w:rFonts w:ascii="Times New Roman" w:hAnsi="Times New Roman" w:cs="Times New Roman"/>
          <w:sz w:val="24"/>
          <w:szCs w:val="24"/>
        </w:rPr>
        <w:t>-</w:t>
      </w:r>
      <w:r w:rsidRPr="00991F9D">
        <w:rPr>
          <w:rFonts w:ascii="Times New Roman" w:hAnsi="Times New Roman" w:cs="Times New Roman"/>
          <w:sz w:val="24"/>
          <w:szCs w:val="24"/>
        </w:rPr>
        <w:t xml:space="preserve"> снижает ее проверяемость и увеличивает зависимость от профессионального суждения бухгалтера.</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В международной практике подобный сдвиг давно стал предметом дискуссий. Исследования показывают, что внедрение </w:t>
      </w:r>
      <w:r w:rsidRPr="00991F9D">
        <w:rPr>
          <w:rFonts w:ascii="Times New Roman" w:hAnsi="Times New Roman" w:cs="Times New Roman"/>
          <w:sz w:val="24"/>
          <w:szCs w:val="24"/>
          <w:lang w:val="de-DE"/>
        </w:rPr>
        <w:t xml:space="preserve">IFRS 15 </w:t>
      </w:r>
      <w:r w:rsidRPr="00991F9D">
        <w:rPr>
          <w:rFonts w:ascii="Times New Roman" w:hAnsi="Times New Roman" w:cs="Times New Roman"/>
          <w:sz w:val="24"/>
          <w:szCs w:val="24"/>
        </w:rPr>
        <w:t>не привело к однозначному улучшению качества информации о выручке, а в ряде случаев усилило неопределенность для пользователей отчетности</w:t>
      </w:r>
      <w:r w:rsidR="007C0FAF" w:rsidRPr="00991F9D">
        <w:rPr>
          <w:rFonts w:ascii="Times New Roman" w:hAnsi="Times New Roman" w:cs="Times New Roman"/>
          <w:sz w:val="24"/>
          <w:szCs w:val="24"/>
        </w:rPr>
        <w:t xml:space="preserve"> [</w:t>
      </w:r>
      <w:r w:rsidR="00103EB9" w:rsidRPr="00991F9D">
        <w:rPr>
          <w:rFonts w:ascii="Times New Roman" w:hAnsi="Times New Roman" w:cs="Times New Roman"/>
          <w:sz w:val="24"/>
          <w:szCs w:val="24"/>
        </w:rPr>
        <w:t>1</w:t>
      </w:r>
      <w:r w:rsidR="000B3CDE">
        <w:rPr>
          <w:rFonts w:ascii="Times New Roman" w:hAnsi="Times New Roman" w:cs="Times New Roman"/>
          <w:sz w:val="24"/>
          <w:szCs w:val="24"/>
        </w:rPr>
        <w:t>4</w:t>
      </w:r>
      <w:r w:rsidR="007C0FAF" w:rsidRPr="00991F9D">
        <w:rPr>
          <w:rFonts w:ascii="Times New Roman" w:hAnsi="Times New Roman" w:cs="Times New Roman"/>
          <w:sz w:val="24"/>
          <w:szCs w:val="24"/>
        </w:rPr>
        <w:t xml:space="preserve">, </w:t>
      </w:r>
      <w:r w:rsidR="00103EB9" w:rsidRPr="00991F9D">
        <w:rPr>
          <w:rFonts w:ascii="Times New Roman" w:hAnsi="Times New Roman" w:cs="Times New Roman"/>
          <w:sz w:val="24"/>
          <w:szCs w:val="24"/>
        </w:rPr>
        <w:t>1</w:t>
      </w:r>
      <w:r w:rsidR="000B3CDE">
        <w:rPr>
          <w:rFonts w:ascii="Times New Roman" w:hAnsi="Times New Roman" w:cs="Times New Roman"/>
          <w:sz w:val="24"/>
          <w:szCs w:val="24"/>
        </w:rPr>
        <w:t>5</w:t>
      </w:r>
      <w:r w:rsidR="007C0FAF" w:rsidRPr="00991F9D">
        <w:rPr>
          <w:rFonts w:ascii="Times New Roman" w:hAnsi="Times New Roman" w:cs="Times New Roman"/>
          <w:sz w:val="24"/>
          <w:szCs w:val="24"/>
        </w:rPr>
        <w:t>]</w:t>
      </w:r>
      <w:r w:rsidRPr="00991F9D">
        <w:rPr>
          <w:rFonts w:ascii="Times New Roman" w:hAnsi="Times New Roman" w:cs="Times New Roman"/>
          <w:sz w:val="24"/>
          <w:szCs w:val="24"/>
        </w:rPr>
        <w:t>. Для российской практики эти выводы особенно значимы, поскольку переход к ФСБУ 9 происходит в условиях одновременного реформирования форм отчетности и отсутствия устойчивой аналитической традиции интерпретации оценочных показателей.</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Недостаточная проработка аналитических последствий применения ФСБУ 9/2025 имеет как прямые, так и косвенные эффекты. К числу прямых последствий относится рост трудоемкости учета доходов и формирование отчетности, необходимость пересмотра учетной политики, договорной базы и внутренних процедур контроля. Для многих организаций это означает увеличение затрат на методологическое сопровождение и обучение персонала.</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Косвенные последствия проявляются в сфере анализа и принятия решений. Пользователи отчетности - как внутренние, так и внешние - сталкиваются с изменением смысловой нагрузки традиционных показателей. Рост или снижение выручки может быть обусловлен не изменением объемов деятельности, а изменением оценок ожидаемого возмещения или степени исполнения обязательств. Без адекватных раскрытий и аналитических пояснений такие изменения могут быть интерпретированы ошибочно, что повышает риск неверных управленческих и инвестиционных решений.</w:t>
      </w:r>
    </w:p>
    <w:p w:rsidR="00F31596" w:rsidRPr="00991F9D" w:rsidRDefault="00F31596"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Кроме того, усиливается проблема сопоставимости отчетности между организациями. Различия в применении профессионального суждения, в оценке переменного возмещения и в выборе способов признания выручки приводят к тому, что формально одинаковые показатели отражают разные экономические процессы. Это снижает ценность отчетности как инструмента межфирменного сравнения и макроэкономического анализа.</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ФСБУ 9/2025 «Доходы» изначально разрабатывался как стандарт, методологически согласованный с МСФО (IFRS) 15 «Выручка по договорам с </w:t>
      </w:r>
      <w:r w:rsidRPr="00991F9D">
        <w:rPr>
          <w:rFonts w:ascii="Times New Roman" w:hAnsi="Times New Roman" w:cs="Times New Roman"/>
          <w:sz w:val="24"/>
          <w:szCs w:val="24"/>
        </w:rPr>
        <w:lastRenderedPageBreak/>
        <w:t>покупателями». Это согласование прослеживается уже на уровне целевых установок: оба стандарта ориентированы на формирование полезной для пользователей информации о характере, величине, сроках и неопределенности поступления доходов, возникающих в рамках договоров с покупателями. В этом смысле ФСБУ 9/2025 следует логике международного подхода, в котором учет доходов рассматривается не как механическая фиксация факта продажи, а как отражение процесса создания и передачи экономической ценности.</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Вместе с тем, несмотря на концептуальную близость, различия между стандартами носят не столько нормативный, сколько функционально-институциональный характер. IFRS 15 встроен в систему международной финансовой отчетности, ориентированную на рынки капитала и инвестиционный анализ. ФСБУ 9/2025 функционирует в рамках российской модели бухгалтерского учета, где отчетность одновременно выполняет информационную, контрольную и фискальную функции. Это различие предопределяет специфику применения даже идентичных по формулировкам норм.</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Так, если в МСФО профессиональное суждение рассматривается как неотъемлемый элемент учетной модели, то в российской практике его расширение фактически означает отказ от традиционной нормативной детерминированности учета. Следовательно, формальное заимствование принципов IFRS 15 в ФСБУ 9/2025 не устраняет, а во многих случаях усиливает методологические и аналитические риски.</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Одним из ключевых отличий новой модели учета доходов является смена объекта анализа. В IFRS 15 таким объектом выступает договор с покупателем, который рассматривается как совокупность взаимосвязанных прав и обязательств. Доход возникает не как следствие единичного факта отгрузки или оказания услуги, а как результат последовательного исполнения обязанностей по договору.</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ФСБУ 9/2025 воспроизводит этот подход, закрепляя необходимость анализа условий договора, определения обязанностей к исполнению и оценки степени их выполнения. Однако в российской практике учет по-прежнему во многом ориентирован на документально подтвержденные факты хозяйственной жизни. Это создает ситуацию методологического «двойного учета»: формально доход признается в рамках договорной модели, но фактически бухгалтер вынужден соотносить ее с </w:t>
      </w:r>
      <w:r w:rsidRPr="00991F9D">
        <w:rPr>
          <w:rFonts w:ascii="Times New Roman" w:hAnsi="Times New Roman" w:cs="Times New Roman"/>
          <w:sz w:val="24"/>
          <w:szCs w:val="24"/>
        </w:rPr>
        <w:lastRenderedPageBreak/>
        <w:t>привычными событиями - отгрузкой, подписанием актов, поступлением оплаты.</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Такое расхождение особенно заметно при анализе долгосрочных договоров и комплексных услуг. В IFRS 15 договорная модель является доминирующей и не вступает в противоречие с формами отчетности. В ФСБУ 9/2025 она накладывается на уже существующую систему счетов и отчетных форм, что требует дополнительных интерпретационных усилий и увеличивает вероятность неоднозначных учетных решений.</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Центральным элементом IFRS 15 является критерий передачи контроля над товаром или услугой покупателю. Контроль понимается как способность направлять использование актива и получать от него экономические выгоды. Такой подход позволяет учитывать широкий спектр договорных ситуаций, включая случаи, когда юридическое право собственности еще не перешло, но экономический контроль уже утрачен продавцом.</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ФСБУ 9/2025 также использует категорию контроля, однако ее практическая интерпретация в российской системе учета остается менее однозначной. Во многих случаях бухгалтеры продолжают ориентироваться на традиционные признаки передачи риска и выгоды, что фактически сближает новый стандарт с прежними правилами ПБУ 9/99. В результате формально применяется новая терминология, но экономическая логика учета изменяется лишь частично.</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Это обстоятельство имеет важное значение для анализа финансовых результатов. В МСФО-отчетности момент признания выручки, как правило, более тесно связан с реальной экономической деятельностью компании. В российской отчетности по ФСБУ 9/2025 возможна ситуация, когда выручка признается либо преждевременно, либо с запозданием - в зависимости от того, как бухгалтер интерпретирует критерий контроля и какие доказательства считает достаточными.</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IFRS 15 предусматривает два принципиальных способа признания выручки:</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по мере исполнения обязательств,</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в момент передачи контроля.</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Выбор способа зависит от характера договора и экономической сущности передаваемых товаров или услуг. Такой подход позволяет гибко адаптировать учет к различным бизнес-моделям, но одновременно усиливает роль оценочных процедур.</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lastRenderedPageBreak/>
        <w:t>ФСБУ 9/2025 воспроизводит данную логику, однако ее внедрение в российскую практику имеет особые последствия. Если ранее признание выручки по мере готовности было характерно преимущественно для строительных и подрядных организаций, то теперь данный способ может применяться независимо от вида деятельности. Это означает качественное расширение сферы использования оценочных методов.</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С точки зрения отчета о финансовых результатах это приводит к перераспределению доходов между отчетными периодами и изменению динамики прибыли. Аналитические показатели, основанные на сопоставлении выручки и затрат, требуют переосмысления, поскольку временная структура доходов перестает совпадать с кассовыми и юридическими потоками.</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Еще одной важной областью сближения ФСБУ 9/2025 и IFRS 15 является учет переменного возмещения, включая скидки, бонусы, возвраты и иные формы корректировки цены сделки. IFRS 15 требует оценивать ожидаемую сумму возмещения и признавать выручку в размере, который с высокой вероятностью не будет пересмотрен в будущем.</w:t>
      </w:r>
    </w:p>
    <w:p w:rsidR="00265277" w:rsidRPr="00991F9D"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ФСБУ 9/2025 закрепляет аналогичный подход, что существенно усложняет процедуру оценки доходов по сравнению с ПБУ 9/99. Кроме того, стандарт предусматривает необходимость дисконтирования выручки при существенной отсрочке платежа, что ранее в российской практике применялось крайне ограниченно.</w:t>
      </w:r>
    </w:p>
    <w:p w:rsidR="00265277" w:rsidRDefault="0026527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Эти изменения напрямую влияют на показатели отчета о финансовых результатах, придавая им выраженный оценочный характер. Выручка перестает быть суммой предъявленных к оплате требований и превращается в расчетный показатель, зависящий от ожиданий и допущений. Для аналитика это означает необходимость учитывать не только величину доходов, но и степень их неопределенности.</w:t>
      </w:r>
    </w:p>
    <w:p w:rsidR="00991F9D" w:rsidRPr="00991F9D" w:rsidRDefault="00991F9D" w:rsidP="00991F9D">
      <w:pPr>
        <w:widowControl w:val="0"/>
        <w:spacing w:after="0" w:line="360" w:lineRule="auto"/>
        <w:ind w:firstLine="709"/>
        <w:jc w:val="both"/>
        <w:rPr>
          <w:rFonts w:ascii="Times New Roman" w:hAnsi="Times New Roman" w:cs="Times New Roman"/>
          <w:b/>
          <w:bCs/>
          <w:sz w:val="24"/>
          <w:szCs w:val="24"/>
        </w:rPr>
      </w:pPr>
      <w:r w:rsidRPr="00991F9D">
        <w:rPr>
          <w:rFonts w:ascii="Times New Roman" w:hAnsi="Times New Roman" w:cs="Times New Roman"/>
          <w:b/>
          <w:bCs/>
          <w:sz w:val="24"/>
          <w:szCs w:val="24"/>
        </w:rPr>
        <w:t>Результаты</w:t>
      </w:r>
    </w:p>
    <w:p w:rsidR="00F63425" w:rsidRPr="009320A3" w:rsidRDefault="00F63425" w:rsidP="00F63425">
      <w:pPr>
        <w:widowControl w:val="0"/>
        <w:spacing w:after="0" w:line="360" w:lineRule="auto"/>
        <w:ind w:firstLine="708"/>
        <w:jc w:val="both"/>
        <w:rPr>
          <w:rFonts w:ascii="Times New Roman" w:hAnsi="Times New Roman" w:cs="Times New Roman"/>
          <w:sz w:val="24"/>
          <w:szCs w:val="24"/>
        </w:rPr>
      </w:pPr>
      <w:r w:rsidRPr="0013564A">
        <w:rPr>
          <w:rFonts w:ascii="Times New Roman" w:hAnsi="Times New Roman" w:cs="Times New Roman"/>
          <w:sz w:val="24"/>
          <w:szCs w:val="24"/>
        </w:rPr>
        <w:t>В работах авторов  Бабалыков</w:t>
      </w:r>
      <w:r w:rsidR="007F52B8">
        <w:rPr>
          <w:rFonts w:ascii="Times New Roman" w:hAnsi="Times New Roman" w:cs="Times New Roman"/>
          <w:sz w:val="24"/>
          <w:szCs w:val="24"/>
        </w:rPr>
        <w:t>ой</w:t>
      </w:r>
      <w:r w:rsidRPr="0013564A">
        <w:rPr>
          <w:rFonts w:ascii="Times New Roman" w:hAnsi="Times New Roman" w:cs="Times New Roman"/>
          <w:sz w:val="24"/>
          <w:szCs w:val="24"/>
        </w:rPr>
        <w:t xml:space="preserve"> И.А.,  Ананко Н.Н., Вершинин</w:t>
      </w:r>
      <w:r w:rsidR="007F52B8">
        <w:rPr>
          <w:rFonts w:ascii="Times New Roman" w:hAnsi="Times New Roman" w:cs="Times New Roman"/>
          <w:sz w:val="24"/>
          <w:szCs w:val="24"/>
        </w:rPr>
        <w:t>ой</w:t>
      </w:r>
      <w:r w:rsidRPr="0013564A">
        <w:rPr>
          <w:rFonts w:ascii="Times New Roman" w:hAnsi="Times New Roman" w:cs="Times New Roman"/>
          <w:sz w:val="24"/>
          <w:szCs w:val="24"/>
        </w:rPr>
        <w:t xml:space="preserve"> А.Д., Башкатов</w:t>
      </w:r>
      <w:r w:rsidR="007F52B8">
        <w:rPr>
          <w:rFonts w:ascii="Times New Roman" w:hAnsi="Times New Roman" w:cs="Times New Roman"/>
          <w:sz w:val="24"/>
          <w:szCs w:val="24"/>
        </w:rPr>
        <w:t>а</w:t>
      </w:r>
      <w:r w:rsidRPr="0013564A">
        <w:rPr>
          <w:rFonts w:ascii="Times New Roman" w:hAnsi="Times New Roman" w:cs="Times New Roman"/>
          <w:sz w:val="24"/>
          <w:szCs w:val="24"/>
        </w:rPr>
        <w:t xml:space="preserve"> В.В., Макаов</w:t>
      </w:r>
      <w:r w:rsidR="007F52B8">
        <w:rPr>
          <w:rFonts w:ascii="Times New Roman" w:hAnsi="Times New Roman" w:cs="Times New Roman"/>
          <w:sz w:val="24"/>
          <w:szCs w:val="24"/>
        </w:rPr>
        <w:t>а</w:t>
      </w:r>
      <w:r w:rsidRPr="0013564A">
        <w:rPr>
          <w:rFonts w:ascii="Times New Roman" w:hAnsi="Times New Roman" w:cs="Times New Roman"/>
          <w:sz w:val="24"/>
          <w:szCs w:val="24"/>
        </w:rPr>
        <w:t xml:space="preserve"> З.А., Рындин</w:t>
      </w:r>
      <w:r w:rsidR="007F52B8">
        <w:rPr>
          <w:rFonts w:ascii="Times New Roman" w:hAnsi="Times New Roman" w:cs="Times New Roman"/>
          <w:sz w:val="24"/>
          <w:szCs w:val="24"/>
        </w:rPr>
        <w:t>ой</w:t>
      </w:r>
      <w:r w:rsidRPr="0013564A">
        <w:rPr>
          <w:rFonts w:ascii="Times New Roman" w:hAnsi="Times New Roman" w:cs="Times New Roman"/>
          <w:sz w:val="24"/>
          <w:szCs w:val="24"/>
        </w:rPr>
        <w:t xml:space="preserve"> О.С.  отмечается, что анализ доходов, расходов, прибыли,  на основе сформированной информации в отчете о финансовых результатах,  является одним их ключевых инструментов оценки  результативности и эффективности деятельности хозяйствующего субъекта [16, 17]. </w:t>
      </w:r>
      <w:r w:rsidRPr="009320A3">
        <w:rPr>
          <w:rFonts w:ascii="Times New Roman" w:hAnsi="Times New Roman" w:cs="Times New Roman"/>
          <w:sz w:val="24"/>
          <w:szCs w:val="24"/>
        </w:rPr>
        <w:t xml:space="preserve">При этом возрастает роль корректной классификации доходов и расходов, с целью повышения </w:t>
      </w:r>
      <w:r w:rsidRPr="009320A3">
        <w:rPr>
          <w:rFonts w:ascii="Times New Roman" w:hAnsi="Times New Roman" w:cs="Times New Roman"/>
          <w:sz w:val="24"/>
          <w:szCs w:val="24"/>
        </w:rPr>
        <w:lastRenderedPageBreak/>
        <w:t>точности и качества данных для анализа.</w:t>
      </w:r>
    </w:p>
    <w:p w:rsidR="00505030" w:rsidRPr="00991F9D" w:rsidRDefault="00F27F50" w:rsidP="00991F9D">
      <w:pPr>
        <w:widowControl w:val="0"/>
        <w:spacing w:after="0" w:line="36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w:t>
      </w:r>
      <w:r w:rsidR="00505030" w:rsidRPr="00991F9D">
        <w:rPr>
          <w:rFonts w:ascii="Times New Roman" w:hAnsi="Times New Roman" w:cs="Times New Roman"/>
          <w:color w:val="000000" w:themeColor="text1"/>
          <w:sz w:val="24"/>
          <w:szCs w:val="24"/>
        </w:rPr>
        <w:t xml:space="preserve">ассмотрим, на примере ООО «ХХХ» механизм трансформации отчетности, в соответствии с положениями </w:t>
      </w:r>
      <w:r w:rsidR="00505030" w:rsidRPr="00991F9D">
        <w:rPr>
          <w:rFonts w:ascii="Times New Roman" w:hAnsi="Times New Roman" w:cs="Times New Roman"/>
          <w:sz w:val="24"/>
          <w:szCs w:val="24"/>
        </w:rPr>
        <w:t>ФСБУ</w:t>
      </w:r>
      <w:r w:rsidR="00505030" w:rsidRPr="00991F9D">
        <w:rPr>
          <w:rFonts w:ascii="Times New Roman" w:hAnsi="Times New Roman" w:cs="Times New Roman"/>
          <w:spacing w:val="-8"/>
          <w:sz w:val="24"/>
          <w:szCs w:val="24"/>
        </w:rPr>
        <w:t xml:space="preserve"> </w:t>
      </w:r>
      <w:r w:rsidR="00505030" w:rsidRPr="00991F9D">
        <w:rPr>
          <w:rFonts w:ascii="Times New Roman" w:hAnsi="Times New Roman" w:cs="Times New Roman"/>
          <w:sz w:val="24"/>
          <w:szCs w:val="24"/>
        </w:rPr>
        <w:t>9/2025 и определим, каким образом, данная трансформация повлияет на аналитические показатели.</w:t>
      </w:r>
      <w:r w:rsidRPr="00F27F50">
        <w:t xml:space="preserve"> </w:t>
      </w:r>
      <w:r w:rsidRPr="00F27F50">
        <w:rPr>
          <w:rFonts w:ascii="Times New Roman" w:hAnsi="Times New Roman" w:cs="Times New Roman"/>
          <w:sz w:val="24"/>
          <w:szCs w:val="24"/>
        </w:rPr>
        <w:t>Предприятие осуществляет деятельность в сфере производство мясных (мясосодержащих) полуфабрикатов (ОКВЭД2 10.13.4).</w:t>
      </w:r>
    </w:p>
    <w:p w:rsidR="00A57CC5" w:rsidRPr="00991F9D" w:rsidRDefault="00A57CC5"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Согласно ФСБУ 9/2025 принципиально меняется момент и критерий признания дохода (выручки), с переносом акцента на момент передачи контроля над проданной продукцией, тогда как, согласно ПБУ 9/99, выручка определялась в момент перехода права собственности на продукцию.</w:t>
      </w:r>
      <w:r w:rsidR="00E85757">
        <w:rPr>
          <w:rFonts w:ascii="Times New Roman" w:hAnsi="Times New Roman" w:cs="Times New Roman"/>
          <w:sz w:val="24"/>
          <w:szCs w:val="24"/>
        </w:rPr>
        <w:t xml:space="preserve"> </w:t>
      </w:r>
      <w:r w:rsidRPr="00991F9D">
        <w:rPr>
          <w:rFonts w:ascii="Times New Roman" w:hAnsi="Times New Roman" w:cs="Times New Roman"/>
          <w:sz w:val="24"/>
          <w:szCs w:val="24"/>
        </w:rPr>
        <w:t xml:space="preserve">Таким образом, выручка будет признаваться не как ранее, в момент отгрузки, а когда покупатель имеет фактическую возможность использовать приобретенную продукцию. Как следствие, будет </w:t>
      </w:r>
      <w:r w:rsidR="00505030" w:rsidRPr="00991F9D">
        <w:rPr>
          <w:rFonts w:ascii="Times New Roman" w:hAnsi="Times New Roman" w:cs="Times New Roman"/>
          <w:sz w:val="24"/>
          <w:szCs w:val="24"/>
        </w:rPr>
        <w:t>наблюдаться перераспределение</w:t>
      </w:r>
      <w:r w:rsidRPr="00991F9D">
        <w:rPr>
          <w:rFonts w:ascii="Times New Roman" w:hAnsi="Times New Roman" w:cs="Times New Roman"/>
          <w:sz w:val="24"/>
          <w:szCs w:val="24"/>
        </w:rPr>
        <w:t xml:space="preserve"> выручки между периодами. </w:t>
      </w:r>
    </w:p>
    <w:p w:rsidR="00A57CC5" w:rsidRPr="00991F9D" w:rsidRDefault="00A57CC5" w:rsidP="00E85757">
      <w:pPr>
        <w:widowControl w:val="0"/>
        <w:spacing w:after="0" w:line="360" w:lineRule="auto"/>
        <w:ind w:firstLine="709"/>
        <w:jc w:val="both"/>
        <w:rPr>
          <w:rFonts w:ascii="Times New Roman" w:hAnsi="Times New Roman" w:cs="Times New Roman"/>
          <w:color w:val="000000" w:themeColor="text1"/>
          <w:sz w:val="24"/>
          <w:szCs w:val="24"/>
        </w:rPr>
      </w:pPr>
      <w:r w:rsidRPr="00991F9D">
        <w:rPr>
          <w:rFonts w:ascii="Times New Roman" w:hAnsi="Times New Roman" w:cs="Times New Roman"/>
          <w:sz w:val="24"/>
          <w:szCs w:val="24"/>
        </w:rPr>
        <w:t xml:space="preserve">Например, </w:t>
      </w:r>
      <w:r w:rsidRPr="00991F9D">
        <w:rPr>
          <w:rFonts w:ascii="Times New Roman" w:hAnsi="Times New Roman" w:cs="Times New Roman"/>
          <w:color w:val="000000" w:themeColor="text1"/>
          <w:sz w:val="24"/>
          <w:szCs w:val="24"/>
        </w:rPr>
        <w:t xml:space="preserve">по окончании отчетного периода бухгалтер, применяя профессиональное суждение, анализирует контракты по поставке продукции, незавершенные на конец отчетного периода (с переходящими остатками дебиторской задолженности). Бухгалтер исходит из предположения, что в 4 квартале отчетного периода есть контракты с переходящими остатками и проводит выборку. При изучении контрактов за 4 квартал 2024 года выявлен контракт с особенным порядком передачи контроля покупателю по продукции на общую сумму 31 000 тыс. руб. </w:t>
      </w:r>
    </w:p>
    <w:p w:rsidR="00A57CC5" w:rsidRPr="00991F9D" w:rsidRDefault="00A57CC5" w:rsidP="00E85757">
      <w:pPr>
        <w:widowControl w:val="0"/>
        <w:spacing w:after="0" w:line="360" w:lineRule="auto"/>
        <w:ind w:firstLine="709"/>
        <w:jc w:val="both"/>
        <w:rPr>
          <w:rFonts w:ascii="Times New Roman" w:hAnsi="Times New Roman" w:cs="Times New Roman"/>
          <w:color w:val="000000" w:themeColor="text1"/>
          <w:sz w:val="24"/>
          <w:szCs w:val="24"/>
        </w:rPr>
      </w:pPr>
      <w:r w:rsidRPr="00991F9D">
        <w:rPr>
          <w:rFonts w:ascii="Times New Roman" w:hAnsi="Times New Roman" w:cs="Times New Roman"/>
          <w:color w:val="000000" w:themeColor="text1"/>
          <w:sz w:val="24"/>
          <w:szCs w:val="24"/>
        </w:rPr>
        <w:t xml:space="preserve">Следовательно, при составлении бухгалтерской отчетности бухгалтер должен произвести корректировку выручки (корректировка А – 31 000 тыс. руб. в таблице </w:t>
      </w:r>
      <w:r w:rsidR="0050770B">
        <w:rPr>
          <w:rFonts w:ascii="Times New Roman" w:hAnsi="Times New Roman" w:cs="Times New Roman"/>
          <w:color w:val="000000" w:themeColor="text1"/>
          <w:sz w:val="24"/>
          <w:szCs w:val="24"/>
        </w:rPr>
        <w:t>1</w:t>
      </w:r>
      <w:r w:rsidRPr="00991F9D">
        <w:rPr>
          <w:rFonts w:ascii="Times New Roman" w:hAnsi="Times New Roman" w:cs="Times New Roman"/>
          <w:color w:val="000000" w:themeColor="text1"/>
          <w:sz w:val="24"/>
          <w:szCs w:val="24"/>
        </w:rPr>
        <w:t xml:space="preserve">) и себестоимости с учетом удельного веса себестоимости в выручке на данную сумму (корректировка Б – 24 800 тыс. руб.). В данном примере корректировку постоянных расходов не производим, в связи с несущественной долей изменений. </w:t>
      </w:r>
    </w:p>
    <w:p w:rsidR="00A57CC5" w:rsidRPr="00991F9D" w:rsidRDefault="00A57CC5" w:rsidP="00E85757">
      <w:pPr>
        <w:spacing w:after="0" w:line="360" w:lineRule="auto"/>
        <w:jc w:val="both"/>
        <w:rPr>
          <w:rFonts w:ascii="Times New Roman" w:hAnsi="Times New Roman" w:cs="Times New Roman"/>
          <w:sz w:val="24"/>
          <w:szCs w:val="24"/>
        </w:rPr>
      </w:pPr>
      <w:r w:rsidRPr="00991F9D">
        <w:rPr>
          <w:rFonts w:ascii="Times New Roman" w:hAnsi="Times New Roman" w:cs="Times New Roman"/>
          <w:sz w:val="24"/>
          <w:szCs w:val="24"/>
        </w:rPr>
        <w:tab/>
        <w:t xml:space="preserve">Таким образом, доходы (и соответственно, расходы) будут отражаться в отчетности не единовременно, а частями (постепенно), что соответственно, будет формировать более реалистичную операционную прибыль. </w:t>
      </w:r>
    </w:p>
    <w:p w:rsidR="00A57CC5" w:rsidRPr="00991F9D" w:rsidRDefault="00A57CC5" w:rsidP="00E85757">
      <w:pPr>
        <w:spacing w:after="0" w:line="360" w:lineRule="auto"/>
        <w:ind w:firstLine="708"/>
        <w:jc w:val="both"/>
        <w:rPr>
          <w:rFonts w:ascii="Times New Roman" w:hAnsi="Times New Roman" w:cs="Times New Roman"/>
          <w:sz w:val="24"/>
          <w:szCs w:val="24"/>
        </w:rPr>
      </w:pPr>
      <w:r w:rsidRPr="00991F9D">
        <w:rPr>
          <w:rFonts w:ascii="Times New Roman" w:hAnsi="Times New Roman" w:cs="Times New Roman"/>
          <w:sz w:val="24"/>
          <w:szCs w:val="24"/>
        </w:rPr>
        <w:t xml:space="preserve">Второй важный момент заключается в том, что в соответствии с ФСБУ необходимо более качественно оценивать выручку с учетом скидок, бонусов и премий. То </w:t>
      </w:r>
      <w:r w:rsidR="00505030" w:rsidRPr="00991F9D">
        <w:rPr>
          <w:rFonts w:ascii="Times New Roman" w:hAnsi="Times New Roman" w:cs="Times New Roman"/>
          <w:sz w:val="24"/>
          <w:szCs w:val="24"/>
        </w:rPr>
        <w:t>есть сумму</w:t>
      </w:r>
      <w:r w:rsidRPr="00991F9D">
        <w:rPr>
          <w:rFonts w:ascii="Times New Roman" w:hAnsi="Times New Roman" w:cs="Times New Roman"/>
          <w:sz w:val="24"/>
          <w:szCs w:val="24"/>
        </w:rPr>
        <w:t xml:space="preserve"> выручки нужно уменьшать на величину скидок, если их можно достоверно оценить.</w:t>
      </w:r>
    </w:p>
    <w:p w:rsidR="00A57CC5" w:rsidRPr="00991F9D" w:rsidRDefault="00A57CC5" w:rsidP="00991F9D">
      <w:pPr>
        <w:widowControl w:val="0"/>
        <w:spacing w:after="0" w:line="360" w:lineRule="auto"/>
        <w:ind w:firstLine="709"/>
        <w:jc w:val="both"/>
        <w:rPr>
          <w:rFonts w:ascii="Times New Roman" w:hAnsi="Times New Roman" w:cs="Times New Roman"/>
          <w:color w:val="000000" w:themeColor="text1"/>
          <w:sz w:val="24"/>
          <w:szCs w:val="24"/>
        </w:rPr>
      </w:pPr>
      <w:r w:rsidRPr="00991F9D">
        <w:rPr>
          <w:rFonts w:ascii="Times New Roman" w:hAnsi="Times New Roman" w:cs="Times New Roman"/>
          <w:color w:val="000000" w:themeColor="text1"/>
          <w:sz w:val="24"/>
          <w:szCs w:val="24"/>
        </w:rPr>
        <w:lastRenderedPageBreak/>
        <w:t xml:space="preserve">Например, ООО «ХХХ» в ходе обычной деятельности предоставляет скидки при досрочной оплате поставляемой продукции по договору. Обычно, если контрагент оплачивает счет в течение 10 рабочих дней, то сумма скидки составляет 1%. Бухгалтер, исходя из прошлого опыта и применяя профессиональное суждение предположил, что скидкой воспользуются постоянный клиент и размер выручки по фактической поставке в размере 78 000 тыс. руб. необходимо откорректировать на размер скидки 780 тыс. руб. (корректировка В – 780 тыс. руб. в таблице </w:t>
      </w:r>
      <w:r w:rsidR="00F27F50">
        <w:rPr>
          <w:rFonts w:ascii="Times New Roman" w:hAnsi="Times New Roman" w:cs="Times New Roman"/>
          <w:color w:val="000000" w:themeColor="text1"/>
          <w:sz w:val="24"/>
          <w:szCs w:val="24"/>
        </w:rPr>
        <w:t>1</w:t>
      </w:r>
      <w:r w:rsidRPr="00991F9D">
        <w:rPr>
          <w:rFonts w:ascii="Times New Roman" w:hAnsi="Times New Roman" w:cs="Times New Roman"/>
          <w:color w:val="000000" w:themeColor="text1"/>
          <w:sz w:val="24"/>
          <w:szCs w:val="24"/>
        </w:rPr>
        <w:t>).</w:t>
      </w:r>
    </w:p>
    <w:p w:rsidR="00A57CC5" w:rsidRPr="00991F9D" w:rsidRDefault="00A57CC5" w:rsidP="00991F9D">
      <w:pPr>
        <w:widowControl w:val="0"/>
        <w:spacing w:after="0" w:line="360" w:lineRule="auto"/>
        <w:ind w:firstLine="709"/>
        <w:jc w:val="both"/>
        <w:rPr>
          <w:rFonts w:ascii="Times New Roman" w:hAnsi="Times New Roman" w:cs="Times New Roman"/>
          <w:color w:val="000000" w:themeColor="text1"/>
          <w:sz w:val="24"/>
          <w:szCs w:val="24"/>
        </w:rPr>
      </w:pPr>
      <w:r w:rsidRPr="00991F9D">
        <w:rPr>
          <w:rFonts w:ascii="Times New Roman" w:hAnsi="Times New Roman" w:cs="Times New Roman"/>
          <w:color w:val="000000" w:themeColor="text1"/>
          <w:sz w:val="24"/>
          <w:szCs w:val="24"/>
        </w:rPr>
        <w:t xml:space="preserve">Таким образом, при анализе аналитику необходимо будет учитывать не </w:t>
      </w:r>
      <w:r w:rsidR="00505030" w:rsidRPr="00991F9D">
        <w:rPr>
          <w:rFonts w:ascii="Times New Roman" w:hAnsi="Times New Roman" w:cs="Times New Roman"/>
          <w:color w:val="000000" w:themeColor="text1"/>
          <w:sz w:val="24"/>
          <w:szCs w:val="24"/>
        </w:rPr>
        <w:t xml:space="preserve">базовую </w:t>
      </w:r>
      <w:r w:rsidR="00505030" w:rsidRPr="00991F9D">
        <w:rPr>
          <w:rFonts w:ascii="Times New Roman" w:hAnsi="Times New Roman" w:cs="Times New Roman"/>
          <w:sz w:val="24"/>
          <w:szCs w:val="24"/>
        </w:rPr>
        <w:t>цену</w:t>
      </w:r>
      <w:r w:rsidRPr="00991F9D">
        <w:rPr>
          <w:rFonts w:ascii="Times New Roman" w:hAnsi="Times New Roman" w:cs="Times New Roman"/>
          <w:sz w:val="24"/>
          <w:szCs w:val="24"/>
        </w:rPr>
        <w:t xml:space="preserve"> договора, а ожидаемую цену сделки. Это может привести к тому, что учтенная выручка будет отличаться от суммы поступивших денег, что потребует более тщательного анализа дебиторской задолженности и оценочных обязательств.</w:t>
      </w:r>
    </w:p>
    <w:p w:rsidR="00A57CC5" w:rsidRPr="00991F9D" w:rsidRDefault="00A57CC5" w:rsidP="00991F9D">
      <w:pPr>
        <w:spacing w:after="0" w:line="360" w:lineRule="auto"/>
        <w:ind w:firstLine="708"/>
        <w:rPr>
          <w:rFonts w:ascii="Times New Roman" w:hAnsi="Times New Roman" w:cs="Times New Roman"/>
          <w:sz w:val="24"/>
          <w:szCs w:val="24"/>
        </w:rPr>
      </w:pPr>
      <w:r w:rsidRPr="00991F9D">
        <w:rPr>
          <w:rFonts w:ascii="Times New Roman" w:hAnsi="Times New Roman" w:cs="Times New Roman"/>
          <w:sz w:val="24"/>
          <w:szCs w:val="24"/>
        </w:rPr>
        <w:t>Третий принципиальный момент, который необходимо учитывать аналитику при оценке доходов и финансовых результатов в соответствии с ФСБУ 9/</w:t>
      </w:r>
      <w:r w:rsidR="00505030" w:rsidRPr="00991F9D">
        <w:rPr>
          <w:rFonts w:ascii="Times New Roman" w:hAnsi="Times New Roman" w:cs="Times New Roman"/>
          <w:sz w:val="24"/>
          <w:szCs w:val="24"/>
        </w:rPr>
        <w:t>2025 -</w:t>
      </w:r>
      <w:r w:rsidRPr="00991F9D">
        <w:rPr>
          <w:rFonts w:ascii="Times New Roman" w:hAnsi="Times New Roman" w:cs="Times New Roman"/>
          <w:sz w:val="24"/>
          <w:szCs w:val="24"/>
        </w:rPr>
        <w:t xml:space="preserve"> учет отсрочки. </w:t>
      </w:r>
    </w:p>
    <w:p w:rsidR="00A57CC5" w:rsidRPr="00991F9D" w:rsidRDefault="00A57CC5" w:rsidP="00991F9D">
      <w:pPr>
        <w:widowControl w:val="0"/>
        <w:spacing w:after="0" w:line="360" w:lineRule="auto"/>
        <w:ind w:firstLine="709"/>
        <w:jc w:val="both"/>
        <w:rPr>
          <w:rFonts w:ascii="Times New Roman" w:hAnsi="Times New Roman" w:cs="Times New Roman"/>
          <w:color w:val="000000" w:themeColor="text1"/>
          <w:sz w:val="24"/>
          <w:szCs w:val="24"/>
        </w:rPr>
      </w:pPr>
      <w:r w:rsidRPr="00991F9D">
        <w:rPr>
          <w:rFonts w:ascii="Times New Roman" w:hAnsi="Times New Roman" w:cs="Times New Roman"/>
          <w:color w:val="000000" w:themeColor="text1"/>
          <w:sz w:val="24"/>
          <w:szCs w:val="24"/>
        </w:rPr>
        <w:t xml:space="preserve">Например, по стандартным условиям в договоре компании оплата по договору будет производится в сроки, установленные в договоре. Но, по согласованию сторон, контрагенту может быть предоставлена отсрочка платежа на согласованный период. В этом случае стоимость контракта увеличивается на 10%. В практике российских стандартов увеличенная сумма договора будет отражаться в составе выручки по строке 2110. В логике МСФО, увеличение выручки на 10%  - это процентные доходы, которые не относятся к операционной деятельности. Следовательно, процентные доходы должны включаться в состав прочих доходов и отражаться по строке 2320. </w:t>
      </w:r>
    </w:p>
    <w:p w:rsidR="00B37129" w:rsidRPr="00991F9D" w:rsidRDefault="00A57CC5" w:rsidP="00991F9D">
      <w:pPr>
        <w:widowControl w:val="0"/>
        <w:spacing w:after="0" w:line="360" w:lineRule="auto"/>
        <w:ind w:firstLine="709"/>
        <w:jc w:val="both"/>
        <w:rPr>
          <w:rFonts w:ascii="Times New Roman" w:hAnsi="Times New Roman" w:cs="Times New Roman"/>
          <w:color w:val="000000" w:themeColor="text1"/>
          <w:sz w:val="24"/>
          <w:szCs w:val="24"/>
        </w:rPr>
      </w:pPr>
      <w:r w:rsidRPr="00991F9D">
        <w:rPr>
          <w:rFonts w:ascii="Times New Roman" w:hAnsi="Times New Roman" w:cs="Times New Roman"/>
          <w:color w:val="000000" w:themeColor="text1"/>
          <w:sz w:val="24"/>
          <w:szCs w:val="24"/>
        </w:rPr>
        <w:t xml:space="preserve">Таким образом, при поставке на сумму 25000 тыс. рублей увеличение стоимости контракта в связи с отсрочкой произойдет на 2500 тыс. рублей. Это сумма должна быть исключена из состава выручки (корректировка Г) и включена в состав прочих процентных доходов (корректировка Д). Как следствие, аналитик получит более реалистичную картину, характеризующую операционную деятельность компании. </w:t>
      </w:r>
    </w:p>
    <w:p w:rsidR="00A57CC5" w:rsidRPr="00991F9D" w:rsidRDefault="004C11EE" w:rsidP="00991F9D">
      <w:pPr>
        <w:widowControl w:val="0"/>
        <w:suppressAutoHyphens/>
        <w:spacing w:after="120" w:line="360" w:lineRule="auto"/>
        <w:ind w:left="1276" w:hanging="1276"/>
        <w:rPr>
          <w:rFonts w:ascii="Times New Roman" w:hAnsi="Times New Roman" w:cs="Times New Roman"/>
          <w:color w:val="000000" w:themeColor="text1"/>
          <w:sz w:val="24"/>
          <w:szCs w:val="24"/>
        </w:rPr>
      </w:pPr>
      <w:bookmarkStart w:id="1" w:name="_GoBack"/>
      <w:bookmarkEnd w:id="1"/>
      <w:r w:rsidRPr="00991F9D">
        <w:rPr>
          <w:rFonts w:ascii="Times New Roman" w:hAnsi="Times New Roman" w:cs="Times New Roman"/>
          <w:color w:val="000000" w:themeColor="text1"/>
          <w:sz w:val="24"/>
          <w:szCs w:val="24"/>
        </w:rPr>
        <w:t xml:space="preserve">Таблица </w:t>
      </w:r>
      <w:r w:rsidR="00F27F50">
        <w:rPr>
          <w:rFonts w:ascii="Times New Roman" w:hAnsi="Times New Roman" w:cs="Times New Roman"/>
          <w:color w:val="000000" w:themeColor="text1"/>
          <w:sz w:val="24"/>
          <w:szCs w:val="24"/>
        </w:rPr>
        <w:t>1</w:t>
      </w:r>
      <w:r w:rsidRPr="00991F9D">
        <w:rPr>
          <w:rFonts w:ascii="Times New Roman" w:hAnsi="Times New Roman" w:cs="Times New Roman"/>
          <w:color w:val="000000" w:themeColor="text1"/>
          <w:sz w:val="24"/>
          <w:szCs w:val="24"/>
        </w:rPr>
        <w:t xml:space="preserve"> - </w:t>
      </w:r>
      <w:r w:rsidR="00A57CC5" w:rsidRPr="00991F9D">
        <w:rPr>
          <w:rFonts w:ascii="Times New Roman" w:hAnsi="Times New Roman" w:cs="Times New Roman"/>
          <w:color w:val="000000" w:themeColor="text1"/>
          <w:sz w:val="24"/>
          <w:szCs w:val="24"/>
        </w:rPr>
        <w:t>Влияние корректировки доходов в соответствии с ФСБУ 9/2025 на финансовые показатели ООО «ХХХ»</w:t>
      </w:r>
    </w:p>
    <w:p w:rsidR="004C11EE" w:rsidRPr="00991F9D" w:rsidRDefault="004C11EE" w:rsidP="00991F9D">
      <w:pPr>
        <w:widowControl w:val="0"/>
        <w:suppressAutoHyphens/>
        <w:spacing w:after="120" w:line="360" w:lineRule="auto"/>
        <w:ind w:left="1276" w:hanging="1276"/>
        <w:jc w:val="right"/>
        <w:rPr>
          <w:rFonts w:ascii="Times New Roman" w:hAnsi="Times New Roman" w:cs="Times New Roman"/>
          <w:color w:val="000000" w:themeColor="text1"/>
          <w:sz w:val="24"/>
          <w:szCs w:val="24"/>
        </w:rPr>
      </w:pPr>
      <w:r w:rsidRPr="00991F9D">
        <w:rPr>
          <w:rFonts w:ascii="Times New Roman" w:hAnsi="Times New Roman" w:cs="Times New Roman"/>
          <w:color w:val="000000" w:themeColor="text1"/>
          <w:sz w:val="24"/>
          <w:szCs w:val="24"/>
        </w:rPr>
        <w:t>В тысячах рублей</w:t>
      </w:r>
    </w:p>
    <w:tbl>
      <w:tblPr>
        <w:tblW w:w="0" w:type="auto"/>
        <w:tblLook w:val="04A0" w:firstRow="1" w:lastRow="0" w:firstColumn="1" w:lastColumn="0" w:noHBand="0" w:noVBand="1"/>
      </w:tblPr>
      <w:tblGrid>
        <w:gridCol w:w="1451"/>
        <w:gridCol w:w="790"/>
        <w:gridCol w:w="1214"/>
        <w:gridCol w:w="1512"/>
        <w:gridCol w:w="1056"/>
        <w:gridCol w:w="1280"/>
        <w:gridCol w:w="1191"/>
      </w:tblGrid>
      <w:tr w:rsidR="00A57CC5" w:rsidRPr="00515680" w:rsidTr="00515680">
        <w:trPr>
          <w:trHeight w:val="476"/>
          <w:tblHeader/>
        </w:trPr>
        <w:tc>
          <w:tcPr>
            <w:tcW w:w="0" w:type="auto"/>
            <w:vMerge w:val="restart"/>
            <w:tcBorders>
              <w:top w:val="single" w:sz="4" w:space="0" w:color="auto"/>
              <w:left w:val="single" w:sz="4" w:space="0" w:color="auto"/>
              <w:bottom w:val="single" w:sz="4" w:space="0" w:color="000000"/>
              <w:right w:val="single" w:sz="4" w:space="0" w:color="auto"/>
            </w:tcBorders>
            <w:shd w:val="clear" w:color="000000" w:fill="FFFFFF"/>
            <w:vAlign w:val="bottom"/>
            <w:hideMark/>
          </w:tcPr>
          <w:p w:rsidR="00A57CC5" w:rsidRPr="00515680" w:rsidRDefault="00A57CC5" w:rsidP="000B3CDE">
            <w:pPr>
              <w:suppressAutoHyphens/>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lastRenderedPageBreak/>
              <w:t>Наименование показателя</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FFFFFF"/>
            <w:vAlign w:val="bottom"/>
            <w:hideMark/>
          </w:tcPr>
          <w:p w:rsidR="00A57CC5" w:rsidRPr="00515680" w:rsidRDefault="00A57CC5" w:rsidP="000B3CDE">
            <w:pPr>
              <w:suppressAutoHyphens/>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Код строки</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rsidR="00A57CC5" w:rsidRPr="00515680" w:rsidRDefault="00A57CC5" w:rsidP="000B3CDE">
            <w:pPr>
              <w:suppressAutoHyphens/>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2024 г.</w:t>
            </w:r>
          </w:p>
          <w:p w:rsidR="00A57CC5" w:rsidRPr="00515680" w:rsidRDefault="00A57CC5" w:rsidP="000B3CDE">
            <w:pPr>
              <w:suppressAutoHyphens/>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(базовые показатели)</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rsidR="00A57CC5" w:rsidRPr="00515680" w:rsidRDefault="00A57CC5" w:rsidP="000B3CDE">
            <w:pPr>
              <w:suppressAutoHyphens/>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Корректировки</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rsidR="00A57CC5" w:rsidRPr="00515680" w:rsidRDefault="00A57CC5" w:rsidP="000B3CDE">
            <w:pPr>
              <w:suppressAutoHyphens/>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2024 г. (ФСБУ 9/2025)</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rsidR="00A57CC5" w:rsidRPr="00515680" w:rsidRDefault="00A57CC5" w:rsidP="000B3CDE">
            <w:pPr>
              <w:suppressAutoHyphens/>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Отклонение, абс.</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rsidR="00A57CC5" w:rsidRPr="00515680" w:rsidRDefault="00A57CC5" w:rsidP="000B3CDE">
            <w:pPr>
              <w:suppressAutoHyphens/>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Изменение,</w:t>
            </w:r>
          </w:p>
          <w:p w:rsidR="00A57CC5" w:rsidRPr="00515680" w:rsidRDefault="00A57CC5" w:rsidP="000B3CDE">
            <w:pPr>
              <w:suppressAutoHyphens/>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к баз. пок.</w:t>
            </w:r>
          </w:p>
        </w:tc>
      </w:tr>
      <w:tr w:rsidR="00A57CC5" w:rsidRPr="00515680" w:rsidTr="00515680">
        <w:trPr>
          <w:trHeight w:val="476"/>
          <w:tblHead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Выручка</w:t>
            </w:r>
            <w:r w:rsidR="00340664" w:rsidRPr="00515680">
              <w:rPr>
                <w:rFonts w:ascii="Times New Roman" w:eastAsia="Times New Roman" w:hAnsi="Times New Roman" w:cs="Times New Roman"/>
                <w:color w:val="000000"/>
                <w:sz w:val="24"/>
                <w:szCs w:val="24"/>
                <w:lang w:eastAsia="ru-RU"/>
              </w:rPr>
              <w:t>, в т.ч.:</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2110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2 117 769</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-34280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2 083 489</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-34 280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98,38</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340664"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п</w:t>
            </w:r>
            <w:r w:rsidR="00A57CC5" w:rsidRPr="00515680">
              <w:rPr>
                <w:rFonts w:ascii="Times New Roman" w:eastAsia="Times New Roman" w:hAnsi="Times New Roman" w:cs="Times New Roman"/>
                <w:color w:val="000000"/>
                <w:sz w:val="24"/>
                <w:szCs w:val="24"/>
                <w:lang w:eastAsia="ru-RU"/>
              </w:rPr>
              <w:t>родукция</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1 548 782</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А: (-31000);</w:t>
            </w:r>
          </w:p>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В:(-780);</w:t>
            </w:r>
          </w:p>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Г (-2500)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1 514 502</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-34 280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97,79</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340664"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т</w:t>
            </w:r>
            <w:r w:rsidR="00A57CC5" w:rsidRPr="00515680">
              <w:rPr>
                <w:rFonts w:ascii="Times New Roman" w:eastAsia="Times New Roman" w:hAnsi="Times New Roman" w:cs="Times New Roman"/>
                <w:color w:val="000000"/>
                <w:sz w:val="24"/>
                <w:szCs w:val="24"/>
                <w:lang w:eastAsia="ru-RU"/>
              </w:rPr>
              <w:t>овары</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542 104</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542104</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xml:space="preserve"> - </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Себестоимость продаж</w:t>
            </w:r>
            <w:r w:rsidR="00340664" w:rsidRPr="00515680">
              <w:rPr>
                <w:rFonts w:ascii="Times New Roman" w:eastAsia="Times New Roman" w:hAnsi="Times New Roman" w:cs="Times New Roman"/>
                <w:color w:val="000000"/>
                <w:sz w:val="24"/>
                <w:szCs w:val="24"/>
                <w:lang w:eastAsia="ru-RU"/>
              </w:rPr>
              <w:t>, в т.ч.:</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2120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1 692 670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-24800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1 667 869</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-24 801</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98,53</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340664"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т</w:t>
            </w:r>
            <w:r w:rsidR="00A57CC5" w:rsidRPr="00515680">
              <w:rPr>
                <w:rFonts w:ascii="Times New Roman" w:eastAsia="Times New Roman" w:hAnsi="Times New Roman" w:cs="Times New Roman"/>
                <w:color w:val="000000"/>
                <w:sz w:val="24"/>
                <w:szCs w:val="24"/>
                <w:lang w:eastAsia="ru-RU"/>
              </w:rPr>
              <w:t>овары</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448 086</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448086</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340664"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п</w:t>
            </w:r>
            <w:r w:rsidR="00A57CC5" w:rsidRPr="00515680">
              <w:rPr>
                <w:rFonts w:ascii="Times New Roman" w:eastAsia="Times New Roman" w:hAnsi="Times New Roman" w:cs="Times New Roman"/>
                <w:color w:val="000000"/>
                <w:sz w:val="24"/>
                <w:szCs w:val="24"/>
                <w:lang w:eastAsia="ru-RU"/>
              </w:rPr>
              <w:t>родукция</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1 244 583</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Б: (-24800)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1 219 783</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-24 800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98,01</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b/>
                <w:bCs/>
                <w:color w:val="000000"/>
                <w:sz w:val="24"/>
                <w:szCs w:val="24"/>
                <w:lang w:eastAsia="ru-RU"/>
              </w:rPr>
            </w:pPr>
            <w:r w:rsidRPr="00515680">
              <w:rPr>
                <w:rFonts w:ascii="Times New Roman" w:eastAsia="Times New Roman" w:hAnsi="Times New Roman" w:cs="Times New Roman"/>
                <w:b/>
                <w:bCs/>
                <w:color w:val="000000"/>
                <w:sz w:val="24"/>
                <w:szCs w:val="24"/>
                <w:lang w:eastAsia="ru-RU"/>
              </w:rPr>
              <w:t>Валовая</w:t>
            </w:r>
          </w:p>
          <w:p w:rsidR="00A57CC5" w:rsidRPr="00515680" w:rsidRDefault="00A57CC5" w:rsidP="00991F9D">
            <w:pPr>
              <w:spacing w:after="0" w:line="240" w:lineRule="auto"/>
              <w:rPr>
                <w:rFonts w:ascii="Times New Roman" w:eastAsia="Times New Roman" w:hAnsi="Times New Roman" w:cs="Times New Roman"/>
                <w:b/>
                <w:bCs/>
                <w:color w:val="000000"/>
                <w:sz w:val="24"/>
                <w:szCs w:val="24"/>
                <w:lang w:eastAsia="ru-RU"/>
              </w:rPr>
            </w:pPr>
            <w:r w:rsidRPr="00515680">
              <w:rPr>
                <w:rFonts w:ascii="Times New Roman" w:eastAsia="Times New Roman" w:hAnsi="Times New Roman" w:cs="Times New Roman"/>
                <w:b/>
                <w:bCs/>
                <w:color w:val="000000"/>
                <w:sz w:val="24"/>
                <w:szCs w:val="24"/>
                <w:lang w:eastAsia="ru-RU"/>
              </w:rPr>
              <w:t xml:space="preserve"> прибыль </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2100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425 099</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-9 479</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415 620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-9 479</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97,77</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Коммерческие расходы</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2210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155 855</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155855</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xml:space="preserve"> - </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Оплата труда</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41 696</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41696</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xml:space="preserve"> - </w:t>
            </w:r>
          </w:p>
        </w:tc>
      </w:tr>
      <w:tr w:rsidR="00340664"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tcPr>
          <w:p w:rsidR="00340664" w:rsidRPr="00515680" w:rsidRDefault="00340664"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Управленческие расходы</w:t>
            </w:r>
          </w:p>
        </w:tc>
        <w:tc>
          <w:tcPr>
            <w:tcW w:w="0" w:type="auto"/>
            <w:tcBorders>
              <w:top w:val="nil"/>
              <w:left w:val="nil"/>
              <w:bottom w:val="single" w:sz="4" w:space="0" w:color="auto"/>
              <w:right w:val="single" w:sz="4" w:space="0" w:color="auto"/>
            </w:tcBorders>
            <w:shd w:val="clear" w:color="auto" w:fill="auto"/>
            <w:vAlign w:val="bottom"/>
          </w:tcPr>
          <w:p w:rsidR="00340664" w:rsidRPr="00515680" w:rsidRDefault="00340664"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2220</w:t>
            </w:r>
          </w:p>
        </w:tc>
        <w:tc>
          <w:tcPr>
            <w:tcW w:w="0" w:type="auto"/>
            <w:tcBorders>
              <w:top w:val="nil"/>
              <w:left w:val="nil"/>
              <w:bottom w:val="single" w:sz="4" w:space="0" w:color="auto"/>
              <w:right w:val="single" w:sz="4" w:space="0" w:color="auto"/>
            </w:tcBorders>
            <w:shd w:val="clear" w:color="auto" w:fill="auto"/>
            <w:vAlign w:val="bottom"/>
          </w:tcPr>
          <w:p w:rsidR="00340664" w:rsidRPr="00515680" w:rsidRDefault="00340664"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w:t>
            </w:r>
          </w:p>
        </w:tc>
        <w:tc>
          <w:tcPr>
            <w:tcW w:w="0" w:type="auto"/>
            <w:tcBorders>
              <w:top w:val="nil"/>
              <w:left w:val="nil"/>
              <w:bottom w:val="single" w:sz="4" w:space="0" w:color="auto"/>
              <w:right w:val="single" w:sz="4" w:space="0" w:color="auto"/>
            </w:tcBorders>
            <w:shd w:val="clear" w:color="auto" w:fill="auto"/>
            <w:vAlign w:val="bottom"/>
          </w:tcPr>
          <w:p w:rsidR="00340664" w:rsidRPr="00515680" w:rsidRDefault="00340664"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w:t>
            </w:r>
          </w:p>
        </w:tc>
        <w:tc>
          <w:tcPr>
            <w:tcW w:w="0" w:type="auto"/>
            <w:tcBorders>
              <w:top w:val="nil"/>
              <w:left w:val="nil"/>
              <w:bottom w:val="single" w:sz="4" w:space="0" w:color="auto"/>
              <w:right w:val="single" w:sz="4" w:space="0" w:color="auto"/>
            </w:tcBorders>
            <w:shd w:val="clear" w:color="auto" w:fill="auto"/>
            <w:noWrap/>
            <w:vAlign w:val="bottom"/>
          </w:tcPr>
          <w:p w:rsidR="00340664" w:rsidRPr="00515680" w:rsidRDefault="00340664"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w:t>
            </w:r>
          </w:p>
        </w:tc>
        <w:tc>
          <w:tcPr>
            <w:tcW w:w="0" w:type="auto"/>
            <w:tcBorders>
              <w:top w:val="nil"/>
              <w:left w:val="nil"/>
              <w:bottom w:val="single" w:sz="4" w:space="0" w:color="auto"/>
              <w:right w:val="single" w:sz="4" w:space="0" w:color="auto"/>
            </w:tcBorders>
            <w:shd w:val="clear" w:color="auto" w:fill="auto"/>
            <w:noWrap/>
            <w:vAlign w:val="bottom"/>
          </w:tcPr>
          <w:p w:rsidR="00340664" w:rsidRPr="00515680" w:rsidRDefault="00340664"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w:t>
            </w:r>
          </w:p>
        </w:tc>
        <w:tc>
          <w:tcPr>
            <w:tcW w:w="0" w:type="auto"/>
            <w:tcBorders>
              <w:top w:val="nil"/>
              <w:left w:val="nil"/>
              <w:bottom w:val="single" w:sz="4" w:space="0" w:color="auto"/>
              <w:right w:val="single" w:sz="4" w:space="0" w:color="auto"/>
            </w:tcBorders>
            <w:shd w:val="clear" w:color="auto" w:fill="auto"/>
            <w:noWrap/>
            <w:vAlign w:val="bottom"/>
          </w:tcPr>
          <w:p w:rsidR="00340664" w:rsidRPr="00515680" w:rsidRDefault="00340664"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b/>
                <w:bCs/>
                <w:color w:val="000000"/>
                <w:sz w:val="24"/>
                <w:szCs w:val="24"/>
                <w:lang w:eastAsia="ru-RU"/>
              </w:rPr>
            </w:pPr>
            <w:r w:rsidRPr="00515680">
              <w:rPr>
                <w:rFonts w:ascii="Times New Roman" w:eastAsia="Times New Roman" w:hAnsi="Times New Roman" w:cs="Times New Roman"/>
                <w:b/>
                <w:bCs/>
                <w:color w:val="000000"/>
                <w:sz w:val="24"/>
                <w:szCs w:val="24"/>
                <w:lang w:eastAsia="ru-RU"/>
              </w:rPr>
              <w:t>Прибыль от продаж</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2200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269 244</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-9479</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259 765</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-9 479</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96,48</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Проценты к получению</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2320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484</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Д: (+2500)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2984</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2500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616,53</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Проценты к уплате</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2330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73 894</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73894</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xml:space="preserve"> -</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xml:space="preserve">Прочие </w:t>
            </w:r>
          </w:p>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доходы</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2340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11 283</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11283</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xml:space="preserve"> - </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xml:space="preserve">Прочие </w:t>
            </w:r>
          </w:p>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расходы</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2350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39 120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39120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0</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xml:space="preserve"> -</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b/>
                <w:bCs/>
                <w:color w:val="000000"/>
                <w:sz w:val="24"/>
                <w:szCs w:val="24"/>
                <w:lang w:eastAsia="ru-RU"/>
              </w:rPr>
            </w:pPr>
            <w:r w:rsidRPr="00515680">
              <w:rPr>
                <w:rFonts w:ascii="Times New Roman" w:eastAsia="Times New Roman" w:hAnsi="Times New Roman" w:cs="Times New Roman"/>
                <w:b/>
                <w:bCs/>
                <w:color w:val="000000"/>
                <w:sz w:val="24"/>
                <w:szCs w:val="24"/>
                <w:lang w:eastAsia="ru-RU"/>
              </w:rPr>
              <w:t>Прибыль до налогообложения</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2300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167 997</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-6979</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161 018</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-6 979</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95,85</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Налог на</w:t>
            </w:r>
          </w:p>
          <w:p w:rsidR="00A57CC5" w:rsidRPr="00515680" w:rsidRDefault="00A57CC5" w:rsidP="00991F9D">
            <w:pPr>
              <w:spacing w:after="0" w:line="240" w:lineRule="auto"/>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 xml:space="preserve"> прибыль</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2410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31 459</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-1306,9</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30152,117</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-1 307</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95,85</w:t>
            </w:r>
          </w:p>
        </w:tc>
      </w:tr>
      <w:tr w:rsidR="00A57CC5" w:rsidRPr="00515680" w:rsidTr="000B3CDE">
        <w:trPr>
          <w:trHeight w:val="227"/>
        </w:trPr>
        <w:tc>
          <w:tcPr>
            <w:tcW w:w="0" w:type="auto"/>
            <w:tcBorders>
              <w:top w:val="nil"/>
              <w:left w:val="single" w:sz="4" w:space="0" w:color="auto"/>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rPr>
                <w:rFonts w:ascii="Times New Roman" w:eastAsia="Times New Roman" w:hAnsi="Times New Roman" w:cs="Times New Roman"/>
                <w:b/>
                <w:bCs/>
                <w:color w:val="000000"/>
                <w:sz w:val="24"/>
                <w:szCs w:val="24"/>
                <w:lang w:eastAsia="ru-RU"/>
              </w:rPr>
            </w:pPr>
            <w:r w:rsidRPr="00515680">
              <w:rPr>
                <w:rFonts w:ascii="Times New Roman" w:eastAsia="Times New Roman" w:hAnsi="Times New Roman" w:cs="Times New Roman"/>
                <w:b/>
                <w:bCs/>
                <w:color w:val="000000"/>
                <w:sz w:val="24"/>
                <w:szCs w:val="24"/>
                <w:lang w:eastAsia="ru-RU"/>
              </w:rPr>
              <w:t xml:space="preserve">Чистая </w:t>
            </w:r>
          </w:p>
          <w:p w:rsidR="00A57CC5" w:rsidRPr="00515680" w:rsidRDefault="00A57CC5" w:rsidP="00991F9D">
            <w:pPr>
              <w:spacing w:after="0" w:line="240" w:lineRule="auto"/>
              <w:rPr>
                <w:rFonts w:ascii="Times New Roman" w:eastAsia="Times New Roman" w:hAnsi="Times New Roman" w:cs="Times New Roman"/>
                <w:b/>
                <w:bCs/>
                <w:color w:val="000000"/>
                <w:sz w:val="24"/>
                <w:szCs w:val="24"/>
                <w:lang w:eastAsia="ru-RU"/>
              </w:rPr>
            </w:pPr>
            <w:r w:rsidRPr="00515680">
              <w:rPr>
                <w:rFonts w:ascii="Times New Roman" w:eastAsia="Times New Roman" w:hAnsi="Times New Roman" w:cs="Times New Roman"/>
                <w:b/>
                <w:bCs/>
                <w:color w:val="000000"/>
                <w:sz w:val="24"/>
                <w:szCs w:val="24"/>
                <w:lang w:eastAsia="ru-RU"/>
              </w:rPr>
              <w:t>прибыль</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2400</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136 538</w:t>
            </w:r>
          </w:p>
        </w:tc>
        <w:tc>
          <w:tcPr>
            <w:tcW w:w="0" w:type="auto"/>
            <w:tcBorders>
              <w:top w:val="nil"/>
              <w:left w:val="nil"/>
              <w:bottom w:val="single" w:sz="4" w:space="0" w:color="auto"/>
              <w:right w:val="single" w:sz="4" w:space="0" w:color="auto"/>
            </w:tcBorders>
            <w:shd w:val="clear" w:color="auto" w:fill="auto"/>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-5672,1</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130 866</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-5 672</w:t>
            </w:r>
          </w:p>
        </w:tc>
        <w:tc>
          <w:tcPr>
            <w:tcW w:w="0" w:type="auto"/>
            <w:tcBorders>
              <w:top w:val="nil"/>
              <w:left w:val="nil"/>
              <w:bottom w:val="single" w:sz="4" w:space="0" w:color="auto"/>
              <w:right w:val="single" w:sz="4" w:space="0" w:color="auto"/>
            </w:tcBorders>
            <w:shd w:val="clear" w:color="auto" w:fill="auto"/>
            <w:noWrap/>
            <w:vAlign w:val="bottom"/>
            <w:hideMark/>
          </w:tcPr>
          <w:p w:rsidR="00A57CC5" w:rsidRPr="00515680" w:rsidRDefault="00A57CC5" w:rsidP="00991F9D">
            <w:pPr>
              <w:spacing w:after="0" w:line="240" w:lineRule="auto"/>
              <w:jc w:val="center"/>
              <w:rPr>
                <w:rFonts w:ascii="Times New Roman" w:eastAsia="Times New Roman" w:hAnsi="Times New Roman" w:cs="Times New Roman"/>
                <w:color w:val="000000"/>
                <w:sz w:val="24"/>
                <w:szCs w:val="24"/>
                <w:lang w:eastAsia="ru-RU"/>
              </w:rPr>
            </w:pPr>
            <w:r w:rsidRPr="00515680">
              <w:rPr>
                <w:rFonts w:ascii="Times New Roman" w:eastAsia="Times New Roman" w:hAnsi="Times New Roman" w:cs="Times New Roman"/>
                <w:color w:val="000000"/>
                <w:sz w:val="24"/>
                <w:szCs w:val="24"/>
                <w:lang w:eastAsia="ru-RU"/>
              </w:rPr>
              <w:t>95,85</w:t>
            </w:r>
          </w:p>
        </w:tc>
      </w:tr>
    </w:tbl>
    <w:p w:rsidR="00A57CC5" w:rsidRPr="00991F9D" w:rsidRDefault="00230D61" w:rsidP="00991F9D">
      <w:pPr>
        <w:widowControl w:val="0"/>
        <w:spacing w:after="0" w:line="360" w:lineRule="auto"/>
        <w:jc w:val="both"/>
        <w:rPr>
          <w:rFonts w:ascii="Times New Roman" w:hAnsi="Times New Roman" w:cs="Times New Roman"/>
          <w:i/>
          <w:iCs/>
          <w:color w:val="000000" w:themeColor="text1"/>
          <w:sz w:val="24"/>
          <w:szCs w:val="24"/>
        </w:rPr>
      </w:pPr>
      <w:r w:rsidRPr="00991F9D">
        <w:rPr>
          <w:rFonts w:ascii="Times New Roman" w:hAnsi="Times New Roman" w:cs="Times New Roman"/>
          <w:i/>
          <w:iCs/>
          <w:color w:val="000000" w:themeColor="text1"/>
          <w:sz w:val="24"/>
          <w:szCs w:val="24"/>
        </w:rPr>
        <w:t>Источник: сост</w:t>
      </w:r>
      <w:r w:rsidR="00505030" w:rsidRPr="00991F9D">
        <w:rPr>
          <w:rFonts w:ascii="Times New Roman" w:hAnsi="Times New Roman" w:cs="Times New Roman"/>
          <w:i/>
          <w:iCs/>
          <w:color w:val="000000" w:themeColor="text1"/>
          <w:sz w:val="24"/>
          <w:szCs w:val="24"/>
        </w:rPr>
        <w:t>авлено</w:t>
      </w:r>
      <w:r w:rsidRPr="00991F9D">
        <w:rPr>
          <w:rFonts w:ascii="Times New Roman" w:hAnsi="Times New Roman" w:cs="Times New Roman"/>
          <w:i/>
          <w:iCs/>
          <w:color w:val="000000" w:themeColor="text1"/>
          <w:sz w:val="24"/>
          <w:szCs w:val="24"/>
        </w:rPr>
        <w:t xml:space="preserve"> авторами </w:t>
      </w:r>
    </w:p>
    <w:p w:rsidR="00E85757" w:rsidRPr="00991F9D" w:rsidRDefault="00E85757" w:rsidP="00E85757">
      <w:pPr>
        <w:widowControl w:val="0"/>
        <w:spacing w:after="0" w:line="360" w:lineRule="auto"/>
        <w:ind w:firstLine="708"/>
        <w:jc w:val="both"/>
        <w:rPr>
          <w:rFonts w:ascii="Times New Roman" w:hAnsi="Times New Roman" w:cs="Times New Roman"/>
          <w:color w:val="000000" w:themeColor="text1"/>
          <w:sz w:val="24"/>
          <w:szCs w:val="24"/>
        </w:rPr>
      </w:pPr>
      <w:r w:rsidRPr="00F82843">
        <w:rPr>
          <w:rFonts w:ascii="Times New Roman" w:hAnsi="Times New Roman" w:cs="Times New Roman"/>
          <w:sz w:val="24"/>
          <w:szCs w:val="24"/>
        </w:rPr>
        <w:t xml:space="preserve">Адамайтис И.М., Семенюк Ю.А., Матюнина М. В. Авраменко А.А.,  Зубова Л. В., Стапанова Т. В. в своих  исследованиях, определяя аналитические </w:t>
      </w:r>
      <w:r w:rsidRPr="00F82843">
        <w:rPr>
          <w:rFonts w:ascii="Times New Roman" w:hAnsi="Times New Roman" w:cs="Times New Roman"/>
          <w:sz w:val="24"/>
          <w:szCs w:val="24"/>
        </w:rPr>
        <w:lastRenderedPageBreak/>
        <w:t>возможности отчета о финансовых результатах, отмечают важность расчет</w:t>
      </w:r>
      <w:r>
        <w:rPr>
          <w:rFonts w:ascii="Times New Roman" w:hAnsi="Times New Roman" w:cs="Times New Roman"/>
          <w:sz w:val="24"/>
          <w:szCs w:val="24"/>
        </w:rPr>
        <w:t>а</w:t>
      </w:r>
      <w:r w:rsidRPr="00F82843">
        <w:rPr>
          <w:rFonts w:ascii="Times New Roman" w:hAnsi="Times New Roman" w:cs="Times New Roman"/>
          <w:sz w:val="24"/>
          <w:szCs w:val="24"/>
        </w:rPr>
        <w:t xml:space="preserve"> и оценки показателей рентабельности</w:t>
      </w:r>
      <w:r>
        <w:rPr>
          <w:rFonts w:ascii="Times New Roman" w:hAnsi="Times New Roman" w:cs="Times New Roman"/>
          <w:sz w:val="24"/>
          <w:szCs w:val="24"/>
        </w:rPr>
        <w:t xml:space="preserve"> </w:t>
      </w:r>
      <w:r w:rsidRPr="00F82843">
        <w:rPr>
          <w:rFonts w:ascii="Times New Roman" w:hAnsi="Times New Roman" w:cs="Times New Roman"/>
          <w:sz w:val="24"/>
          <w:szCs w:val="24"/>
        </w:rPr>
        <w:t>[</w:t>
      </w:r>
      <w:r>
        <w:rPr>
          <w:rFonts w:ascii="Times New Roman" w:hAnsi="Times New Roman" w:cs="Times New Roman"/>
          <w:sz w:val="24"/>
          <w:szCs w:val="24"/>
        </w:rPr>
        <w:t>18-20</w:t>
      </w:r>
      <w:r w:rsidRPr="00F82843">
        <w:rPr>
          <w:rFonts w:ascii="Times New Roman" w:hAnsi="Times New Roman" w:cs="Times New Roman"/>
          <w:sz w:val="24"/>
          <w:szCs w:val="24"/>
        </w:rPr>
        <w:t>].</w:t>
      </w:r>
      <w:r>
        <w:rPr>
          <w:rFonts w:ascii="Times New Roman" w:hAnsi="Times New Roman" w:cs="Times New Roman"/>
          <w:sz w:val="24"/>
          <w:szCs w:val="24"/>
        </w:rPr>
        <w:t xml:space="preserve"> </w:t>
      </w:r>
      <w:r w:rsidRPr="00991F9D">
        <w:rPr>
          <w:rFonts w:ascii="Times New Roman" w:hAnsi="Times New Roman" w:cs="Times New Roman"/>
          <w:color w:val="000000" w:themeColor="text1"/>
          <w:sz w:val="24"/>
          <w:szCs w:val="24"/>
        </w:rPr>
        <w:t xml:space="preserve">Представленные данные свидетельствуют, что перераспределение доходов между отчетным и будущим периодом, а также доходов от основной деятельности в сторону процентных доходов, приводят к снижению операционной и чистой прибыли в отчетном периоде. Как следствие, изменяются показатели рентабельности операционной деятельности (рисунок </w:t>
      </w:r>
      <w:r>
        <w:rPr>
          <w:rFonts w:ascii="Times New Roman" w:hAnsi="Times New Roman" w:cs="Times New Roman"/>
          <w:color w:val="000000" w:themeColor="text1"/>
          <w:sz w:val="24"/>
          <w:szCs w:val="24"/>
        </w:rPr>
        <w:t>1</w:t>
      </w:r>
      <w:r w:rsidRPr="00991F9D">
        <w:rPr>
          <w:rFonts w:ascii="Times New Roman" w:hAnsi="Times New Roman" w:cs="Times New Roman"/>
          <w:color w:val="000000" w:themeColor="text1"/>
          <w:sz w:val="24"/>
          <w:szCs w:val="24"/>
        </w:rPr>
        <w:t>). При этом пользователи аналитической информации имеют возможность более объективно и реалистично оценивать результаты деятельности компании.</w:t>
      </w:r>
    </w:p>
    <w:p w:rsidR="00A57CC5" w:rsidRPr="00991F9D" w:rsidRDefault="00A57CC5" w:rsidP="00991F9D">
      <w:pPr>
        <w:widowControl w:val="0"/>
        <w:spacing w:before="120" w:after="0" w:line="360" w:lineRule="auto"/>
        <w:ind w:firstLine="709"/>
        <w:jc w:val="both"/>
        <w:rPr>
          <w:rFonts w:ascii="Times New Roman" w:hAnsi="Times New Roman" w:cs="Times New Roman"/>
          <w:b/>
          <w:color w:val="000000" w:themeColor="text1"/>
          <w:sz w:val="24"/>
          <w:szCs w:val="24"/>
        </w:rPr>
      </w:pPr>
    </w:p>
    <w:p w:rsidR="00A57CC5" w:rsidRPr="00991F9D" w:rsidRDefault="00A57CC5" w:rsidP="00991F9D">
      <w:pPr>
        <w:widowControl w:val="0"/>
        <w:spacing w:after="0" w:line="360" w:lineRule="auto"/>
        <w:ind w:firstLine="709"/>
        <w:jc w:val="both"/>
        <w:rPr>
          <w:rFonts w:ascii="Times New Roman" w:hAnsi="Times New Roman" w:cs="Times New Roman"/>
          <w:b/>
          <w:color w:val="000000" w:themeColor="text1"/>
          <w:sz w:val="24"/>
          <w:szCs w:val="24"/>
        </w:rPr>
      </w:pPr>
      <w:r w:rsidRPr="00991F9D">
        <w:rPr>
          <w:rFonts w:ascii="Times New Roman" w:hAnsi="Times New Roman" w:cs="Times New Roman"/>
          <w:b/>
          <w:noProof/>
          <w:color w:val="000000" w:themeColor="text1"/>
          <w:sz w:val="24"/>
          <w:szCs w:val="24"/>
          <w:lang w:eastAsia="ru-RU"/>
        </w:rPr>
        <w:drawing>
          <wp:inline distT="0" distB="0" distL="0" distR="0">
            <wp:extent cx="5428706" cy="2465614"/>
            <wp:effectExtent l="0" t="0" r="635" b="0"/>
            <wp:docPr id="4"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A57CC5" w:rsidRPr="00991F9D" w:rsidRDefault="00230D61" w:rsidP="00991F9D">
      <w:pPr>
        <w:widowControl w:val="0"/>
        <w:suppressAutoHyphens/>
        <w:spacing w:after="0" w:line="360" w:lineRule="auto"/>
        <w:jc w:val="center"/>
        <w:rPr>
          <w:rFonts w:ascii="Times New Roman" w:hAnsi="Times New Roman" w:cs="Times New Roman"/>
          <w:b/>
          <w:color w:val="000000" w:themeColor="text1"/>
          <w:sz w:val="24"/>
          <w:szCs w:val="24"/>
        </w:rPr>
      </w:pPr>
      <w:r w:rsidRPr="00991F9D">
        <w:rPr>
          <w:rFonts w:ascii="Times New Roman" w:hAnsi="Times New Roman" w:cs="Times New Roman"/>
          <w:sz w:val="24"/>
          <w:szCs w:val="24"/>
        </w:rPr>
        <w:t xml:space="preserve">Рисунок </w:t>
      </w:r>
      <w:r w:rsidR="00F27F50">
        <w:rPr>
          <w:rFonts w:ascii="Times New Roman" w:hAnsi="Times New Roman" w:cs="Times New Roman"/>
          <w:sz w:val="24"/>
          <w:szCs w:val="24"/>
        </w:rPr>
        <w:t>1</w:t>
      </w:r>
      <w:r w:rsidR="00A57CC5" w:rsidRPr="00991F9D">
        <w:rPr>
          <w:rFonts w:ascii="Times New Roman" w:hAnsi="Times New Roman" w:cs="Times New Roman"/>
          <w:sz w:val="24"/>
          <w:szCs w:val="24"/>
        </w:rPr>
        <w:t xml:space="preserve"> - Показатели рентабельности операционной деятельности ООО «ХХХ», с учетом корректировок</w:t>
      </w:r>
    </w:p>
    <w:p w:rsidR="00230D61" w:rsidRPr="00991F9D" w:rsidRDefault="00230D61" w:rsidP="00991F9D">
      <w:pPr>
        <w:widowControl w:val="0"/>
        <w:spacing w:before="120" w:after="0" w:line="360" w:lineRule="auto"/>
        <w:ind w:firstLine="709"/>
        <w:rPr>
          <w:rFonts w:ascii="Times New Roman" w:hAnsi="Times New Roman" w:cs="Times New Roman"/>
          <w:i/>
          <w:iCs/>
          <w:sz w:val="24"/>
          <w:szCs w:val="24"/>
        </w:rPr>
      </w:pPr>
      <w:r w:rsidRPr="00991F9D">
        <w:rPr>
          <w:rFonts w:ascii="Times New Roman" w:hAnsi="Times New Roman" w:cs="Times New Roman"/>
          <w:i/>
          <w:iCs/>
          <w:sz w:val="24"/>
          <w:szCs w:val="24"/>
        </w:rPr>
        <w:t>Источник: сост</w:t>
      </w:r>
      <w:r w:rsidR="00505030" w:rsidRPr="00991F9D">
        <w:rPr>
          <w:rFonts w:ascii="Times New Roman" w:hAnsi="Times New Roman" w:cs="Times New Roman"/>
          <w:i/>
          <w:iCs/>
          <w:sz w:val="24"/>
          <w:szCs w:val="24"/>
        </w:rPr>
        <w:t>авлено</w:t>
      </w:r>
      <w:r w:rsidRPr="00991F9D">
        <w:rPr>
          <w:rFonts w:ascii="Times New Roman" w:hAnsi="Times New Roman" w:cs="Times New Roman"/>
          <w:i/>
          <w:iCs/>
          <w:sz w:val="24"/>
          <w:szCs w:val="24"/>
        </w:rPr>
        <w:t xml:space="preserve"> авторами</w:t>
      </w:r>
    </w:p>
    <w:p w:rsidR="00DB3BA7" w:rsidRPr="00991F9D" w:rsidRDefault="00A57CC5"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Таким образом, новые правила признания доходов согласно ФСБУ 9/2025 усложняют процесс признания и учета выручки, но, в свою очередь, повышают качество показателей, используемых для анализа.  Анализ по таким показателям позволяет получить </w:t>
      </w:r>
      <w:r w:rsidRPr="00991F9D">
        <w:rPr>
          <w:rFonts w:ascii="Times New Roman" w:hAnsi="Times New Roman" w:cs="Times New Roman"/>
          <w:color w:val="000000" w:themeColor="text1"/>
          <w:sz w:val="24"/>
          <w:szCs w:val="24"/>
        </w:rPr>
        <w:t xml:space="preserve">более реальную фактическую картину операционной эффективности компании. </w:t>
      </w:r>
      <w:r w:rsidR="00DB3BA7" w:rsidRPr="00991F9D">
        <w:rPr>
          <w:rFonts w:ascii="Times New Roman" w:hAnsi="Times New Roman" w:cs="Times New Roman"/>
          <w:color w:val="000000" w:themeColor="text1"/>
          <w:sz w:val="24"/>
          <w:szCs w:val="24"/>
        </w:rPr>
        <w:t>При этом</w:t>
      </w:r>
      <w:r w:rsidRPr="00991F9D">
        <w:rPr>
          <w:rFonts w:ascii="Times New Roman" w:hAnsi="Times New Roman" w:cs="Times New Roman"/>
          <w:color w:val="000000" w:themeColor="text1"/>
          <w:sz w:val="24"/>
          <w:szCs w:val="24"/>
        </w:rPr>
        <w:t>, нельзя не отметить, что у аналитика возникает необходимость более глубокого понимания принципов и условий формирования доходов в учете.</w:t>
      </w:r>
      <w:r w:rsidR="00DB3BA7" w:rsidRPr="00991F9D">
        <w:rPr>
          <w:rFonts w:ascii="Times New Roman" w:hAnsi="Times New Roman" w:cs="Times New Roman"/>
          <w:sz w:val="24"/>
          <w:szCs w:val="24"/>
        </w:rPr>
        <w:t xml:space="preserve"> Следовательно, аналитические возможности отчета о финансовых результатах расширяются за счет более глубокого раскрытия структуры доходов, но реализуются они лишь при условии активного использования дополнительных аналитических процедур и пояснений.</w:t>
      </w:r>
    </w:p>
    <w:p w:rsidR="00BA0D9A" w:rsidRPr="00991F9D" w:rsidRDefault="00991F9D" w:rsidP="00991F9D">
      <w:pPr>
        <w:widowControl w:val="0"/>
        <w:spacing w:after="0" w:line="360" w:lineRule="auto"/>
        <w:ind w:firstLine="709"/>
        <w:jc w:val="both"/>
        <w:rPr>
          <w:rFonts w:ascii="Times New Roman" w:hAnsi="Times New Roman" w:cs="Times New Roman"/>
          <w:sz w:val="24"/>
          <w:szCs w:val="24"/>
        </w:rPr>
      </w:pPr>
      <w:r>
        <w:rPr>
          <w:rFonts w:ascii="Times New Roman" w:hAnsi="Times New Roman" w:cs="Times New Roman"/>
          <w:b/>
          <w:bCs/>
          <w:sz w:val="24"/>
          <w:szCs w:val="24"/>
        </w:rPr>
        <w:lastRenderedPageBreak/>
        <w:t>Выводы</w:t>
      </w:r>
    </w:p>
    <w:p w:rsidR="00126247" w:rsidRPr="00991F9D" w:rsidRDefault="0012624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Таким образом, аналитические возможности отчета о финансовых результатах в условиях применения ФСБУ 9 носят двойственный характер. С одной стороны, отчет становится более экономически </w:t>
      </w:r>
      <w:r w:rsidR="00A57CC5" w:rsidRPr="00991F9D">
        <w:rPr>
          <w:rFonts w:ascii="Times New Roman" w:hAnsi="Times New Roman" w:cs="Times New Roman"/>
          <w:sz w:val="24"/>
          <w:szCs w:val="24"/>
        </w:rPr>
        <w:t xml:space="preserve">и аналитически </w:t>
      </w:r>
      <w:r w:rsidRPr="00991F9D">
        <w:rPr>
          <w:rFonts w:ascii="Times New Roman" w:hAnsi="Times New Roman" w:cs="Times New Roman"/>
          <w:sz w:val="24"/>
          <w:szCs w:val="24"/>
        </w:rPr>
        <w:t>содержательным и перспективно ориентированным. С другой - возрастает зависимость аналитических выводов от качества учетной политики и раскрыти</w:t>
      </w:r>
      <w:r w:rsidR="00A57CC5" w:rsidRPr="00991F9D">
        <w:rPr>
          <w:rFonts w:ascii="Times New Roman" w:hAnsi="Times New Roman" w:cs="Times New Roman"/>
          <w:sz w:val="24"/>
          <w:szCs w:val="24"/>
        </w:rPr>
        <w:t xml:space="preserve">я ее аспектов в учетной </w:t>
      </w:r>
      <w:r w:rsidR="00DB3BA7" w:rsidRPr="00991F9D">
        <w:rPr>
          <w:rFonts w:ascii="Times New Roman" w:hAnsi="Times New Roman" w:cs="Times New Roman"/>
          <w:sz w:val="24"/>
          <w:szCs w:val="24"/>
        </w:rPr>
        <w:t>практике.</w:t>
      </w:r>
    </w:p>
    <w:p w:rsidR="00126247" w:rsidRPr="00991F9D" w:rsidRDefault="0012624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В целом можно сделать вывод, что внедрение ФСБУ 9 трансформирует отчет о финансовых результатах из преимущественно ретроспективного документа в инструмент, сочетающий элементы оценки прошлой и будущей эффективности деятельности. Это расширяет аналитические возможности отчетности, но одновременно предъявляет более высокие требования к профессиональной подготовке </w:t>
      </w:r>
      <w:r w:rsidR="00A57CC5" w:rsidRPr="00991F9D">
        <w:rPr>
          <w:rFonts w:ascii="Times New Roman" w:hAnsi="Times New Roman" w:cs="Times New Roman"/>
          <w:sz w:val="24"/>
          <w:szCs w:val="24"/>
        </w:rPr>
        <w:t xml:space="preserve">аналитиков и </w:t>
      </w:r>
      <w:r w:rsidRPr="00991F9D">
        <w:rPr>
          <w:rFonts w:ascii="Times New Roman" w:hAnsi="Times New Roman" w:cs="Times New Roman"/>
          <w:sz w:val="24"/>
          <w:szCs w:val="24"/>
        </w:rPr>
        <w:t xml:space="preserve">пользователей </w:t>
      </w:r>
      <w:r w:rsidR="00A57CC5" w:rsidRPr="00991F9D">
        <w:rPr>
          <w:rFonts w:ascii="Times New Roman" w:hAnsi="Times New Roman" w:cs="Times New Roman"/>
          <w:sz w:val="24"/>
          <w:szCs w:val="24"/>
        </w:rPr>
        <w:t xml:space="preserve">анализа </w:t>
      </w:r>
      <w:r w:rsidRPr="00991F9D">
        <w:rPr>
          <w:rFonts w:ascii="Times New Roman" w:hAnsi="Times New Roman" w:cs="Times New Roman"/>
          <w:sz w:val="24"/>
          <w:szCs w:val="24"/>
        </w:rPr>
        <w:t>и к методологическому обеспечению анализа.</w:t>
      </w:r>
    </w:p>
    <w:p w:rsidR="00126247" w:rsidRPr="00991F9D" w:rsidRDefault="00126247" w:rsidP="00991F9D">
      <w:pPr>
        <w:widowControl w:val="0"/>
        <w:spacing w:after="0" w:line="360" w:lineRule="auto"/>
        <w:ind w:firstLine="709"/>
        <w:jc w:val="both"/>
        <w:rPr>
          <w:rFonts w:ascii="Times New Roman" w:hAnsi="Times New Roman" w:cs="Times New Roman"/>
          <w:sz w:val="24"/>
          <w:szCs w:val="24"/>
        </w:rPr>
      </w:pPr>
      <w:r w:rsidRPr="00991F9D">
        <w:rPr>
          <w:rFonts w:ascii="Times New Roman" w:hAnsi="Times New Roman" w:cs="Times New Roman"/>
          <w:sz w:val="24"/>
          <w:szCs w:val="24"/>
        </w:rPr>
        <w:t xml:space="preserve">Отчет о финансовых результатах в условиях применения ФСБУ 9 требует перехода от формального анализа показателей к их содержательной интерпретации с учетом </w:t>
      </w:r>
      <w:r w:rsidR="00A57CC5" w:rsidRPr="00991F9D">
        <w:rPr>
          <w:rFonts w:ascii="Times New Roman" w:hAnsi="Times New Roman" w:cs="Times New Roman"/>
          <w:sz w:val="24"/>
          <w:szCs w:val="24"/>
        </w:rPr>
        <w:t xml:space="preserve">профессиональных </w:t>
      </w:r>
      <w:r w:rsidRPr="00991F9D">
        <w:rPr>
          <w:rFonts w:ascii="Times New Roman" w:hAnsi="Times New Roman" w:cs="Times New Roman"/>
          <w:sz w:val="24"/>
          <w:szCs w:val="24"/>
        </w:rPr>
        <w:t>допущений и оценок. Именно в этом заключается основной аналитический эффект нового стандарта и его ключевое отличие от ранее действующей модели учета доходов.</w:t>
      </w:r>
    </w:p>
    <w:p w:rsidR="00641D17" w:rsidRPr="00991F9D" w:rsidRDefault="00991F9D" w:rsidP="00991F9D">
      <w:pPr>
        <w:spacing w:line="360" w:lineRule="auto"/>
        <w:ind w:firstLine="708"/>
        <w:rPr>
          <w:rFonts w:ascii="Times New Roman" w:hAnsi="Times New Roman" w:cs="Times New Roman"/>
          <w:sz w:val="24"/>
          <w:szCs w:val="24"/>
        </w:rPr>
      </w:pPr>
      <w:r>
        <w:rPr>
          <w:rFonts w:ascii="Times New Roman" w:hAnsi="Times New Roman" w:cs="Times New Roman"/>
          <w:b/>
          <w:bCs/>
          <w:sz w:val="24"/>
          <w:szCs w:val="24"/>
        </w:rPr>
        <w:t xml:space="preserve">Список </w:t>
      </w:r>
      <w:r w:rsidR="00B9562C">
        <w:rPr>
          <w:rFonts w:ascii="Times New Roman" w:hAnsi="Times New Roman" w:cs="Times New Roman"/>
          <w:b/>
          <w:bCs/>
          <w:sz w:val="24"/>
          <w:szCs w:val="24"/>
        </w:rPr>
        <w:t>литературы</w:t>
      </w:r>
    </w:p>
    <w:p w:rsidR="008156F7" w:rsidRPr="008156F7"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lang w:val="en-US"/>
        </w:rPr>
      </w:pPr>
      <w:bookmarkStart w:id="2" w:name="P278"/>
      <w:bookmarkEnd w:id="2"/>
      <w:r w:rsidRPr="009E3D4D">
        <w:rPr>
          <w:rFonts w:ascii="Times New Roman" w:hAnsi="Times New Roman" w:cs="Times New Roman"/>
          <w:sz w:val="24"/>
          <w:szCs w:val="24"/>
          <w:lang w:val="en-US"/>
        </w:rPr>
        <w:t xml:space="preserve">IFRS 18 «Presentation and Disclosure in Financial Statements» // </w:t>
      </w:r>
      <w:r w:rsidRPr="009E3D4D">
        <w:rPr>
          <w:rFonts w:ascii="Times New Roman" w:hAnsi="Times New Roman" w:cs="Times New Roman"/>
          <w:sz w:val="24"/>
          <w:szCs w:val="24"/>
        </w:rPr>
        <w:t>Электронный</w:t>
      </w:r>
      <w:r w:rsidRPr="009E3D4D">
        <w:rPr>
          <w:rFonts w:ascii="Times New Roman" w:hAnsi="Times New Roman" w:cs="Times New Roman"/>
          <w:sz w:val="24"/>
          <w:szCs w:val="24"/>
          <w:lang w:val="en-US"/>
        </w:rPr>
        <w:t xml:space="preserve"> </w:t>
      </w:r>
      <w:r w:rsidRPr="009E3D4D">
        <w:rPr>
          <w:rFonts w:ascii="Times New Roman" w:hAnsi="Times New Roman" w:cs="Times New Roman"/>
          <w:sz w:val="24"/>
          <w:szCs w:val="24"/>
        </w:rPr>
        <w:t>текст</w:t>
      </w:r>
      <w:r w:rsidRPr="009E3D4D">
        <w:rPr>
          <w:rFonts w:ascii="Times New Roman" w:hAnsi="Times New Roman" w:cs="Times New Roman"/>
          <w:sz w:val="24"/>
          <w:szCs w:val="24"/>
          <w:lang w:val="en-US"/>
        </w:rPr>
        <w:t xml:space="preserve">. - URL </w:t>
      </w:r>
      <w:hyperlink r:id="rId10" w:history="1">
        <w:r w:rsidRPr="009E3D4D">
          <w:rPr>
            <w:rStyle w:val="a3"/>
            <w:rFonts w:ascii="Times New Roman" w:hAnsi="Times New Roman" w:cs="Times New Roman"/>
            <w:sz w:val="24"/>
            <w:szCs w:val="24"/>
            <w:lang w:val="en-US"/>
          </w:rPr>
          <w:t>https://www.ifrs.org/content/dam/ifrs/publications/pdf-standards/english/2025/issued/part-a/ifrs-18-presentation-and-disclosure-in-financial-statements.pdf?bypass=on</w:t>
        </w:r>
      </w:hyperlink>
      <w:r w:rsidRPr="009E3D4D">
        <w:rPr>
          <w:rFonts w:ascii="Times New Roman" w:hAnsi="Times New Roman" w:cs="Times New Roman"/>
          <w:sz w:val="24"/>
          <w:szCs w:val="24"/>
          <w:lang w:val="en-US"/>
        </w:rPr>
        <w:t xml:space="preserve"> (</w:t>
      </w:r>
      <w:r w:rsidRPr="009E3D4D">
        <w:rPr>
          <w:rFonts w:ascii="Times New Roman" w:hAnsi="Times New Roman" w:cs="Times New Roman"/>
          <w:sz w:val="24"/>
          <w:szCs w:val="24"/>
        </w:rPr>
        <w:t>дата</w:t>
      </w:r>
      <w:r w:rsidRPr="009E3D4D">
        <w:rPr>
          <w:rFonts w:ascii="Times New Roman" w:hAnsi="Times New Roman" w:cs="Times New Roman"/>
          <w:sz w:val="24"/>
          <w:szCs w:val="24"/>
          <w:lang w:val="en-US"/>
        </w:rPr>
        <w:t xml:space="preserve"> </w:t>
      </w:r>
      <w:r w:rsidRPr="009E3D4D">
        <w:rPr>
          <w:rFonts w:ascii="Times New Roman" w:hAnsi="Times New Roman" w:cs="Times New Roman"/>
          <w:sz w:val="24"/>
          <w:szCs w:val="24"/>
        </w:rPr>
        <w:t>обращения</w:t>
      </w:r>
      <w:r w:rsidRPr="009E3D4D">
        <w:rPr>
          <w:rFonts w:ascii="Times New Roman" w:hAnsi="Times New Roman" w:cs="Times New Roman"/>
          <w:sz w:val="24"/>
          <w:szCs w:val="24"/>
          <w:lang w:val="en-US"/>
        </w:rPr>
        <w:t xml:space="preserve"> 13.02.2026).</w:t>
      </w:r>
    </w:p>
    <w:p w:rsidR="008156F7"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230D61">
        <w:rPr>
          <w:rFonts w:ascii="Times New Roman" w:hAnsi="Times New Roman" w:cs="Times New Roman"/>
          <w:sz w:val="24"/>
          <w:szCs w:val="24"/>
        </w:rPr>
        <w:t>Лис</w:t>
      </w:r>
      <w:r w:rsidRPr="009E3D4D">
        <w:rPr>
          <w:rFonts w:ascii="Times New Roman" w:hAnsi="Times New Roman" w:cs="Times New Roman"/>
          <w:sz w:val="24"/>
          <w:szCs w:val="24"/>
        </w:rPr>
        <w:t>ин, К. Ю. Методы оценки выручки и их влияние на развитие бухгалтерского учета / К. Ю. Лисин, Н. В. Ульянова // Международный бухгалтерский учет. – 2025. – Т. 28, № 4. – С. 60-80. – DOI 10.24891/ia.28.4.60. – EDN HIMUUY.</w:t>
      </w:r>
    </w:p>
    <w:p w:rsidR="00600CF1"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103EB9">
        <w:rPr>
          <w:rFonts w:ascii="Times New Roman" w:hAnsi="Times New Roman" w:cs="Times New Roman"/>
          <w:sz w:val="24"/>
          <w:szCs w:val="24"/>
        </w:rPr>
        <w:t>Кузнецова, Н. В. К вопросу о формировании отчетности о финансовых результатах в соответствии с новым стандартом / Н. В. Кузнецова, Н. А. Калугина // Вестник Академии знаний. – 2025. – № 6(71). – С. 406-411. – EDN CSXHGF.</w:t>
      </w:r>
      <w:r w:rsidR="00600CF1" w:rsidRPr="00600CF1">
        <w:rPr>
          <w:rFonts w:ascii="Times New Roman" w:hAnsi="Times New Roman" w:cs="Times New Roman"/>
          <w:sz w:val="24"/>
          <w:szCs w:val="24"/>
        </w:rPr>
        <w:t xml:space="preserve"> </w:t>
      </w:r>
    </w:p>
    <w:p w:rsidR="008156F7" w:rsidRPr="00103EB9" w:rsidRDefault="00600CF1" w:rsidP="008156F7">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641D17">
        <w:rPr>
          <w:rFonts w:ascii="Times New Roman" w:hAnsi="Times New Roman" w:cs="Times New Roman"/>
          <w:sz w:val="24"/>
          <w:szCs w:val="24"/>
        </w:rPr>
        <w:t xml:space="preserve">Кузнецова, И. В. Изменения методики учета доходов и рекомендации по переходу на применение ФСБУ 9/2025 «Доходы» / И. В. Кузнецова, Н. Н. Волкова // </w:t>
      </w:r>
      <w:r w:rsidRPr="00641D17">
        <w:rPr>
          <w:rFonts w:ascii="Times New Roman" w:hAnsi="Times New Roman" w:cs="Times New Roman"/>
          <w:sz w:val="24"/>
          <w:szCs w:val="24"/>
        </w:rPr>
        <w:lastRenderedPageBreak/>
        <w:t>Наукосфера. – 2025. – № 10-2. – С. 204-210. – DOI 10.5281/zenodo.17529276. – EDN ZARVAZ.</w:t>
      </w:r>
    </w:p>
    <w:p w:rsidR="008156F7" w:rsidRPr="00641D17"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641D17">
        <w:rPr>
          <w:rFonts w:ascii="Times New Roman" w:hAnsi="Times New Roman" w:cs="Times New Roman"/>
          <w:sz w:val="24"/>
          <w:szCs w:val="24"/>
        </w:rPr>
        <w:t xml:space="preserve">Качан, Н. А. Совершенствование порядка формирования учетной информации о доходах в соответствии с ФСБУ 9/2025 «Доходы» / Н. А. Качан, А. Б. Тресницкий, А. А. Самойлов // Вестник Белгородского университета кооперации, экономики и права. – 2025. – № 5(114). – С. 160-169. – </w:t>
      </w:r>
      <w:r w:rsidRPr="00641D17">
        <w:rPr>
          <w:rFonts w:ascii="Times New Roman" w:hAnsi="Times New Roman" w:cs="Times New Roman"/>
          <w:sz w:val="24"/>
          <w:szCs w:val="24"/>
          <w:lang w:val="en-US"/>
        </w:rPr>
        <w:t>DOI</w:t>
      </w:r>
      <w:r w:rsidRPr="00641D17">
        <w:rPr>
          <w:rFonts w:ascii="Times New Roman" w:hAnsi="Times New Roman" w:cs="Times New Roman"/>
          <w:sz w:val="24"/>
          <w:szCs w:val="24"/>
        </w:rPr>
        <w:t xml:space="preserve"> 10.21295/2223-5639-2025-5-160-169. – </w:t>
      </w:r>
      <w:r w:rsidRPr="00641D17">
        <w:rPr>
          <w:rFonts w:ascii="Times New Roman" w:hAnsi="Times New Roman" w:cs="Times New Roman"/>
          <w:sz w:val="24"/>
          <w:szCs w:val="24"/>
          <w:lang w:val="en-US"/>
        </w:rPr>
        <w:t>EDN</w:t>
      </w:r>
      <w:r w:rsidRPr="00641D17">
        <w:rPr>
          <w:rFonts w:ascii="Times New Roman" w:hAnsi="Times New Roman" w:cs="Times New Roman"/>
          <w:sz w:val="24"/>
          <w:szCs w:val="24"/>
        </w:rPr>
        <w:t xml:space="preserve"> </w:t>
      </w:r>
      <w:r w:rsidRPr="00641D17">
        <w:rPr>
          <w:rFonts w:ascii="Times New Roman" w:hAnsi="Times New Roman" w:cs="Times New Roman"/>
          <w:sz w:val="24"/>
          <w:szCs w:val="24"/>
          <w:lang w:val="en-US"/>
        </w:rPr>
        <w:t>YCWZKZ</w:t>
      </w:r>
      <w:r w:rsidRPr="00641D17">
        <w:rPr>
          <w:rFonts w:ascii="Times New Roman" w:hAnsi="Times New Roman" w:cs="Times New Roman"/>
          <w:sz w:val="24"/>
          <w:szCs w:val="24"/>
        </w:rPr>
        <w:t>.</w:t>
      </w:r>
    </w:p>
    <w:p w:rsidR="008156F7" w:rsidRPr="00641D17"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641D17">
        <w:rPr>
          <w:rFonts w:ascii="Times New Roman" w:hAnsi="Times New Roman" w:cs="Times New Roman"/>
          <w:sz w:val="24"/>
          <w:szCs w:val="24"/>
        </w:rPr>
        <w:t xml:space="preserve">Плотникова, О. В. Анализ отдельных положений ФСБУ 9/2025 </w:t>
      </w:r>
      <w:r>
        <w:rPr>
          <w:rFonts w:ascii="Times New Roman" w:hAnsi="Times New Roman" w:cs="Times New Roman"/>
          <w:sz w:val="24"/>
          <w:szCs w:val="24"/>
        </w:rPr>
        <w:t>«</w:t>
      </w:r>
      <w:r w:rsidRPr="00641D17">
        <w:rPr>
          <w:rFonts w:ascii="Times New Roman" w:hAnsi="Times New Roman" w:cs="Times New Roman"/>
          <w:sz w:val="24"/>
          <w:szCs w:val="24"/>
        </w:rPr>
        <w:t>Доходы</w:t>
      </w:r>
      <w:r>
        <w:rPr>
          <w:rFonts w:ascii="Times New Roman" w:hAnsi="Times New Roman" w:cs="Times New Roman"/>
          <w:sz w:val="24"/>
          <w:szCs w:val="24"/>
        </w:rPr>
        <w:t>»</w:t>
      </w:r>
      <w:r w:rsidRPr="00641D17">
        <w:rPr>
          <w:rFonts w:ascii="Times New Roman" w:hAnsi="Times New Roman" w:cs="Times New Roman"/>
          <w:sz w:val="24"/>
          <w:szCs w:val="24"/>
        </w:rPr>
        <w:t xml:space="preserve"> / О. В. Плотникова // РИСК: Ресурсы, Информация, Снабжение, Конкуренция. – 2025. – № 4. – С. 278-284. – DOI 10.56584/1560-8816-2025-4-278-284. – EDN NXBYQG.</w:t>
      </w:r>
    </w:p>
    <w:p w:rsidR="008156F7" w:rsidRPr="009E3D4D"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641D17">
        <w:rPr>
          <w:rFonts w:ascii="Times New Roman" w:hAnsi="Times New Roman" w:cs="Times New Roman"/>
          <w:sz w:val="24"/>
          <w:szCs w:val="24"/>
        </w:rPr>
        <w:t xml:space="preserve">Рыбаченко Э. В., Аликова А. А., Ермакова М. Н. Новации IFRS 18 в отчете о прибылях и убытках: особенности для российского учета // Экономика и управление: проблемы, решения. 2025. № 12. Т. 9. С. 10–15; </w:t>
      </w:r>
      <w:hyperlink r:id="rId11" w:history="1">
        <w:r w:rsidRPr="00641D17">
          <w:rPr>
            <w:rStyle w:val="a3"/>
            <w:rFonts w:ascii="Times New Roman" w:hAnsi="Times New Roman" w:cs="Times New Roman"/>
            <w:sz w:val="24"/>
            <w:szCs w:val="24"/>
          </w:rPr>
          <w:t>https://doi.org/10.36871/ek.up.p.r.2025.12.09.002</w:t>
        </w:r>
      </w:hyperlink>
    </w:p>
    <w:p w:rsidR="008156F7"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7C0FAF">
        <w:rPr>
          <w:rFonts w:ascii="Times New Roman" w:hAnsi="Times New Roman" w:cs="Times New Roman"/>
          <w:sz w:val="24"/>
          <w:szCs w:val="24"/>
        </w:rPr>
        <w:t>Дружиловская, Т. Ю. Формирование Отчета о финансовых результатах: прошлое, настоящее, будущее / Т. Ю. Дружиловская // Международный бухгалтерский учет. – 2025. – Т. 28, № 6. – С. 42-61. – DOI 10.24891/mgrulx. – EDN MGRULX.</w:t>
      </w:r>
    </w:p>
    <w:p w:rsidR="008156F7"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641D17">
        <w:rPr>
          <w:rFonts w:ascii="Times New Roman" w:hAnsi="Times New Roman" w:cs="Times New Roman"/>
          <w:sz w:val="24"/>
          <w:szCs w:val="24"/>
        </w:rPr>
        <w:t>Алляева Т. В., Дорджиева Т. Э., Мучкаев М. С., Тугульчиев Б. Б., Бимбеева А. В. Бухгалтерский учет доходов: анализ положений проекта ФСБУ «Доходы» // Экономика и управление: проблемы, решения. 2023. № 5. Т. 3. С</w:t>
      </w:r>
      <w:r w:rsidRPr="00103EB9">
        <w:rPr>
          <w:rFonts w:ascii="Times New Roman" w:hAnsi="Times New Roman" w:cs="Times New Roman"/>
          <w:sz w:val="24"/>
          <w:szCs w:val="24"/>
        </w:rPr>
        <w:t xml:space="preserve">. 164–169; </w:t>
      </w:r>
      <w:hyperlink r:id="rId12" w:history="1">
        <w:r w:rsidRPr="00641D17">
          <w:rPr>
            <w:rStyle w:val="a3"/>
            <w:rFonts w:ascii="Times New Roman" w:hAnsi="Times New Roman" w:cs="Times New Roman"/>
            <w:sz w:val="24"/>
            <w:szCs w:val="24"/>
            <w:lang w:val="en-US"/>
          </w:rPr>
          <w:t>https</w:t>
        </w:r>
        <w:r w:rsidRPr="00103EB9">
          <w:rPr>
            <w:rStyle w:val="a3"/>
            <w:rFonts w:ascii="Times New Roman" w:hAnsi="Times New Roman" w:cs="Times New Roman"/>
            <w:sz w:val="24"/>
            <w:szCs w:val="24"/>
          </w:rPr>
          <w:t>://</w:t>
        </w:r>
        <w:r w:rsidRPr="00641D17">
          <w:rPr>
            <w:rStyle w:val="a3"/>
            <w:rFonts w:ascii="Times New Roman" w:hAnsi="Times New Roman" w:cs="Times New Roman"/>
            <w:sz w:val="24"/>
            <w:szCs w:val="24"/>
            <w:lang w:val="en-US"/>
          </w:rPr>
          <w:t>doi</w:t>
        </w:r>
        <w:r w:rsidRPr="00103EB9">
          <w:rPr>
            <w:rStyle w:val="a3"/>
            <w:rFonts w:ascii="Times New Roman" w:hAnsi="Times New Roman" w:cs="Times New Roman"/>
            <w:sz w:val="24"/>
            <w:szCs w:val="24"/>
          </w:rPr>
          <w:t>.</w:t>
        </w:r>
        <w:r w:rsidRPr="00641D17">
          <w:rPr>
            <w:rStyle w:val="a3"/>
            <w:rFonts w:ascii="Times New Roman" w:hAnsi="Times New Roman" w:cs="Times New Roman"/>
            <w:sz w:val="24"/>
            <w:szCs w:val="24"/>
            <w:lang w:val="en-US"/>
          </w:rPr>
          <w:t>org</w:t>
        </w:r>
        <w:r w:rsidRPr="00103EB9">
          <w:rPr>
            <w:rStyle w:val="a3"/>
            <w:rFonts w:ascii="Times New Roman" w:hAnsi="Times New Roman" w:cs="Times New Roman"/>
            <w:sz w:val="24"/>
            <w:szCs w:val="24"/>
          </w:rPr>
          <w:t>/10.36871/</w:t>
        </w:r>
        <w:r w:rsidRPr="00641D17">
          <w:rPr>
            <w:rStyle w:val="a3"/>
            <w:rFonts w:ascii="Times New Roman" w:hAnsi="Times New Roman" w:cs="Times New Roman"/>
            <w:sz w:val="24"/>
            <w:szCs w:val="24"/>
            <w:lang w:val="en-US"/>
          </w:rPr>
          <w:t>ek</w:t>
        </w:r>
        <w:r w:rsidRPr="00103EB9">
          <w:rPr>
            <w:rStyle w:val="a3"/>
            <w:rFonts w:ascii="Times New Roman" w:hAnsi="Times New Roman" w:cs="Times New Roman"/>
            <w:sz w:val="24"/>
            <w:szCs w:val="24"/>
          </w:rPr>
          <w:t>.</w:t>
        </w:r>
        <w:r w:rsidRPr="00641D17">
          <w:rPr>
            <w:rStyle w:val="a3"/>
            <w:rFonts w:ascii="Times New Roman" w:hAnsi="Times New Roman" w:cs="Times New Roman"/>
            <w:sz w:val="24"/>
            <w:szCs w:val="24"/>
            <w:lang w:val="en-US"/>
          </w:rPr>
          <w:t>up</w:t>
        </w:r>
        <w:r w:rsidRPr="00103EB9">
          <w:rPr>
            <w:rStyle w:val="a3"/>
            <w:rFonts w:ascii="Times New Roman" w:hAnsi="Times New Roman" w:cs="Times New Roman"/>
            <w:sz w:val="24"/>
            <w:szCs w:val="24"/>
          </w:rPr>
          <w:t>.</w:t>
        </w:r>
        <w:r w:rsidRPr="00641D17">
          <w:rPr>
            <w:rStyle w:val="a3"/>
            <w:rFonts w:ascii="Times New Roman" w:hAnsi="Times New Roman" w:cs="Times New Roman"/>
            <w:sz w:val="24"/>
            <w:szCs w:val="24"/>
            <w:lang w:val="en-US"/>
          </w:rPr>
          <w:t>p</w:t>
        </w:r>
        <w:r w:rsidRPr="00103EB9">
          <w:rPr>
            <w:rStyle w:val="a3"/>
            <w:rFonts w:ascii="Times New Roman" w:hAnsi="Times New Roman" w:cs="Times New Roman"/>
            <w:sz w:val="24"/>
            <w:szCs w:val="24"/>
          </w:rPr>
          <w:t>.</w:t>
        </w:r>
        <w:r w:rsidRPr="00641D17">
          <w:rPr>
            <w:rStyle w:val="a3"/>
            <w:rFonts w:ascii="Times New Roman" w:hAnsi="Times New Roman" w:cs="Times New Roman"/>
            <w:sz w:val="24"/>
            <w:szCs w:val="24"/>
            <w:lang w:val="en-US"/>
          </w:rPr>
          <w:t>r</w:t>
        </w:r>
        <w:r w:rsidRPr="00103EB9">
          <w:rPr>
            <w:rStyle w:val="a3"/>
            <w:rFonts w:ascii="Times New Roman" w:hAnsi="Times New Roman" w:cs="Times New Roman"/>
            <w:sz w:val="24"/>
            <w:szCs w:val="24"/>
          </w:rPr>
          <w:t>.2023.05.04.021/</w:t>
        </w:r>
      </w:hyperlink>
    </w:p>
    <w:p w:rsidR="008156F7"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641D17">
        <w:rPr>
          <w:rFonts w:ascii="Times New Roman" w:hAnsi="Times New Roman" w:cs="Times New Roman"/>
          <w:sz w:val="24"/>
          <w:szCs w:val="24"/>
        </w:rPr>
        <w:t>Сулейманов, Н. С. Сравнительный анализ основных положений проекта ФСБУ «Доходы», ПБУ 2/2008 «Учет договоров строительного подряда», МСФО (IFRS) 15 «Выручка по договорам с покупателями» и рекомендации по совершенствованию проекта стандарта / Н. С. Сулейманов // Учет. Анализ. Аудит. – 2024. – Т. 11, № 4. – С. 60-72. – DOI 10.26794/2408-9303-2024-11-4-60-72. – EDN GHNKEE.</w:t>
      </w:r>
    </w:p>
    <w:p w:rsidR="008156F7" w:rsidRPr="00103EB9"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103EB9">
        <w:rPr>
          <w:rFonts w:ascii="Times New Roman" w:hAnsi="Times New Roman" w:cs="Times New Roman"/>
          <w:sz w:val="24"/>
          <w:szCs w:val="24"/>
        </w:rPr>
        <w:t>Дружиловская Э.С. Развитие правил составления отчета о финансовых результатах коммерческих и некоммерческих организаций в РСБУ и их соотношение с подходами МСФО // Бухгалтерский учет в бюджетных и некоммерческих организациях. 2020. № 6. С. 2 - 11.</w:t>
      </w:r>
    </w:p>
    <w:p w:rsidR="008156F7"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lang w:val="en-US"/>
        </w:rPr>
      </w:pPr>
      <w:r w:rsidRPr="00784E88">
        <w:rPr>
          <w:rFonts w:ascii="Times New Roman" w:hAnsi="Times New Roman" w:cs="Times New Roman"/>
          <w:sz w:val="24"/>
          <w:szCs w:val="24"/>
        </w:rPr>
        <w:lastRenderedPageBreak/>
        <w:t xml:space="preserve">Кесян С.В., Кузнецова Н.В., Чубарева А.В., Ананьева М.В. Отчет о финансовых результатах: сопоставление российских и международных требований // Естественно-гуманитарные исследования. </w:t>
      </w:r>
      <w:r w:rsidRPr="00784E88">
        <w:rPr>
          <w:rFonts w:ascii="Times New Roman" w:hAnsi="Times New Roman" w:cs="Times New Roman"/>
          <w:sz w:val="24"/>
          <w:szCs w:val="24"/>
          <w:lang w:val="en-US"/>
        </w:rPr>
        <w:t xml:space="preserve">2022. № 39. </w:t>
      </w:r>
      <w:r w:rsidRPr="00784E88">
        <w:rPr>
          <w:rFonts w:ascii="Times New Roman" w:hAnsi="Times New Roman" w:cs="Times New Roman"/>
          <w:sz w:val="24"/>
          <w:szCs w:val="24"/>
        </w:rPr>
        <w:t>С</w:t>
      </w:r>
      <w:r w:rsidRPr="00784E88">
        <w:rPr>
          <w:rFonts w:ascii="Times New Roman" w:hAnsi="Times New Roman" w:cs="Times New Roman"/>
          <w:sz w:val="24"/>
          <w:szCs w:val="24"/>
          <w:lang w:val="en-US"/>
        </w:rPr>
        <w:t xml:space="preserve">. 413 - 419. URL: </w:t>
      </w:r>
      <w:hyperlink r:id="rId13" w:history="1">
        <w:r w:rsidRPr="007659CB">
          <w:rPr>
            <w:rStyle w:val="a3"/>
            <w:rFonts w:ascii="Times New Roman" w:hAnsi="Times New Roman" w:cs="Times New Roman"/>
            <w:sz w:val="24"/>
            <w:szCs w:val="24"/>
            <w:lang w:val="en-US"/>
          </w:rPr>
          <w:t>https://cyberleninka.ru/article/n/otchet-o-finansovyh-rezultatah-sopostavlenie-rossiyskih-i-mezhdunarodnyh-trebovaniy</w:t>
        </w:r>
      </w:hyperlink>
      <w:r w:rsidRPr="00784E88">
        <w:rPr>
          <w:rFonts w:ascii="Times New Roman" w:hAnsi="Times New Roman" w:cs="Times New Roman"/>
          <w:sz w:val="24"/>
          <w:szCs w:val="24"/>
          <w:lang w:val="en-US"/>
        </w:rPr>
        <w:t>.</w:t>
      </w:r>
    </w:p>
    <w:p w:rsidR="008156F7" w:rsidRPr="00192946"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192946">
        <w:rPr>
          <w:rFonts w:ascii="Times New Roman" w:hAnsi="Times New Roman" w:cs="Times New Roman"/>
          <w:sz w:val="24"/>
          <w:szCs w:val="24"/>
        </w:rPr>
        <w:t>Особенности формирования и аналитические возможности отчета о финансовых результатах деятельности организаций государственного и коммерческого секторов / В. Н. Сердюк, Т. А. Пожидаева, Л. С. Коробейникова, Ю. И. Бахтурина // Международный бухгалтерский учет. – 2024. – Т. 27, № 2(512). – С. 140-156. – DOI 10.24891/ia.27.2.140. – EDN BCSFVK.</w:t>
      </w:r>
    </w:p>
    <w:p w:rsidR="008156F7" w:rsidRPr="00446CA8" w:rsidRDefault="008156F7" w:rsidP="008156F7">
      <w:pPr>
        <w:pStyle w:val="a4"/>
        <w:numPr>
          <w:ilvl w:val="0"/>
          <w:numId w:val="1"/>
        </w:numPr>
        <w:spacing w:after="0" w:line="360" w:lineRule="auto"/>
        <w:ind w:left="0" w:firstLine="0"/>
        <w:contextualSpacing w:val="0"/>
        <w:jc w:val="both"/>
        <w:rPr>
          <w:rFonts w:ascii="Times New Roman" w:hAnsi="Times New Roman" w:cs="Times New Roman"/>
          <w:sz w:val="24"/>
          <w:szCs w:val="24"/>
          <w:lang w:val="en-US"/>
        </w:rPr>
      </w:pPr>
      <w:r w:rsidRPr="00121D2A">
        <w:rPr>
          <w:rFonts w:ascii="Times New Roman" w:hAnsi="Times New Roman" w:cs="Times New Roman"/>
          <w:sz w:val="24"/>
          <w:szCs w:val="24"/>
          <w:lang w:val="en-US"/>
        </w:rPr>
        <w:t>De Souza P.V.S., Goncalves R.S., Silva C.A.T. Impact of IFRS 15 on the quality of accruals and earnings management of Brazilian publicly held companies. Revista Brasileira de Gestao de Negocios, 2022, vol. 24, no. 4, pp. 675 - 691. DOI: 10.7819/rbgn.v24i4.4197.</w:t>
      </w:r>
    </w:p>
    <w:p w:rsidR="008156F7" w:rsidRPr="009E3D4D" w:rsidRDefault="008156F7" w:rsidP="007F52B8">
      <w:pPr>
        <w:pStyle w:val="a4"/>
        <w:numPr>
          <w:ilvl w:val="0"/>
          <w:numId w:val="1"/>
        </w:numPr>
        <w:spacing w:after="0" w:line="360" w:lineRule="auto"/>
        <w:ind w:left="0" w:firstLine="0"/>
        <w:contextualSpacing w:val="0"/>
        <w:jc w:val="both"/>
        <w:rPr>
          <w:rFonts w:ascii="Times New Roman" w:hAnsi="Times New Roman" w:cs="Times New Roman"/>
          <w:sz w:val="24"/>
          <w:szCs w:val="24"/>
        </w:rPr>
      </w:pPr>
      <w:r w:rsidRPr="00121D2A">
        <w:rPr>
          <w:rFonts w:ascii="Times New Roman" w:hAnsi="Times New Roman" w:cs="Times New Roman"/>
          <w:sz w:val="24"/>
          <w:szCs w:val="24"/>
          <w:lang w:val="en-US"/>
        </w:rPr>
        <w:t>Napier C.J., Stadler C. The real effects of a new accounting standard: The case of IFRS 15 - Revenue from Contracts with Customers. Accounting and Business Research, 2020, vol. 50, iss. 5, pp. 474 - 503. DOI: 10.1080/00014788.2020.1770933.</w:t>
      </w:r>
    </w:p>
    <w:p w:rsidR="00882F5B" w:rsidRPr="007F52B8" w:rsidRDefault="007F52B8" w:rsidP="007F52B8">
      <w:pPr>
        <w:pStyle w:val="a4"/>
        <w:numPr>
          <w:ilvl w:val="0"/>
          <w:numId w:val="1"/>
        </w:numPr>
        <w:spacing w:after="0" w:line="360" w:lineRule="auto"/>
        <w:ind w:left="0" w:firstLine="0"/>
        <w:jc w:val="both"/>
        <w:rPr>
          <w:rFonts w:ascii="Times New Roman" w:hAnsi="Times New Roman" w:cs="Times New Roman"/>
          <w:sz w:val="24"/>
          <w:szCs w:val="24"/>
        </w:rPr>
      </w:pPr>
      <w:r w:rsidRPr="000F5500">
        <w:rPr>
          <w:rFonts w:ascii="Times New Roman" w:hAnsi="Times New Roman" w:cs="Times New Roman"/>
          <w:sz w:val="24"/>
          <w:szCs w:val="24"/>
        </w:rPr>
        <w:t xml:space="preserve">И. А. Бабалыкова, Н. Н. Ананко, А. Д. Вершинина </w:t>
      </w:r>
      <w:r>
        <w:rPr>
          <w:rFonts w:ascii="Times New Roman" w:hAnsi="Times New Roman" w:cs="Times New Roman"/>
          <w:sz w:val="24"/>
          <w:szCs w:val="24"/>
        </w:rPr>
        <w:t xml:space="preserve">Содержание и аналитическое использование отчета о финансовых результатах </w:t>
      </w:r>
      <w:r w:rsidRPr="000F5500">
        <w:rPr>
          <w:rFonts w:ascii="Times New Roman" w:hAnsi="Times New Roman" w:cs="Times New Roman"/>
          <w:sz w:val="24"/>
          <w:szCs w:val="24"/>
        </w:rPr>
        <w:t xml:space="preserve">// ЕГИ. 2024. №4 (54). URL: https://cyberleninka.ru/article/n/soderzhanie-i-analiticheskoe-ispolzovanie-otcheta-o-finansovyh-rezultatah (дата обращения: </w:t>
      </w:r>
      <w:r>
        <w:rPr>
          <w:rFonts w:ascii="Times New Roman" w:hAnsi="Times New Roman" w:cs="Times New Roman"/>
          <w:sz w:val="24"/>
          <w:szCs w:val="24"/>
        </w:rPr>
        <w:t>20</w:t>
      </w:r>
      <w:r w:rsidRPr="000F5500">
        <w:rPr>
          <w:rFonts w:ascii="Times New Roman" w:hAnsi="Times New Roman" w:cs="Times New Roman"/>
          <w:sz w:val="24"/>
          <w:szCs w:val="24"/>
        </w:rPr>
        <w:t>.0</w:t>
      </w:r>
      <w:r>
        <w:rPr>
          <w:rFonts w:ascii="Times New Roman" w:hAnsi="Times New Roman" w:cs="Times New Roman"/>
          <w:sz w:val="24"/>
          <w:szCs w:val="24"/>
        </w:rPr>
        <w:t>2</w:t>
      </w:r>
      <w:r w:rsidRPr="000F5500">
        <w:rPr>
          <w:rFonts w:ascii="Times New Roman" w:hAnsi="Times New Roman" w:cs="Times New Roman"/>
          <w:sz w:val="24"/>
          <w:szCs w:val="24"/>
        </w:rPr>
        <w:t>.2026). EDN: EZAIYG</w:t>
      </w:r>
    </w:p>
    <w:p w:rsidR="007F52B8" w:rsidRPr="00E85757" w:rsidRDefault="007F52B8" w:rsidP="00E85757">
      <w:pPr>
        <w:pStyle w:val="a4"/>
        <w:numPr>
          <w:ilvl w:val="0"/>
          <w:numId w:val="1"/>
        </w:numPr>
        <w:tabs>
          <w:tab w:val="left" w:pos="426"/>
        </w:tabs>
        <w:spacing w:after="0" w:line="360" w:lineRule="auto"/>
        <w:ind w:left="0" w:firstLine="0"/>
        <w:jc w:val="both"/>
        <w:rPr>
          <w:rFonts w:ascii="Times New Roman" w:hAnsi="Times New Roman" w:cs="Times New Roman"/>
          <w:sz w:val="24"/>
          <w:szCs w:val="24"/>
        </w:rPr>
      </w:pPr>
      <w:r w:rsidRPr="00E85757">
        <w:rPr>
          <w:rFonts w:ascii="Times New Roman" w:hAnsi="Times New Roman" w:cs="Times New Roman"/>
          <w:sz w:val="24"/>
          <w:szCs w:val="24"/>
        </w:rPr>
        <w:t>В. В. Башкатов, З. А. Макаов, О. С. Рындина. Актуальные аспекты и порядок формирования отчета о финансовых результатах // ЕГИ. 2021. №3 (35). URL: https://cyberleninka.ru/article/n/aktualnye-aspekty-i-poryadok-formirovaniya-otcheta-o-finansovyh-rezultatah (дата обращения: 20.02.2026). DOI 10.24412/2309-4788-2021-11162</w:t>
      </w:r>
    </w:p>
    <w:p w:rsidR="00E85757" w:rsidRDefault="00E85757" w:rsidP="00E8575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18.</w:t>
      </w:r>
      <w:r w:rsidRPr="00E85757">
        <w:rPr>
          <w:rFonts w:ascii="Times New Roman" w:hAnsi="Times New Roman" w:cs="Times New Roman"/>
          <w:sz w:val="24"/>
          <w:szCs w:val="24"/>
        </w:rPr>
        <w:t>Адамайтис И.М. Отраслевые особенности управленческого анализа в торговле / И.М. Адамайтис, Ю.А. Семенюк // Вектор экономики. – 2025. – № 1. [Электронный ресурс]. – Режим доступа – URL: https://vectoreconomy.ru/images/publications/2025/1/accounting/Adamaitis_Semenyuk.pdf  (</w:t>
      </w:r>
      <w:r w:rsidR="000B51FE">
        <w:rPr>
          <w:rFonts w:ascii="Times New Roman" w:hAnsi="Times New Roman" w:cs="Times New Roman"/>
          <w:sz w:val="24"/>
          <w:szCs w:val="24"/>
        </w:rPr>
        <w:t>д</w:t>
      </w:r>
      <w:r w:rsidRPr="00E85757">
        <w:rPr>
          <w:rFonts w:ascii="Times New Roman" w:hAnsi="Times New Roman" w:cs="Times New Roman"/>
          <w:sz w:val="24"/>
          <w:szCs w:val="24"/>
        </w:rPr>
        <w:t>ата обращения 22.02.2026).</w:t>
      </w:r>
    </w:p>
    <w:p w:rsidR="006B2791" w:rsidRDefault="006B2791" w:rsidP="00E85757">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19.</w:t>
      </w:r>
      <w:r w:rsidRPr="006B2791">
        <w:rPr>
          <w:rFonts w:ascii="Times New Roman" w:hAnsi="Times New Roman" w:cs="Times New Roman"/>
          <w:sz w:val="24"/>
          <w:szCs w:val="24"/>
        </w:rPr>
        <w:t xml:space="preserve"> </w:t>
      </w:r>
      <w:r w:rsidRPr="00B235E8">
        <w:rPr>
          <w:rFonts w:ascii="Times New Roman" w:hAnsi="Times New Roman" w:cs="Times New Roman"/>
          <w:sz w:val="24"/>
          <w:szCs w:val="24"/>
        </w:rPr>
        <w:t>Матюнина М</w:t>
      </w:r>
      <w:r>
        <w:rPr>
          <w:rFonts w:ascii="Times New Roman" w:hAnsi="Times New Roman" w:cs="Times New Roman"/>
          <w:sz w:val="24"/>
          <w:szCs w:val="24"/>
        </w:rPr>
        <w:t>.</w:t>
      </w:r>
      <w:r w:rsidRPr="00B235E8">
        <w:rPr>
          <w:rFonts w:ascii="Times New Roman" w:hAnsi="Times New Roman" w:cs="Times New Roman"/>
          <w:sz w:val="24"/>
          <w:szCs w:val="24"/>
        </w:rPr>
        <w:t xml:space="preserve"> В</w:t>
      </w:r>
      <w:r>
        <w:rPr>
          <w:rFonts w:ascii="Times New Roman" w:hAnsi="Times New Roman" w:cs="Times New Roman"/>
          <w:sz w:val="24"/>
          <w:szCs w:val="24"/>
        </w:rPr>
        <w:t>.</w:t>
      </w:r>
      <w:r w:rsidRPr="00B235E8">
        <w:rPr>
          <w:rFonts w:ascii="Times New Roman" w:hAnsi="Times New Roman" w:cs="Times New Roman"/>
          <w:sz w:val="24"/>
          <w:szCs w:val="24"/>
        </w:rPr>
        <w:t>, Авраменко А</w:t>
      </w:r>
      <w:r>
        <w:rPr>
          <w:rFonts w:ascii="Times New Roman" w:hAnsi="Times New Roman" w:cs="Times New Roman"/>
          <w:sz w:val="24"/>
          <w:szCs w:val="24"/>
        </w:rPr>
        <w:t>.</w:t>
      </w:r>
      <w:r w:rsidRPr="00B235E8">
        <w:rPr>
          <w:rFonts w:ascii="Times New Roman" w:hAnsi="Times New Roman" w:cs="Times New Roman"/>
          <w:sz w:val="24"/>
          <w:szCs w:val="24"/>
        </w:rPr>
        <w:t xml:space="preserve"> А</w:t>
      </w:r>
      <w:r>
        <w:rPr>
          <w:rFonts w:ascii="Times New Roman" w:hAnsi="Times New Roman" w:cs="Times New Roman"/>
          <w:sz w:val="24"/>
          <w:szCs w:val="24"/>
        </w:rPr>
        <w:t>.</w:t>
      </w:r>
      <w:r w:rsidRPr="00B235E8">
        <w:rPr>
          <w:rFonts w:ascii="Times New Roman" w:hAnsi="Times New Roman" w:cs="Times New Roman"/>
          <w:sz w:val="24"/>
          <w:szCs w:val="24"/>
        </w:rPr>
        <w:t xml:space="preserve"> </w:t>
      </w:r>
      <w:r>
        <w:rPr>
          <w:rFonts w:ascii="Times New Roman" w:hAnsi="Times New Roman" w:cs="Times New Roman"/>
          <w:sz w:val="24"/>
          <w:szCs w:val="24"/>
        </w:rPr>
        <w:t xml:space="preserve">Методы анализа отчета о финансовых результатах </w:t>
      </w:r>
      <w:r w:rsidRPr="00B235E8">
        <w:rPr>
          <w:rFonts w:ascii="Times New Roman" w:hAnsi="Times New Roman" w:cs="Times New Roman"/>
          <w:sz w:val="24"/>
          <w:szCs w:val="24"/>
        </w:rPr>
        <w:t>// Современная научная мысль. 2023. №3. URL: https://cyberleninka.ru/article/n/metody-analiza-otcheta-o-finansovyh-rezultatah (дата обращения: 22.02.2026</w:t>
      </w:r>
      <w:r w:rsidRPr="009B6870">
        <w:rPr>
          <w:rFonts w:ascii="Times New Roman" w:hAnsi="Times New Roman" w:cs="Times New Roman"/>
          <w:sz w:val="24"/>
          <w:szCs w:val="24"/>
        </w:rPr>
        <w:t>). doi:10.24412/2308-264X-2023-3-245-251</w:t>
      </w:r>
    </w:p>
    <w:p w:rsidR="006B2791" w:rsidRPr="009B6870" w:rsidRDefault="006B2791" w:rsidP="006B2791">
      <w:pPr>
        <w:widowControl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20. </w:t>
      </w:r>
      <w:r w:rsidRPr="009B6870">
        <w:rPr>
          <w:rFonts w:ascii="Times New Roman" w:hAnsi="Times New Roman" w:cs="Times New Roman"/>
          <w:sz w:val="24"/>
          <w:szCs w:val="24"/>
        </w:rPr>
        <w:t>Зубова Л</w:t>
      </w:r>
      <w:r>
        <w:rPr>
          <w:rFonts w:ascii="Times New Roman" w:hAnsi="Times New Roman" w:cs="Times New Roman"/>
          <w:sz w:val="24"/>
          <w:szCs w:val="24"/>
        </w:rPr>
        <w:t>. В.</w:t>
      </w:r>
      <w:r w:rsidRPr="009B6870">
        <w:rPr>
          <w:rFonts w:ascii="Times New Roman" w:hAnsi="Times New Roman" w:cs="Times New Roman"/>
          <w:sz w:val="24"/>
          <w:szCs w:val="24"/>
        </w:rPr>
        <w:t>, Стапанова Т</w:t>
      </w:r>
      <w:r>
        <w:rPr>
          <w:rFonts w:ascii="Times New Roman" w:hAnsi="Times New Roman" w:cs="Times New Roman"/>
          <w:sz w:val="24"/>
          <w:szCs w:val="24"/>
        </w:rPr>
        <w:t xml:space="preserve">. </w:t>
      </w:r>
      <w:r w:rsidRPr="009B6870">
        <w:rPr>
          <w:rFonts w:ascii="Times New Roman" w:hAnsi="Times New Roman" w:cs="Times New Roman"/>
          <w:sz w:val="24"/>
          <w:szCs w:val="24"/>
        </w:rPr>
        <w:t>В</w:t>
      </w:r>
      <w:r>
        <w:rPr>
          <w:rFonts w:ascii="Times New Roman" w:hAnsi="Times New Roman" w:cs="Times New Roman"/>
          <w:sz w:val="24"/>
          <w:szCs w:val="24"/>
        </w:rPr>
        <w:t>.</w:t>
      </w:r>
      <w:r w:rsidRPr="009B6870">
        <w:rPr>
          <w:rFonts w:ascii="Times New Roman" w:hAnsi="Times New Roman" w:cs="Times New Roman"/>
          <w:sz w:val="24"/>
          <w:szCs w:val="24"/>
        </w:rPr>
        <w:t xml:space="preserve"> Методика факторного анализа рентабельности продаж торговых предприятий // Kant. 2018. №1 (26). URL: https://cyberleninka.ru/article/n/metodika-faktornogo-analiza-rentabelnosti-prodazh-torgovyh-predpriyatiy (дата обращения: 22.02.2026).</w:t>
      </w:r>
    </w:p>
    <w:p w:rsidR="006B2791" w:rsidRPr="00E85757" w:rsidRDefault="006B2791" w:rsidP="00E85757">
      <w:pPr>
        <w:spacing w:after="0" w:line="360" w:lineRule="auto"/>
        <w:jc w:val="both"/>
        <w:rPr>
          <w:rFonts w:ascii="Times New Roman" w:hAnsi="Times New Roman" w:cs="Times New Roman"/>
          <w:sz w:val="24"/>
          <w:szCs w:val="24"/>
        </w:rPr>
      </w:pPr>
    </w:p>
    <w:sectPr w:rsidR="006B2791" w:rsidRPr="00E85757" w:rsidSect="008A77C5">
      <w:headerReference w:type="default" r:id="rId14"/>
      <w:pgSz w:w="11906" w:h="16838"/>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37BDF" w:rsidRDefault="00437BDF" w:rsidP="00230D61">
      <w:pPr>
        <w:spacing w:after="0" w:line="240" w:lineRule="auto"/>
      </w:pPr>
      <w:r>
        <w:separator/>
      </w:r>
    </w:p>
  </w:endnote>
  <w:endnote w:type="continuationSeparator" w:id="0">
    <w:p w:rsidR="00437BDF" w:rsidRDefault="00437BDF" w:rsidP="00230D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onsolas">
    <w:panose1 w:val="020B0609020204030204"/>
    <w:charset w:val="CC"/>
    <w:family w:val="modern"/>
    <w:pitch w:val="fixed"/>
    <w:sig w:usb0="E00006FF" w:usb1="4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37BDF" w:rsidRDefault="00437BDF" w:rsidP="00230D61">
      <w:pPr>
        <w:spacing w:after="0" w:line="240" w:lineRule="auto"/>
      </w:pPr>
      <w:r>
        <w:separator/>
      </w:r>
    </w:p>
  </w:footnote>
  <w:footnote w:type="continuationSeparator" w:id="0">
    <w:p w:rsidR="00437BDF" w:rsidRDefault="00437BDF" w:rsidP="00230D61">
      <w:pPr>
        <w:spacing w:after="0" w:line="240" w:lineRule="auto"/>
      </w:pPr>
      <w:r>
        <w:continuationSeparator/>
      </w:r>
    </w:p>
  </w:footnote>
  <w:footnote w:id="1">
    <w:p w:rsidR="00F63425" w:rsidRDefault="00F63425">
      <w:pPr>
        <w:pStyle w:val="ae"/>
      </w:pPr>
      <w:r>
        <w:rPr>
          <w:rStyle w:val="af0"/>
        </w:rPr>
        <w:footnoteRef/>
      </w:r>
      <w:r>
        <w:t xml:space="preserve"> </w:t>
      </w:r>
      <w:r w:rsidRPr="008156F7">
        <w:t>Приказ Минфина России от 16.05.2025 № 56н «Об утверждении Федерального стандарта бухгалтерского учета ФСБУ 9/2025 «Доходы» (Зарегистрировано в Минюсте России 08.08.2025 № 83158) // СПС «КонсультантПлюс». – URL: https://www.consultant.ru/document/cons_doc_LAW_511967/(дата обращения 13.02.2026).</w:t>
      </w:r>
    </w:p>
  </w:footnote>
  <w:footnote w:id="2">
    <w:p w:rsidR="00F63425" w:rsidRDefault="00F63425">
      <w:pPr>
        <w:pStyle w:val="ae"/>
      </w:pPr>
      <w:r>
        <w:rPr>
          <w:rStyle w:val="af0"/>
        </w:rPr>
        <w:footnoteRef/>
      </w:r>
      <w:r>
        <w:t xml:space="preserve"> </w:t>
      </w:r>
      <w:r w:rsidRPr="008156F7">
        <w:t>Международный стандарт финансовой отчетности (IFRS) 15. Выручка по договорам с покупателями (введен в действие на территории Российской Федерации Приказом Минфина России от</w:t>
      </w:r>
      <w:r>
        <w:t xml:space="preserve"> </w:t>
      </w:r>
      <w:r w:rsidRPr="008156F7">
        <w:t>7.06.2016 N 98н) (ред. от 04.06.2018) // СПС «КонсультантПлюс». – URL: https://www.consultant.ru/document/cons_doc_LAW_201985/ (дата обращения 13.02.2026).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31716471"/>
      <w:docPartObj>
        <w:docPartGallery w:val="Page Numbers (Top of Page)"/>
        <w:docPartUnique/>
      </w:docPartObj>
    </w:sdtPr>
    <w:sdtEndPr/>
    <w:sdtContent>
      <w:p w:rsidR="00F63425" w:rsidRDefault="00437BDF">
        <w:pPr>
          <w:pStyle w:val="a9"/>
          <w:jc w:val="right"/>
        </w:pPr>
        <w:r>
          <w:fldChar w:fldCharType="begin"/>
        </w:r>
        <w:r>
          <w:instrText>PAGE   \* MERGEFORMAT</w:instrText>
        </w:r>
        <w:r>
          <w:fldChar w:fldCharType="separate"/>
        </w:r>
        <w:r w:rsidR="000B51FE">
          <w:rPr>
            <w:noProof/>
          </w:rPr>
          <w:t>17</w:t>
        </w:r>
        <w:r>
          <w:rPr>
            <w:noProof/>
          </w:rPr>
          <w:fldChar w:fldCharType="end"/>
        </w:r>
      </w:p>
    </w:sdtContent>
  </w:sdt>
  <w:p w:rsidR="00F63425" w:rsidRDefault="00F63425">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6876D7"/>
    <w:multiLevelType w:val="hybridMultilevel"/>
    <w:tmpl w:val="9D683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0AC4DAA"/>
    <w:multiLevelType w:val="multilevel"/>
    <w:tmpl w:val="7F16D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596"/>
    <w:rsid w:val="00002D6C"/>
    <w:rsid w:val="0002691F"/>
    <w:rsid w:val="00026C01"/>
    <w:rsid w:val="000B3CDE"/>
    <w:rsid w:val="000B51FE"/>
    <w:rsid w:val="000E774A"/>
    <w:rsid w:val="00103EB9"/>
    <w:rsid w:val="00121D2A"/>
    <w:rsid w:val="00126247"/>
    <w:rsid w:val="00142869"/>
    <w:rsid w:val="0014469C"/>
    <w:rsid w:val="00155221"/>
    <w:rsid w:val="00167BA3"/>
    <w:rsid w:val="00192946"/>
    <w:rsid w:val="001A6824"/>
    <w:rsid w:val="001E23C3"/>
    <w:rsid w:val="001F2DC2"/>
    <w:rsid w:val="00200F69"/>
    <w:rsid w:val="00230D61"/>
    <w:rsid w:val="00257B63"/>
    <w:rsid w:val="00265277"/>
    <w:rsid w:val="002C4854"/>
    <w:rsid w:val="00331610"/>
    <w:rsid w:val="00340664"/>
    <w:rsid w:val="003E6550"/>
    <w:rsid w:val="00434D87"/>
    <w:rsid w:val="0043733A"/>
    <w:rsid w:val="00437BDF"/>
    <w:rsid w:val="00446CA8"/>
    <w:rsid w:val="0044773D"/>
    <w:rsid w:val="00464BFF"/>
    <w:rsid w:val="00481C88"/>
    <w:rsid w:val="004B0EAC"/>
    <w:rsid w:val="004C11EE"/>
    <w:rsid w:val="004D02C6"/>
    <w:rsid w:val="00505030"/>
    <w:rsid w:val="0050770B"/>
    <w:rsid w:val="00515680"/>
    <w:rsid w:val="00560C1B"/>
    <w:rsid w:val="00600CF1"/>
    <w:rsid w:val="00621921"/>
    <w:rsid w:val="00634601"/>
    <w:rsid w:val="00641D17"/>
    <w:rsid w:val="006B2791"/>
    <w:rsid w:val="00732532"/>
    <w:rsid w:val="007556DB"/>
    <w:rsid w:val="00784E88"/>
    <w:rsid w:val="007C0FAF"/>
    <w:rsid w:val="007D079B"/>
    <w:rsid w:val="007F52B8"/>
    <w:rsid w:val="0080161A"/>
    <w:rsid w:val="008156F7"/>
    <w:rsid w:val="00834080"/>
    <w:rsid w:val="008537BC"/>
    <w:rsid w:val="00882F5B"/>
    <w:rsid w:val="008A77C5"/>
    <w:rsid w:val="00941288"/>
    <w:rsid w:val="00947AF3"/>
    <w:rsid w:val="00952C85"/>
    <w:rsid w:val="00957D0A"/>
    <w:rsid w:val="00991F9D"/>
    <w:rsid w:val="009D51CF"/>
    <w:rsid w:val="009E3D4D"/>
    <w:rsid w:val="00A37B54"/>
    <w:rsid w:val="00A57CC5"/>
    <w:rsid w:val="00AB408F"/>
    <w:rsid w:val="00B07CD9"/>
    <w:rsid w:val="00B37129"/>
    <w:rsid w:val="00B46EF2"/>
    <w:rsid w:val="00B47E72"/>
    <w:rsid w:val="00B67CE9"/>
    <w:rsid w:val="00B91E5D"/>
    <w:rsid w:val="00B9562C"/>
    <w:rsid w:val="00BA0D9A"/>
    <w:rsid w:val="00BD0D8F"/>
    <w:rsid w:val="00BF7B86"/>
    <w:rsid w:val="00C53289"/>
    <w:rsid w:val="00C80466"/>
    <w:rsid w:val="00C93C95"/>
    <w:rsid w:val="00D02C6A"/>
    <w:rsid w:val="00D10F0B"/>
    <w:rsid w:val="00D4244C"/>
    <w:rsid w:val="00D74559"/>
    <w:rsid w:val="00DB3BA7"/>
    <w:rsid w:val="00E85757"/>
    <w:rsid w:val="00E935C6"/>
    <w:rsid w:val="00EF398C"/>
    <w:rsid w:val="00F10BFE"/>
    <w:rsid w:val="00F12817"/>
    <w:rsid w:val="00F27F50"/>
    <w:rsid w:val="00F31596"/>
    <w:rsid w:val="00F63425"/>
    <w:rsid w:val="00F70425"/>
    <w:rsid w:val="00FA73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738CF"/>
  <w15:docId w15:val="{DBB3A97F-882D-43CE-BFA9-B9C2E81E9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3159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F31596"/>
    <w:pPr>
      <w:spacing w:after="0" w:line="240" w:lineRule="auto"/>
    </w:pPr>
    <w:rPr>
      <w:rFonts w:ascii="Consolas" w:hAnsi="Consolas"/>
      <w:sz w:val="20"/>
      <w:szCs w:val="20"/>
    </w:rPr>
  </w:style>
  <w:style w:type="character" w:customStyle="1" w:styleId="HTML0">
    <w:name w:val="Стандартный HTML Знак"/>
    <w:basedOn w:val="a0"/>
    <w:link w:val="HTML"/>
    <w:uiPriority w:val="99"/>
    <w:semiHidden/>
    <w:rsid w:val="00F31596"/>
    <w:rPr>
      <w:rFonts w:ascii="Consolas" w:hAnsi="Consolas"/>
      <w:sz w:val="20"/>
      <w:szCs w:val="20"/>
    </w:rPr>
  </w:style>
  <w:style w:type="character" w:styleId="a3">
    <w:name w:val="Hyperlink"/>
    <w:basedOn w:val="a0"/>
    <w:uiPriority w:val="99"/>
    <w:unhideWhenUsed/>
    <w:rsid w:val="000E774A"/>
    <w:rPr>
      <w:color w:val="0563C1" w:themeColor="hyperlink"/>
      <w:u w:val="single"/>
    </w:rPr>
  </w:style>
  <w:style w:type="character" w:customStyle="1" w:styleId="1">
    <w:name w:val="Неразрешенное упоминание1"/>
    <w:basedOn w:val="a0"/>
    <w:uiPriority w:val="99"/>
    <w:semiHidden/>
    <w:unhideWhenUsed/>
    <w:rsid w:val="000E774A"/>
    <w:rPr>
      <w:color w:val="605E5C"/>
      <w:shd w:val="clear" w:color="auto" w:fill="E1DFDD"/>
    </w:rPr>
  </w:style>
  <w:style w:type="paragraph" w:styleId="a4">
    <w:name w:val="List Paragraph"/>
    <w:basedOn w:val="a"/>
    <w:uiPriority w:val="34"/>
    <w:qFormat/>
    <w:rsid w:val="00641D17"/>
    <w:pPr>
      <w:ind w:left="720"/>
      <w:contextualSpacing/>
    </w:pPr>
  </w:style>
  <w:style w:type="paragraph" w:customStyle="1" w:styleId="ConsPlusNormal">
    <w:name w:val="ConsPlusNormal"/>
    <w:rsid w:val="00121D2A"/>
    <w:pPr>
      <w:widowControl w:val="0"/>
      <w:autoSpaceDE w:val="0"/>
      <w:autoSpaceDN w:val="0"/>
      <w:spacing w:after="0" w:line="240" w:lineRule="auto"/>
    </w:pPr>
    <w:rPr>
      <w:rFonts w:ascii="Times New Roman" w:eastAsia="Times New Roman" w:hAnsi="Times New Roman" w:cs="Times New Roman"/>
      <w:sz w:val="24"/>
      <w:szCs w:val="20"/>
      <w:lang w:eastAsia="ru-RU"/>
    </w:rPr>
  </w:style>
  <w:style w:type="paragraph" w:styleId="a5">
    <w:name w:val="Balloon Text"/>
    <w:basedOn w:val="a"/>
    <w:link w:val="a6"/>
    <w:uiPriority w:val="99"/>
    <w:semiHidden/>
    <w:unhideWhenUsed/>
    <w:rsid w:val="00265277"/>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265277"/>
    <w:rPr>
      <w:rFonts w:ascii="Segoe UI" w:hAnsi="Segoe UI" w:cs="Segoe UI"/>
      <w:sz w:val="18"/>
      <w:szCs w:val="18"/>
    </w:rPr>
  </w:style>
  <w:style w:type="paragraph" w:styleId="a7">
    <w:name w:val="Body Text"/>
    <w:basedOn w:val="a"/>
    <w:link w:val="a8"/>
    <w:uiPriority w:val="1"/>
    <w:qFormat/>
    <w:rsid w:val="00A57CC5"/>
    <w:pPr>
      <w:widowControl w:val="0"/>
      <w:autoSpaceDE w:val="0"/>
      <w:autoSpaceDN w:val="0"/>
      <w:spacing w:after="0" w:line="240" w:lineRule="auto"/>
      <w:ind w:left="141" w:firstLine="566"/>
      <w:jc w:val="both"/>
    </w:pPr>
    <w:rPr>
      <w:rFonts w:ascii="Times New Roman" w:eastAsia="Times New Roman" w:hAnsi="Times New Roman" w:cs="Times New Roman"/>
      <w:sz w:val="20"/>
      <w:szCs w:val="20"/>
    </w:rPr>
  </w:style>
  <w:style w:type="character" w:customStyle="1" w:styleId="a8">
    <w:name w:val="Основной текст Знак"/>
    <w:basedOn w:val="a0"/>
    <w:link w:val="a7"/>
    <w:uiPriority w:val="1"/>
    <w:rsid w:val="00A57CC5"/>
    <w:rPr>
      <w:rFonts w:ascii="Times New Roman" w:eastAsia="Times New Roman" w:hAnsi="Times New Roman" w:cs="Times New Roman"/>
      <w:sz w:val="20"/>
      <w:szCs w:val="20"/>
    </w:rPr>
  </w:style>
  <w:style w:type="paragraph" w:styleId="a9">
    <w:name w:val="header"/>
    <w:basedOn w:val="a"/>
    <w:link w:val="aa"/>
    <w:uiPriority w:val="99"/>
    <w:unhideWhenUsed/>
    <w:rsid w:val="00230D61"/>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230D61"/>
  </w:style>
  <w:style w:type="paragraph" w:styleId="ab">
    <w:name w:val="footer"/>
    <w:basedOn w:val="a"/>
    <w:link w:val="ac"/>
    <w:uiPriority w:val="99"/>
    <w:unhideWhenUsed/>
    <w:rsid w:val="00230D61"/>
    <w:pPr>
      <w:tabs>
        <w:tab w:val="center" w:pos="4677"/>
        <w:tab w:val="right" w:pos="9355"/>
      </w:tabs>
      <w:spacing w:after="0" w:line="240" w:lineRule="auto"/>
    </w:pPr>
  </w:style>
  <w:style w:type="character" w:customStyle="1" w:styleId="ac">
    <w:name w:val="Нижний колонтитул Знак"/>
    <w:basedOn w:val="a0"/>
    <w:link w:val="ab"/>
    <w:uiPriority w:val="99"/>
    <w:rsid w:val="00230D61"/>
  </w:style>
  <w:style w:type="character" w:customStyle="1" w:styleId="2">
    <w:name w:val="Неразрешенное упоминание2"/>
    <w:basedOn w:val="a0"/>
    <w:uiPriority w:val="99"/>
    <w:semiHidden/>
    <w:unhideWhenUsed/>
    <w:rsid w:val="00192946"/>
    <w:rPr>
      <w:color w:val="605E5C"/>
      <w:shd w:val="clear" w:color="auto" w:fill="E1DFDD"/>
    </w:rPr>
  </w:style>
  <w:style w:type="table" w:styleId="ad">
    <w:name w:val="Table Grid"/>
    <w:basedOn w:val="a1"/>
    <w:uiPriority w:val="39"/>
    <w:rsid w:val="00D745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footnote text"/>
    <w:basedOn w:val="a"/>
    <w:link w:val="af"/>
    <w:uiPriority w:val="99"/>
    <w:semiHidden/>
    <w:unhideWhenUsed/>
    <w:rsid w:val="008156F7"/>
    <w:pPr>
      <w:spacing w:after="0" w:line="240" w:lineRule="auto"/>
    </w:pPr>
    <w:rPr>
      <w:sz w:val="20"/>
      <w:szCs w:val="20"/>
    </w:rPr>
  </w:style>
  <w:style w:type="character" w:customStyle="1" w:styleId="af">
    <w:name w:val="Текст сноски Знак"/>
    <w:basedOn w:val="a0"/>
    <w:link w:val="ae"/>
    <w:uiPriority w:val="99"/>
    <w:semiHidden/>
    <w:rsid w:val="008156F7"/>
    <w:rPr>
      <w:sz w:val="20"/>
      <w:szCs w:val="20"/>
    </w:rPr>
  </w:style>
  <w:style w:type="character" w:styleId="af0">
    <w:name w:val="footnote reference"/>
    <w:basedOn w:val="a0"/>
    <w:uiPriority w:val="99"/>
    <w:semiHidden/>
    <w:unhideWhenUsed/>
    <w:rsid w:val="008156F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4296551">
      <w:bodyDiv w:val="1"/>
      <w:marLeft w:val="0"/>
      <w:marRight w:val="0"/>
      <w:marTop w:val="0"/>
      <w:marBottom w:val="0"/>
      <w:divBdr>
        <w:top w:val="none" w:sz="0" w:space="0" w:color="auto"/>
        <w:left w:val="none" w:sz="0" w:space="0" w:color="auto"/>
        <w:bottom w:val="none" w:sz="0" w:space="0" w:color="auto"/>
        <w:right w:val="none" w:sz="0" w:space="0" w:color="auto"/>
      </w:divBdr>
    </w:div>
    <w:div w:id="580335075">
      <w:bodyDiv w:val="1"/>
      <w:marLeft w:val="0"/>
      <w:marRight w:val="0"/>
      <w:marTop w:val="0"/>
      <w:marBottom w:val="0"/>
      <w:divBdr>
        <w:top w:val="none" w:sz="0" w:space="0" w:color="auto"/>
        <w:left w:val="none" w:sz="0" w:space="0" w:color="auto"/>
        <w:bottom w:val="none" w:sz="0" w:space="0" w:color="auto"/>
        <w:right w:val="none" w:sz="0" w:space="0" w:color="auto"/>
      </w:divBdr>
    </w:div>
    <w:div w:id="754479420">
      <w:bodyDiv w:val="1"/>
      <w:marLeft w:val="0"/>
      <w:marRight w:val="0"/>
      <w:marTop w:val="0"/>
      <w:marBottom w:val="0"/>
      <w:divBdr>
        <w:top w:val="none" w:sz="0" w:space="0" w:color="auto"/>
        <w:left w:val="none" w:sz="0" w:space="0" w:color="auto"/>
        <w:bottom w:val="none" w:sz="0" w:space="0" w:color="auto"/>
        <w:right w:val="none" w:sz="0" w:space="0" w:color="auto"/>
      </w:divBdr>
    </w:div>
    <w:div w:id="783233607">
      <w:bodyDiv w:val="1"/>
      <w:marLeft w:val="0"/>
      <w:marRight w:val="0"/>
      <w:marTop w:val="0"/>
      <w:marBottom w:val="0"/>
      <w:divBdr>
        <w:top w:val="none" w:sz="0" w:space="0" w:color="auto"/>
        <w:left w:val="none" w:sz="0" w:space="0" w:color="auto"/>
        <w:bottom w:val="none" w:sz="0" w:space="0" w:color="auto"/>
        <w:right w:val="none" w:sz="0" w:space="0" w:color="auto"/>
      </w:divBdr>
    </w:div>
    <w:div w:id="872035810">
      <w:bodyDiv w:val="1"/>
      <w:marLeft w:val="0"/>
      <w:marRight w:val="0"/>
      <w:marTop w:val="0"/>
      <w:marBottom w:val="0"/>
      <w:divBdr>
        <w:top w:val="none" w:sz="0" w:space="0" w:color="auto"/>
        <w:left w:val="none" w:sz="0" w:space="0" w:color="auto"/>
        <w:bottom w:val="none" w:sz="0" w:space="0" w:color="auto"/>
        <w:right w:val="none" w:sz="0" w:space="0" w:color="auto"/>
      </w:divBdr>
    </w:div>
    <w:div w:id="917398910">
      <w:bodyDiv w:val="1"/>
      <w:marLeft w:val="0"/>
      <w:marRight w:val="0"/>
      <w:marTop w:val="0"/>
      <w:marBottom w:val="0"/>
      <w:divBdr>
        <w:top w:val="none" w:sz="0" w:space="0" w:color="auto"/>
        <w:left w:val="none" w:sz="0" w:space="0" w:color="auto"/>
        <w:bottom w:val="none" w:sz="0" w:space="0" w:color="auto"/>
        <w:right w:val="none" w:sz="0" w:space="0" w:color="auto"/>
      </w:divBdr>
    </w:div>
    <w:div w:id="1067000132">
      <w:bodyDiv w:val="1"/>
      <w:marLeft w:val="0"/>
      <w:marRight w:val="0"/>
      <w:marTop w:val="0"/>
      <w:marBottom w:val="0"/>
      <w:divBdr>
        <w:top w:val="none" w:sz="0" w:space="0" w:color="auto"/>
        <w:left w:val="none" w:sz="0" w:space="0" w:color="auto"/>
        <w:bottom w:val="none" w:sz="0" w:space="0" w:color="auto"/>
        <w:right w:val="none" w:sz="0" w:space="0" w:color="auto"/>
      </w:divBdr>
    </w:div>
    <w:div w:id="1544827039">
      <w:bodyDiv w:val="1"/>
      <w:marLeft w:val="0"/>
      <w:marRight w:val="0"/>
      <w:marTop w:val="0"/>
      <w:marBottom w:val="0"/>
      <w:divBdr>
        <w:top w:val="none" w:sz="0" w:space="0" w:color="auto"/>
        <w:left w:val="none" w:sz="0" w:space="0" w:color="auto"/>
        <w:bottom w:val="none" w:sz="0" w:space="0" w:color="auto"/>
        <w:right w:val="none" w:sz="0" w:space="0" w:color="auto"/>
      </w:divBdr>
    </w:div>
    <w:div w:id="1606186997">
      <w:bodyDiv w:val="1"/>
      <w:marLeft w:val="0"/>
      <w:marRight w:val="0"/>
      <w:marTop w:val="0"/>
      <w:marBottom w:val="0"/>
      <w:divBdr>
        <w:top w:val="none" w:sz="0" w:space="0" w:color="auto"/>
        <w:left w:val="none" w:sz="0" w:space="0" w:color="auto"/>
        <w:bottom w:val="none" w:sz="0" w:space="0" w:color="auto"/>
        <w:right w:val="none" w:sz="0" w:space="0" w:color="auto"/>
      </w:divBdr>
    </w:div>
    <w:div w:id="1695418032">
      <w:bodyDiv w:val="1"/>
      <w:marLeft w:val="0"/>
      <w:marRight w:val="0"/>
      <w:marTop w:val="0"/>
      <w:marBottom w:val="0"/>
      <w:divBdr>
        <w:top w:val="none" w:sz="0" w:space="0" w:color="auto"/>
        <w:left w:val="none" w:sz="0" w:space="0" w:color="auto"/>
        <w:bottom w:val="none" w:sz="0" w:space="0" w:color="auto"/>
        <w:right w:val="none" w:sz="0" w:space="0" w:color="auto"/>
      </w:divBdr>
    </w:div>
    <w:div w:id="1857692845">
      <w:bodyDiv w:val="1"/>
      <w:marLeft w:val="0"/>
      <w:marRight w:val="0"/>
      <w:marTop w:val="0"/>
      <w:marBottom w:val="0"/>
      <w:divBdr>
        <w:top w:val="none" w:sz="0" w:space="0" w:color="auto"/>
        <w:left w:val="none" w:sz="0" w:space="0" w:color="auto"/>
        <w:bottom w:val="none" w:sz="0" w:space="0" w:color="auto"/>
        <w:right w:val="none" w:sz="0" w:space="0" w:color="auto"/>
      </w:divBdr>
    </w:div>
    <w:div w:id="1979334331">
      <w:bodyDiv w:val="1"/>
      <w:marLeft w:val="0"/>
      <w:marRight w:val="0"/>
      <w:marTop w:val="0"/>
      <w:marBottom w:val="0"/>
      <w:divBdr>
        <w:top w:val="none" w:sz="0" w:space="0" w:color="auto"/>
        <w:left w:val="none" w:sz="0" w:space="0" w:color="auto"/>
        <w:bottom w:val="none" w:sz="0" w:space="0" w:color="auto"/>
        <w:right w:val="none" w:sz="0" w:space="0" w:color="auto"/>
      </w:divBdr>
    </w:div>
    <w:div w:id="1993366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2-4625-5434" TargetMode="External"/><Relationship Id="rId13" Type="http://schemas.openxmlformats.org/officeDocument/2006/relationships/hyperlink" Target="https://cyberleninka.ru/article/n/otchet-o-finansovyh-rezultatah-sopostavlenie-rossiyskih-i-mezhdunarodnyh-trebovaniy"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36871/ek.up.p.r.2023.05.04.02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6871/ek.up.p.r.2025.12.09.002"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ifrs.org/content/dam/ifrs/publications/pdf-standards/english/2025/issued/part-a/ifrs-18-presentation-and-disclosure-in-financial-statements.pdf?bypass=on" TargetMode="Externa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2" Type="http://schemas.openxmlformats.org/officeDocument/2006/relationships/oleObject" Target="file:///C:\Users\1\Desktop\&#1057;&#1090;&#1072;&#1090;&#1100;&#1103;%202026%20&#1058;&#1042;\&#1041;&#1072;&#1081;&#1089;%20&#1044;&#1042;%202024.xlsx" TargetMode="External"/><Relationship Id="rId1" Type="http://schemas.openxmlformats.org/officeDocument/2006/relationships/image" Target="../media/image1.jpeg"/></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1"/>
          <c:order val="0"/>
          <c:tx>
            <c:strRef>
              <c:f>Лист2!$C$1</c:f>
              <c:strCache>
                <c:ptCount val="1"/>
                <c:pt idx="0">
                  <c:v>2024</c:v>
                </c:pt>
              </c:strCache>
            </c:strRef>
          </c:tx>
          <c:spPr>
            <a:solidFill>
              <a:schemeClr val="accent2">
                <a:lumMod val="60000"/>
                <a:lumOff val="40000"/>
              </a:schemeClr>
            </a:solidFill>
          </c:spPr>
          <c:invertIfNegative val="0"/>
          <c:dLbls>
            <c:dLbl>
              <c:idx val="0"/>
              <c:layout>
                <c:manualLayout>
                  <c:x val="-6.4412238325281881E-3"/>
                  <c:y val="-1.388888888888892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0D6-4E51-9B3A-5622D5D13BB9}"/>
                </c:ext>
              </c:extLst>
            </c:dLbl>
            <c:dLbl>
              <c:idx val="1"/>
              <c:layout>
                <c:manualLayout>
                  <c:x val="4.2941492216854475E-3"/>
                  <c:y val="-2.777814231554397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0D6-4E51-9B3A-5622D5D13BB9}"/>
                </c:ext>
              </c:extLst>
            </c:dLbl>
            <c:dLbl>
              <c:idx val="2"/>
              <c:layout>
                <c:manualLayout>
                  <c:x val="1.7176596886741818E-2"/>
                  <c:y val="-2.314814814814814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0D6-4E51-9B3A-5622D5D13BB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Лист2!$A$2:$A$4</c:f>
              <c:strCache>
                <c:ptCount val="3"/>
                <c:pt idx="0">
                  <c:v>Рентабельность продаж</c:v>
                </c:pt>
                <c:pt idx="1">
                  <c:v>Рентабельность продукции (по себестоимости)</c:v>
                </c:pt>
                <c:pt idx="2">
                  <c:v>Рентабельность продукции (по операционным расходам)</c:v>
                </c:pt>
              </c:strCache>
            </c:strRef>
          </c:cat>
          <c:val>
            <c:numRef>
              <c:f>Лист2!$C$2:$C$4</c:f>
              <c:numCache>
                <c:formatCode>0.00%</c:formatCode>
                <c:ptCount val="3"/>
                <c:pt idx="0">
                  <c:v>0.12713567910381149</c:v>
                </c:pt>
                <c:pt idx="1">
                  <c:v>0.15906467297228641</c:v>
                </c:pt>
                <c:pt idx="2">
                  <c:v>0.14565342638049264</c:v>
                </c:pt>
              </c:numCache>
            </c:numRef>
          </c:val>
          <c:extLst>
            <c:ext xmlns:c16="http://schemas.microsoft.com/office/drawing/2014/chart" uri="{C3380CC4-5D6E-409C-BE32-E72D297353CC}">
              <c16:uniqueId val="{00000003-00D6-4E51-9B3A-5622D5D13BB9}"/>
            </c:ext>
          </c:extLst>
        </c:ser>
        <c:ser>
          <c:idx val="2"/>
          <c:order val="1"/>
          <c:tx>
            <c:strRef>
              <c:f>Лист2!$D$1</c:f>
              <c:strCache>
                <c:ptCount val="1"/>
                <c:pt idx="0">
                  <c:v>2024 (после корр-ки)</c:v>
                </c:pt>
              </c:strCache>
            </c:strRef>
          </c:tx>
          <c:spPr>
            <a:blipFill>
              <a:blip xmlns:r="http://schemas.openxmlformats.org/officeDocument/2006/relationships" r:embed="rId1"/>
              <a:tile tx="0" ty="0" sx="100000" sy="100000" flip="none" algn="tl"/>
            </a:blipFill>
          </c:spPr>
          <c:invertIfNegative val="0"/>
          <c:dLbls>
            <c:dLbl>
              <c:idx val="0"/>
              <c:layout>
                <c:manualLayout>
                  <c:x val="3.2206119162640913E-2"/>
                  <c:y val="-1.388888888888892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00D6-4E51-9B3A-5622D5D13BB9}"/>
                </c:ext>
              </c:extLst>
            </c:dLbl>
            <c:dLbl>
              <c:idx val="1"/>
              <c:layout>
                <c:manualLayout>
                  <c:x val="4.2941492216854477E-2"/>
                  <c:y val="-3.70370370370370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00D6-4E51-9B3A-5622D5D13BB9}"/>
                </c:ext>
              </c:extLst>
            </c:dLbl>
            <c:dLbl>
              <c:idx val="2"/>
              <c:layout>
                <c:manualLayout>
                  <c:x val="4.5088566827697338E-2"/>
                  <c:y val="-3.240740740740748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00D6-4E51-9B3A-5622D5D13BB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Лист2!$A$2:$A$4</c:f>
              <c:strCache>
                <c:ptCount val="3"/>
                <c:pt idx="0">
                  <c:v>Рентабельность продаж</c:v>
                </c:pt>
                <c:pt idx="1">
                  <c:v>Рентабельность продукции (по себестоимости)</c:v>
                </c:pt>
                <c:pt idx="2">
                  <c:v>Рентабельность продукции (по операционным расходам)</c:v>
                </c:pt>
              </c:strCache>
            </c:strRef>
          </c:cat>
          <c:val>
            <c:numRef>
              <c:f>Лист2!$D$2:$D$4</c:f>
              <c:numCache>
                <c:formatCode>0.00%</c:formatCode>
                <c:ptCount val="3"/>
                <c:pt idx="0">
                  <c:v>0.12467788406850244</c:v>
                </c:pt>
                <c:pt idx="1">
                  <c:v>0.15574664437075103</c:v>
                </c:pt>
                <c:pt idx="2">
                  <c:v>0.14243657483259536</c:v>
                </c:pt>
              </c:numCache>
            </c:numRef>
          </c:val>
          <c:extLst>
            <c:ext xmlns:c16="http://schemas.microsoft.com/office/drawing/2014/chart" uri="{C3380CC4-5D6E-409C-BE32-E72D297353CC}">
              <c16:uniqueId val="{00000007-00D6-4E51-9B3A-5622D5D13BB9}"/>
            </c:ext>
          </c:extLst>
        </c:ser>
        <c:dLbls>
          <c:showLegendKey val="0"/>
          <c:showVal val="0"/>
          <c:showCatName val="0"/>
          <c:showSerName val="0"/>
          <c:showPercent val="0"/>
          <c:showBubbleSize val="0"/>
        </c:dLbls>
        <c:gapWidth val="150"/>
        <c:shape val="box"/>
        <c:axId val="120889728"/>
        <c:axId val="120891264"/>
        <c:axId val="0"/>
      </c:bar3DChart>
      <c:catAx>
        <c:axId val="120889728"/>
        <c:scaling>
          <c:orientation val="minMax"/>
        </c:scaling>
        <c:delete val="0"/>
        <c:axPos val="b"/>
        <c:numFmt formatCode="General" sourceLinked="0"/>
        <c:majorTickMark val="out"/>
        <c:minorTickMark val="none"/>
        <c:tickLblPos val="nextTo"/>
        <c:txPr>
          <a:bodyPr/>
          <a:lstStyle/>
          <a:p>
            <a:pPr>
              <a:defRPr sz="1000" baseline="0">
                <a:latin typeface="Times New Roman" pitchFamily="18" charset="0"/>
              </a:defRPr>
            </a:pPr>
            <a:endParaRPr lang="ru-RU"/>
          </a:p>
        </c:txPr>
        <c:crossAx val="120891264"/>
        <c:crosses val="autoZero"/>
        <c:auto val="1"/>
        <c:lblAlgn val="ctr"/>
        <c:lblOffset val="100"/>
        <c:noMultiLvlLbl val="0"/>
      </c:catAx>
      <c:valAx>
        <c:axId val="120891264"/>
        <c:scaling>
          <c:orientation val="minMax"/>
        </c:scaling>
        <c:delete val="0"/>
        <c:axPos val="l"/>
        <c:majorGridlines/>
        <c:numFmt formatCode="0.00%" sourceLinked="1"/>
        <c:majorTickMark val="out"/>
        <c:minorTickMark val="none"/>
        <c:tickLblPos val="nextTo"/>
        <c:crossAx val="120889728"/>
        <c:crosses val="autoZero"/>
        <c:crossBetween val="between"/>
      </c:valAx>
    </c:plotArea>
    <c:legend>
      <c:legendPos val="r"/>
      <c:layout>
        <c:manualLayout>
          <c:xMode val="edge"/>
          <c:yMode val="edge"/>
          <c:x val="0.79042337761858739"/>
          <c:y val="6.4491469816273128E-2"/>
          <c:w val="0.17451435681335004"/>
          <c:h val="0.76600648448355846"/>
        </c:manualLayout>
      </c:layout>
      <c:overlay val="0"/>
      <c:txPr>
        <a:bodyPr/>
        <a:lstStyle/>
        <a:p>
          <a:pPr>
            <a:defRPr sz="1000" baseline="0">
              <a:latin typeface="Times New Roman" pitchFamily="18" charset="0"/>
            </a:defRPr>
          </a:pPr>
          <a:endParaRPr lang="ru-RU"/>
        </a:p>
      </c:txPr>
    </c:legend>
    <c:plotVisOnly val="1"/>
    <c:dispBlanksAs val="gap"/>
    <c:showDLblsOverMax val="0"/>
  </c:chart>
  <c:spPr>
    <a:ln>
      <a:noFill/>
    </a:ln>
  </c:sp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391FA4-A7FA-43CF-91C4-3885A5A31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19</Pages>
  <Words>4752</Words>
  <Characters>32083</Characters>
  <Application>Microsoft Office Word</Application>
  <DocSecurity>0</DocSecurity>
  <Lines>844</Lines>
  <Paragraphs>443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 Бубновская</dc:creator>
  <cp:lastModifiedBy>Татьяна Бубновская</cp:lastModifiedBy>
  <cp:revision>3</cp:revision>
  <dcterms:created xsi:type="dcterms:W3CDTF">2026-03-23T08:41:00Z</dcterms:created>
  <dcterms:modified xsi:type="dcterms:W3CDTF">2026-03-23T08:42:00Z</dcterms:modified>
</cp:coreProperties>
</file>