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DD9" w:rsidRPr="00976626" w:rsidRDefault="00F27DD9" w:rsidP="00596E64">
      <w:pPr>
        <w:spacing w:after="0" w:line="240" w:lineRule="auto"/>
        <w:ind w:left="1134"/>
        <w:jc w:val="right"/>
        <w:rPr>
          <w:rFonts w:ascii="Times New Roman" w:hAnsi="Times New Roman"/>
          <w:sz w:val="28"/>
          <w:szCs w:val="28"/>
        </w:rPr>
      </w:pPr>
      <w:bookmarkStart w:id="0" w:name="_GoBack"/>
      <w:bookmarkEnd w:id="0"/>
      <w:r w:rsidRPr="00976626">
        <w:rPr>
          <w:rFonts w:ascii="Times New Roman" w:hAnsi="Times New Roman"/>
          <w:sz w:val="28"/>
          <w:szCs w:val="28"/>
        </w:rPr>
        <w:t>Алексей Михайлович Сорокин</w:t>
      </w:r>
    </w:p>
    <w:p w:rsidR="00F27DD9" w:rsidRPr="00976626" w:rsidRDefault="00F27DD9" w:rsidP="00596E64">
      <w:pPr>
        <w:spacing w:after="0" w:line="240" w:lineRule="auto"/>
        <w:ind w:left="1134"/>
        <w:jc w:val="right"/>
        <w:rPr>
          <w:rFonts w:ascii="Times New Roman" w:hAnsi="Times New Roman"/>
          <w:sz w:val="28"/>
          <w:szCs w:val="28"/>
        </w:rPr>
      </w:pPr>
      <w:r w:rsidRPr="00976626">
        <w:rPr>
          <w:rFonts w:ascii="Times New Roman" w:hAnsi="Times New Roman"/>
          <w:sz w:val="28"/>
          <w:szCs w:val="28"/>
        </w:rPr>
        <w:t>канд. экон. наук, старший преподаватель кафедры Таможенного дела Российского университета дружбы народов</w:t>
      </w:r>
    </w:p>
    <w:p w:rsidR="00F27DD9" w:rsidRPr="00976626" w:rsidRDefault="00F27DD9" w:rsidP="00596E64">
      <w:pPr>
        <w:spacing w:after="0" w:line="240" w:lineRule="auto"/>
        <w:ind w:left="1134"/>
        <w:jc w:val="right"/>
        <w:rPr>
          <w:rFonts w:ascii="Times New Roman" w:hAnsi="Times New Roman"/>
          <w:sz w:val="28"/>
          <w:szCs w:val="28"/>
        </w:rPr>
      </w:pPr>
      <w:r w:rsidRPr="00976626">
        <w:rPr>
          <w:rFonts w:ascii="Times New Roman" w:hAnsi="Times New Roman"/>
          <w:sz w:val="28"/>
          <w:szCs w:val="28"/>
        </w:rPr>
        <w:t xml:space="preserve">Телефон: +7-985-360-6754, e-mail: </w:t>
      </w:r>
      <w:hyperlink r:id="rId7" w:history="1">
        <w:r w:rsidRPr="00976626">
          <w:rPr>
            <w:rFonts w:ascii="Times New Roman" w:hAnsi="Times New Roman"/>
            <w:sz w:val="28"/>
            <w:szCs w:val="28"/>
          </w:rPr>
          <w:t>sorokinalexmih@gmail.com</w:t>
        </w:r>
      </w:hyperlink>
    </w:p>
    <w:p w:rsidR="00F27DD9" w:rsidRPr="00976626" w:rsidRDefault="00F27DD9" w:rsidP="00832603">
      <w:pPr>
        <w:spacing w:after="0" w:line="240" w:lineRule="auto"/>
        <w:ind w:left="1134"/>
        <w:jc w:val="right"/>
        <w:rPr>
          <w:rFonts w:ascii="Times New Roman" w:hAnsi="Times New Roman"/>
          <w:sz w:val="28"/>
          <w:szCs w:val="28"/>
        </w:rPr>
      </w:pPr>
    </w:p>
    <w:p w:rsidR="00F27DD9" w:rsidRPr="00976626" w:rsidRDefault="00F27DD9" w:rsidP="00832603">
      <w:pPr>
        <w:spacing w:after="0" w:line="240" w:lineRule="auto"/>
        <w:ind w:left="1134"/>
        <w:jc w:val="right"/>
        <w:rPr>
          <w:rFonts w:ascii="Times New Roman" w:hAnsi="Times New Roman"/>
          <w:sz w:val="28"/>
          <w:szCs w:val="28"/>
          <w:lang w:val="en-US"/>
        </w:rPr>
      </w:pPr>
      <w:r w:rsidRPr="00976626">
        <w:rPr>
          <w:rFonts w:ascii="Times New Roman" w:hAnsi="Times New Roman"/>
          <w:sz w:val="28"/>
          <w:szCs w:val="28"/>
          <w:lang w:val="en-US"/>
        </w:rPr>
        <w:t>Aleksei Mikhailovich Sorokin</w:t>
      </w:r>
    </w:p>
    <w:p w:rsidR="00F27DD9" w:rsidRPr="00976626" w:rsidRDefault="00F27DD9" w:rsidP="00832603">
      <w:pPr>
        <w:spacing w:after="0" w:line="240" w:lineRule="auto"/>
        <w:ind w:left="1134"/>
        <w:jc w:val="right"/>
        <w:rPr>
          <w:rFonts w:ascii="Times New Roman" w:hAnsi="Times New Roman"/>
          <w:sz w:val="28"/>
          <w:szCs w:val="28"/>
          <w:lang w:val="en-US"/>
        </w:rPr>
      </w:pPr>
      <w:r w:rsidRPr="00976626">
        <w:rPr>
          <w:rFonts w:ascii="Times New Roman" w:hAnsi="Times New Roman"/>
          <w:sz w:val="28"/>
          <w:szCs w:val="28"/>
          <w:lang w:val="en-US"/>
        </w:rPr>
        <w:t>Candidate of Economic Sciences, Senior Teacher of the Department of Customs</w:t>
      </w:r>
    </w:p>
    <w:p w:rsidR="00F27DD9" w:rsidRPr="00976626" w:rsidRDefault="00F27DD9" w:rsidP="00832603">
      <w:pPr>
        <w:spacing w:after="0" w:line="240" w:lineRule="auto"/>
        <w:ind w:left="1134"/>
        <w:jc w:val="right"/>
        <w:rPr>
          <w:rFonts w:ascii="Times New Roman" w:hAnsi="Times New Roman"/>
          <w:sz w:val="28"/>
          <w:szCs w:val="28"/>
          <w:lang w:val="en-US"/>
        </w:rPr>
      </w:pPr>
      <w:r w:rsidRPr="00976626">
        <w:rPr>
          <w:rFonts w:ascii="Times New Roman" w:hAnsi="Times New Roman"/>
          <w:sz w:val="28"/>
          <w:szCs w:val="28"/>
          <w:lang w:val="en-US"/>
        </w:rPr>
        <w:t xml:space="preserve">Peoples’ </w:t>
      </w:r>
      <w:smartTag w:uri="urn:schemas-microsoft-com:office:smarttags" w:element="PlaceName">
        <w:r w:rsidRPr="00976626">
          <w:rPr>
            <w:rFonts w:ascii="Times New Roman" w:hAnsi="Times New Roman"/>
            <w:sz w:val="28"/>
            <w:szCs w:val="28"/>
            <w:lang w:val="en-US"/>
          </w:rPr>
          <w:t>Friendship</w:t>
        </w:r>
      </w:smartTag>
      <w:r w:rsidRPr="00976626">
        <w:rPr>
          <w:rFonts w:ascii="Times New Roman" w:hAnsi="Times New Roman"/>
          <w:sz w:val="28"/>
          <w:szCs w:val="28"/>
          <w:lang w:val="en-US"/>
        </w:rPr>
        <w:t xml:space="preserve"> </w:t>
      </w:r>
      <w:smartTag w:uri="urn:schemas-microsoft-com:office:smarttags" w:element="PlaceType">
        <w:r w:rsidRPr="00976626">
          <w:rPr>
            <w:rFonts w:ascii="Times New Roman" w:hAnsi="Times New Roman"/>
            <w:sz w:val="28"/>
            <w:szCs w:val="28"/>
            <w:lang w:val="en-US"/>
          </w:rPr>
          <w:t>University</w:t>
        </w:r>
      </w:smartTag>
      <w:r w:rsidRPr="00976626">
        <w:rPr>
          <w:rFonts w:ascii="Times New Roman" w:hAnsi="Times New Roman"/>
          <w:sz w:val="28"/>
          <w:szCs w:val="28"/>
          <w:lang w:val="en-US"/>
        </w:rPr>
        <w:t xml:space="preserve"> of </w:t>
      </w:r>
      <w:smartTag w:uri="urn:schemas-microsoft-com:office:smarttags" w:element="country-region">
        <w:r w:rsidRPr="00976626">
          <w:rPr>
            <w:rFonts w:ascii="Times New Roman" w:hAnsi="Times New Roman"/>
            <w:sz w:val="28"/>
            <w:szCs w:val="28"/>
            <w:lang w:val="en-US"/>
          </w:rPr>
          <w:t>Russia</w:t>
        </w:r>
      </w:smartTag>
      <w:r w:rsidRPr="00976626">
        <w:rPr>
          <w:rFonts w:ascii="Times New Roman" w:hAnsi="Times New Roman"/>
          <w:sz w:val="28"/>
          <w:szCs w:val="28"/>
          <w:lang w:val="en-US"/>
        </w:rPr>
        <w:t xml:space="preserve"> (</w:t>
      </w:r>
      <w:smartTag w:uri="urn:schemas-microsoft-com:office:smarttags" w:element="place">
        <w:smartTag w:uri="urn:schemas-microsoft-com:office:smarttags" w:element="PlaceName">
          <w:r w:rsidRPr="00976626">
            <w:rPr>
              <w:rFonts w:ascii="Times New Roman" w:hAnsi="Times New Roman"/>
              <w:sz w:val="28"/>
              <w:szCs w:val="28"/>
              <w:lang w:val="en-US"/>
            </w:rPr>
            <w:t>RUDN</w:t>
          </w:r>
        </w:smartTag>
        <w:r w:rsidRPr="00976626">
          <w:rPr>
            <w:rFonts w:ascii="Times New Roman" w:hAnsi="Times New Roman"/>
            <w:sz w:val="28"/>
            <w:szCs w:val="28"/>
            <w:lang w:val="en-US"/>
          </w:rPr>
          <w:t xml:space="preserve"> </w:t>
        </w:r>
        <w:smartTag w:uri="urn:schemas-microsoft-com:office:smarttags" w:element="PlaceType">
          <w:r w:rsidRPr="00976626">
            <w:rPr>
              <w:rFonts w:ascii="Times New Roman" w:hAnsi="Times New Roman"/>
              <w:sz w:val="28"/>
              <w:szCs w:val="28"/>
              <w:lang w:val="en-US"/>
            </w:rPr>
            <w:t>University</w:t>
          </w:r>
        </w:smartTag>
      </w:smartTag>
      <w:r w:rsidRPr="00976626">
        <w:rPr>
          <w:rFonts w:ascii="Times New Roman" w:hAnsi="Times New Roman"/>
          <w:sz w:val="28"/>
          <w:szCs w:val="28"/>
          <w:lang w:val="en-US"/>
        </w:rPr>
        <w:t>)</w:t>
      </w:r>
    </w:p>
    <w:p w:rsidR="00F27DD9" w:rsidRPr="00C715FD" w:rsidRDefault="00F27DD9" w:rsidP="00832603">
      <w:pPr>
        <w:spacing w:after="0" w:line="240" w:lineRule="auto"/>
        <w:ind w:left="1134"/>
        <w:jc w:val="right"/>
        <w:rPr>
          <w:rFonts w:ascii="Times New Roman" w:hAnsi="Times New Roman"/>
          <w:sz w:val="28"/>
          <w:szCs w:val="28"/>
          <w:lang w:val="fr-FR"/>
        </w:rPr>
      </w:pPr>
      <w:r w:rsidRPr="00C715FD">
        <w:rPr>
          <w:rFonts w:ascii="Times New Roman" w:hAnsi="Times New Roman"/>
          <w:sz w:val="28"/>
          <w:szCs w:val="28"/>
          <w:lang w:val="fr-FR"/>
        </w:rPr>
        <w:t xml:space="preserve">Tel: +7-985-360-6754, e-mail: </w:t>
      </w:r>
      <w:hyperlink r:id="rId8" w:history="1">
        <w:r w:rsidRPr="00C715FD">
          <w:rPr>
            <w:rFonts w:ascii="Times New Roman" w:hAnsi="Times New Roman"/>
            <w:sz w:val="28"/>
            <w:szCs w:val="28"/>
            <w:lang w:val="fr-FR"/>
          </w:rPr>
          <w:t>sorokinalexmih@gmail.com</w:t>
        </w:r>
      </w:hyperlink>
    </w:p>
    <w:p w:rsidR="00F27DD9" w:rsidRPr="00C715FD" w:rsidRDefault="00F27DD9" w:rsidP="00832603">
      <w:pPr>
        <w:spacing w:after="0" w:line="240" w:lineRule="auto"/>
        <w:ind w:left="1134"/>
        <w:jc w:val="right"/>
        <w:rPr>
          <w:rFonts w:ascii="Times New Roman" w:hAnsi="Times New Roman"/>
          <w:sz w:val="28"/>
          <w:szCs w:val="28"/>
          <w:lang w:val="fr-FR"/>
        </w:rPr>
      </w:pPr>
    </w:p>
    <w:p w:rsidR="00F27DD9" w:rsidRPr="00976626" w:rsidRDefault="00F27DD9" w:rsidP="00832603">
      <w:pPr>
        <w:spacing w:after="0" w:line="240" w:lineRule="auto"/>
        <w:ind w:left="1134"/>
        <w:jc w:val="right"/>
        <w:rPr>
          <w:rFonts w:ascii="Times New Roman" w:hAnsi="Times New Roman"/>
          <w:sz w:val="28"/>
          <w:szCs w:val="28"/>
        </w:rPr>
      </w:pPr>
      <w:r w:rsidRPr="00976626">
        <w:rPr>
          <w:rFonts w:ascii="Times New Roman" w:hAnsi="Times New Roman"/>
          <w:sz w:val="28"/>
          <w:szCs w:val="28"/>
        </w:rPr>
        <w:t>Михаил Афанасьевич Сорокин</w:t>
      </w:r>
    </w:p>
    <w:p w:rsidR="00F27DD9" w:rsidRPr="00976626" w:rsidRDefault="00F27DD9" w:rsidP="00832603">
      <w:pPr>
        <w:spacing w:after="0" w:line="240" w:lineRule="auto"/>
        <w:ind w:left="1134"/>
        <w:jc w:val="right"/>
        <w:rPr>
          <w:rFonts w:ascii="Times New Roman" w:hAnsi="Times New Roman"/>
          <w:sz w:val="28"/>
          <w:szCs w:val="28"/>
        </w:rPr>
      </w:pPr>
      <w:r w:rsidRPr="00976626">
        <w:rPr>
          <w:rFonts w:ascii="Times New Roman" w:hAnsi="Times New Roman"/>
          <w:sz w:val="28"/>
          <w:szCs w:val="28"/>
        </w:rPr>
        <w:t>канд. экон. наук, доцент, доцент кафедры международного маркетинга и торговли</w:t>
      </w:r>
    </w:p>
    <w:p w:rsidR="00F27DD9" w:rsidRPr="00976626" w:rsidRDefault="00F27DD9" w:rsidP="00832603">
      <w:pPr>
        <w:spacing w:after="0" w:line="240" w:lineRule="auto"/>
        <w:ind w:left="1134"/>
        <w:jc w:val="right"/>
        <w:rPr>
          <w:rFonts w:ascii="Times New Roman" w:hAnsi="Times New Roman"/>
          <w:sz w:val="28"/>
          <w:szCs w:val="28"/>
        </w:rPr>
      </w:pPr>
      <w:r w:rsidRPr="00976626">
        <w:rPr>
          <w:rFonts w:ascii="Times New Roman" w:hAnsi="Times New Roman"/>
          <w:sz w:val="28"/>
          <w:szCs w:val="28"/>
        </w:rPr>
        <w:t xml:space="preserve">Владивостокского государственного университета </w:t>
      </w:r>
      <w:r w:rsidRPr="00976626">
        <w:rPr>
          <w:rFonts w:ascii="Times New Roman" w:hAnsi="Times New Roman"/>
          <w:sz w:val="28"/>
          <w:szCs w:val="28"/>
        </w:rPr>
        <w:br/>
        <w:t>экономики и сервиса</w:t>
      </w:r>
    </w:p>
    <w:p w:rsidR="00F27DD9" w:rsidRPr="00976626" w:rsidRDefault="00F27DD9" w:rsidP="00832603">
      <w:pPr>
        <w:spacing w:after="0" w:line="240" w:lineRule="auto"/>
        <w:ind w:left="1134"/>
        <w:jc w:val="right"/>
        <w:rPr>
          <w:rFonts w:ascii="Times New Roman" w:hAnsi="Times New Roman"/>
          <w:sz w:val="28"/>
          <w:szCs w:val="28"/>
        </w:rPr>
      </w:pPr>
      <w:r w:rsidRPr="00976626">
        <w:rPr>
          <w:rFonts w:ascii="Times New Roman" w:hAnsi="Times New Roman"/>
          <w:sz w:val="28"/>
          <w:szCs w:val="28"/>
        </w:rPr>
        <w:t xml:space="preserve">Телефон: +7-423-240-4106, e-mail: sma-vlv@mail.ru </w:t>
      </w:r>
    </w:p>
    <w:p w:rsidR="00F27DD9" w:rsidRPr="00976626" w:rsidRDefault="00F27DD9" w:rsidP="00832603">
      <w:pPr>
        <w:spacing w:after="0" w:line="240" w:lineRule="auto"/>
        <w:ind w:left="1134"/>
        <w:jc w:val="right"/>
        <w:rPr>
          <w:rFonts w:ascii="Times New Roman" w:hAnsi="Times New Roman"/>
          <w:sz w:val="28"/>
          <w:szCs w:val="28"/>
        </w:rPr>
      </w:pPr>
    </w:p>
    <w:p w:rsidR="00F27DD9" w:rsidRPr="00976626" w:rsidRDefault="00F27DD9" w:rsidP="00832603">
      <w:pPr>
        <w:spacing w:after="0" w:line="240" w:lineRule="auto"/>
        <w:ind w:left="1134"/>
        <w:jc w:val="right"/>
        <w:rPr>
          <w:rFonts w:ascii="Times New Roman" w:hAnsi="Times New Roman"/>
          <w:sz w:val="28"/>
          <w:szCs w:val="28"/>
          <w:lang w:val="en-US"/>
        </w:rPr>
      </w:pPr>
      <w:r w:rsidRPr="00976626">
        <w:rPr>
          <w:rFonts w:ascii="Times New Roman" w:hAnsi="Times New Roman"/>
          <w:sz w:val="28"/>
          <w:szCs w:val="28"/>
          <w:lang w:val="en-US"/>
        </w:rPr>
        <w:t>Mikhail Afansjevich Sorokin</w:t>
      </w:r>
    </w:p>
    <w:p w:rsidR="00F27DD9" w:rsidRPr="00976626" w:rsidRDefault="00F27DD9" w:rsidP="00832603">
      <w:pPr>
        <w:spacing w:after="0" w:line="240" w:lineRule="auto"/>
        <w:ind w:left="1134"/>
        <w:jc w:val="right"/>
        <w:rPr>
          <w:rFonts w:ascii="Times New Roman" w:hAnsi="Times New Roman"/>
          <w:sz w:val="28"/>
          <w:szCs w:val="28"/>
          <w:lang w:val="en-US"/>
        </w:rPr>
      </w:pPr>
      <w:r w:rsidRPr="00976626">
        <w:rPr>
          <w:rFonts w:ascii="Times New Roman" w:hAnsi="Times New Roman"/>
          <w:sz w:val="28"/>
          <w:szCs w:val="28"/>
          <w:lang w:val="en-US"/>
        </w:rPr>
        <w:t>Candidate of Economic Sciences, Associate Professor of the Department of Marketing and Trade</w:t>
      </w:r>
    </w:p>
    <w:p w:rsidR="00F27DD9" w:rsidRPr="00976626" w:rsidRDefault="00F27DD9" w:rsidP="00832603">
      <w:pPr>
        <w:spacing w:after="0" w:line="240" w:lineRule="auto"/>
        <w:ind w:left="1134"/>
        <w:jc w:val="right"/>
        <w:rPr>
          <w:rFonts w:ascii="Times New Roman" w:hAnsi="Times New Roman"/>
          <w:sz w:val="28"/>
          <w:szCs w:val="28"/>
          <w:lang w:val="en-US"/>
        </w:rPr>
      </w:pPr>
      <w:smartTag w:uri="urn:schemas-microsoft-com:office:smarttags" w:element="place">
        <w:smartTag w:uri="urn:schemas-microsoft-com:office:smarttags" w:element="PlaceName">
          <w:r w:rsidRPr="00976626">
            <w:rPr>
              <w:rFonts w:ascii="Times New Roman" w:hAnsi="Times New Roman"/>
              <w:sz w:val="28"/>
              <w:szCs w:val="28"/>
              <w:lang w:val="en-US"/>
            </w:rPr>
            <w:t>Vladivostok</w:t>
          </w:r>
        </w:smartTag>
        <w:r w:rsidRPr="00976626">
          <w:rPr>
            <w:rFonts w:ascii="Times New Roman" w:hAnsi="Times New Roman"/>
            <w:sz w:val="28"/>
            <w:szCs w:val="28"/>
            <w:lang w:val="en-US"/>
          </w:rPr>
          <w:t xml:space="preserve"> </w:t>
        </w:r>
        <w:smartTag w:uri="urn:schemas-microsoft-com:office:smarttags" w:element="PlaceType">
          <w:r w:rsidRPr="00976626">
            <w:rPr>
              <w:rFonts w:ascii="Times New Roman" w:hAnsi="Times New Roman"/>
              <w:sz w:val="28"/>
              <w:szCs w:val="28"/>
              <w:lang w:val="en-US"/>
            </w:rPr>
            <w:t>State</w:t>
          </w:r>
        </w:smartTag>
        <w:r w:rsidRPr="00976626">
          <w:rPr>
            <w:rFonts w:ascii="Times New Roman" w:hAnsi="Times New Roman"/>
            <w:sz w:val="28"/>
            <w:szCs w:val="28"/>
            <w:lang w:val="en-US"/>
          </w:rPr>
          <w:t xml:space="preserve"> </w:t>
        </w:r>
        <w:smartTag w:uri="urn:schemas-microsoft-com:office:smarttags" w:element="PlaceType">
          <w:r w:rsidRPr="00976626">
            <w:rPr>
              <w:rFonts w:ascii="Times New Roman" w:hAnsi="Times New Roman"/>
              <w:sz w:val="28"/>
              <w:szCs w:val="28"/>
              <w:lang w:val="en-US"/>
            </w:rPr>
            <w:t>University</w:t>
          </w:r>
        </w:smartTag>
      </w:smartTag>
      <w:r w:rsidRPr="00976626">
        <w:rPr>
          <w:rFonts w:ascii="Times New Roman" w:hAnsi="Times New Roman"/>
          <w:sz w:val="28"/>
          <w:szCs w:val="28"/>
          <w:lang w:val="en-US"/>
        </w:rPr>
        <w:t xml:space="preserve"> of Economics and Service</w:t>
      </w:r>
    </w:p>
    <w:p w:rsidR="00F27DD9" w:rsidRPr="00C715FD" w:rsidRDefault="00F27DD9" w:rsidP="00832603">
      <w:pPr>
        <w:spacing w:after="0" w:line="240" w:lineRule="auto"/>
        <w:ind w:left="1134"/>
        <w:jc w:val="right"/>
        <w:rPr>
          <w:rFonts w:ascii="Times New Roman" w:hAnsi="Times New Roman"/>
          <w:sz w:val="28"/>
          <w:szCs w:val="28"/>
          <w:lang w:val="fr-FR"/>
        </w:rPr>
      </w:pPr>
      <w:r w:rsidRPr="00C715FD">
        <w:rPr>
          <w:rFonts w:ascii="Times New Roman" w:hAnsi="Times New Roman"/>
          <w:sz w:val="28"/>
          <w:szCs w:val="28"/>
          <w:lang w:val="fr-FR"/>
        </w:rPr>
        <w:t>Tel: +7-423-240-4106, e-mail: sma-vlv@mail.ru</w:t>
      </w:r>
    </w:p>
    <w:p w:rsidR="00F27DD9" w:rsidRPr="00C715FD" w:rsidRDefault="00F27DD9" w:rsidP="00CD4CA2">
      <w:pPr>
        <w:spacing w:after="0" w:line="240" w:lineRule="auto"/>
        <w:jc w:val="right"/>
        <w:rPr>
          <w:rFonts w:ascii="Times New Roman" w:hAnsi="Times New Roman"/>
          <w:sz w:val="28"/>
          <w:szCs w:val="28"/>
          <w:lang w:val="fr-FR"/>
        </w:rPr>
      </w:pPr>
    </w:p>
    <w:p w:rsidR="00F27DD9" w:rsidRPr="00C715FD" w:rsidRDefault="00F27DD9" w:rsidP="00CD4CA2">
      <w:pPr>
        <w:spacing w:after="0" w:line="240" w:lineRule="auto"/>
        <w:jc w:val="right"/>
        <w:rPr>
          <w:rFonts w:ascii="Times New Roman" w:hAnsi="Times New Roman"/>
          <w:sz w:val="28"/>
          <w:szCs w:val="28"/>
          <w:lang w:val="fr-FR"/>
        </w:rPr>
      </w:pPr>
    </w:p>
    <w:p w:rsidR="00F27DD9" w:rsidRPr="00C715FD" w:rsidRDefault="00F27DD9" w:rsidP="00713EB2">
      <w:pPr>
        <w:spacing w:after="0" w:line="240" w:lineRule="auto"/>
        <w:jc w:val="center"/>
        <w:rPr>
          <w:rFonts w:ascii="Times New Roman" w:hAnsi="Times New Roman"/>
          <w:b/>
          <w:sz w:val="28"/>
          <w:szCs w:val="28"/>
          <w:lang w:val="fr-FR"/>
        </w:rPr>
      </w:pPr>
    </w:p>
    <w:p w:rsidR="00F27DD9" w:rsidRPr="00976626" w:rsidRDefault="00F27DD9" w:rsidP="00C52327">
      <w:pPr>
        <w:spacing w:after="0" w:line="240" w:lineRule="auto"/>
        <w:jc w:val="center"/>
        <w:rPr>
          <w:rFonts w:ascii="Times New Roman" w:hAnsi="Times New Roman"/>
          <w:b/>
          <w:sz w:val="28"/>
          <w:szCs w:val="28"/>
        </w:rPr>
      </w:pPr>
      <w:r w:rsidRPr="00976626">
        <w:rPr>
          <w:rFonts w:ascii="Times New Roman" w:hAnsi="Times New Roman"/>
          <w:b/>
          <w:sz w:val="28"/>
          <w:szCs w:val="28"/>
        </w:rPr>
        <w:t>Актуальные направления развития института Единого таможенного реестра объектов интеллектуальной собственности Евразийского экономического союза</w:t>
      </w:r>
    </w:p>
    <w:p w:rsidR="00F27DD9" w:rsidRPr="00976626" w:rsidRDefault="00F27DD9" w:rsidP="00C52327">
      <w:pPr>
        <w:spacing w:after="0" w:line="240" w:lineRule="auto"/>
        <w:jc w:val="center"/>
        <w:rPr>
          <w:rFonts w:ascii="Times New Roman" w:hAnsi="Times New Roman"/>
          <w:sz w:val="28"/>
          <w:szCs w:val="28"/>
        </w:rPr>
      </w:pPr>
    </w:p>
    <w:p w:rsidR="00F27DD9" w:rsidRPr="00976626" w:rsidRDefault="00F27DD9" w:rsidP="00C52327">
      <w:pPr>
        <w:spacing w:after="0" w:line="240" w:lineRule="auto"/>
        <w:jc w:val="center"/>
        <w:rPr>
          <w:rFonts w:ascii="Times New Roman" w:hAnsi="Times New Roman"/>
          <w:b/>
          <w:sz w:val="28"/>
          <w:szCs w:val="28"/>
          <w:lang w:val="en-US"/>
        </w:rPr>
      </w:pPr>
      <w:r w:rsidRPr="00976626">
        <w:rPr>
          <w:rFonts w:ascii="Times New Roman" w:hAnsi="Times New Roman"/>
          <w:b/>
          <w:sz w:val="28"/>
          <w:szCs w:val="28"/>
          <w:lang w:val="en-US"/>
        </w:rPr>
        <w:t xml:space="preserve">Relevant trends in development of institute of the Unified customs register of intellectual property objects of the Eurasian Economic </w:t>
      </w:r>
      <w:smartTag w:uri="urn:schemas-microsoft-com:office:smarttags" w:element="place">
        <w:r w:rsidRPr="00976626">
          <w:rPr>
            <w:rFonts w:ascii="Times New Roman" w:hAnsi="Times New Roman"/>
            <w:b/>
            <w:sz w:val="28"/>
            <w:szCs w:val="28"/>
            <w:lang w:val="en-US"/>
          </w:rPr>
          <w:t>Union</w:t>
        </w:r>
      </w:smartTag>
    </w:p>
    <w:p w:rsidR="00F27DD9" w:rsidRPr="00976626" w:rsidRDefault="00F27DD9" w:rsidP="00713EB2">
      <w:pPr>
        <w:spacing w:after="0" w:line="240" w:lineRule="auto"/>
        <w:jc w:val="center"/>
        <w:rPr>
          <w:rFonts w:ascii="Times New Roman" w:hAnsi="Times New Roman"/>
          <w:b/>
          <w:sz w:val="28"/>
          <w:szCs w:val="28"/>
          <w:lang w:val="en-US"/>
        </w:rPr>
      </w:pPr>
    </w:p>
    <w:p w:rsidR="00F27DD9" w:rsidRPr="00976626" w:rsidRDefault="00F27DD9" w:rsidP="00C831C1">
      <w:pPr>
        <w:spacing w:after="0" w:line="360" w:lineRule="auto"/>
        <w:ind w:firstLine="709"/>
        <w:rPr>
          <w:rFonts w:ascii="Times New Roman" w:hAnsi="Times New Roman"/>
          <w:sz w:val="28"/>
          <w:szCs w:val="28"/>
          <w:lang w:val="en-US"/>
        </w:rPr>
      </w:pPr>
    </w:p>
    <w:p w:rsidR="00F27DD9" w:rsidRPr="00976626" w:rsidRDefault="00F27DD9" w:rsidP="003D78A7">
      <w:pPr>
        <w:spacing w:after="0" w:line="240" w:lineRule="auto"/>
        <w:ind w:firstLine="709"/>
        <w:jc w:val="both"/>
        <w:rPr>
          <w:rFonts w:ascii="Times New Roman" w:hAnsi="Times New Roman"/>
          <w:sz w:val="28"/>
          <w:szCs w:val="28"/>
        </w:rPr>
      </w:pPr>
      <w:r w:rsidRPr="00976626">
        <w:rPr>
          <w:rFonts w:ascii="Times New Roman" w:hAnsi="Times New Roman"/>
          <w:sz w:val="28"/>
          <w:szCs w:val="28"/>
        </w:rPr>
        <w:t>Предметом исследования является Единый таможенный реестр объектов интеллектуальной собственности (ЕТРОИС). Задачи исследования: раскрыть содержание и назначение института ЕТРОИС, проанализировать актуальные изменения в нормативном регулировании этого института, сделать выводы о результативности этих изменений и предложить альтернативные пути развития ЕТРОИС.</w:t>
      </w:r>
    </w:p>
    <w:p w:rsidR="00F27DD9" w:rsidRPr="00976626" w:rsidRDefault="00F27DD9" w:rsidP="003D78A7">
      <w:pPr>
        <w:spacing w:after="0" w:line="240" w:lineRule="auto"/>
        <w:ind w:firstLine="709"/>
        <w:jc w:val="both"/>
        <w:rPr>
          <w:rFonts w:ascii="Times New Roman" w:hAnsi="Times New Roman"/>
          <w:sz w:val="28"/>
          <w:szCs w:val="28"/>
        </w:rPr>
      </w:pPr>
      <w:r w:rsidRPr="00976626">
        <w:rPr>
          <w:rFonts w:ascii="Times New Roman" w:hAnsi="Times New Roman"/>
          <w:sz w:val="28"/>
          <w:szCs w:val="28"/>
        </w:rPr>
        <w:t xml:space="preserve">В статье </w:t>
      </w:r>
      <w:r>
        <w:rPr>
          <w:rFonts w:ascii="Times New Roman" w:hAnsi="Times New Roman"/>
          <w:sz w:val="28"/>
          <w:szCs w:val="28"/>
        </w:rPr>
        <w:t>обосновывается</w:t>
      </w:r>
      <w:r w:rsidRPr="00976626">
        <w:rPr>
          <w:rFonts w:ascii="Times New Roman" w:hAnsi="Times New Roman"/>
          <w:sz w:val="28"/>
          <w:szCs w:val="28"/>
        </w:rPr>
        <w:t xml:space="preserve"> актуальность таможенной защиты прав на объекты интеллектуальной собственности (ОИС)</w:t>
      </w:r>
      <w:r>
        <w:rPr>
          <w:rFonts w:ascii="Times New Roman" w:hAnsi="Times New Roman"/>
          <w:sz w:val="28"/>
          <w:szCs w:val="28"/>
        </w:rPr>
        <w:t xml:space="preserve"> в условиях формирования инновационной экономики, п</w:t>
      </w:r>
      <w:r w:rsidRPr="00976626">
        <w:rPr>
          <w:rFonts w:ascii="Times New Roman" w:hAnsi="Times New Roman"/>
          <w:sz w:val="28"/>
          <w:szCs w:val="28"/>
        </w:rPr>
        <w:t xml:space="preserve">риводятся основные показатели результативности </w:t>
      </w:r>
      <w:r w:rsidRPr="00976626">
        <w:rPr>
          <w:rFonts w:ascii="Times New Roman" w:hAnsi="Times New Roman"/>
          <w:sz w:val="28"/>
          <w:szCs w:val="28"/>
        </w:rPr>
        <w:lastRenderedPageBreak/>
        <w:t xml:space="preserve">таможенной защиты прав на ОИС таможенными органами России. Проведен анализ положительных и отрицательных эффектов трансформации ЕТРОИС стран Евразийского экономического союза (ЕАЭС). Показано значение таможенных реестров ОИС (ТРОИС) в процессе таможенной защиты прав на объекты интеллектуальной собственности при трансграничном перемещении товаров. Приведены и описаны причины нежизнеспособности Единого ТРОИС стран ЕАЭС: ошибочность концепции, значительные издержки для правообладателей, а также административные барьеры </w:t>
      </w:r>
      <w:r>
        <w:rPr>
          <w:rFonts w:ascii="Times New Roman" w:hAnsi="Times New Roman"/>
          <w:sz w:val="28"/>
          <w:szCs w:val="28"/>
        </w:rPr>
        <w:t>реализации п</w:t>
      </w:r>
      <w:r w:rsidRPr="00976626">
        <w:rPr>
          <w:rFonts w:ascii="Times New Roman" w:hAnsi="Times New Roman"/>
          <w:sz w:val="28"/>
          <w:szCs w:val="28"/>
        </w:rPr>
        <w:t>роцедур</w:t>
      </w:r>
      <w:r>
        <w:rPr>
          <w:rFonts w:ascii="Times New Roman" w:hAnsi="Times New Roman"/>
          <w:sz w:val="28"/>
          <w:szCs w:val="28"/>
        </w:rPr>
        <w:t>ы</w:t>
      </w:r>
      <w:r w:rsidRPr="00976626">
        <w:rPr>
          <w:rFonts w:ascii="Times New Roman" w:hAnsi="Times New Roman"/>
          <w:sz w:val="28"/>
          <w:szCs w:val="28"/>
        </w:rPr>
        <w:t xml:space="preserve"> включения ОИС</w:t>
      </w:r>
      <w:r>
        <w:rPr>
          <w:rFonts w:ascii="Times New Roman" w:hAnsi="Times New Roman"/>
          <w:sz w:val="28"/>
          <w:szCs w:val="28"/>
        </w:rPr>
        <w:t xml:space="preserve"> в таможенные реестры</w:t>
      </w:r>
      <w:r w:rsidRPr="00976626">
        <w:rPr>
          <w:rFonts w:ascii="Times New Roman" w:hAnsi="Times New Roman"/>
          <w:sz w:val="28"/>
          <w:szCs w:val="28"/>
        </w:rPr>
        <w:t xml:space="preserve">. Сформулированы и раскрыты наиболее значимые </w:t>
      </w:r>
      <w:r>
        <w:rPr>
          <w:rFonts w:ascii="Times New Roman" w:hAnsi="Times New Roman"/>
          <w:sz w:val="28"/>
          <w:szCs w:val="28"/>
        </w:rPr>
        <w:t xml:space="preserve">направления </w:t>
      </w:r>
      <w:r w:rsidRPr="00976626">
        <w:rPr>
          <w:rFonts w:ascii="Times New Roman" w:hAnsi="Times New Roman"/>
          <w:sz w:val="28"/>
          <w:szCs w:val="28"/>
        </w:rPr>
        <w:t xml:space="preserve">трансформации ЕТРОИС в соответствии с актуальными изменениями нормативно-правовой базы. Показано, что эти изменения не достаточны для полноценного функционирования ЕТРОИС. </w:t>
      </w:r>
      <w:r w:rsidRPr="00976626">
        <w:rPr>
          <w:rFonts w:ascii="Times New Roman" w:hAnsi="Times New Roman"/>
          <w:color w:val="000000"/>
          <w:sz w:val="28"/>
        </w:rPr>
        <w:t>Предложен авторский (альтернативный) вариант развития ЕТРОИС</w:t>
      </w:r>
      <w:r>
        <w:rPr>
          <w:rFonts w:ascii="Times New Roman" w:hAnsi="Times New Roman"/>
          <w:color w:val="000000"/>
          <w:sz w:val="28"/>
        </w:rPr>
        <w:t>,</w:t>
      </w:r>
      <w:r w:rsidRPr="00976626">
        <w:rPr>
          <w:rFonts w:ascii="Times New Roman" w:hAnsi="Times New Roman"/>
          <w:color w:val="000000"/>
          <w:sz w:val="28"/>
        </w:rPr>
        <w:t xml:space="preserve"> в основу которого положен</w:t>
      </w:r>
      <w:r>
        <w:rPr>
          <w:rFonts w:ascii="Times New Roman" w:hAnsi="Times New Roman"/>
          <w:color w:val="000000"/>
          <w:sz w:val="28"/>
        </w:rPr>
        <w:t>а</w:t>
      </w:r>
      <w:r w:rsidRPr="00976626">
        <w:rPr>
          <w:rFonts w:ascii="Times New Roman" w:hAnsi="Times New Roman"/>
          <w:color w:val="000000"/>
          <w:sz w:val="28"/>
        </w:rPr>
        <w:t xml:space="preserve"> база данных, содержащая сведения о всех ОИС, подлежащих таможенной защите в странах ЕАЭС. Приводится структура </w:t>
      </w:r>
      <w:r>
        <w:rPr>
          <w:rFonts w:ascii="Times New Roman" w:hAnsi="Times New Roman"/>
          <w:color w:val="000000"/>
          <w:sz w:val="28"/>
        </w:rPr>
        <w:t xml:space="preserve">предлагаемой </w:t>
      </w:r>
      <w:r w:rsidRPr="00976626">
        <w:rPr>
          <w:rFonts w:ascii="Times New Roman" w:hAnsi="Times New Roman"/>
          <w:color w:val="000000"/>
          <w:sz w:val="28"/>
        </w:rPr>
        <w:t xml:space="preserve">базы данных, которая может быть использована для формирования Общего таможенного реестра объектов интеллектуальной собственности (ОТРОИС) стран ЕАЭС. </w:t>
      </w:r>
      <w:r w:rsidR="00805387">
        <w:rPr>
          <w:rFonts w:ascii="Times New Roman" w:hAnsi="Times New Roman"/>
          <w:color w:val="000000"/>
          <w:sz w:val="28"/>
        </w:rPr>
        <w:t>Доказывается</w:t>
      </w:r>
      <w:r w:rsidRPr="00976626">
        <w:rPr>
          <w:rFonts w:ascii="Times New Roman" w:hAnsi="Times New Roman"/>
          <w:color w:val="000000"/>
          <w:sz w:val="28"/>
        </w:rPr>
        <w:t xml:space="preserve"> п</w:t>
      </w:r>
      <w:r w:rsidRPr="00976626">
        <w:rPr>
          <w:rFonts w:ascii="Times New Roman" w:hAnsi="Times New Roman"/>
          <w:sz w:val="28"/>
          <w:szCs w:val="28"/>
        </w:rPr>
        <w:t xml:space="preserve">отенциальная эффективность использования ОТРОИС. </w:t>
      </w:r>
    </w:p>
    <w:p w:rsidR="00F27DD9" w:rsidRPr="00976626" w:rsidRDefault="00F27DD9" w:rsidP="005A2021">
      <w:pPr>
        <w:spacing w:after="0" w:line="360" w:lineRule="auto"/>
        <w:ind w:firstLine="709"/>
        <w:jc w:val="both"/>
        <w:rPr>
          <w:rFonts w:ascii="Times New Roman" w:hAnsi="Times New Roman"/>
          <w:sz w:val="28"/>
          <w:szCs w:val="28"/>
        </w:rPr>
      </w:pPr>
    </w:p>
    <w:p w:rsidR="00F27DD9" w:rsidRPr="00976626" w:rsidRDefault="00F27DD9" w:rsidP="003C36DC">
      <w:pPr>
        <w:spacing w:after="0" w:line="240" w:lineRule="auto"/>
        <w:ind w:firstLine="709"/>
        <w:jc w:val="both"/>
        <w:rPr>
          <w:rFonts w:ascii="Times New Roman" w:hAnsi="Times New Roman"/>
          <w:i/>
          <w:color w:val="000000"/>
          <w:sz w:val="28"/>
        </w:rPr>
      </w:pPr>
      <w:r w:rsidRPr="00976626">
        <w:rPr>
          <w:rFonts w:ascii="Times New Roman" w:hAnsi="Times New Roman"/>
          <w:i/>
          <w:color w:val="000000"/>
          <w:sz w:val="28"/>
        </w:rPr>
        <w:t xml:space="preserve">Евразийский экономический союз, институт, интеллектуальная собственность, таможенный контроль, государственные услуги, таможенные услуги, таможенный реестр, контрафакт. </w:t>
      </w:r>
    </w:p>
    <w:p w:rsidR="00F27DD9" w:rsidRPr="00976626" w:rsidRDefault="00F27DD9" w:rsidP="003C36DC">
      <w:pPr>
        <w:spacing w:after="0" w:line="240" w:lineRule="auto"/>
        <w:ind w:firstLine="709"/>
        <w:jc w:val="both"/>
        <w:rPr>
          <w:rFonts w:ascii="Times New Roman" w:hAnsi="Times New Roman"/>
          <w:i/>
          <w:color w:val="000000"/>
          <w:sz w:val="28"/>
        </w:rPr>
      </w:pPr>
    </w:p>
    <w:p w:rsidR="00F27DD9" w:rsidRPr="00976626" w:rsidRDefault="00F27DD9" w:rsidP="00455A8D">
      <w:pPr>
        <w:spacing w:after="0" w:line="240" w:lineRule="auto"/>
        <w:ind w:firstLine="709"/>
        <w:jc w:val="both"/>
        <w:rPr>
          <w:rFonts w:ascii="Times New Roman" w:hAnsi="Times New Roman"/>
          <w:sz w:val="28"/>
          <w:szCs w:val="28"/>
          <w:lang w:val="en-US"/>
        </w:rPr>
      </w:pPr>
      <w:r w:rsidRPr="00976626">
        <w:rPr>
          <w:rFonts w:ascii="Times New Roman" w:hAnsi="Times New Roman"/>
          <w:sz w:val="28"/>
          <w:szCs w:val="28"/>
          <w:lang w:val="en-US"/>
        </w:rPr>
        <w:t>The subject of the research is the Unified Customs Register of Intellectual Property Objects (UCRIPO). The objectives of the study: to reveal the content and purpose of the UCRIPO institute, to analyze current changes in the regulatory framework of this institution, to draw conclusions about the impact of these changes and to propose alternative ways of UCRIPO development.</w:t>
      </w:r>
      <w:r w:rsidRPr="00976626">
        <w:rPr>
          <w:rFonts w:ascii="Times New Roman" w:hAnsi="Times New Roman"/>
          <w:sz w:val="28"/>
          <w:szCs w:val="28"/>
          <w:lang w:val="en-US"/>
        </w:rPr>
        <w:br/>
        <w:t xml:space="preserve">The article overviews the relevance of customs protection of intellectual property rights (IPO). The main indicators of the performance of customs protection of rights to the OIP by the customs authorities of </w:t>
      </w:r>
      <w:smartTag w:uri="urn:schemas-microsoft-com:office:smarttags" w:element="place">
        <w:smartTag w:uri="urn:schemas-microsoft-com:office:smarttags" w:element="country-region">
          <w:r w:rsidRPr="00976626">
            <w:rPr>
              <w:rFonts w:ascii="Times New Roman" w:hAnsi="Times New Roman"/>
              <w:sz w:val="28"/>
              <w:szCs w:val="28"/>
              <w:lang w:val="en-US"/>
            </w:rPr>
            <w:t>Russia</w:t>
          </w:r>
        </w:smartTag>
      </w:smartTag>
      <w:r w:rsidRPr="00976626">
        <w:rPr>
          <w:rFonts w:ascii="Times New Roman" w:hAnsi="Times New Roman"/>
          <w:sz w:val="28"/>
          <w:szCs w:val="28"/>
          <w:lang w:val="en-US"/>
        </w:rPr>
        <w:t xml:space="preserve"> are given. The analysis of the positive and negative effects of the transformation of UCRIPO of the countries of the Eurasian Economic Union (EEU) was carried out. The importance of the IPO customs registries (CRIPO) in the process of customs protection of intellectual property rights in the cross-border movement of goods is shown. The reasons for the non-viability of the UCRIPO of the EEU countries are given and described: the fallacy of the concept, significant costs for rightholders, as well as administrative barriers in the procedure for the inclusion of IPO. The most significant transformations of UCRIPO are formulated and disclosed in accordance with the current changes in the regulatory framework. It is shown that these changes are not sufficient for the full functioning of UCRIPO. The author suggests an alternative (alternative) development of UCRIPO based on a database containing information on all IPOs subject to customs protection in the EEU countries. The structure of the database that can be used to form the Common Customs Register of Intellectual Property Objects (CCRIPO) of the EEU countries is given. Describes the potential efficacy of using CCRIPO.</w:t>
      </w:r>
    </w:p>
    <w:p w:rsidR="00F27DD9" w:rsidRPr="00976626" w:rsidRDefault="00F27DD9" w:rsidP="003C36DC">
      <w:pPr>
        <w:spacing w:after="0" w:line="240" w:lineRule="auto"/>
        <w:ind w:firstLine="709"/>
        <w:jc w:val="both"/>
        <w:rPr>
          <w:rFonts w:ascii="Times New Roman" w:hAnsi="Times New Roman"/>
          <w:i/>
          <w:color w:val="000000"/>
          <w:sz w:val="28"/>
          <w:lang w:val="en-US"/>
        </w:rPr>
      </w:pPr>
    </w:p>
    <w:p w:rsidR="00F27DD9" w:rsidRPr="00976626" w:rsidRDefault="00F27DD9" w:rsidP="003C36DC">
      <w:pPr>
        <w:spacing w:after="0" w:line="240" w:lineRule="auto"/>
        <w:ind w:firstLine="709"/>
        <w:jc w:val="both"/>
        <w:rPr>
          <w:rFonts w:ascii="Times New Roman" w:hAnsi="Times New Roman"/>
          <w:i/>
          <w:color w:val="000000"/>
          <w:sz w:val="28"/>
          <w:lang w:val="en-US"/>
        </w:rPr>
      </w:pPr>
      <w:r w:rsidRPr="00976626">
        <w:rPr>
          <w:rFonts w:ascii="Times New Roman" w:hAnsi="Times New Roman"/>
          <w:i/>
          <w:color w:val="000000"/>
          <w:sz w:val="28"/>
          <w:lang w:val="en-US"/>
        </w:rPr>
        <w:t>Eurasian Economic Union, institute, intellectual property, customs control, public services, customs services, customs register, counterfeit.</w:t>
      </w:r>
    </w:p>
    <w:p w:rsidR="00F27DD9" w:rsidRPr="00976626" w:rsidRDefault="00F27DD9" w:rsidP="005A2021">
      <w:pPr>
        <w:spacing w:after="0" w:line="360" w:lineRule="auto"/>
        <w:ind w:firstLine="709"/>
        <w:jc w:val="both"/>
        <w:rPr>
          <w:rFonts w:ascii="Times New Roman" w:hAnsi="Times New Roman"/>
          <w:sz w:val="28"/>
          <w:szCs w:val="28"/>
          <w:lang w:val="en-US"/>
        </w:rPr>
      </w:pP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Таможенная защита прав на объекты интеллектуальной собственности становится все более обсуждаемой темой, а также приобретает значимость как направление деятельности таможенных органов [1]. </w:t>
      </w:r>
    </w:p>
    <w:p w:rsidR="00F27DD9" w:rsidRPr="00976626" w:rsidRDefault="00F27DD9" w:rsidP="00E924A9">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Исходя из анализа товарных групп, по которым таможенными органами России в </w:t>
      </w:r>
      <w:smartTag w:uri="urn:schemas-microsoft-com:office:smarttags" w:element="metricconverter">
        <w:smartTagPr>
          <w:attr w:name="ProductID" w:val="2017 г"/>
        </w:smartTagPr>
        <w:r w:rsidRPr="00976626">
          <w:rPr>
            <w:rFonts w:ascii="Times New Roman" w:hAnsi="Times New Roman"/>
            <w:sz w:val="28"/>
            <w:szCs w:val="28"/>
          </w:rPr>
          <w:t>2017 г</w:t>
        </w:r>
      </w:smartTag>
      <w:r>
        <w:rPr>
          <w:rFonts w:ascii="Times New Roman" w:hAnsi="Times New Roman"/>
          <w:sz w:val="28"/>
          <w:szCs w:val="28"/>
        </w:rPr>
        <w:t>.</w:t>
      </w:r>
      <w:r w:rsidRPr="00976626">
        <w:rPr>
          <w:rFonts w:ascii="Times New Roman" w:hAnsi="Times New Roman"/>
          <w:sz w:val="28"/>
          <w:szCs w:val="28"/>
        </w:rPr>
        <w:t xml:space="preserve"> были выявлены попытки перемещения контрафактных товаров, </w:t>
      </w:r>
      <w:r w:rsidR="00805387">
        <w:rPr>
          <w:rFonts w:ascii="Times New Roman" w:hAnsi="Times New Roman"/>
          <w:sz w:val="28"/>
          <w:szCs w:val="28"/>
        </w:rPr>
        <w:t>следует</w:t>
      </w:r>
      <w:r w:rsidRPr="00976626">
        <w:rPr>
          <w:rFonts w:ascii="Times New Roman" w:hAnsi="Times New Roman"/>
          <w:sz w:val="28"/>
          <w:szCs w:val="28"/>
        </w:rPr>
        <w:t xml:space="preserve">, что наиболее часто нарушения прав связаны с такими товарами, как одежда (в т.ч. головные уборы), обувь, аксессуары (часы, украшения, ремни, очки и т.д.), мелкая электроника. Отметим, что контрафактная продукция встречается в таких «чувствительных» товарных группах, как детские игрушки, одежда и питание, лекарственные препараты и биологически активные добавки, продукты питания. Данное обстоятельство свидетельствует о серьезности проблемы, поскольку качество перечисленных товаров оказывает непосредственное влияние на жизнь и здоровье людей [2]. </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Нарушения законодательства, связанные с попытками перемещения контрафактной продукции через таможенную границу, </w:t>
      </w:r>
      <w:r>
        <w:rPr>
          <w:rFonts w:ascii="Times New Roman" w:hAnsi="Times New Roman"/>
          <w:sz w:val="28"/>
          <w:szCs w:val="28"/>
        </w:rPr>
        <w:t>достаточно</w:t>
      </w:r>
      <w:r w:rsidRPr="00976626">
        <w:rPr>
          <w:rFonts w:ascii="Times New Roman" w:hAnsi="Times New Roman"/>
          <w:sz w:val="28"/>
          <w:szCs w:val="28"/>
        </w:rPr>
        <w:t xml:space="preserve"> многочисленны. Так, только за </w:t>
      </w:r>
      <w:smartTag w:uri="urn:schemas-microsoft-com:office:smarttags" w:element="metricconverter">
        <w:smartTagPr>
          <w:attr w:name="ProductID" w:val="2017 г"/>
        </w:smartTagPr>
        <w:r w:rsidRPr="00976626">
          <w:rPr>
            <w:rFonts w:ascii="Times New Roman" w:hAnsi="Times New Roman"/>
            <w:sz w:val="28"/>
            <w:szCs w:val="28"/>
          </w:rPr>
          <w:t>2017 г</w:t>
        </w:r>
      </w:smartTag>
      <w:r>
        <w:rPr>
          <w:rFonts w:ascii="Times New Roman" w:hAnsi="Times New Roman"/>
          <w:sz w:val="28"/>
          <w:szCs w:val="28"/>
        </w:rPr>
        <w:t>.</w:t>
      </w:r>
      <w:r w:rsidRPr="00976626">
        <w:rPr>
          <w:rFonts w:ascii="Times New Roman" w:hAnsi="Times New Roman"/>
          <w:sz w:val="28"/>
          <w:szCs w:val="28"/>
        </w:rPr>
        <w:t xml:space="preserve"> Федеральной таможенной службой России было выявлено более 1000 подобных случаев с общим количеством более 10 млн. контрафактных изделий (ст. 7.12 и 14.10 КоАП). Результатом работы явилось предотвращение ввоза этих товаров на территорию ЕАЭС, взыскание с виновных лиц 167 млн. руб</w:t>
      </w:r>
      <w:r>
        <w:rPr>
          <w:rFonts w:ascii="Times New Roman" w:hAnsi="Times New Roman"/>
          <w:sz w:val="28"/>
          <w:szCs w:val="28"/>
        </w:rPr>
        <w:t>.</w:t>
      </w:r>
      <w:r w:rsidRPr="00976626">
        <w:rPr>
          <w:rFonts w:ascii="Times New Roman" w:hAnsi="Times New Roman"/>
          <w:sz w:val="28"/>
          <w:szCs w:val="28"/>
        </w:rPr>
        <w:t xml:space="preserve"> в виде штрафов и предотвращение ущерба правообладателям на сумму 4,5 млрд. руб</w:t>
      </w:r>
      <w:r>
        <w:rPr>
          <w:rFonts w:ascii="Times New Roman" w:hAnsi="Times New Roman"/>
          <w:sz w:val="28"/>
          <w:szCs w:val="28"/>
        </w:rPr>
        <w:t>.</w:t>
      </w:r>
      <w:r w:rsidRPr="00976626">
        <w:rPr>
          <w:rFonts w:ascii="Times New Roman" w:hAnsi="Times New Roman"/>
          <w:sz w:val="28"/>
          <w:szCs w:val="28"/>
        </w:rPr>
        <w:t xml:space="preserve"> Приведенные данные имеют отношение только к Российской Федерации в то время, как система таможенной защиты прав на ОИС объективно формируется на межгосударственном уровне ЕАЭС [3, 4, 5]. </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Единый таможенный реестр объектов интеллектуальной собственности стран Таможенного союза был создан в </w:t>
      </w:r>
      <w:smartTag w:uri="urn:schemas-microsoft-com:office:smarttags" w:element="metricconverter">
        <w:smartTagPr>
          <w:attr w:name="ProductID" w:val="2018 г"/>
        </w:smartTagPr>
        <w:r w:rsidRPr="00976626">
          <w:rPr>
            <w:rFonts w:ascii="Times New Roman" w:hAnsi="Times New Roman"/>
            <w:sz w:val="28"/>
            <w:szCs w:val="28"/>
          </w:rPr>
          <w:t>2010 г</w:t>
        </w:r>
      </w:smartTag>
      <w:r w:rsidRPr="00976626">
        <w:rPr>
          <w:rFonts w:ascii="Times New Roman" w:hAnsi="Times New Roman"/>
          <w:sz w:val="28"/>
          <w:szCs w:val="28"/>
        </w:rPr>
        <w:t>. в качестве реализации интеграционных процессов. Его ведение осуществляется параллельно с индивидуальными ТРОИС стран ЕАЭС.  В ЕТРОИС на основании заявления правообладателя включаются ОИС, подлежащие правовой охране в каждом из государств ЕАЭС.</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Т</w:t>
      </w:r>
      <w:r>
        <w:rPr>
          <w:rFonts w:ascii="Times New Roman" w:hAnsi="Times New Roman"/>
          <w:sz w:val="28"/>
          <w:szCs w:val="28"/>
        </w:rPr>
        <w:t>аможенный реестр объектов интеллектуальной собственности</w:t>
      </w:r>
      <w:r w:rsidRPr="00976626">
        <w:rPr>
          <w:rFonts w:ascii="Times New Roman" w:hAnsi="Times New Roman"/>
          <w:sz w:val="28"/>
          <w:szCs w:val="28"/>
        </w:rPr>
        <w:t xml:space="preserve"> представляет собой собрание ОИС, подлежащих таможенной защите, куда они попадают на основании заявления правообладателя. ТРОИС выполняют одну из ключевых ролей в рамках таможенной защиты прав на ОИС, даже</w:t>
      </w:r>
      <w:r>
        <w:rPr>
          <w:rFonts w:ascii="Times New Roman" w:hAnsi="Times New Roman"/>
          <w:sz w:val="28"/>
          <w:szCs w:val="28"/>
        </w:rPr>
        <w:t>,</w:t>
      </w:r>
      <w:r w:rsidRPr="00976626">
        <w:rPr>
          <w:rFonts w:ascii="Times New Roman" w:hAnsi="Times New Roman"/>
          <w:sz w:val="28"/>
          <w:szCs w:val="28"/>
        </w:rPr>
        <w:t xml:space="preserve"> несмотря на то, что сам факт включения ОИС в ТРОИС никак не защищает прав</w:t>
      </w:r>
      <w:r>
        <w:rPr>
          <w:rFonts w:ascii="Times New Roman" w:hAnsi="Times New Roman"/>
          <w:sz w:val="28"/>
          <w:szCs w:val="28"/>
        </w:rPr>
        <w:t>о</w:t>
      </w:r>
      <w:r w:rsidRPr="00976626">
        <w:rPr>
          <w:rFonts w:ascii="Times New Roman" w:hAnsi="Times New Roman"/>
          <w:sz w:val="28"/>
          <w:szCs w:val="28"/>
        </w:rPr>
        <w:t xml:space="preserve"> правообладателя. Тем не менее, в отношении ОИС, включенных в ТРОИС, таможенные органы обязаны применять меры по защите исключительных прав в случае обнаружения товаров, обладающих признаками контрафактных [5].</w:t>
      </w:r>
    </w:p>
    <w:p w:rsidR="00F27DD9" w:rsidRPr="00976626" w:rsidRDefault="00805387" w:rsidP="00133BA2">
      <w:pPr>
        <w:spacing w:after="0" w:line="360" w:lineRule="auto"/>
        <w:ind w:firstLine="709"/>
        <w:jc w:val="both"/>
        <w:rPr>
          <w:rFonts w:ascii="Times New Roman" w:hAnsi="Times New Roman"/>
          <w:sz w:val="28"/>
          <w:szCs w:val="28"/>
        </w:rPr>
      </w:pPr>
      <w:r>
        <w:rPr>
          <w:rFonts w:ascii="Times New Roman" w:hAnsi="Times New Roman"/>
          <w:sz w:val="28"/>
          <w:szCs w:val="28"/>
        </w:rPr>
        <w:t>Однако</w:t>
      </w:r>
      <w:r w:rsidR="00F27DD9" w:rsidRPr="00976626">
        <w:rPr>
          <w:rFonts w:ascii="Times New Roman" w:hAnsi="Times New Roman"/>
          <w:sz w:val="28"/>
          <w:szCs w:val="28"/>
        </w:rPr>
        <w:t xml:space="preserve"> спустя более 7 лет после нормативного формирования, в ЕТРОИС не включено ни одного объекта интеллектуальной собственности. Таким образом, этот институт, объективно необходимый для высокого уровня таможенной защиты прав на ОИС в рамках интеграционного объединения, не функционирует. </w:t>
      </w:r>
      <w:r w:rsidR="00F27DD9">
        <w:rPr>
          <w:rFonts w:ascii="Times New Roman" w:hAnsi="Times New Roman"/>
          <w:sz w:val="28"/>
          <w:szCs w:val="28"/>
        </w:rPr>
        <w:t>Здесь, на наш взгляд, м</w:t>
      </w:r>
      <w:r w:rsidR="00F27DD9" w:rsidRPr="00976626">
        <w:rPr>
          <w:rFonts w:ascii="Times New Roman" w:hAnsi="Times New Roman"/>
          <w:sz w:val="28"/>
          <w:szCs w:val="28"/>
        </w:rPr>
        <w:t>ожно выделить следующие причины:</w:t>
      </w:r>
    </w:p>
    <w:p w:rsidR="00F27DD9" w:rsidRPr="00976626" w:rsidRDefault="00F27DD9" w:rsidP="00133BA2">
      <w:pPr>
        <w:spacing w:after="0" w:line="360" w:lineRule="auto"/>
        <w:ind w:firstLine="709"/>
        <w:jc w:val="both"/>
        <w:rPr>
          <w:rFonts w:ascii="Times New Roman" w:hAnsi="Times New Roman"/>
          <w:sz w:val="28"/>
          <w:szCs w:val="28"/>
        </w:rPr>
      </w:pPr>
      <w:r w:rsidRPr="00976626">
        <w:rPr>
          <w:rFonts w:ascii="Times New Roman" w:hAnsi="Times New Roman"/>
          <w:sz w:val="28"/>
          <w:szCs w:val="28"/>
        </w:rPr>
        <w:t>-  нежизнеспособность концепции [6];</w:t>
      </w:r>
    </w:p>
    <w:p w:rsidR="00F27DD9" w:rsidRPr="00976626" w:rsidRDefault="00F27DD9" w:rsidP="00133BA2">
      <w:pPr>
        <w:spacing w:after="0" w:line="360" w:lineRule="auto"/>
        <w:ind w:firstLine="709"/>
        <w:jc w:val="both"/>
        <w:rPr>
          <w:rFonts w:ascii="Times New Roman" w:hAnsi="Times New Roman"/>
          <w:sz w:val="28"/>
          <w:szCs w:val="28"/>
        </w:rPr>
      </w:pPr>
      <w:r w:rsidRPr="00976626">
        <w:rPr>
          <w:rFonts w:ascii="Times New Roman" w:hAnsi="Times New Roman"/>
          <w:sz w:val="28"/>
          <w:szCs w:val="28"/>
        </w:rPr>
        <w:t>- значительные материальные затраты правообладателей по включению ОИС в ЕТРОИС;</w:t>
      </w:r>
    </w:p>
    <w:p w:rsidR="00F27DD9" w:rsidRPr="00976626" w:rsidRDefault="00F27DD9" w:rsidP="00133BA2">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 существенные административные барьеры [7]. </w:t>
      </w:r>
    </w:p>
    <w:p w:rsidR="00F27DD9" w:rsidRPr="00976626" w:rsidRDefault="00F27DD9" w:rsidP="00896DC7">
      <w:pPr>
        <w:spacing w:line="360" w:lineRule="auto"/>
        <w:ind w:firstLine="709"/>
        <w:jc w:val="both"/>
        <w:rPr>
          <w:rFonts w:ascii="Times New Roman" w:hAnsi="Times New Roman"/>
          <w:sz w:val="28"/>
          <w:szCs w:val="28"/>
        </w:rPr>
      </w:pPr>
      <w:r w:rsidRPr="00976626">
        <w:rPr>
          <w:rFonts w:ascii="Times New Roman" w:hAnsi="Times New Roman"/>
          <w:sz w:val="28"/>
          <w:szCs w:val="28"/>
        </w:rPr>
        <w:t>Нежизнеспособность концепции определяется целым рядом факторов. В ЕТРОИС могут попасть только объекты, подлежащие защите во всех странах. Причем, исходя из формулировок, действовавших до 2018 г., не ясной оставал</w:t>
      </w:r>
      <w:r>
        <w:rPr>
          <w:rFonts w:ascii="Times New Roman" w:hAnsi="Times New Roman"/>
          <w:sz w:val="28"/>
          <w:szCs w:val="28"/>
        </w:rPr>
        <w:t>а</w:t>
      </w:r>
      <w:r w:rsidRPr="00976626">
        <w:rPr>
          <w:rFonts w:ascii="Times New Roman" w:hAnsi="Times New Roman"/>
          <w:sz w:val="28"/>
          <w:szCs w:val="28"/>
        </w:rPr>
        <w:t>сь возможность включения тождественных ОИС</w:t>
      </w:r>
      <w:r>
        <w:rPr>
          <w:rFonts w:ascii="Times New Roman" w:hAnsi="Times New Roman"/>
          <w:sz w:val="28"/>
          <w:szCs w:val="28"/>
        </w:rPr>
        <w:t>,</w:t>
      </w:r>
      <w:r w:rsidRPr="00976626">
        <w:rPr>
          <w:rFonts w:ascii="Times New Roman" w:hAnsi="Times New Roman"/>
          <w:sz w:val="28"/>
          <w:szCs w:val="28"/>
        </w:rPr>
        <w:t xml:space="preserve"> права на которые принадлежат различным правообладателям. Таким образом, теоретическая наполняемость ЕТРОИС определялась как пересечение ОИС, содержащихся в национальных ТРОИС стран ТС/ЕАЭС. </w:t>
      </w:r>
      <w:r>
        <w:rPr>
          <w:rFonts w:ascii="Times New Roman" w:hAnsi="Times New Roman"/>
          <w:sz w:val="28"/>
          <w:szCs w:val="28"/>
        </w:rPr>
        <w:t>Отметим</w:t>
      </w:r>
      <w:r w:rsidRPr="00976626">
        <w:rPr>
          <w:rFonts w:ascii="Times New Roman" w:hAnsi="Times New Roman"/>
          <w:sz w:val="28"/>
          <w:szCs w:val="28"/>
        </w:rPr>
        <w:t xml:space="preserve">, что таможенные реестры стран-членов ЕАЭС содержат </w:t>
      </w:r>
      <w:r>
        <w:rPr>
          <w:rFonts w:ascii="Times New Roman" w:hAnsi="Times New Roman"/>
          <w:sz w:val="28"/>
          <w:szCs w:val="28"/>
        </w:rPr>
        <w:t xml:space="preserve">существенно </w:t>
      </w:r>
      <w:r w:rsidRPr="00976626">
        <w:rPr>
          <w:rFonts w:ascii="Times New Roman" w:hAnsi="Times New Roman"/>
          <w:sz w:val="28"/>
          <w:szCs w:val="28"/>
        </w:rPr>
        <w:t>разное количество ОИС (рис</w:t>
      </w:r>
      <w:r w:rsidR="00805387">
        <w:rPr>
          <w:rFonts w:ascii="Times New Roman" w:hAnsi="Times New Roman"/>
          <w:sz w:val="28"/>
          <w:szCs w:val="28"/>
        </w:rPr>
        <w:t>.</w:t>
      </w:r>
      <w:r w:rsidRPr="00976626">
        <w:rPr>
          <w:rFonts w:ascii="Times New Roman" w:hAnsi="Times New Roman"/>
          <w:sz w:val="28"/>
          <w:szCs w:val="28"/>
        </w:rPr>
        <w:t xml:space="preserve"> 1). Количество ОИС, подлежащих таможенной защите на основе включения в реестр в России</w:t>
      </w:r>
      <w:r>
        <w:rPr>
          <w:rFonts w:ascii="Times New Roman" w:hAnsi="Times New Roman"/>
          <w:sz w:val="28"/>
          <w:szCs w:val="28"/>
        </w:rPr>
        <w:t>,</w:t>
      </w:r>
      <w:r w:rsidRPr="00976626">
        <w:rPr>
          <w:rFonts w:ascii="Times New Roman" w:hAnsi="Times New Roman"/>
          <w:sz w:val="28"/>
          <w:szCs w:val="28"/>
        </w:rPr>
        <w:t xml:space="preserve"> в 5 раз больше, чем в других странах Союза, а в сравнении с такими странами как Армения, Киргизия и Белорусси</w:t>
      </w:r>
      <w:r>
        <w:rPr>
          <w:rFonts w:ascii="Times New Roman" w:hAnsi="Times New Roman"/>
          <w:sz w:val="28"/>
          <w:szCs w:val="28"/>
        </w:rPr>
        <w:t>я</w:t>
      </w:r>
      <w:r w:rsidRPr="00976626">
        <w:rPr>
          <w:rFonts w:ascii="Times New Roman" w:hAnsi="Times New Roman"/>
          <w:sz w:val="28"/>
          <w:szCs w:val="28"/>
        </w:rPr>
        <w:t xml:space="preserve"> – в 15 раз. </w:t>
      </w:r>
    </w:p>
    <w:p w:rsidR="00F27DD9" w:rsidRPr="00976626" w:rsidRDefault="00FB3004" w:rsidP="00133BA2">
      <w:pPr>
        <w:spacing w:line="348" w:lineRule="auto"/>
        <w:jc w:val="center"/>
        <w:rPr>
          <w:color w:val="000000"/>
          <w:szCs w:val="28"/>
        </w:rPr>
      </w:pPr>
      <w:r>
        <w:rPr>
          <w:noProof/>
          <w:lang w:eastAsia="ru-RU"/>
        </w:rPr>
        <w:drawing>
          <wp:inline distT="0" distB="0" distL="0" distR="0">
            <wp:extent cx="4525645" cy="2070100"/>
            <wp:effectExtent l="0" t="0" r="8255" b="635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27DD9" w:rsidRPr="00976626" w:rsidRDefault="00F27DD9" w:rsidP="00133BA2">
      <w:pPr>
        <w:spacing w:after="600" w:line="240" w:lineRule="auto"/>
        <w:jc w:val="center"/>
        <w:rPr>
          <w:rFonts w:ascii="Times New Roman" w:hAnsi="Times New Roman"/>
          <w:color w:val="000000"/>
          <w:sz w:val="28"/>
          <w:szCs w:val="28"/>
        </w:rPr>
      </w:pPr>
      <w:r w:rsidRPr="00976626">
        <w:rPr>
          <w:rFonts w:ascii="Times New Roman" w:hAnsi="Times New Roman"/>
          <w:color w:val="000000"/>
          <w:sz w:val="28"/>
          <w:szCs w:val="28"/>
        </w:rPr>
        <w:t>Рисунок 1 − Количество записей в ТРОИС стран-членов ЕАЭС, шт.</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Другим сдерживающим фактором, по нашему мнению, является сама процедура принятия решения о включении ОИС в ЕТРОИС. Заявление правообладателя должно одновременно удовлетворять требованиям всех государств по включению ОИС в национальные ТРОИС. Более того, единые требования до сих пор отсутствуют. Таким образом, ЕТРОИС является не полноценным единым реестром. При включении в него ОИС правообладатель должен одновременно выполнить условия и требования всех национальных законодательств в области интеллектуальной собственности и правил включения в национальные ТРОИС. Институт ЕТРОИС лишь позволяет правообладателю подать одно заявление и пройти централизованную, единую проверку всеми таможенными органами ЕАЭС.</w:t>
      </w:r>
    </w:p>
    <w:p w:rsidR="00F27DD9" w:rsidRPr="00AC775C"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Фактором, значительно усложня</w:t>
      </w:r>
      <w:r>
        <w:rPr>
          <w:rFonts w:ascii="Times New Roman" w:hAnsi="Times New Roman"/>
          <w:sz w:val="28"/>
          <w:szCs w:val="28"/>
        </w:rPr>
        <w:t>ющим</w:t>
      </w:r>
      <w:r w:rsidRPr="00976626">
        <w:rPr>
          <w:rFonts w:ascii="Times New Roman" w:hAnsi="Times New Roman"/>
          <w:sz w:val="28"/>
          <w:szCs w:val="28"/>
        </w:rPr>
        <w:t xml:space="preserve"> процедуру включения в ЕТРОИС, было условие предоставления о залога или равноценной гарантии [6]. Право требовать от правообладателя залог или гарантию предусмотрен</w:t>
      </w:r>
      <w:r w:rsidR="00805387">
        <w:rPr>
          <w:rFonts w:ascii="Times New Roman" w:hAnsi="Times New Roman"/>
          <w:sz w:val="28"/>
          <w:szCs w:val="28"/>
        </w:rPr>
        <w:t>о</w:t>
      </w:r>
      <w:r w:rsidRPr="00976626">
        <w:rPr>
          <w:rFonts w:ascii="Times New Roman" w:hAnsi="Times New Roman"/>
          <w:sz w:val="28"/>
          <w:szCs w:val="28"/>
        </w:rPr>
        <w:t xml:space="preserve"> требованиями Соглашения по торговым аспектам прав на ОИС (ТРИПС). Необходимость залог</w:t>
      </w:r>
      <w:r>
        <w:rPr>
          <w:rFonts w:ascii="Times New Roman" w:hAnsi="Times New Roman"/>
          <w:sz w:val="28"/>
          <w:szCs w:val="28"/>
        </w:rPr>
        <w:t>а</w:t>
      </w:r>
      <w:r w:rsidRPr="00976626">
        <w:rPr>
          <w:rFonts w:ascii="Times New Roman" w:hAnsi="Times New Roman"/>
          <w:sz w:val="28"/>
          <w:szCs w:val="28"/>
        </w:rPr>
        <w:t xml:space="preserve"> или равноценной гарантии обуславливается вероятностью ситуации, когда по вине неправомерных действий (решений) правообладателя действиями таможенных органов будет нанесен материальный ущерб декларанту. Порядок таможенной защиты предполагает, </w:t>
      </w:r>
      <w:r w:rsidRPr="00AC775C">
        <w:rPr>
          <w:rFonts w:ascii="Times New Roman" w:hAnsi="Times New Roman"/>
          <w:sz w:val="28"/>
          <w:szCs w:val="28"/>
        </w:rPr>
        <w:t>что в случае обнаружения товаров, обладающих признаками контрафактных, их выпуск приостанавливается на срок до 10 дней для ОИС, или до 7 дней, если ОИС не включен в ТРОИС.</w:t>
      </w:r>
    </w:p>
    <w:p w:rsidR="00F27DD9" w:rsidRPr="00976626" w:rsidRDefault="00F27DD9" w:rsidP="005A2021">
      <w:pPr>
        <w:spacing w:after="0" w:line="360" w:lineRule="auto"/>
        <w:ind w:firstLine="709"/>
        <w:jc w:val="both"/>
        <w:rPr>
          <w:rFonts w:ascii="Times New Roman" w:hAnsi="Times New Roman"/>
          <w:sz w:val="28"/>
          <w:szCs w:val="28"/>
        </w:rPr>
      </w:pPr>
      <w:r w:rsidRPr="00AC775C">
        <w:rPr>
          <w:rFonts w:ascii="Times New Roman" w:hAnsi="Times New Roman"/>
          <w:sz w:val="28"/>
          <w:szCs w:val="28"/>
        </w:rPr>
        <w:t>Дальнейшая процедура предполагает обращение к правообладателю</w:t>
      </w:r>
      <w:r w:rsidRPr="00976626">
        <w:rPr>
          <w:rFonts w:ascii="Times New Roman" w:hAnsi="Times New Roman"/>
          <w:sz w:val="28"/>
          <w:szCs w:val="28"/>
        </w:rPr>
        <w:t xml:space="preserve">, который должен принять решение, являются ли эти товары контрафактными и желает ли он отстаивать свои права в судебном порядке. В случае положительного решения срок приостановления выпуска товаров продлевается еще на 10 дней. Однако, если выяснится, что действия правообладателя были умышленно не верными, то получается, что декларант понес убытки, причиненные таможенными органами. В то же время, истинным виновником издержек является правообладатель. В подобных ситуациях и должен использоваться залог или страховой полис – его применяют, чтобы покрыть убытки декларанта. </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Для включения ОИС в ЕТРОИС требуется предоставление страхового полиса на сумму не менее эквивалента 10000 Евро. Данный полис должен быть действителен во всех странах ЕАЭС. Если получение полиса, действительного во всех странах, невозможно, то необходимо получение (и оплата) нескольких полисов, совокупно действующих во всех государствах ЕАЭС.</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Вступление в силу Таможенного кодекса стран ЕАЭС, а также издание Решения Коллегии Евразийской экономической комиссии от 06.03.2018 № 35</w:t>
      </w:r>
      <w:r w:rsidRPr="00976626">
        <w:rPr>
          <w:rStyle w:val="a7"/>
          <w:rFonts w:ascii="Times New Roman" w:hAnsi="Times New Roman"/>
          <w:sz w:val="28"/>
          <w:szCs w:val="28"/>
        </w:rPr>
        <w:footnoteReference w:id="1"/>
      </w:r>
      <w:r w:rsidRPr="00976626">
        <w:rPr>
          <w:rFonts w:ascii="Times New Roman" w:hAnsi="Times New Roman"/>
          <w:sz w:val="28"/>
          <w:szCs w:val="28"/>
        </w:rPr>
        <w:t xml:space="preserve"> достаточно существенно реформировало отдельные составляющие ЕТРОИС, а также процедуры включения ОИС в него (таблица 1).</w:t>
      </w:r>
    </w:p>
    <w:p w:rsidR="00F27DD9" w:rsidRPr="00976626" w:rsidRDefault="00F27DD9" w:rsidP="00097168">
      <w:pPr>
        <w:spacing w:after="0" w:line="360" w:lineRule="auto"/>
        <w:ind w:firstLine="709"/>
        <w:jc w:val="both"/>
        <w:rPr>
          <w:rFonts w:ascii="Times New Roman" w:hAnsi="Times New Roman"/>
          <w:sz w:val="28"/>
          <w:szCs w:val="28"/>
        </w:rPr>
      </w:pPr>
      <w:r w:rsidRPr="00976626">
        <w:rPr>
          <w:rFonts w:ascii="Times New Roman" w:hAnsi="Times New Roman"/>
          <w:sz w:val="28"/>
          <w:szCs w:val="28"/>
        </w:rPr>
        <w:t>Ранее правообладателю требовалось заключить договор страхования ответственности за причинение имущественного вреда в связи с приостановлением выпуска товаров (уплатив его стоимость) до приятия решения о включении ОИС в ЕТРОИС. Новый Таможенный кодекс допускает возможность предоставить на момент подачи заявления только письменное обязательство, заверенное правообладателем (приложени</w:t>
      </w:r>
      <w:r>
        <w:rPr>
          <w:rFonts w:ascii="Times New Roman" w:hAnsi="Times New Roman"/>
          <w:sz w:val="28"/>
          <w:szCs w:val="28"/>
        </w:rPr>
        <w:t>е</w:t>
      </w:r>
      <w:r w:rsidRPr="00976626">
        <w:rPr>
          <w:rFonts w:ascii="Times New Roman" w:hAnsi="Times New Roman"/>
          <w:sz w:val="28"/>
          <w:szCs w:val="28"/>
        </w:rPr>
        <w:t xml:space="preserve"> 4 Решения Коллегии Евразийской экономической комиссии от 06.03.2018 № 35), а фактическое предоставление договора страхования потребуется лишь в случае получения положительного решения о включении ОИС в ЕТРОИС (в течение 1 месяца, п.</w:t>
      </w:r>
      <w:r>
        <w:rPr>
          <w:rFonts w:ascii="Times New Roman" w:hAnsi="Times New Roman"/>
          <w:sz w:val="28"/>
          <w:szCs w:val="28"/>
        </w:rPr>
        <w:t xml:space="preserve"> </w:t>
      </w:r>
      <w:r w:rsidRPr="00976626">
        <w:rPr>
          <w:rFonts w:ascii="Times New Roman" w:hAnsi="Times New Roman"/>
          <w:sz w:val="28"/>
          <w:szCs w:val="28"/>
        </w:rPr>
        <w:t>11 ст. 385 ТК ЕАЭС). Таким образом, исключены потенциальные неоправданные издержки правообладателя, связанные с предоставлением договора страхования ответственности при подаче заявления о включении ОИС в ЕТРОИС. Это изменение должно позитивно повлиять на привлекательность включения ОИС в ЕТРОИС, в который, как отмечалось ранее, за 7 лет существования так и не включено ни одного ОИС.</w:t>
      </w:r>
    </w:p>
    <w:p w:rsidR="00F27DD9" w:rsidRPr="00976626" w:rsidRDefault="00F27DD9" w:rsidP="005A2021">
      <w:pPr>
        <w:spacing w:after="0" w:line="360" w:lineRule="auto"/>
        <w:ind w:firstLine="709"/>
        <w:jc w:val="both"/>
        <w:rPr>
          <w:rFonts w:ascii="Times New Roman" w:hAnsi="Times New Roman"/>
          <w:sz w:val="28"/>
          <w:szCs w:val="28"/>
        </w:rPr>
      </w:pPr>
    </w:p>
    <w:p w:rsidR="00F27DD9" w:rsidRPr="00976626" w:rsidRDefault="00F27DD9" w:rsidP="00896DC7">
      <w:pPr>
        <w:spacing w:after="0" w:line="240" w:lineRule="auto"/>
        <w:ind w:firstLine="709"/>
        <w:jc w:val="center"/>
        <w:rPr>
          <w:rFonts w:ascii="Times New Roman" w:hAnsi="Times New Roman"/>
          <w:sz w:val="28"/>
          <w:szCs w:val="28"/>
        </w:rPr>
      </w:pPr>
      <w:r w:rsidRPr="00976626">
        <w:rPr>
          <w:rFonts w:ascii="Times New Roman" w:hAnsi="Times New Roman"/>
          <w:sz w:val="28"/>
          <w:szCs w:val="28"/>
        </w:rPr>
        <w:t>Таблица 1. Наиболее значимые изменения ЕТРОИС в соответствии с ТК ЕАЭС и РК ЕЭК №35</w:t>
      </w:r>
    </w:p>
    <w:tbl>
      <w:tblPr>
        <w:tblW w:w="4895" w:type="pct"/>
        <w:tblLayout w:type="fixed"/>
        <w:tblLook w:val="00A0" w:firstRow="1" w:lastRow="0" w:firstColumn="1" w:lastColumn="0" w:noHBand="0" w:noVBand="0"/>
      </w:tblPr>
      <w:tblGrid>
        <w:gridCol w:w="4327"/>
        <w:gridCol w:w="5099"/>
      </w:tblGrid>
      <w:tr w:rsidR="00F27DD9" w:rsidRPr="00976626" w:rsidTr="00776650">
        <w:trPr>
          <w:trHeight w:val="300"/>
        </w:trPr>
        <w:tc>
          <w:tcPr>
            <w:tcW w:w="2295" w:type="pct"/>
            <w:tcBorders>
              <w:top w:val="single" w:sz="4" w:space="0" w:color="auto"/>
              <w:left w:val="single" w:sz="4" w:space="0" w:color="auto"/>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Сфера</w:t>
            </w:r>
          </w:p>
        </w:tc>
        <w:tc>
          <w:tcPr>
            <w:tcW w:w="2705" w:type="pct"/>
            <w:tcBorders>
              <w:top w:val="single" w:sz="4" w:space="0" w:color="auto"/>
              <w:left w:val="nil"/>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Изменения</w:t>
            </w:r>
          </w:p>
        </w:tc>
      </w:tr>
      <w:tr w:rsidR="00F27DD9" w:rsidRPr="00976626" w:rsidTr="00776650">
        <w:trPr>
          <w:trHeight w:val="375"/>
        </w:trPr>
        <w:tc>
          <w:tcPr>
            <w:tcW w:w="2295" w:type="pct"/>
            <w:tcBorders>
              <w:top w:val="nil"/>
              <w:left w:val="single" w:sz="4" w:space="0" w:color="auto"/>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Обеспечение</w:t>
            </w:r>
          </w:p>
        </w:tc>
        <w:tc>
          <w:tcPr>
            <w:tcW w:w="2705" w:type="pct"/>
            <w:tcBorders>
              <w:top w:val="nil"/>
              <w:left w:val="nil"/>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 xml:space="preserve">Допускается возможность предоставить на момент подачи заявления только письменное обязательство, заверенное правообладателем.  Фактическое предоставление договора страхования потребуется лишь в случае получения положительного решения о включении ОИС в ЕТРОИС </w:t>
            </w:r>
          </w:p>
        </w:tc>
      </w:tr>
      <w:tr w:rsidR="00F27DD9" w:rsidRPr="00976626" w:rsidTr="00776650">
        <w:trPr>
          <w:trHeight w:val="300"/>
        </w:trPr>
        <w:tc>
          <w:tcPr>
            <w:tcW w:w="2295" w:type="pct"/>
            <w:tcBorders>
              <w:top w:val="nil"/>
              <w:left w:val="single" w:sz="4" w:space="0" w:color="auto"/>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Виды ОИС, подлежащие включению</w:t>
            </w:r>
          </w:p>
        </w:tc>
        <w:tc>
          <w:tcPr>
            <w:tcW w:w="2705" w:type="pct"/>
            <w:tcBorders>
              <w:top w:val="nil"/>
              <w:left w:val="nil"/>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Наименования мест происхождения товаров больше не подлежат включению в ЕТРОИС</w:t>
            </w:r>
          </w:p>
        </w:tc>
      </w:tr>
      <w:tr w:rsidR="00F27DD9" w:rsidRPr="00976626" w:rsidTr="00776650">
        <w:trPr>
          <w:trHeight w:val="300"/>
        </w:trPr>
        <w:tc>
          <w:tcPr>
            <w:tcW w:w="2295" w:type="pct"/>
            <w:tcBorders>
              <w:top w:val="nil"/>
              <w:left w:val="single" w:sz="4" w:space="0" w:color="auto"/>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Процедура подачи заявления</w:t>
            </w:r>
          </w:p>
        </w:tc>
        <w:tc>
          <w:tcPr>
            <w:tcW w:w="2705" w:type="pct"/>
            <w:tcBorders>
              <w:top w:val="nil"/>
              <w:left w:val="nil"/>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Использование личного кабинета, информационных технологий, максимальная формализация перечня сведений и способа их подачи</w:t>
            </w:r>
          </w:p>
        </w:tc>
      </w:tr>
      <w:tr w:rsidR="00F27DD9" w:rsidRPr="00976626" w:rsidTr="00776650">
        <w:trPr>
          <w:trHeight w:val="300"/>
        </w:trPr>
        <w:tc>
          <w:tcPr>
            <w:tcW w:w="2295" w:type="pct"/>
            <w:tcBorders>
              <w:top w:val="nil"/>
              <w:left w:val="single" w:sz="4" w:space="0" w:color="auto"/>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Сведения и документы, требующиеся при подаче заявления</w:t>
            </w:r>
          </w:p>
        </w:tc>
        <w:tc>
          <w:tcPr>
            <w:tcW w:w="2705" w:type="pct"/>
            <w:tcBorders>
              <w:top w:val="nil"/>
              <w:left w:val="nil"/>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Возможность правообладателя определить критерии (стоимостные и количественные), при которых он не рассматривает перемещение товаров как нарушение своих прав</w:t>
            </w:r>
          </w:p>
        </w:tc>
      </w:tr>
      <w:tr w:rsidR="00F27DD9" w:rsidRPr="00976626" w:rsidTr="00776650">
        <w:trPr>
          <w:trHeight w:val="300"/>
        </w:trPr>
        <w:tc>
          <w:tcPr>
            <w:tcW w:w="2295" w:type="pct"/>
            <w:tcBorders>
              <w:top w:val="nil"/>
              <w:left w:val="single" w:sz="4" w:space="0" w:color="auto"/>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Порядок рассмотрения заявления</w:t>
            </w:r>
          </w:p>
        </w:tc>
        <w:tc>
          <w:tcPr>
            <w:tcW w:w="2705" w:type="pct"/>
            <w:tcBorders>
              <w:top w:val="nil"/>
              <w:left w:val="nil"/>
              <w:bottom w:val="single" w:sz="4" w:space="0" w:color="auto"/>
              <w:right w:val="single" w:sz="4" w:space="0" w:color="auto"/>
            </w:tcBorders>
            <w:noWrap/>
            <w:vAlign w:val="center"/>
          </w:tcPr>
          <w:p w:rsidR="00F27DD9" w:rsidRPr="00976626" w:rsidRDefault="00F27DD9" w:rsidP="00D7467E">
            <w:pPr>
              <w:spacing w:after="0" w:line="240" w:lineRule="auto"/>
              <w:rPr>
                <w:rFonts w:ascii="Times New Roman" w:hAnsi="Times New Roman"/>
                <w:color w:val="000000"/>
                <w:sz w:val="24"/>
                <w:szCs w:val="24"/>
                <w:lang w:eastAsia="ru-RU"/>
              </w:rPr>
            </w:pPr>
            <w:r w:rsidRPr="00976626">
              <w:rPr>
                <w:rFonts w:ascii="Times New Roman" w:hAnsi="Times New Roman"/>
                <w:color w:val="000000"/>
                <w:sz w:val="24"/>
                <w:szCs w:val="24"/>
                <w:lang w:eastAsia="ru-RU"/>
              </w:rPr>
              <w:t>Существенных изменений нет</w:t>
            </w:r>
          </w:p>
        </w:tc>
      </w:tr>
    </w:tbl>
    <w:p w:rsidR="00F27DD9" w:rsidRPr="00976626" w:rsidRDefault="00F27DD9" w:rsidP="005A2021">
      <w:pPr>
        <w:spacing w:after="0" w:line="360" w:lineRule="auto"/>
        <w:ind w:firstLine="709"/>
        <w:jc w:val="both"/>
        <w:rPr>
          <w:rFonts w:ascii="Times New Roman" w:hAnsi="Times New Roman"/>
          <w:sz w:val="28"/>
          <w:szCs w:val="28"/>
        </w:rPr>
      </w:pP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Снижены административные барьеры на пути включения ОИС в ЕТРОИС. Отметим, что формирование заявления и регистрационных форм в электронном виде осуществляется из личного кабинета заявителя (правообладателя). Первый положительный эффект – возможность осуществления автоматической проверки структуры</w:t>
      </w:r>
      <w:r>
        <w:rPr>
          <w:rFonts w:ascii="Times New Roman" w:hAnsi="Times New Roman"/>
          <w:sz w:val="28"/>
          <w:szCs w:val="28"/>
        </w:rPr>
        <w:t>,</w:t>
      </w:r>
      <w:r w:rsidRPr="00976626">
        <w:rPr>
          <w:rFonts w:ascii="Times New Roman" w:hAnsi="Times New Roman"/>
          <w:sz w:val="28"/>
          <w:szCs w:val="28"/>
        </w:rPr>
        <w:t xml:space="preserve"> полноты и правильности указываемых сведений. В случае некорректности сведений правообладатель мгновенно получит уведомление. </w:t>
      </w:r>
      <w:r>
        <w:rPr>
          <w:rFonts w:ascii="Times New Roman" w:hAnsi="Times New Roman"/>
          <w:sz w:val="28"/>
          <w:szCs w:val="28"/>
        </w:rPr>
        <w:t>Р</w:t>
      </w:r>
      <w:r w:rsidRPr="00976626">
        <w:rPr>
          <w:rFonts w:ascii="Times New Roman" w:hAnsi="Times New Roman"/>
          <w:sz w:val="28"/>
          <w:szCs w:val="28"/>
        </w:rPr>
        <w:t xml:space="preserve">анее отказ в рассмотрении заявления из-за неполного комплекта документов мог поступить в срок до 40 дней. Таким образом, контроль в момент подачи заявления, пусть и формальный, может существенно сэкономить временные ресурсы правообладателей. </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Еще одним важным нововведением является возможность правообладателя определить критерии (стоимостные и количественные)</w:t>
      </w:r>
      <w:r>
        <w:rPr>
          <w:rFonts w:ascii="Times New Roman" w:hAnsi="Times New Roman"/>
          <w:sz w:val="28"/>
          <w:szCs w:val="28"/>
        </w:rPr>
        <w:t>,</w:t>
      </w:r>
      <w:r w:rsidRPr="00976626">
        <w:rPr>
          <w:rFonts w:ascii="Times New Roman" w:hAnsi="Times New Roman"/>
          <w:sz w:val="28"/>
          <w:szCs w:val="28"/>
        </w:rPr>
        <w:t xml:space="preserve"> при которых он не рассматривает перемещение товаров как нарушение своих прав. Это очевидное преимущество как для правообладателя, так и для таможенных органов. </w:t>
      </w:r>
    </w:p>
    <w:p w:rsidR="00F27DD9" w:rsidRPr="00976626" w:rsidRDefault="00F27DD9" w:rsidP="00EB4B61">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На практике существует парадокс: без подтверждения правообладателя, что ввоз будет сопряжен с нарушением его исключительных прав на ОИС, даже в случае полной очевидности контрафактности перемещаемых товаров, таможенные органы не в праве предпринять </w:t>
      </w:r>
      <w:r>
        <w:rPr>
          <w:rFonts w:ascii="Times New Roman" w:hAnsi="Times New Roman"/>
          <w:sz w:val="28"/>
          <w:szCs w:val="28"/>
        </w:rPr>
        <w:t>какие-либо действия,</w:t>
      </w:r>
      <w:r w:rsidRPr="00976626">
        <w:rPr>
          <w:rFonts w:ascii="Times New Roman" w:hAnsi="Times New Roman"/>
          <w:sz w:val="28"/>
          <w:szCs w:val="28"/>
        </w:rPr>
        <w:t xml:space="preserve"> кроме временного приостановления выпуска товаров. К сожалению, в силу различных причин, 30-50% запросов таможенных органов к правообладателям оста</w:t>
      </w:r>
      <w:r>
        <w:rPr>
          <w:rFonts w:ascii="Times New Roman" w:hAnsi="Times New Roman"/>
          <w:sz w:val="28"/>
          <w:szCs w:val="28"/>
        </w:rPr>
        <w:t>ются</w:t>
      </w:r>
      <w:r w:rsidRPr="00976626">
        <w:rPr>
          <w:rFonts w:ascii="Times New Roman" w:hAnsi="Times New Roman"/>
          <w:sz w:val="28"/>
          <w:szCs w:val="28"/>
        </w:rPr>
        <w:t xml:space="preserve"> без ответа.</w:t>
      </w:r>
      <w:r w:rsidR="00E6323E">
        <w:rPr>
          <w:rFonts w:ascii="Times New Roman" w:hAnsi="Times New Roman"/>
          <w:sz w:val="28"/>
          <w:szCs w:val="28"/>
        </w:rPr>
        <w:t xml:space="preserve"> </w:t>
      </w:r>
      <w:r w:rsidRPr="00976626">
        <w:rPr>
          <w:rFonts w:ascii="Times New Roman" w:hAnsi="Times New Roman"/>
          <w:sz w:val="28"/>
          <w:szCs w:val="28"/>
        </w:rPr>
        <w:t xml:space="preserve">В случае отсутствия ответа правообладателя таможенные органы обязаны возобновить выпуск товара, и потенциально контрафактные товары беспрепятственно попадут на территорию ЕАЭС [8]. Таким образом, эффективная таможенная защита прав на ОИС не может существовать без активного участия правообладателей. </w:t>
      </w:r>
    </w:p>
    <w:p w:rsidR="00F27DD9" w:rsidRPr="00976626" w:rsidRDefault="00F27DD9" w:rsidP="00377093">
      <w:pPr>
        <w:spacing w:after="0" w:line="360" w:lineRule="auto"/>
        <w:ind w:firstLine="709"/>
        <w:jc w:val="both"/>
        <w:rPr>
          <w:rFonts w:ascii="Times New Roman" w:hAnsi="Times New Roman"/>
          <w:sz w:val="28"/>
          <w:szCs w:val="28"/>
        </w:rPr>
      </w:pPr>
      <w:r w:rsidRPr="00976626">
        <w:rPr>
          <w:rFonts w:ascii="Times New Roman" w:hAnsi="Times New Roman"/>
          <w:sz w:val="28"/>
          <w:szCs w:val="28"/>
        </w:rPr>
        <w:t>Известны случаи, когда правообладатель намеренно игнорирует запросы таможенных органов, поскольку не хочет втягиваться в судебные тяжбы, считая, что возможные затраты несоразмерны с ущербом, наносимым ему декларант</w:t>
      </w:r>
      <w:r w:rsidR="00E6323E">
        <w:rPr>
          <w:rFonts w:ascii="Times New Roman" w:hAnsi="Times New Roman"/>
          <w:sz w:val="28"/>
          <w:szCs w:val="28"/>
        </w:rPr>
        <w:t>ом</w:t>
      </w:r>
      <w:r w:rsidRPr="00976626">
        <w:rPr>
          <w:rFonts w:ascii="Times New Roman" w:hAnsi="Times New Roman"/>
          <w:sz w:val="28"/>
          <w:szCs w:val="28"/>
        </w:rPr>
        <w:t>. Ведь судебные издержки будут сопоставимы для партий стоимостью 100 долл. США и 10 тыс. долл. США. Новая возможность определить случаи, при которых правообладатель не рассматривает перемещение товаров как нарушение своих прав (или считает нарушение такое не заслуживающим внимания) позволяет минимизировать количество неоправданных приостановлений выпуска товаров, что сэкономит ресурсы как таможенных органов, так и самих правообладателей. Плюс минимизирует случаи неоправданных временных и финансовых потерь декларантов, вызванных приостановлением выпуска товаров.</w:t>
      </w:r>
      <w:r>
        <w:rPr>
          <w:rFonts w:ascii="Times New Roman" w:hAnsi="Times New Roman"/>
          <w:sz w:val="28"/>
          <w:szCs w:val="28"/>
        </w:rPr>
        <w:t xml:space="preserve"> </w:t>
      </w:r>
      <w:r w:rsidRPr="00976626">
        <w:rPr>
          <w:rFonts w:ascii="Times New Roman" w:hAnsi="Times New Roman"/>
          <w:sz w:val="28"/>
          <w:szCs w:val="28"/>
        </w:rPr>
        <w:t xml:space="preserve">Для таможенных органов это также, несомненно, положительное изменение – минимизируются случаи неоправданного расхода трудовых и иных ресурсов таможенных органов. </w:t>
      </w:r>
    </w:p>
    <w:p w:rsidR="00F27DD9" w:rsidRPr="00976626" w:rsidRDefault="00F27DD9" w:rsidP="005A2021">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Наряду с объективными конструктивными направлениями развития института ЕТРОИС, существуют и изменения, которые можно назвать регрессом. Так Решением Коллегии Евразийской экономической комиссии от 06.03.2018 № 35 сокращено число видов ОИС, потенциально подлежащих включению в ЕТРОИС. Из списка выведены наименования мест происхождения товаров. Причины такого решения лежат за пределами области таможенной защиты и </w:t>
      </w:r>
      <w:r>
        <w:rPr>
          <w:rFonts w:ascii="Times New Roman" w:hAnsi="Times New Roman"/>
          <w:sz w:val="28"/>
          <w:szCs w:val="28"/>
        </w:rPr>
        <w:t>находятся</w:t>
      </w:r>
      <w:r w:rsidRPr="00976626">
        <w:rPr>
          <w:rFonts w:ascii="Times New Roman" w:hAnsi="Times New Roman"/>
          <w:sz w:val="28"/>
          <w:szCs w:val="28"/>
        </w:rPr>
        <w:t xml:space="preserve"> в сфере норм гражданского законодательства об ИС. Тем не менее, сокращение перечня ОИС еще больше сужает потенциальный объем ЕТРОИС, который и без того не сильно велик. Напомним, что одной из задач ЕТРОИС является обеспечения эквивалентного перечня ОИС, подлежащих таможенной защите на всем протяжении таможенной границы ЕАЭС.</w:t>
      </w:r>
    </w:p>
    <w:p w:rsidR="00F27DD9" w:rsidRPr="00976626" w:rsidRDefault="00F27DD9" w:rsidP="00434A38">
      <w:pPr>
        <w:spacing w:after="0" w:line="360" w:lineRule="auto"/>
        <w:ind w:firstLine="709"/>
        <w:jc w:val="both"/>
        <w:rPr>
          <w:rFonts w:ascii="Times New Roman" w:hAnsi="Times New Roman"/>
          <w:sz w:val="28"/>
          <w:szCs w:val="28"/>
        </w:rPr>
      </w:pPr>
      <w:r w:rsidRPr="00976626">
        <w:rPr>
          <w:rFonts w:ascii="Times New Roman" w:hAnsi="Times New Roman"/>
          <w:sz w:val="28"/>
          <w:szCs w:val="28"/>
        </w:rPr>
        <w:t>Таким образом, несмотря на то, что с принятием ТК ЕАЭС и сопутствующих нормативно-правовых актов институт ЕТРОИС получил существенное развитие (наряду с некоторым регрессом), отметим, что в существующем виде эти изменения не способны «оживить» и заставить работать созданный более 7 лет назад институт. Требуется дополнительное совершенствование нормативно-правовой основы функционирования ЕТРОИС на межгосударственном уровне ЕАЭС.</w:t>
      </w:r>
    </w:p>
    <w:p w:rsidR="00F27DD9" w:rsidRPr="00976626" w:rsidRDefault="00F27DD9">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Возможно, стоит пересмотреть существующие походы к формированию ЕТРОИС. Главная задача ЕТРОИС – формирование ресурса, хранящего информацию о всех ОИС, подлежащих таможенной защите в странах ЕАЭС. Однако, в существующем виде отказ от национальных ТРОИС невозможен. А необходимость параллельного существования ЕТРОИС и национальных ТРОИС сомнительна. </w:t>
      </w:r>
    </w:p>
    <w:p w:rsidR="00F27DD9" w:rsidRPr="00976626" w:rsidRDefault="00F27DD9" w:rsidP="00AC5102">
      <w:pPr>
        <w:spacing w:after="0" w:line="360" w:lineRule="auto"/>
        <w:ind w:firstLine="709"/>
        <w:jc w:val="both"/>
        <w:rPr>
          <w:rFonts w:ascii="Times New Roman" w:hAnsi="Times New Roman"/>
          <w:sz w:val="28"/>
          <w:szCs w:val="28"/>
        </w:rPr>
      </w:pPr>
      <w:r w:rsidRPr="00976626">
        <w:rPr>
          <w:rFonts w:ascii="Times New Roman" w:hAnsi="Times New Roman"/>
          <w:sz w:val="28"/>
          <w:szCs w:val="28"/>
        </w:rPr>
        <w:t>Возможной альтернативой развития модели ТРОИС в рамках ЕАЭС может стать переход к общему ТРОИС стран ЕАЭС (ОТРОИС). Такая модель подразумевает полный отказ от ТРОИС</w:t>
      </w:r>
      <w:r>
        <w:rPr>
          <w:rFonts w:ascii="Times New Roman" w:hAnsi="Times New Roman"/>
          <w:sz w:val="28"/>
          <w:szCs w:val="28"/>
        </w:rPr>
        <w:t>,</w:t>
      </w:r>
      <w:r w:rsidRPr="00976626">
        <w:rPr>
          <w:rFonts w:ascii="Times New Roman" w:hAnsi="Times New Roman"/>
          <w:sz w:val="28"/>
          <w:szCs w:val="28"/>
        </w:rPr>
        <w:t xml:space="preserve"> существующих в настоящем виде. Это становится возможным за счет того, что модель ОТРОИС предполагает один информационный источник, содержащий в себе сведения обо всех ОИС, подлежащих таможенной защите, хотя бы в одной из стран Союза. Основой ОТРОИС должна стать база данных</w:t>
      </w:r>
      <w:r>
        <w:rPr>
          <w:rFonts w:ascii="Times New Roman" w:hAnsi="Times New Roman"/>
          <w:sz w:val="28"/>
          <w:szCs w:val="28"/>
        </w:rPr>
        <w:t>,</w:t>
      </w:r>
      <w:r w:rsidRPr="00976626">
        <w:rPr>
          <w:rFonts w:ascii="Times New Roman" w:hAnsi="Times New Roman"/>
          <w:sz w:val="28"/>
          <w:szCs w:val="28"/>
        </w:rPr>
        <w:t xml:space="preserve"> администрируемая на межгосударственном уровне – ЕЭК. На этом уровне будут содержаться сведения о самом ОИС. Эта информация будет универсальной </w:t>
      </w:r>
      <w:r>
        <w:rPr>
          <w:rFonts w:ascii="Times New Roman" w:hAnsi="Times New Roman"/>
          <w:sz w:val="28"/>
          <w:szCs w:val="28"/>
        </w:rPr>
        <w:t xml:space="preserve">и </w:t>
      </w:r>
      <w:r w:rsidRPr="00976626">
        <w:rPr>
          <w:rFonts w:ascii="Times New Roman" w:hAnsi="Times New Roman"/>
          <w:sz w:val="28"/>
          <w:szCs w:val="28"/>
        </w:rPr>
        <w:t>использоваться всеми странами ЕАЭС.  При этом каждая таможенная служба стран ЕАЭС будет иметь полномочия вносить изменения во второй уровень базы данных - части, имеющей отношение к конкретной стране (рис. 2). При таком подходе не</w:t>
      </w:r>
      <w:r>
        <w:rPr>
          <w:rFonts w:ascii="Times New Roman" w:hAnsi="Times New Roman"/>
          <w:sz w:val="28"/>
          <w:szCs w:val="28"/>
        </w:rPr>
        <w:t xml:space="preserve"> </w:t>
      </w:r>
      <w:r w:rsidRPr="00976626">
        <w:rPr>
          <w:rFonts w:ascii="Times New Roman" w:hAnsi="Times New Roman"/>
          <w:sz w:val="28"/>
          <w:szCs w:val="28"/>
        </w:rPr>
        <w:t>обязательно</w:t>
      </w:r>
      <w:r>
        <w:rPr>
          <w:rFonts w:ascii="Times New Roman" w:hAnsi="Times New Roman"/>
          <w:sz w:val="28"/>
          <w:szCs w:val="28"/>
        </w:rPr>
        <w:t>,</w:t>
      </w:r>
      <w:r w:rsidRPr="00976626">
        <w:rPr>
          <w:rFonts w:ascii="Times New Roman" w:hAnsi="Times New Roman"/>
          <w:sz w:val="28"/>
          <w:szCs w:val="28"/>
        </w:rPr>
        <w:t xml:space="preserve"> чтобы ОИС подлежал защите сразу во всех странах ЕАЭС. Возможны любые варианты от одной страны, до нескольких, включая вариант с защитой во всех странах Союза.</w:t>
      </w:r>
    </w:p>
    <w:p w:rsidR="00F27DD9" w:rsidRPr="00976626" w:rsidRDefault="00F27DD9" w:rsidP="00AC5102">
      <w:pPr>
        <w:jc w:val="both"/>
        <w:rPr>
          <w:color w:val="000000"/>
        </w:rPr>
      </w:pPr>
    </w:p>
    <w:p w:rsidR="00F27DD9" w:rsidRPr="00976626" w:rsidRDefault="00FB3004" w:rsidP="00AC5102">
      <w:pPr>
        <w:jc w:val="center"/>
        <w:rPr>
          <w:color w:val="000000"/>
        </w:rPr>
      </w:pPr>
      <w:r>
        <w:rPr>
          <w:noProof/>
          <w:color w:val="000000"/>
          <w:lang w:eastAsia="ru-RU"/>
        </w:rPr>
        <w:drawing>
          <wp:inline distT="0" distB="0" distL="0" distR="0">
            <wp:extent cx="5724525" cy="2371725"/>
            <wp:effectExtent l="0" t="0" r="9525" b="9525"/>
            <wp:docPr id="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371725"/>
                    </a:xfrm>
                    <a:prstGeom prst="rect">
                      <a:avLst/>
                    </a:prstGeom>
                    <a:noFill/>
                    <a:ln>
                      <a:noFill/>
                    </a:ln>
                  </pic:spPr>
                </pic:pic>
              </a:graphicData>
            </a:graphic>
          </wp:inline>
        </w:drawing>
      </w:r>
    </w:p>
    <w:p w:rsidR="00F27DD9" w:rsidRPr="00976626" w:rsidRDefault="00F27DD9" w:rsidP="00AC5102">
      <w:pPr>
        <w:spacing w:after="600" w:line="240" w:lineRule="auto"/>
        <w:jc w:val="center"/>
        <w:rPr>
          <w:rFonts w:ascii="Times New Roman" w:hAnsi="Times New Roman"/>
          <w:color w:val="000000"/>
          <w:sz w:val="28"/>
          <w:szCs w:val="28"/>
        </w:rPr>
      </w:pPr>
      <w:r w:rsidRPr="00976626">
        <w:rPr>
          <w:rFonts w:ascii="Times New Roman" w:hAnsi="Times New Roman"/>
          <w:color w:val="000000"/>
          <w:sz w:val="28"/>
          <w:szCs w:val="28"/>
        </w:rPr>
        <w:t>Рисунок 2 − Схема данных предлагаемого ОТРОИС</w:t>
      </w:r>
      <w:r w:rsidRPr="00976626">
        <w:rPr>
          <w:rStyle w:val="a7"/>
          <w:rFonts w:ascii="Times New Roman" w:hAnsi="Times New Roman"/>
          <w:color w:val="000000"/>
          <w:sz w:val="28"/>
          <w:szCs w:val="28"/>
        </w:rPr>
        <w:footnoteReference w:id="2"/>
      </w:r>
    </w:p>
    <w:p w:rsidR="00F27DD9" w:rsidRPr="00976626" w:rsidRDefault="00F27DD9" w:rsidP="00CD4CA2">
      <w:pPr>
        <w:spacing w:after="0" w:line="360" w:lineRule="auto"/>
        <w:ind w:firstLine="709"/>
        <w:jc w:val="both"/>
        <w:rPr>
          <w:rFonts w:ascii="Times New Roman" w:hAnsi="Times New Roman"/>
          <w:sz w:val="28"/>
          <w:szCs w:val="28"/>
        </w:rPr>
      </w:pPr>
      <w:r w:rsidRPr="00976626">
        <w:rPr>
          <w:rFonts w:ascii="Times New Roman" w:hAnsi="Times New Roman"/>
          <w:sz w:val="28"/>
          <w:szCs w:val="28"/>
        </w:rPr>
        <w:t>Также ОТРОИС решает проблему тождественных ОИС, права на которые принадлежат разным правообладателям в раз</w:t>
      </w:r>
      <w:r>
        <w:rPr>
          <w:rFonts w:ascii="Times New Roman" w:hAnsi="Times New Roman"/>
          <w:sz w:val="28"/>
          <w:szCs w:val="28"/>
        </w:rPr>
        <w:t xml:space="preserve">личных </w:t>
      </w:r>
      <w:r w:rsidRPr="00976626">
        <w:rPr>
          <w:rFonts w:ascii="Times New Roman" w:hAnsi="Times New Roman"/>
          <w:sz w:val="28"/>
          <w:szCs w:val="28"/>
        </w:rPr>
        <w:t>странах. Не потребуется общего согласия для включения ОИС в ОТРОИС, поскольку записи будут вестись отдельно для каждого государства. Более подробно алгоритм формирования ОТРОИС изложен в других исследованиях авторов [9, 10]. Потенциальная эффективность использования ОТРОИС характеризуется следующим:</w:t>
      </w:r>
    </w:p>
    <w:p w:rsidR="00F27DD9" w:rsidRPr="00976626" w:rsidRDefault="00F27DD9" w:rsidP="00CD4CA2">
      <w:pPr>
        <w:spacing w:after="0" w:line="360" w:lineRule="auto"/>
        <w:ind w:firstLine="709"/>
        <w:jc w:val="both"/>
        <w:rPr>
          <w:rFonts w:ascii="Times New Roman" w:hAnsi="Times New Roman"/>
          <w:sz w:val="28"/>
          <w:szCs w:val="28"/>
        </w:rPr>
      </w:pPr>
      <w:r w:rsidRPr="00976626">
        <w:rPr>
          <w:rFonts w:ascii="Times New Roman" w:hAnsi="Times New Roman"/>
          <w:sz w:val="28"/>
          <w:szCs w:val="28"/>
        </w:rPr>
        <w:t xml:space="preserve">1. Становится возможным мгновенное получение сведений об ОИС с использованием компьютерного поиска по любым сведениям, что в настоящее время не возможно. Декларация на товары содержит лишь текстовые сведения в то время, как ОИС в 80-85% случаев являются </w:t>
      </w:r>
      <w:r w:rsidR="00E6323E">
        <w:rPr>
          <w:rFonts w:ascii="Times New Roman" w:hAnsi="Times New Roman"/>
          <w:sz w:val="28"/>
          <w:szCs w:val="28"/>
        </w:rPr>
        <w:t>графическими изображениями</w:t>
      </w:r>
      <w:r w:rsidRPr="00976626">
        <w:rPr>
          <w:rFonts w:ascii="Times New Roman" w:hAnsi="Times New Roman"/>
          <w:sz w:val="28"/>
          <w:szCs w:val="28"/>
        </w:rPr>
        <w:t>. Это существенно затрудняет идентификацию ОИС в перемещаемых товарах в настоящее время.</w:t>
      </w:r>
    </w:p>
    <w:p w:rsidR="00F27DD9" w:rsidRPr="00976626" w:rsidRDefault="00F27DD9" w:rsidP="00702923">
      <w:pPr>
        <w:spacing w:after="0" w:line="360" w:lineRule="auto"/>
        <w:ind w:firstLine="709"/>
        <w:jc w:val="both"/>
        <w:rPr>
          <w:rFonts w:ascii="Times New Roman" w:hAnsi="Times New Roman"/>
          <w:sz w:val="28"/>
          <w:szCs w:val="28"/>
        </w:rPr>
      </w:pPr>
      <w:r w:rsidRPr="00976626">
        <w:rPr>
          <w:rFonts w:ascii="Times New Roman" w:hAnsi="Times New Roman"/>
          <w:sz w:val="28"/>
          <w:szCs w:val="28"/>
        </w:rPr>
        <w:t>2. Появляется возможность формирования статистики обо всех товарах, содержащих ОИС во всех странах ЕАЭС</w:t>
      </w:r>
      <w:r w:rsidR="00E6323E">
        <w:rPr>
          <w:rFonts w:ascii="Times New Roman" w:hAnsi="Times New Roman"/>
          <w:sz w:val="28"/>
          <w:szCs w:val="28"/>
        </w:rPr>
        <w:t>,</w:t>
      </w:r>
      <w:r w:rsidRPr="00976626">
        <w:rPr>
          <w:rFonts w:ascii="Times New Roman" w:hAnsi="Times New Roman"/>
          <w:sz w:val="28"/>
          <w:szCs w:val="28"/>
        </w:rPr>
        <w:t xml:space="preserve"> за счет первого, единого для </w:t>
      </w:r>
      <w:r w:rsidR="00E6323E">
        <w:rPr>
          <w:rFonts w:ascii="Times New Roman" w:hAnsi="Times New Roman"/>
          <w:sz w:val="28"/>
          <w:szCs w:val="28"/>
        </w:rPr>
        <w:t xml:space="preserve">всех стран </w:t>
      </w:r>
      <w:r w:rsidRPr="00976626">
        <w:rPr>
          <w:rFonts w:ascii="Times New Roman" w:hAnsi="Times New Roman"/>
          <w:sz w:val="28"/>
          <w:szCs w:val="28"/>
        </w:rPr>
        <w:t>ЕАЭС уровня информации об ОИС. В настоящее время это не</w:t>
      </w:r>
      <w:r>
        <w:rPr>
          <w:rFonts w:ascii="Times New Roman" w:hAnsi="Times New Roman"/>
          <w:sz w:val="28"/>
          <w:szCs w:val="28"/>
        </w:rPr>
        <w:t xml:space="preserve"> </w:t>
      </w:r>
      <w:r w:rsidRPr="00976626">
        <w:rPr>
          <w:rFonts w:ascii="Times New Roman" w:hAnsi="Times New Roman"/>
          <w:sz w:val="28"/>
          <w:szCs w:val="28"/>
        </w:rPr>
        <w:t>возможно в силу несопоставимости ТРОИС и кодов, присвоенных ОИС в них. Такая статистика может быть использована для аналитических целей органами, отвечающими за борьбу с распространением контрафакта внутри стран ЕАЭС. Например, становится возможным установить источник контрафактных товаров, продаваемых в стране А ЕАЭС, даже если они были импортированы в стран</w:t>
      </w:r>
      <w:r>
        <w:rPr>
          <w:rFonts w:ascii="Times New Roman" w:hAnsi="Times New Roman"/>
          <w:sz w:val="28"/>
          <w:szCs w:val="28"/>
        </w:rPr>
        <w:t>у</w:t>
      </w:r>
      <w:r w:rsidRPr="00976626">
        <w:rPr>
          <w:rFonts w:ascii="Times New Roman" w:hAnsi="Times New Roman"/>
          <w:sz w:val="28"/>
          <w:szCs w:val="28"/>
        </w:rPr>
        <w:t xml:space="preserve"> Б.</w:t>
      </w:r>
    </w:p>
    <w:p w:rsidR="00F27DD9" w:rsidRPr="00976626" w:rsidRDefault="00F27DD9" w:rsidP="00702923">
      <w:pPr>
        <w:spacing w:after="0" w:line="360" w:lineRule="auto"/>
        <w:ind w:firstLine="709"/>
        <w:jc w:val="both"/>
        <w:rPr>
          <w:rFonts w:ascii="Times New Roman" w:hAnsi="Times New Roman"/>
          <w:sz w:val="28"/>
          <w:szCs w:val="28"/>
        </w:rPr>
      </w:pPr>
      <w:r w:rsidRPr="00976626">
        <w:rPr>
          <w:rFonts w:ascii="Times New Roman" w:hAnsi="Times New Roman"/>
          <w:sz w:val="28"/>
          <w:szCs w:val="28"/>
        </w:rPr>
        <w:t>3. Появляется возможность существенного изменения порядка таможенного декларирования товаров, которая может позволить существенно повысить результативность оказания государственных услуг по таможенной защите прав на ОИС [11].</w:t>
      </w:r>
    </w:p>
    <w:p w:rsidR="00F27DD9" w:rsidRPr="00976626" w:rsidRDefault="00F27DD9" w:rsidP="00CD4CA2">
      <w:pPr>
        <w:spacing w:after="0" w:line="360" w:lineRule="auto"/>
        <w:ind w:firstLine="709"/>
        <w:jc w:val="both"/>
        <w:rPr>
          <w:rFonts w:ascii="Times New Roman" w:hAnsi="Times New Roman"/>
          <w:sz w:val="28"/>
          <w:szCs w:val="28"/>
        </w:rPr>
      </w:pPr>
      <w:r w:rsidRPr="00976626">
        <w:rPr>
          <w:rFonts w:ascii="Times New Roman" w:hAnsi="Times New Roman"/>
          <w:sz w:val="28"/>
          <w:szCs w:val="28"/>
        </w:rPr>
        <w:t>Таким образом, очевидное развитие института ЕТРОИС с принятием новой нормативно-правовой базы неоспоримо, однако, этого не</w:t>
      </w:r>
      <w:r>
        <w:rPr>
          <w:rFonts w:ascii="Times New Roman" w:hAnsi="Times New Roman"/>
          <w:sz w:val="28"/>
          <w:szCs w:val="28"/>
        </w:rPr>
        <w:t xml:space="preserve"> </w:t>
      </w:r>
      <w:r w:rsidRPr="00976626">
        <w:rPr>
          <w:rFonts w:ascii="Times New Roman" w:hAnsi="Times New Roman"/>
          <w:sz w:val="28"/>
          <w:szCs w:val="28"/>
        </w:rPr>
        <w:t>достаточно для эффективного функционирования этого института. Необходимо либо его дальнейшее реформирование, либо революционное изменение, например, в рамках перехода к кратко описанному выше ОТРОИС.</w:t>
      </w:r>
    </w:p>
    <w:p w:rsidR="00F27DD9" w:rsidRPr="00976626" w:rsidRDefault="00F27DD9" w:rsidP="00CD4CA2">
      <w:pPr>
        <w:spacing w:after="0" w:line="360" w:lineRule="auto"/>
        <w:ind w:firstLine="709"/>
        <w:jc w:val="both"/>
        <w:rPr>
          <w:rFonts w:ascii="Times New Roman" w:hAnsi="Times New Roman"/>
          <w:sz w:val="28"/>
          <w:szCs w:val="28"/>
        </w:rPr>
      </w:pPr>
    </w:p>
    <w:p w:rsidR="00F27DD9" w:rsidRPr="00976626" w:rsidRDefault="00F27DD9" w:rsidP="00BB09D8">
      <w:pPr>
        <w:spacing w:after="0" w:line="360" w:lineRule="auto"/>
        <w:ind w:firstLine="709"/>
        <w:jc w:val="center"/>
        <w:rPr>
          <w:rFonts w:ascii="Times New Roman" w:hAnsi="Times New Roman"/>
          <w:b/>
          <w:sz w:val="28"/>
        </w:rPr>
      </w:pPr>
      <w:r w:rsidRPr="00976626">
        <w:rPr>
          <w:rFonts w:ascii="Times New Roman" w:hAnsi="Times New Roman"/>
          <w:b/>
          <w:sz w:val="28"/>
        </w:rPr>
        <w:t>Список использованных источников</w:t>
      </w:r>
    </w:p>
    <w:p w:rsidR="00F27DD9" w:rsidRPr="00976626" w:rsidRDefault="00F27DD9" w:rsidP="004109BE">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Черныш А.Я., Юрьева Е.В., О проблемах таможенной защиты интеллектуальной собственности в Едином экономическом пространстве / Право интеллектуальной собственности. 2014. № 2. С. 37-39.</w:t>
      </w:r>
    </w:p>
    <w:p w:rsidR="00F27DD9" w:rsidRPr="00976626" w:rsidRDefault="00F27DD9" w:rsidP="004109BE">
      <w:pPr>
        <w:pStyle w:val="a3"/>
        <w:numPr>
          <w:ilvl w:val="0"/>
          <w:numId w:val="4"/>
        </w:numPr>
        <w:ind w:left="0" w:firstLine="709"/>
        <w:jc w:val="both"/>
        <w:rPr>
          <w:rFonts w:ascii="Times New Roman" w:hAnsi="Times New Roman"/>
          <w:sz w:val="28"/>
          <w:szCs w:val="28"/>
        </w:rPr>
      </w:pPr>
      <w:r w:rsidRPr="00976626">
        <w:rPr>
          <w:rFonts w:ascii="Times New Roman" w:hAnsi="Times New Roman"/>
          <w:color w:val="000000"/>
          <w:sz w:val="28"/>
          <w:szCs w:val="28"/>
        </w:rPr>
        <w:t>Итоговый доклад о результатах и основных направлениях деятельности ФТС России в 2017 году (от 28.02.2018) Официальный сайт ФТС России // http://www.customs.ru/index.php?option=com_content&amp;view=article&amp;id=26323:-2017-&amp;catid=475:2015-03-12-09-57-15&amp;Itemid=2588</w:t>
      </w:r>
    </w:p>
    <w:p w:rsidR="00F27DD9" w:rsidRPr="00976626" w:rsidRDefault="00F27DD9" w:rsidP="004109BE">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Сенашов С.И., Рудь С.Н., Совершенствование системы таможенного контроля товаров, содержащих объекты интеллектуальной собственности / Вестник Сибирского государственного аэрокосмического университета им. академика М.Ф. Решетнева. 2015. Т. 16. № 4. С. 1049-1059.</w:t>
      </w:r>
    </w:p>
    <w:p w:rsidR="00F27DD9" w:rsidRPr="00976626" w:rsidRDefault="00F27DD9" w:rsidP="004109BE">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Лопатин В.Н., Государственные регуляторы формирования и развития рынка интеллектуальной собственности в странах Таможенного союза и СНГ в 2014 году / Право интеллектуальной собственности. 2015. № 2. С. 7-33.</w:t>
      </w:r>
    </w:p>
    <w:p w:rsidR="00F27DD9" w:rsidRPr="00976626" w:rsidRDefault="00F27DD9" w:rsidP="004109BE">
      <w:pPr>
        <w:pStyle w:val="a3"/>
        <w:numPr>
          <w:ilvl w:val="0"/>
          <w:numId w:val="4"/>
        </w:numPr>
        <w:ind w:left="0" w:firstLine="709"/>
        <w:jc w:val="both"/>
        <w:rPr>
          <w:rFonts w:ascii="Times New Roman" w:hAnsi="Times New Roman"/>
          <w:sz w:val="28"/>
          <w:szCs w:val="28"/>
        </w:rPr>
      </w:pPr>
      <w:r w:rsidRPr="00976626">
        <w:rPr>
          <w:rFonts w:ascii="Times New Roman" w:hAnsi="Times New Roman"/>
          <w:color w:val="000000"/>
          <w:sz w:val="28"/>
          <w:szCs w:val="28"/>
        </w:rPr>
        <w:t>Сорокин М.А., Сорокин А.М. Международная экономическая интеграция и проблемы таможенной защиты прав интеллектуальной собственности // Территория новых возможностей. Вестник Владивостокского государственного университета экономики и сервиса. 2015. № 4 (31). С. 21-26.</w:t>
      </w:r>
    </w:p>
    <w:p w:rsidR="00F27DD9" w:rsidRPr="00976626" w:rsidRDefault="00F27DD9" w:rsidP="004109BE">
      <w:pPr>
        <w:pStyle w:val="a3"/>
        <w:numPr>
          <w:ilvl w:val="0"/>
          <w:numId w:val="4"/>
        </w:numPr>
        <w:tabs>
          <w:tab w:val="left" w:pos="993"/>
        </w:tabs>
        <w:spacing w:after="0" w:line="240" w:lineRule="auto"/>
        <w:ind w:left="0" w:firstLine="709"/>
        <w:jc w:val="both"/>
        <w:rPr>
          <w:rFonts w:ascii="Times New Roman" w:hAnsi="Times New Roman"/>
          <w:color w:val="000000"/>
          <w:sz w:val="28"/>
          <w:szCs w:val="28"/>
        </w:rPr>
      </w:pPr>
      <w:r w:rsidRPr="00976626">
        <w:rPr>
          <w:rFonts w:ascii="Times New Roman" w:hAnsi="Times New Roman"/>
          <w:color w:val="000000"/>
          <w:sz w:val="28"/>
          <w:szCs w:val="28"/>
        </w:rPr>
        <w:t xml:space="preserve">Сорокин А.М. / Совершенствование оказания государственных услуг по защите прав на объекты интеллектуальной собственности / А.М. Сорокин // Мониторинг правоприменения. – М.: ФБУ НЦПИ при Минюсте России. 2016. </w:t>
      </w:r>
      <w:r w:rsidRPr="00976626">
        <w:rPr>
          <w:rFonts w:ascii="Times New Roman" w:hAnsi="Times New Roman"/>
          <w:color w:val="000000"/>
          <w:spacing w:val="2"/>
          <w:kern w:val="16"/>
          <w:position w:val="4"/>
          <w:sz w:val="28"/>
          <w:szCs w:val="28"/>
        </w:rPr>
        <w:t xml:space="preserve">– </w:t>
      </w:r>
      <w:r w:rsidRPr="00976626">
        <w:rPr>
          <w:rFonts w:ascii="Times New Roman" w:hAnsi="Times New Roman"/>
          <w:color w:val="000000"/>
          <w:sz w:val="28"/>
          <w:szCs w:val="28"/>
        </w:rPr>
        <w:t xml:space="preserve">№ 2. </w:t>
      </w:r>
      <w:r w:rsidRPr="00976626">
        <w:rPr>
          <w:rFonts w:ascii="Times New Roman" w:hAnsi="Times New Roman"/>
          <w:color w:val="000000"/>
          <w:spacing w:val="2"/>
          <w:kern w:val="16"/>
          <w:position w:val="4"/>
          <w:sz w:val="28"/>
          <w:szCs w:val="28"/>
        </w:rPr>
        <w:t xml:space="preserve">– </w:t>
      </w:r>
      <w:r w:rsidRPr="00976626">
        <w:rPr>
          <w:rFonts w:ascii="Times New Roman" w:hAnsi="Times New Roman"/>
          <w:color w:val="000000"/>
          <w:sz w:val="28"/>
          <w:szCs w:val="28"/>
        </w:rPr>
        <w:t xml:space="preserve">С. 83–88. </w:t>
      </w:r>
    </w:p>
    <w:p w:rsidR="00F27DD9" w:rsidRPr="00976626" w:rsidRDefault="00F27DD9" w:rsidP="004109BE">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Лопатин В.Н., Управление рисками таможенной защиты интеллектуальной собственности в Едином экономическом пространстве  / Ученые записки Санкт-Петербургского имени В.Б. Бобкова филиала Российской таможенной академии. 2014. № 2 (50). С. 112-134.</w:t>
      </w:r>
    </w:p>
    <w:p w:rsidR="00F27DD9" w:rsidRPr="00976626" w:rsidRDefault="00F27DD9" w:rsidP="0039327C">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Анисимов Е.Г., Анисимов В.Г., Шкодинский С.В. / Модель для динамической оценки объема и структуры «серого» импорта // Научно-исследовательский финансовый институт. Финансовый журнал. 2016. № 1 (29). С. 110-116.</w:t>
      </w:r>
    </w:p>
    <w:p w:rsidR="00F27DD9" w:rsidRPr="00976626" w:rsidRDefault="00F27DD9" w:rsidP="00702923">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Сорокин А.М. Развитие государственных услуг в сфере таможенного контроля товаров, содержащих объекты интеллектуальной собственности / А.М. Сорокин // Вестник Российской таможенной академии – 2016. – № 2. – С. 163–168.</w:t>
      </w:r>
    </w:p>
    <w:p w:rsidR="00F27DD9" w:rsidRPr="00976626" w:rsidRDefault="00F27DD9" w:rsidP="0039327C">
      <w:pPr>
        <w:pStyle w:val="a3"/>
        <w:numPr>
          <w:ilvl w:val="0"/>
          <w:numId w:val="4"/>
        </w:numPr>
        <w:ind w:left="0" w:firstLine="709"/>
        <w:jc w:val="both"/>
        <w:rPr>
          <w:rFonts w:ascii="Times New Roman" w:hAnsi="Times New Roman"/>
          <w:sz w:val="28"/>
          <w:szCs w:val="28"/>
        </w:rPr>
      </w:pPr>
      <w:r w:rsidRPr="00976626">
        <w:rPr>
          <w:rFonts w:ascii="Times New Roman" w:hAnsi="Times New Roman"/>
          <w:sz w:val="28"/>
          <w:szCs w:val="28"/>
        </w:rPr>
        <w:t>Сорокин М.А., Сорокин А.М. Таможенная защита прав на объекты интеллектуальной собственности в Евразийском экономическом союзе // Территория новых возможностей. Вестник Владивостокского государственного университета экономики и сервиса. 2015. № 3 (30). С. 19-28.</w:t>
      </w:r>
    </w:p>
    <w:p w:rsidR="00F27DD9" w:rsidRPr="00976626" w:rsidRDefault="00F27DD9" w:rsidP="0039327C">
      <w:pPr>
        <w:pStyle w:val="a3"/>
        <w:numPr>
          <w:ilvl w:val="0"/>
          <w:numId w:val="4"/>
        </w:numPr>
        <w:ind w:left="0" w:firstLine="709"/>
        <w:jc w:val="both"/>
        <w:rPr>
          <w:rFonts w:ascii="Times New Roman" w:hAnsi="Times New Roman"/>
          <w:sz w:val="28"/>
          <w:szCs w:val="28"/>
        </w:rPr>
      </w:pPr>
      <w:r w:rsidRPr="00976626">
        <w:rPr>
          <w:rFonts w:ascii="Times New Roman" w:hAnsi="Times New Roman"/>
          <w:color w:val="000000"/>
          <w:sz w:val="28"/>
          <w:szCs w:val="28"/>
        </w:rPr>
        <w:t>Сорокин М.А., Шишкина О.В., Сорокин А.М. Методические подходы к оценке эффективности государственных услуг в сфере таможенного контроля товаров, содержащих объекты интеллектуальной собственности // Вектор науки Тольяттинского государственного университета. Серия: Экономика и управление. 2016. № 4 (27). С. 88-93.</w:t>
      </w:r>
    </w:p>
    <w:sectPr w:rsidR="00F27DD9" w:rsidRPr="00976626" w:rsidSect="00DA09EC">
      <w:footerReference w:type="default" r:id="rId11"/>
      <w:pgSz w:w="11906" w:h="16838"/>
      <w:pgMar w:top="1134"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DD9" w:rsidRDefault="00F27DD9" w:rsidP="00896DC7">
      <w:pPr>
        <w:spacing w:after="0" w:line="240" w:lineRule="auto"/>
      </w:pPr>
      <w:r>
        <w:separator/>
      </w:r>
    </w:p>
  </w:endnote>
  <w:endnote w:type="continuationSeparator" w:id="0">
    <w:p w:rsidR="00F27DD9" w:rsidRDefault="00F27DD9" w:rsidP="00896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7DD9" w:rsidRDefault="00F27DD9">
    <w:pPr>
      <w:pStyle w:val="aa"/>
      <w:jc w:val="center"/>
    </w:pPr>
    <w:r>
      <w:rPr>
        <w:noProof/>
      </w:rPr>
      <w:fldChar w:fldCharType="begin"/>
    </w:r>
    <w:r>
      <w:rPr>
        <w:noProof/>
      </w:rPr>
      <w:instrText>PAGE   \* MERGEFORMAT</w:instrText>
    </w:r>
    <w:r>
      <w:rPr>
        <w:noProof/>
      </w:rPr>
      <w:fldChar w:fldCharType="separate"/>
    </w:r>
    <w:r w:rsidR="00ED09F8">
      <w:rPr>
        <w:noProof/>
      </w:rPr>
      <w:t>1</w:t>
    </w:r>
    <w:r>
      <w:rPr>
        <w:noProof/>
      </w:rPr>
      <w:fldChar w:fldCharType="end"/>
    </w:r>
  </w:p>
  <w:p w:rsidR="00F27DD9" w:rsidRDefault="00F27DD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DD9" w:rsidRDefault="00F27DD9" w:rsidP="00896DC7">
      <w:pPr>
        <w:spacing w:after="0" w:line="240" w:lineRule="auto"/>
      </w:pPr>
      <w:r>
        <w:separator/>
      </w:r>
    </w:p>
  </w:footnote>
  <w:footnote w:type="continuationSeparator" w:id="0">
    <w:p w:rsidR="00F27DD9" w:rsidRDefault="00F27DD9" w:rsidP="00896DC7">
      <w:pPr>
        <w:spacing w:after="0" w:line="240" w:lineRule="auto"/>
      </w:pPr>
      <w:r>
        <w:continuationSeparator/>
      </w:r>
    </w:p>
  </w:footnote>
  <w:footnote w:id="1">
    <w:p w:rsidR="00F27DD9" w:rsidRDefault="00F27DD9">
      <w:pPr>
        <w:pStyle w:val="a5"/>
      </w:pPr>
      <w:r w:rsidRPr="00896DC7">
        <w:rPr>
          <w:rStyle w:val="a7"/>
          <w:rFonts w:ascii="Times New Roman" w:hAnsi="Times New Roman"/>
        </w:rPr>
        <w:footnoteRef/>
      </w:r>
      <w:r w:rsidRPr="00896DC7">
        <w:rPr>
          <w:rFonts w:ascii="Times New Roman" w:hAnsi="Times New Roman"/>
        </w:rPr>
        <w:t xml:space="preserve"> в настоящее время не вступило в законную силу</w:t>
      </w:r>
    </w:p>
  </w:footnote>
  <w:footnote w:id="2">
    <w:p w:rsidR="00F27DD9" w:rsidRDefault="00F27DD9" w:rsidP="00AC5102">
      <w:pPr>
        <w:pStyle w:val="a5"/>
      </w:pPr>
      <w:r w:rsidRPr="005E3C34">
        <w:rPr>
          <w:rStyle w:val="a7"/>
          <w:rFonts w:ascii="Times New Roman" w:hAnsi="Times New Roman"/>
        </w:rPr>
        <w:footnoteRef/>
      </w:r>
      <w:r w:rsidRPr="005E3C34">
        <w:rPr>
          <w:rFonts w:ascii="Times New Roman" w:hAnsi="Times New Roman"/>
        </w:rPr>
        <w:t xml:space="preserve"> Для 4-х стран ЕАЭС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558E0"/>
    <w:multiLevelType w:val="hybridMultilevel"/>
    <w:tmpl w:val="5BBCBCAA"/>
    <w:lvl w:ilvl="0" w:tplc="5D18BE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28F03F36"/>
    <w:multiLevelType w:val="hybridMultilevel"/>
    <w:tmpl w:val="F5881F0C"/>
    <w:lvl w:ilvl="0" w:tplc="4A5615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2CDC2964"/>
    <w:multiLevelType w:val="hybridMultilevel"/>
    <w:tmpl w:val="494A18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0114987"/>
    <w:multiLevelType w:val="hybridMultilevel"/>
    <w:tmpl w:val="06B6F00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7E73A0B"/>
    <w:multiLevelType w:val="hybridMultilevel"/>
    <w:tmpl w:val="494A18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792A0AED"/>
    <w:multiLevelType w:val="hybridMultilevel"/>
    <w:tmpl w:val="6EECD13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021"/>
    <w:rsid w:val="00013701"/>
    <w:rsid w:val="00021369"/>
    <w:rsid w:val="000243BB"/>
    <w:rsid w:val="00062527"/>
    <w:rsid w:val="00064784"/>
    <w:rsid w:val="00074047"/>
    <w:rsid w:val="00092D52"/>
    <w:rsid w:val="00094088"/>
    <w:rsid w:val="00096C31"/>
    <w:rsid w:val="00097168"/>
    <w:rsid w:val="000A1DDE"/>
    <w:rsid w:val="000A55EA"/>
    <w:rsid w:val="000C02F5"/>
    <w:rsid w:val="000D7B63"/>
    <w:rsid w:val="000F29F8"/>
    <w:rsid w:val="000F5D2A"/>
    <w:rsid w:val="00110079"/>
    <w:rsid w:val="001277E0"/>
    <w:rsid w:val="00133BA2"/>
    <w:rsid w:val="00137995"/>
    <w:rsid w:val="00157071"/>
    <w:rsid w:val="001800B9"/>
    <w:rsid w:val="00181F54"/>
    <w:rsid w:val="001B2D85"/>
    <w:rsid w:val="001D1625"/>
    <w:rsid w:val="001E1EB9"/>
    <w:rsid w:val="00226045"/>
    <w:rsid w:val="0022604F"/>
    <w:rsid w:val="0023529F"/>
    <w:rsid w:val="00252FCF"/>
    <w:rsid w:val="0027600D"/>
    <w:rsid w:val="00297A6E"/>
    <w:rsid w:val="002B658F"/>
    <w:rsid w:val="002D32F6"/>
    <w:rsid w:val="002F390E"/>
    <w:rsid w:val="00314EF6"/>
    <w:rsid w:val="00337961"/>
    <w:rsid w:val="00377093"/>
    <w:rsid w:val="0039327C"/>
    <w:rsid w:val="0039727F"/>
    <w:rsid w:val="003B2D9A"/>
    <w:rsid w:val="003C36DC"/>
    <w:rsid w:val="003D78A7"/>
    <w:rsid w:val="003F163F"/>
    <w:rsid w:val="00404931"/>
    <w:rsid w:val="00406FB8"/>
    <w:rsid w:val="004109BE"/>
    <w:rsid w:val="00432BEF"/>
    <w:rsid w:val="00434A38"/>
    <w:rsid w:val="00455A8D"/>
    <w:rsid w:val="0048034A"/>
    <w:rsid w:val="00496B74"/>
    <w:rsid w:val="004D7E87"/>
    <w:rsid w:val="005015A1"/>
    <w:rsid w:val="0052450A"/>
    <w:rsid w:val="0055686E"/>
    <w:rsid w:val="00557A40"/>
    <w:rsid w:val="00582ACE"/>
    <w:rsid w:val="005911D2"/>
    <w:rsid w:val="00596E64"/>
    <w:rsid w:val="005A2021"/>
    <w:rsid w:val="005E3C34"/>
    <w:rsid w:val="005E67FB"/>
    <w:rsid w:val="0063100E"/>
    <w:rsid w:val="00640DAC"/>
    <w:rsid w:val="00641149"/>
    <w:rsid w:val="00680818"/>
    <w:rsid w:val="00692C77"/>
    <w:rsid w:val="00696220"/>
    <w:rsid w:val="006B7850"/>
    <w:rsid w:val="00702923"/>
    <w:rsid w:val="00711075"/>
    <w:rsid w:val="00713EB2"/>
    <w:rsid w:val="00717BD9"/>
    <w:rsid w:val="00720FD5"/>
    <w:rsid w:val="007509A3"/>
    <w:rsid w:val="00756029"/>
    <w:rsid w:val="0076400C"/>
    <w:rsid w:val="00776650"/>
    <w:rsid w:val="00801BFA"/>
    <w:rsid w:val="00805387"/>
    <w:rsid w:val="00812897"/>
    <w:rsid w:val="00815315"/>
    <w:rsid w:val="00830397"/>
    <w:rsid w:val="00832603"/>
    <w:rsid w:val="00855BB1"/>
    <w:rsid w:val="00872225"/>
    <w:rsid w:val="008910ED"/>
    <w:rsid w:val="00896DC7"/>
    <w:rsid w:val="008A622E"/>
    <w:rsid w:val="008A65C0"/>
    <w:rsid w:val="008B0098"/>
    <w:rsid w:val="008E3B99"/>
    <w:rsid w:val="00976626"/>
    <w:rsid w:val="009837B9"/>
    <w:rsid w:val="009C0D27"/>
    <w:rsid w:val="009F2B25"/>
    <w:rsid w:val="00A65DDF"/>
    <w:rsid w:val="00AA269A"/>
    <w:rsid w:val="00AC236C"/>
    <w:rsid w:val="00AC5102"/>
    <w:rsid w:val="00AC775C"/>
    <w:rsid w:val="00AF6639"/>
    <w:rsid w:val="00B1335F"/>
    <w:rsid w:val="00B23A45"/>
    <w:rsid w:val="00B24316"/>
    <w:rsid w:val="00B3108B"/>
    <w:rsid w:val="00B32B9E"/>
    <w:rsid w:val="00B32BFB"/>
    <w:rsid w:val="00B762D4"/>
    <w:rsid w:val="00BA3880"/>
    <w:rsid w:val="00BB09D8"/>
    <w:rsid w:val="00BC4DA5"/>
    <w:rsid w:val="00BE4BD1"/>
    <w:rsid w:val="00BF3E95"/>
    <w:rsid w:val="00BF6349"/>
    <w:rsid w:val="00C26F92"/>
    <w:rsid w:val="00C52327"/>
    <w:rsid w:val="00C610E2"/>
    <w:rsid w:val="00C715FD"/>
    <w:rsid w:val="00C831C1"/>
    <w:rsid w:val="00C969E8"/>
    <w:rsid w:val="00CA00E8"/>
    <w:rsid w:val="00CD4CA2"/>
    <w:rsid w:val="00D305D1"/>
    <w:rsid w:val="00D574BC"/>
    <w:rsid w:val="00D7132E"/>
    <w:rsid w:val="00D7467E"/>
    <w:rsid w:val="00D86845"/>
    <w:rsid w:val="00DA09EC"/>
    <w:rsid w:val="00DA69CA"/>
    <w:rsid w:val="00DD0243"/>
    <w:rsid w:val="00DE2E25"/>
    <w:rsid w:val="00DE2FF1"/>
    <w:rsid w:val="00E038D0"/>
    <w:rsid w:val="00E05E59"/>
    <w:rsid w:val="00E13F96"/>
    <w:rsid w:val="00E203F5"/>
    <w:rsid w:val="00E45462"/>
    <w:rsid w:val="00E6323E"/>
    <w:rsid w:val="00E924A9"/>
    <w:rsid w:val="00EB4B61"/>
    <w:rsid w:val="00EC2E6A"/>
    <w:rsid w:val="00EC7204"/>
    <w:rsid w:val="00ED09F8"/>
    <w:rsid w:val="00EE1B56"/>
    <w:rsid w:val="00EF137A"/>
    <w:rsid w:val="00F1727B"/>
    <w:rsid w:val="00F27DD9"/>
    <w:rsid w:val="00F3372C"/>
    <w:rsid w:val="00F47D27"/>
    <w:rsid w:val="00F5073B"/>
    <w:rsid w:val="00F758DA"/>
    <w:rsid w:val="00FB3004"/>
    <w:rsid w:val="00FD21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2379438D-CC6F-4CBA-AF28-31CE1A7C2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34A"/>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7509A3"/>
    <w:pPr>
      <w:ind w:left="720"/>
      <w:contextualSpacing/>
    </w:pPr>
  </w:style>
  <w:style w:type="paragraph" w:styleId="a5">
    <w:name w:val="footnote text"/>
    <w:basedOn w:val="a"/>
    <w:link w:val="a6"/>
    <w:uiPriority w:val="99"/>
    <w:semiHidden/>
    <w:rsid w:val="00896DC7"/>
    <w:pPr>
      <w:spacing w:after="0" w:line="240" w:lineRule="auto"/>
    </w:pPr>
    <w:rPr>
      <w:sz w:val="20"/>
      <w:szCs w:val="20"/>
      <w:lang w:eastAsia="ru-RU"/>
    </w:rPr>
  </w:style>
  <w:style w:type="character" w:customStyle="1" w:styleId="a6">
    <w:name w:val="Текст сноски Знак"/>
    <w:basedOn w:val="a0"/>
    <w:link w:val="a5"/>
    <w:uiPriority w:val="99"/>
    <w:semiHidden/>
    <w:locked/>
    <w:rsid w:val="00896DC7"/>
    <w:rPr>
      <w:sz w:val="20"/>
    </w:rPr>
  </w:style>
  <w:style w:type="character" w:styleId="a7">
    <w:name w:val="footnote reference"/>
    <w:basedOn w:val="a0"/>
    <w:uiPriority w:val="99"/>
    <w:semiHidden/>
    <w:rsid w:val="00896DC7"/>
    <w:rPr>
      <w:rFonts w:cs="Times New Roman"/>
      <w:vertAlign w:val="superscript"/>
    </w:rPr>
  </w:style>
  <w:style w:type="character" w:customStyle="1" w:styleId="a4">
    <w:name w:val="Абзац списка Знак"/>
    <w:link w:val="a3"/>
    <w:uiPriority w:val="99"/>
    <w:locked/>
    <w:rsid w:val="00641149"/>
  </w:style>
  <w:style w:type="paragraph" w:styleId="a8">
    <w:name w:val="header"/>
    <w:basedOn w:val="a"/>
    <w:link w:val="a9"/>
    <w:uiPriority w:val="99"/>
    <w:rsid w:val="004109BE"/>
    <w:pPr>
      <w:tabs>
        <w:tab w:val="center" w:pos="4677"/>
        <w:tab w:val="right" w:pos="9355"/>
      </w:tabs>
      <w:spacing w:after="0" w:line="240" w:lineRule="auto"/>
    </w:pPr>
    <w:rPr>
      <w:sz w:val="20"/>
      <w:szCs w:val="20"/>
      <w:lang w:eastAsia="ru-RU"/>
    </w:rPr>
  </w:style>
  <w:style w:type="character" w:customStyle="1" w:styleId="a9">
    <w:name w:val="Верхний колонтитул Знак"/>
    <w:basedOn w:val="a0"/>
    <w:link w:val="a8"/>
    <w:uiPriority w:val="99"/>
    <w:locked/>
    <w:rsid w:val="004109BE"/>
  </w:style>
  <w:style w:type="paragraph" w:styleId="aa">
    <w:name w:val="footer"/>
    <w:basedOn w:val="a"/>
    <w:link w:val="ab"/>
    <w:uiPriority w:val="99"/>
    <w:rsid w:val="004109BE"/>
    <w:pPr>
      <w:tabs>
        <w:tab w:val="center" w:pos="4677"/>
        <w:tab w:val="right" w:pos="9355"/>
      </w:tabs>
      <w:spacing w:after="0" w:line="240" w:lineRule="auto"/>
    </w:pPr>
    <w:rPr>
      <w:sz w:val="20"/>
      <w:szCs w:val="20"/>
      <w:lang w:eastAsia="ru-RU"/>
    </w:rPr>
  </w:style>
  <w:style w:type="character" w:customStyle="1" w:styleId="ab">
    <w:name w:val="Нижний колонтитул Знак"/>
    <w:basedOn w:val="a0"/>
    <w:link w:val="aa"/>
    <w:uiPriority w:val="99"/>
    <w:locked/>
    <w:rsid w:val="004109BE"/>
  </w:style>
  <w:style w:type="character" w:customStyle="1" w:styleId="shorttext">
    <w:name w:val="short_text"/>
    <w:uiPriority w:val="99"/>
    <w:rsid w:val="00631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1735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rokinalexmih@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orokinalexmih@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roundedCorners val="1"/>
  <c:style val="2"/>
  <c:clrMapOvr bg1="lt1" tx1="dk1" bg2="lt2" tx2="dk2" accent1="accent1" accent2="accent2" accent3="accent3" accent4="accent4" accent5="accent5" accent6="accent6" hlink="hlink" folHlink="folHlink"/>
  <c:chart>
    <c:autoTitleDeleted val="1"/>
    <c:plotArea>
      <c:layout/>
      <c:barChart>
        <c:barDir val="col"/>
        <c:grouping val="clustered"/>
        <c:varyColors val="1"/>
        <c:ser>
          <c:idx val="0"/>
          <c:order val="0"/>
          <c:spPr>
            <a:solidFill>
              <a:srgbClr val="4F81BD"/>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1"/>
            <c:showVal val="1"/>
            <c:showCatName val="1"/>
            <c:showSerName val="1"/>
            <c:showPercent val="1"/>
            <c:showBubbleSize val="1"/>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Лист1!$A$1:$A$5</c:f>
              <c:strCache>
                <c:ptCount val="5"/>
                <c:pt idx="0">
                  <c:v>Республика Армения</c:v>
                </c:pt>
                <c:pt idx="1">
                  <c:v>Республика Беларусь</c:v>
                </c:pt>
                <c:pt idx="2">
                  <c:v>Республика Казахстан</c:v>
                </c:pt>
                <c:pt idx="3">
                  <c:v>Кыргызская Республика</c:v>
                </c:pt>
                <c:pt idx="4">
                  <c:v>Российская Федерация</c:v>
                </c:pt>
              </c:strCache>
            </c:strRef>
          </c:cat>
          <c:val>
            <c:numRef>
              <c:f>Лист1!$B$1:$B$5</c:f>
              <c:numCache>
                <c:formatCode>General</c:formatCode>
                <c:ptCount val="5"/>
                <c:pt idx="0">
                  <c:v>304</c:v>
                </c:pt>
                <c:pt idx="1">
                  <c:v>294</c:v>
                </c:pt>
                <c:pt idx="2">
                  <c:v>968</c:v>
                </c:pt>
                <c:pt idx="3">
                  <c:v>269</c:v>
                </c:pt>
                <c:pt idx="4">
                  <c:v>4744</c:v>
                </c:pt>
              </c:numCache>
            </c:numRef>
          </c:val>
          <c:extLst xmlns:c16r2="http://schemas.microsoft.com/office/drawing/2015/06/chart">
            <c:ext xmlns:c16="http://schemas.microsoft.com/office/drawing/2014/chart" uri="{C3380CC4-5D6E-409C-BE32-E72D297353CC}">
              <c16:uniqueId val="{00000000-3535-477E-B678-1219613D4842}"/>
            </c:ex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Lst>
        </c:ser>
        <c:dLbls>
          <c:showLegendKey val="1"/>
          <c:showVal val="1"/>
          <c:showCatName val="1"/>
          <c:showSerName val="1"/>
          <c:showPercent val="1"/>
          <c:showBubbleSize val="1"/>
        </c:dLbls>
        <c:gapWidth val="75"/>
        <c:axId val="93383776"/>
        <c:axId val="93384336"/>
      </c:barChart>
      <c:catAx>
        <c:axId val="93383776"/>
        <c:scaling>
          <c:orientation val="minMax"/>
        </c:scaling>
        <c:delete val="1"/>
        <c:axPos val="b"/>
        <c:numFmt formatCode="General" sourceLinked="1"/>
        <c:majorTickMark val="none"/>
        <c:minorTickMark val="cross"/>
        <c:tickLblPos val="nextTo"/>
        <c:crossAx val="93384336"/>
        <c:crosses val="autoZero"/>
        <c:auto val="1"/>
        <c:lblAlgn val="ctr"/>
        <c:lblOffset val="100"/>
        <c:noMultiLvlLbl val="1"/>
      </c:catAx>
      <c:valAx>
        <c:axId val="93384336"/>
        <c:scaling>
          <c:orientation val="minMax"/>
        </c:scaling>
        <c:delete val="1"/>
        <c:axPos val="l"/>
        <c:numFmt formatCode="General" sourceLinked="1"/>
        <c:majorTickMark val="none"/>
        <c:minorTickMark val="cross"/>
        <c:tickLblPos val="none"/>
        <c:crossAx val="93383776"/>
        <c:crosses val="autoZero"/>
        <c:crossBetween val="between"/>
      </c:valAx>
      <c:spPr>
        <a:noFill/>
        <a:ln>
          <a:noFill/>
        </a:ln>
        <a:effectLst/>
      </c:spPr>
    </c:plotArea>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18</Pages>
  <Words>2939</Words>
  <Characters>20382</Characters>
  <Application>Microsoft Office Word</Application>
  <DocSecurity>4</DocSecurity>
  <Lines>169</Lines>
  <Paragraphs>46</Paragraphs>
  <ScaleCrop>false</ScaleCrop>
  <HeadingPairs>
    <vt:vector size="2" baseType="variant">
      <vt:variant>
        <vt:lpstr>Название</vt:lpstr>
      </vt:variant>
      <vt:variant>
        <vt:i4>1</vt:i4>
      </vt:variant>
    </vt:vector>
  </HeadingPairs>
  <TitlesOfParts>
    <vt:vector size="1" baseType="lpstr">
      <vt:lpstr>Алексей Михайлович Сорокин</vt:lpstr>
    </vt:vector>
  </TitlesOfParts>
  <Company/>
  <LinksUpToDate>false</LinksUpToDate>
  <CharactersWithSpaces>23275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Алексей Михайлович Сорокин</dc:title>
  <dc:subject/>
  <dc:creator>ASUS UX31A</dc:creator>
  <cp:keywords/>
  <dc:description/>
  <cp:lastModifiedBy>Сорокин Михаил</cp:lastModifiedBy>
  <cp:revision>2</cp:revision>
  <dcterms:created xsi:type="dcterms:W3CDTF">2018-11-15T02:59:00Z</dcterms:created>
  <dcterms:modified xsi:type="dcterms:W3CDTF">2018-11-15T02:59:00Z</dcterms:modified>
</cp:coreProperties>
</file>