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37AE" w14:textId="15D027C0" w:rsidR="00693F35" w:rsidRPr="00D521BA" w:rsidRDefault="00693F35" w:rsidP="002206C8">
      <w:pPr>
        <w:widowControl w:val="0"/>
        <w:tabs>
          <w:tab w:val="left" w:pos="709"/>
        </w:tabs>
        <w:autoSpaceDE w:val="0"/>
        <w:autoSpaceDN w:val="0"/>
        <w:adjustRightInd w:val="0"/>
        <w:spacing w:after="0" w:line="240" w:lineRule="auto"/>
        <w:ind w:right="-6"/>
        <w:jc w:val="both"/>
        <w:rPr>
          <w:rFonts w:ascii="Times-Roman" w:hAnsi="Times-Roman" w:cs="Times-Roman"/>
          <w:sz w:val="24"/>
          <w:szCs w:val="24"/>
        </w:rPr>
      </w:pPr>
      <w:r w:rsidRPr="00D521BA">
        <w:rPr>
          <w:rFonts w:ascii="Times-Roman" w:hAnsi="Times-Roman" w:cs="Times-Roman"/>
          <w:sz w:val="24"/>
          <w:szCs w:val="24"/>
        </w:rPr>
        <w:t>УДК 327.7</w:t>
      </w:r>
    </w:p>
    <w:p w14:paraId="6D91B42F" w14:textId="77777777" w:rsidR="007202D3" w:rsidRPr="00D521BA" w:rsidRDefault="007202D3" w:rsidP="007202D3">
      <w:pPr>
        <w:widowControl w:val="0"/>
        <w:tabs>
          <w:tab w:val="left" w:pos="709"/>
        </w:tabs>
        <w:autoSpaceDE w:val="0"/>
        <w:autoSpaceDN w:val="0"/>
        <w:adjustRightInd w:val="0"/>
        <w:spacing w:after="0" w:line="240" w:lineRule="auto"/>
        <w:ind w:right="-113"/>
        <w:jc w:val="center"/>
        <w:rPr>
          <w:rFonts w:ascii="Times New Roman" w:hAnsi="Times New Roman" w:cs="Times New Roman"/>
          <w:sz w:val="24"/>
          <w:szCs w:val="24"/>
        </w:rPr>
      </w:pPr>
    </w:p>
    <w:p w14:paraId="015142B7" w14:textId="35D27895" w:rsidR="00CA35DF" w:rsidRPr="00D521BA" w:rsidRDefault="000001A9" w:rsidP="007202D3">
      <w:pPr>
        <w:widowControl w:val="0"/>
        <w:autoSpaceDE w:val="0"/>
        <w:autoSpaceDN w:val="0"/>
        <w:adjustRightInd w:val="0"/>
        <w:spacing w:after="0" w:line="240" w:lineRule="auto"/>
        <w:ind w:left="-567" w:right="-6" w:firstLine="709"/>
        <w:jc w:val="center"/>
        <w:rPr>
          <w:rFonts w:ascii="Times New Roman" w:hAnsi="Times New Roman" w:cs="Times New Roman"/>
          <w:b/>
          <w:bCs/>
          <w:sz w:val="24"/>
          <w:szCs w:val="24"/>
        </w:rPr>
      </w:pPr>
      <w:r w:rsidRPr="00D521BA">
        <w:rPr>
          <w:rFonts w:ascii="Times New Roman" w:hAnsi="Times New Roman" w:cs="Times New Roman"/>
          <w:b/>
          <w:bCs/>
          <w:sz w:val="24"/>
          <w:szCs w:val="24"/>
        </w:rPr>
        <w:t>Владивосток – ключевой морской порт Тихоокеанской Арктики: анализ инфраструктурных возможностей в рамках Трансарктического коридора</w:t>
      </w:r>
    </w:p>
    <w:p w14:paraId="59C99D3C" w14:textId="74692090" w:rsidR="00CA35DF" w:rsidRPr="00D521BA" w:rsidRDefault="00CA35DF" w:rsidP="007202D3">
      <w:pPr>
        <w:widowControl w:val="0"/>
        <w:tabs>
          <w:tab w:val="left" w:pos="709"/>
        </w:tabs>
        <w:autoSpaceDE w:val="0"/>
        <w:autoSpaceDN w:val="0"/>
        <w:adjustRightInd w:val="0"/>
        <w:spacing w:after="0" w:line="240" w:lineRule="auto"/>
        <w:ind w:left="-567" w:right="-6"/>
        <w:jc w:val="center"/>
        <w:rPr>
          <w:rFonts w:ascii="Times-Roman" w:hAnsi="Times-Roman" w:cs="Times-Roman"/>
          <w:sz w:val="24"/>
          <w:szCs w:val="24"/>
        </w:rPr>
      </w:pPr>
      <w:r w:rsidRPr="00D521BA">
        <w:rPr>
          <w:rFonts w:ascii="Times-Roman" w:hAnsi="Times-Roman" w:cs="Times-Roman"/>
          <w:sz w:val="24"/>
          <w:szCs w:val="24"/>
        </w:rPr>
        <w:t>Литвинов Алексей Евгеньевич</w:t>
      </w:r>
    </w:p>
    <w:p w14:paraId="00132216" w14:textId="3D3516EE" w:rsidR="00CA35DF" w:rsidRPr="00081889" w:rsidRDefault="003E766B" w:rsidP="003E766B">
      <w:pPr>
        <w:widowControl w:val="0"/>
        <w:tabs>
          <w:tab w:val="left" w:pos="709"/>
        </w:tabs>
        <w:autoSpaceDE w:val="0"/>
        <w:autoSpaceDN w:val="0"/>
        <w:adjustRightInd w:val="0"/>
        <w:spacing w:after="0" w:line="240" w:lineRule="auto"/>
        <w:ind w:left="-567" w:right="-6"/>
        <w:jc w:val="center"/>
        <w:rPr>
          <w:rFonts w:ascii="Times New Roman" w:hAnsi="Times New Roman" w:cs="Times New Roman"/>
          <w:iCs/>
          <w:sz w:val="24"/>
          <w:szCs w:val="24"/>
        </w:rPr>
      </w:pPr>
      <w:r>
        <w:rPr>
          <w:rFonts w:ascii="Times New Roman" w:hAnsi="Times New Roman" w:cs="Times New Roman"/>
          <w:sz w:val="24"/>
          <w:szCs w:val="24"/>
        </w:rPr>
        <w:t xml:space="preserve">ММО-25-МО1 группы, 1 курса </w:t>
      </w:r>
      <w:r w:rsidRPr="003E766B">
        <w:rPr>
          <w:rFonts w:ascii="Times New Roman" w:hAnsi="Times New Roman" w:cs="Times New Roman"/>
          <w:iCs/>
          <w:sz w:val="24"/>
          <w:szCs w:val="24"/>
        </w:rPr>
        <w:t>Институт международного бизнеса, экономики и управления</w:t>
      </w:r>
    </w:p>
    <w:p w14:paraId="3090C1C3" w14:textId="2C4833FE" w:rsidR="003E766B" w:rsidRPr="00081889" w:rsidRDefault="003E766B" w:rsidP="00081889">
      <w:pPr>
        <w:widowControl w:val="0"/>
        <w:tabs>
          <w:tab w:val="left" w:pos="709"/>
        </w:tabs>
        <w:autoSpaceDE w:val="0"/>
        <w:autoSpaceDN w:val="0"/>
        <w:adjustRightInd w:val="0"/>
        <w:spacing w:after="0" w:line="240" w:lineRule="auto"/>
        <w:ind w:right="-6"/>
        <w:rPr>
          <w:rFonts w:cs="Times-Italic"/>
          <w:i/>
          <w:iCs/>
          <w:sz w:val="24"/>
          <w:szCs w:val="24"/>
        </w:rPr>
      </w:pPr>
    </w:p>
    <w:p w14:paraId="5308116C" w14:textId="2593C246" w:rsidR="00CA35DF" w:rsidRPr="00D521BA" w:rsidRDefault="00CA35DF" w:rsidP="007202D3">
      <w:pPr>
        <w:widowControl w:val="0"/>
        <w:tabs>
          <w:tab w:val="left" w:pos="709"/>
        </w:tabs>
        <w:autoSpaceDE w:val="0"/>
        <w:autoSpaceDN w:val="0"/>
        <w:adjustRightInd w:val="0"/>
        <w:spacing w:after="0" w:line="240" w:lineRule="auto"/>
        <w:ind w:left="-567" w:right="-6"/>
        <w:jc w:val="center"/>
        <w:rPr>
          <w:rFonts w:cs="Times-Italic"/>
          <w:i/>
          <w:iCs/>
          <w:sz w:val="24"/>
          <w:szCs w:val="24"/>
        </w:rPr>
      </w:pPr>
      <w:r w:rsidRPr="00D521BA">
        <w:rPr>
          <w:rFonts w:ascii="Times-Italic" w:hAnsi="Times-Italic" w:cs="Times-Italic"/>
          <w:i/>
          <w:iCs/>
          <w:sz w:val="24"/>
          <w:szCs w:val="24"/>
        </w:rPr>
        <w:t>Владивостокский государственный университет</w:t>
      </w:r>
      <w:r w:rsidR="000001A9" w:rsidRPr="00D521BA">
        <w:rPr>
          <w:rFonts w:cs="Times-Italic"/>
          <w:i/>
          <w:iCs/>
          <w:sz w:val="24"/>
          <w:szCs w:val="24"/>
        </w:rPr>
        <w:t xml:space="preserve"> </w:t>
      </w:r>
    </w:p>
    <w:p w14:paraId="28A7E30C" w14:textId="77777777" w:rsidR="00CA35DF" w:rsidRPr="00D521BA" w:rsidRDefault="00CA35DF" w:rsidP="007202D3">
      <w:pPr>
        <w:widowControl w:val="0"/>
        <w:tabs>
          <w:tab w:val="left" w:pos="709"/>
        </w:tabs>
        <w:autoSpaceDE w:val="0"/>
        <w:autoSpaceDN w:val="0"/>
        <w:adjustRightInd w:val="0"/>
        <w:spacing w:after="0" w:line="240" w:lineRule="auto"/>
        <w:ind w:left="-567" w:right="-6"/>
        <w:jc w:val="center"/>
        <w:rPr>
          <w:rFonts w:ascii="Times-Italic" w:hAnsi="Times-Italic" w:cs="Times-Italic"/>
          <w:i/>
          <w:iCs/>
          <w:sz w:val="24"/>
          <w:szCs w:val="24"/>
        </w:rPr>
      </w:pPr>
      <w:r w:rsidRPr="00D521BA">
        <w:rPr>
          <w:rFonts w:ascii="Times-Italic" w:hAnsi="Times-Italic" w:cs="Times-Italic"/>
          <w:i/>
          <w:iCs/>
          <w:sz w:val="24"/>
          <w:szCs w:val="24"/>
        </w:rPr>
        <w:t>Россия. Владивосток</w:t>
      </w:r>
    </w:p>
    <w:p w14:paraId="6DA9DD9E" w14:textId="34D65C46" w:rsidR="00CA35DF" w:rsidRPr="00D521BA" w:rsidRDefault="00CA35DF" w:rsidP="007202D3">
      <w:pPr>
        <w:widowControl w:val="0"/>
        <w:tabs>
          <w:tab w:val="left" w:pos="709"/>
        </w:tabs>
        <w:autoSpaceDE w:val="0"/>
        <w:autoSpaceDN w:val="0"/>
        <w:adjustRightInd w:val="0"/>
        <w:spacing w:after="0" w:line="240" w:lineRule="auto"/>
        <w:ind w:left="-567" w:right="-6"/>
        <w:jc w:val="center"/>
        <w:rPr>
          <w:rFonts w:cs="Times-Italic"/>
          <w:i/>
          <w:iCs/>
          <w:sz w:val="24"/>
          <w:szCs w:val="24"/>
        </w:rPr>
      </w:pPr>
      <w:r w:rsidRPr="00D521BA">
        <w:rPr>
          <w:rFonts w:ascii="Times-Italic" w:hAnsi="Times-Italic" w:cs="Times-Italic"/>
          <w:i/>
          <w:iCs/>
          <w:sz w:val="24"/>
          <w:szCs w:val="24"/>
        </w:rPr>
        <w:t xml:space="preserve">E-mail: </w:t>
      </w:r>
      <w:hyperlink r:id="rId5" w:history="1">
        <w:r w:rsidRPr="00D521BA">
          <w:rPr>
            <w:rFonts w:ascii="Times-Italic" w:hAnsi="Times-Italic" w:cs="Times-Italic"/>
            <w:i/>
            <w:iCs/>
          </w:rPr>
          <w:t>Litvinov.alex13@mail.ru</w:t>
        </w:r>
      </w:hyperlink>
      <w:r w:rsidRPr="00D521BA">
        <w:rPr>
          <w:rFonts w:ascii="Times-Italic" w:hAnsi="Times-Italic" w:cs="Times-Italic"/>
          <w:i/>
          <w:iCs/>
          <w:sz w:val="24"/>
          <w:szCs w:val="24"/>
        </w:rPr>
        <w:t xml:space="preserve">; тел.: </w:t>
      </w:r>
      <w:r w:rsidRPr="00D521BA">
        <w:rPr>
          <w:rFonts w:ascii="Times New Roman" w:hAnsi="Times New Roman" w:cs="Times New Roman"/>
          <w:i/>
          <w:iCs/>
          <w:sz w:val="24"/>
          <w:szCs w:val="24"/>
        </w:rPr>
        <w:t>+</w:t>
      </w:r>
      <w:r w:rsidR="000001A9" w:rsidRPr="00D521BA">
        <w:rPr>
          <w:rFonts w:ascii="Times New Roman" w:hAnsi="Times New Roman" w:cs="Times New Roman"/>
          <w:i/>
          <w:iCs/>
          <w:sz w:val="24"/>
          <w:szCs w:val="24"/>
        </w:rPr>
        <w:t>79140778765</w:t>
      </w:r>
    </w:p>
    <w:p w14:paraId="65E1E032" w14:textId="58380466" w:rsidR="00CA35DF" w:rsidRPr="00D521BA" w:rsidRDefault="00CA35DF" w:rsidP="007202D3">
      <w:pPr>
        <w:widowControl w:val="0"/>
        <w:tabs>
          <w:tab w:val="left" w:pos="709"/>
        </w:tabs>
        <w:autoSpaceDE w:val="0"/>
        <w:autoSpaceDN w:val="0"/>
        <w:adjustRightInd w:val="0"/>
        <w:spacing w:after="0" w:line="240" w:lineRule="auto"/>
        <w:ind w:left="-567" w:right="-6"/>
        <w:jc w:val="center"/>
        <w:rPr>
          <w:rFonts w:ascii="Times-Italic" w:hAnsi="Times-Italic" w:cs="Times-Italic"/>
          <w:i/>
          <w:iCs/>
          <w:sz w:val="24"/>
          <w:szCs w:val="24"/>
        </w:rPr>
      </w:pPr>
      <w:r w:rsidRPr="00D521BA">
        <w:rPr>
          <w:rFonts w:ascii="Times-Italic" w:hAnsi="Times-Italic" w:cs="Times-Italic"/>
          <w:i/>
          <w:iCs/>
          <w:sz w:val="24"/>
          <w:szCs w:val="24"/>
        </w:rPr>
        <w:t>Ул. Гоголя, 41, г. Владивосток, Приморский край, Россия, 690014</w:t>
      </w:r>
    </w:p>
    <w:p w14:paraId="078F15F4" w14:textId="09BA7234" w:rsidR="001A3E73" w:rsidRPr="00D521BA" w:rsidRDefault="001A3E73" w:rsidP="00C329FA">
      <w:pPr>
        <w:widowControl w:val="0"/>
        <w:tabs>
          <w:tab w:val="left" w:pos="709"/>
        </w:tabs>
        <w:autoSpaceDE w:val="0"/>
        <w:autoSpaceDN w:val="0"/>
        <w:adjustRightInd w:val="0"/>
        <w:spacing w:after="0" w:line="240" w:lineRule="auto"/>
        <w:ind w:left="-567" w:right="-6"/>
        <w:jc w:val="both"/>
        <w:rPr>
          <w:rFonts w:cs="Times-Italic"/>
          <w:sz w:val="24"/>
          <w:szCs w:val="24"/>
        </w:rPr>
      </w:pPr>
    </w:p>
    <w:p w14:paraId="795659B0" w14:textId="0A155AE1" w:rsidR="00C329FA" w:rsidRDefault="00C329FA" w:rsidP="00720204">
      <w:pPr>
        <w:widowControl w:val="0"/>
        <w:tabs>
          <w:tab w:val="left" w:pos="709"/>
        </w:tabs>
        <w:autoSpaceDE w:val="0"/>
        <w:autoSpaceDN w:val="0"/>
        <w:adjustRightInd w:val="0"/>
        <w:spacing w:after="0" w:line="240" w:lineRule="auto"/>
        <w:ind w:right="-6" w:firstLine="709"/>
        <w:jc w:val="both"/>
        <w:rPr>
          <w:rFonts w:ascii="Times New Roman" w:hAnsi="Times New Roman" w:cs="Times New Roman"/>
          <w:i/>
          <w:sz w:val="24"/>
          <w:szCs w:val="24"/>
        </w:rPr>
      </w:pPr>
      <w:bookmarkStart w:id="0" w:name="_Hlk151145899"/>
      <w:r w:rsidRPr="00C329FA">
        <w:rPr>
          <w:rFonts w:ascii="Times New Roman" w:hAnsi="Times New Roman" w:cs="Times New Roman"/>
          <w:i/>
          <w:sz w:val="24"/>
          <w:szCs w:val="24"/>
        </w:rPr>
        <w:t>В статье проведён анализ инфраструктурных возможностей Владивостокского транспортного узла и портов Арктического бассейна в контексте формирования Трансарктического морского коридора. Показано, что Владивосток является безальтернативным контейнерным лидером восточного направления, тогда как арктические порты специализируются на вывозе сырья и демонстрируют падение грузооборота. Рассмотрены ключевые инфраструктурные проекты: Восточный транспортно-логистический узел СМП и агропромышленный парк в бухте Суходол с участием китайского капитала в рамках режима МТОР. Сделан вывод, что в целях повышения конкурентоспособности транзитных перевозок по Северному морскому пути необходимо обеспечить перевалку грузов в морских портах, до которых могут курсировать обычные суда</w:t>
      </w:r>
      <w:r>
        <w:rPr>
          <w:rFonts w:ascii="Times New Roman" w:hAnsi="Times New Roman" w:cs="Times New Roman"/>
          <w:i/>
          <w:sz w:val="24"/>
          <w:szCs w:val="24"/>
        </w:rPr>
        <w:t>.</w:t>
      </w:r>
    </w:p>
    <w:p w14:paraId="12FD120B" w14:textId="105EE52E" w:rsidR="000027D2" w:rsidRPr="005517D7" w:rsidRDefault="006D587B" w:rsidP="00720204">
      <w:pPr>
        <w:widowControl w:val="0"/>
        <w:tabs>
          <w:tab w:val="left" w:pos="709"/>
        </w:tabs>
        <w:autoSpaceDE w:val="0"/>
        <w:autoSpaceDN w:val="0"/>
        <w:adjustRightInd w:val="0"/>
        <w:spacing w:after="0" w:line="240" w:lineRule="auto"/>
        <w:ind w:right="-6" w:firstLine="709"/>
        <w:rPr>
          <w:rFonts w:ascii="Times New Roman" w:hAnsi="Times New Roman" w:cs="Times New Roman"/>
          <w:i/>
          <w:iCs/>
          <w:sz w:val="24"/>
          <w:szCs w:val="24"/>
        </w:rPr>
      </w:pPr>
      <w:r w:rsidRPr="00D521BA">
        <w:rPr>
          <w:rFonts w:ascii="Times New Roman" w:hAnsi="Times New Roman"/>
          <w:b/>
          <w:i/>
          <w:iCs/>
          <w:sz w:val="24"/>
          <w:szCs w:val="24"/>
        </w:rPr>
        <w:t xml:space="preserve">Ключевые слова и </w:t>
      </w:r>
      <w:r w:rsidRPr="00C329FA">
        <w:rPr>
          <w:rFonts w:ascii="Times New Roman" w:hAnsi="Times New Roman"/>
          <w:b/>
          <w:i/>
          <w:iCs/>
          <w:sz w:val="24"/>
          <w:szCs w:val="24"/>
        </w:rPr>
        <w:t>словосочетания:</w:t>
      </w:r>
      <w:r w:rsidRPr="00C329FA">
        <w:rPr>
          <w:rFonts w:ascii="Times New Roman" w:hAnsi="Times New Roman"/>
          <w:i/>
          <w:iCs/>
          <w:sz w:val="24"/>
          <w:szCs w:val="24"/>
        </w:rPr>
        <w:t xml:space="preserve"> </w:t>
      </w:r>
      <w:r w:rsidR="00C329FA" w:rsidRPr="00C329FA">
        <w:rPr>
          <w:rFonts w:ascii="Times New Roman" w:hAnsi="Times New Roman" w:cs="Times New Roman"/>
          <w:i/>
          <w:iCs/>
          <w:sz w:val="24"/>
          <w:szCs w:val="24"/>
        </w:rPr>
        <w:t>Владивосток, Северный морской путь, Трансарктический коридор, портовая инфраструктура, Арктический бассейн, Восточный транспортно-логистический узел</w:t>
      </w:r>
      <w:r w:rsidR="005517D7" w:rsidRPr="005517D7">
        <w:rPr>
          <w:rFonts w:ascii="Times New Roman" w:hAnsi="Times New Roman" w:cs="Times New Roman"/>
          <w:i/>
          <w:iCs/>
          <w:sz w:val="24"/>
          <w:szCs w:val="24"/>
        </w:rPr>
        <w:t>.</w:t>
      </w:r>
    </w:p>
    <w:bookmarkEnd w:id="0"/>
    <w:p w14:paraId="03128584" w14:textId="11A9F289" w:rsidR="006D587B" w:rsidRPr="00D521BA" w:rsidRDefault="006D587B" w:rsidP="006D587B">
      <w:pPr>
        <w:tabs>
          <w:tab w:val="left" w:pos="709"/>
        </w:tabs>
        <w:spacing w:after="0" w:line="240" w:lineRule="auto"/>
        <w:ind w:firstLine="709"/>
        <w:jc w:val="both"/>
        <w:rPr>
          <w:rFonts w:ascii="Times New Roman" w:hAnsi="Times New Roman"/>
          <w:i/>
          <w:iCs/>
          <w:sz w:val="24"/>
          <w:szCs w:val="24"/>
        </w:rPr>
      </w:pPr>
    </w:p>
    <w:p w14:paraId="66BD66EC" w14:textId="7AC07DE4" w:rsidR="006D587B" w:rsidRPr="005517D7" w:rsidRDefault="005517D7" w:rsidP="000027D2">
      <w:pPr>
        <w:tabs>
          <w:tab w:val="left" w:pos="709"/>
        </w:tabs>
        <w:spacing w:after="0" w:line="240" w:lineRule="auto"/>
        <w:ind w:firstLine="709"/>
        <w:jc w:val="center"/>
        <w:rPr>
          <w:rFonts w:ascii="Times New Roman" w:hAnsi="Times New Roman"/>
          <w:b/>
          <w:bCs/>
          <w:sz w:val="24"/>
          <w:szCs w:val="24"/>
          <w:lang w:val="en-US"/>
        </w:rPr>
      </w:pPr>
      <w:r w:rsidRPr="005517D7">
        <w:rPr>
          <w:rFonts w:ascii="Times New Roman" w:hAnsi="Times New Roman"/>
          <w:b/>
          <w:bCs/>
          <w:sz w:val="24"/>
          <w:szCs w:val="24"/>
          <w:lang w:val="en-US"/>
        </w:rPr>
        <w:t xml:space="preserve">Vladivostok </w:t>
      </w:r>
      <w:r>
        <w:rPr>
          <w:rFonts w:ascii="Times New Roman" w:hAnsi="Times New Roman"/>
          <w:b/>
          <w:bCs/>
          <w:sz w:val="24"/>
          <w:szCs w:val="24"/>
          <w:lang w:val="en-US"/>
        </w:rPr>
        <w:t>–</w:t>
      </w:r>
      <w:r w:rsidRPr="005517D7">
        <w:rPr>
          <w:rFonts w:ascii="Times New Roman" w:hAnsi="Times New Roman"/>
          <w:b/>
          <w:bCs/>
          <w:sz w:val="24"/>
          <w:szCs w:val="24"/>
          <w:lang w:val="en-US"/>
        </w:rPr>
        <w:t xml:space="preserve"> </w:t>
      </w:r>
      <w:r>
        <w:rPr>
          <w:rFonts w:ascii="Times New Roman" w:hAnsi="Times New Roman"/>
          <w:b/>
          <w:bCs/>
          <w:sz w:val="24"/>
          <w:szCs w:val="24"/>
          <w:lang w:val="en-US"/>
        </w:rPr>
        <w:t>t</w:t>
      </w:r>
      <w:r w:rsidRPr="005517D7">
        <w:rPr>
          <w:rFonts w:ascii="Times New Roman" w:hAnsi="Times New Roman"/>
          <w:b/>
          <w:bCs/>
          <w:sz w:val="24"/>
          <w:szCs w:val="24"/>
          <w:lang w:val="en-US"/>
        </w:rPr>
        <w:t xml:space="preserve">he </w:t>
      </w:r>
      <w:r>
        <w:rPr>
          <w:rFonts w:ascii="Times New Roman" w:hAnsi="Times New Roman"/>
          <w:b/>
          <w:bCs/>
          <w:sz w:val="24"/>
          <w:szCs w:val="24"/>
          <w:lang w:val="en-US"/>
        </w:rPr>
        <w:t>k</w:t>
      </w:r>
      <w:r w:rsidRPr="005517D7">
        <w:rPr>
          <w:rFonts w:ascii="Times New Roman" w:hAnsi="Times New Roman"/>
          <w:b/>
          <w:bCs/>
          <w:sz w:val="24"/>
          <w:szCs w:val="24"/>
          <w:lang w:val="en-US"/>
        </w:rPr>
        <w:t xml:space="preserve">ey </w:t>
      </w:r>
      <w:r>
        <w:rPr>
          <w:rFonts w:ascii="Times New Roman" w:hAnsi="Times New Roman"/>
          <w:b/>
          <w:bCs/>
          <w:sz w:val="24"/>
          <w:szCs w:val="24"/>
          <w:lang w:val="en-US"/>
        </w:rPr>
        <w:t>s</w:t>
      </w:r>
      <w:r w:rsidRPr="005517D7">
        <w:rPr>
          <w:rFonts w:ascii="Times New Roman" w:hAnsi="Times New Roman"/>
          <w:b/>
          <w:bCs/>
          <w:sz w:val="24"/>
          <w:szCs w:val="24"/>
          <w:lang w:val="en-US"/>
        </w:rPr>
        <w:t xml:space="preserve">eaport of the Pacific Arctic: </w:t>
      </w:r>
      <w:r>
        <w:rPr>
          <w:rFonts w:ascii="Times New Roman" w:hAnsi="Times New Roman"/>
          <w:b/>
          <w:bCs/>
          <w:sz w:val="24"/>
          <w:szCs w:val="24"/>
          <w:lang w:val="en-US"/>
        </w:rPr>
        <w:t>a</w:t>
      </w:r>
      <w:r w:rsidRPr="005517D7">
        <w:rPr>
          <w:rFonts w:ascii="Times New Roman" w:hAnsi="Times New Roman"/>
          <w:b/>
          <w:bCs/>
          <w:sz w:val="24"/>
          <w:szCs w:val="24"/>
          <w:lang w:val="en-US"/>
        </w:rPr>
        <w:t xml:space="preserve"> </w:t>
      </w:r>
      <w:r>
        <w:rPr>
          <w:rFonts w:ascii="Times New Roman" w:hAnsi="Times New Roman"/>
          <w:b/>
          <w:bCs/>
          <w:sz w:val="24"/>
          <w:szCs w:val="24"/>
          <w:lang w:val="en-US"/>
        </w:rPr>
        <w:t>c</w:t>
      </w:r>
      <w:r w:rsidRPr="005517D7">
        <w:rPr>
          <w:rFonts w:ascii="Times New Roman" w:hAnsi="Times New Roman"/>
          <w:b/>
          <w:bCs/>
          <w:sz w:val="24"/>
          <w:szCs w:val="24"/>
          <w:lang w:val="en-US"/>
        </w:rPr>
        <w:t xml:space="preserve">omparative </w:t>
      </w:r>
      <w:r>
        <w:rPr>
          <w:rFonts w:ascii="Times New Roman" w:hAnsi="Times New Roman"/>
          <w:b/>
          <w:bCs/>
          <w:sz w:val="24"/>
          <w:szCs w:val="24"/>
          <w:lang w:val="en-US"/>
        </w:rPr>
        <w:t>a</w:t>
      </w:r>
      <w:r w:rsidRPr="005517D7">
        <w:rPr>
          <w:rFonts w:ascii="Times New Roman" w:hAnsi="Times New Roman"/>
          <w:b/>
          <w:bCs/>
          <w:sz w:val="24"/>
          <w:szCs w:val="24"/>
          <w:lang w:val="en-US"/>
        </w:rPr>
        <w:t xml:space="preserve">nalysis of </w:t>
      </w:r>
      <w:r>
        <w:rPr>
          <w:rFonts w:ascii="Times New Roman" w:hAnsi="Times New Roman"/>
          <w:b/>
          <w:bCs/>
          <w:sz w:val="24"/>
          <w:szCs w:val="24"/>
          <w:lang w:val="en-US"/>
        </w:rPr>
        <w:t>i</w:t>
      </w:r>
      <w:r w:rsidRPr="005517D7">
        <w:rPr>
          <w:rFonts w:ascii="Times New Roman" w:hAnsi="Times New Roman"/>
          <w:b/>
          <w:bCs/>
          <w:sz w:val="24"/>
          <w:szCs w:val="24"/>
          <w:lang w:val="en-US"/>
        </w:rPr>
        <w:t xml:space="preserve">nfrastructure </w:t>
      </w:r>
      <w:r>
        <w:rPr>
          <w:rFonts w:ascii="Times New Roman" w:hAnsi="Times New Roman"/>
          <w:b/>
          <w:bCs/>
          <w:sz w:val="24"/>
          <w:szCs w:val="24"/>
          <w:lang w:val="en-US"/>
        </w:rPr>
        <w:t>c</w:t>
      </w:r>
      <w:r w:rsidRPr="005517D7">
        <w:rPr>
          <w:rFonts w:ascii="Times New Roman" w:hAnsi="Times New Roman"/>
          <w:b/>
          <w:bCs/>
          <w:sz w:val="24"/>
          <w:szCs w:val="24"/>
          <w:lang w:val="en-US"/>
        </w:rPr>
        <w:t xml:space="preserve">apabilities within the </w:t>
      </w:r>
      <w:r>
        <w:rPr>
          <w:rFonts w:ascii="Times New Roman" w:hAnsi="Times New Roman"/>
          <w:b/>
          <w:bCs/>
          <w:sz w:val="24"/>
          <w:szCs w:val="24"/>
          <w:lang w:val="en-US"/>
        </w:rPr>
        <w:t>f</w:t>
      </w:r>
      <w:r w:rsidRPr="005517D7">
        <w:rPr>
          <w:rFonts w:ascii="Times New Roman" w:hAnsi="Times New Roman"/>
          <w:b/>
          <w:bCs/>
          <w:sz w:val="24"/>
          <w:szCs w:val="24"/>
          <w:lang w:val="en-US"/>
        </w:rPr>
        <w:t xml:space="preserve">ramework of the Trans-Arctic </w:t>
      </w:r>
      <w:r>
        <w:rPr>
          <w:rFonts w:ascii="Times New Roman" w:hAnsi="Times New Roman"/>
          <w:b/>
          <w:bCs/>
          <w:sz w:val="24"/>
          <w:szCs w:val="24"/>
          <w:lang w:val="en-US"/>
        </w:rPr>
        <w:t>c</w:t>
      </w:r>
      <w:r w:rsidRPr="005517D7">
        <w:rPr>
          <w:rFonts w:ascii="Times New Roman" w:hAnsi="Times New Roman"/>
          <w:b/>
          <w:bCs/>
          <w:sz w:val="24"/>
          <w:szCs w:val="24"/>
          <w:lang w:val="en-US"/>
        </w:rPr>
        <w:t>orridor</w:t>
      </w:r>
    </w:p>
    <w:p w14:paraId="4A2BC342" w14:textId="77777777" w:rsidR="00C329FA" w:rsidRPr="00081889" w:rsidRDefault="00C329FA" w:rsidP="000027D2">
      <w:pPr>
        <w:tabs>
          <w:tab w:val="left" w:pos="709"/>
        </w:tabs>
        <w:spacing w:after="0" w:line="240" w:lineRule="auto"/>
        <w:ind w:firstLine="709"/>
        <w:jc w:val="both"/>
        <w:rPr>
          <w:rFonts w:ascii="Times New Roman" w:hAnsi="Times New Roman"/>
          <w:i/>
          <w:iCs/>
          <w:sz w:val="24"/>
          <w:szCs w:val="24"/>
          <w:lang w:val="en-US"/>
        </w:rPr>
      </w:pPr>
      <w:r w:rsidRPr="00C329FA">
        <w:rPr>
          <w:rFonts w:ascii="Times New Roman" w:hAnsi="Times New Roman"/>
          <w:i/>
          <w:iCs/>
          <w:sz w:val="24"/>
          <w:szCs w:val="24"/>
          <w:lang w:val="en-US"/>
        </w:rPr>
        <w:t xml:space="preserve">The article presents a comparative analysis of the infrastructure capabilities of the Vladivostok transport hub and the ports of the Arctic Basin in the context of the emerging Trans-Arctic Maritime Corridor. It is demonstrated that Vladivostok holds an uncontested leadership in container traffic in the eastern direction, whereas Arctic ports are predominantly specialized in raw material exports and show a decline in cargo turnover. Key infrastructure projects are examined, including the Eastern Transport and Logistics Hub of the Northern Sea Route and the agro-industrial park in </w:t>
      </w:r>
      <w:proofErr w:type="spellStart"/>
      <w:r w:rsidRPr="00C329FA">
        <w:rPr>
          <w:rFonts w:ascii="Times New Roman" w:hAnsi="Times New Roman"/>
          <w:i/>
          <w:iCs/>
          <w:sz w:val="24"/>
          <w:szCs w:val="24"/>
          <w:lang w:val="en-US"/>
        </w:rPr>
        <w:t>Sukhodol</w:t>
      </w:r>
      <w:proofErr w:type="spellEnd"/>
      <w:r w:rsidRPr="00C329FA">
        <w:rPr>
          <w:rFonts w:ascii="Times New Roman" w:hAnsi="Times New Roman"/>
          <w:i/>
          <w:iCs/>
          <w:sz w:val="24"/>
          <w:szCs w:val="24"/>
          <w:lang w:val="en-US"/>
        </w:rPr>
        <w:t xml:space="preserve"> Bay involving Chinese capital under the International Priority Development Area (IPDA) regime. The article concludes that in order to enhance the competitiveness of transit shipping along the Northern Sea Route, it is essential to ensure cargo transshipment at seaports accessible to conventional vessels — a role for which Vladivostok is objectively suited as the eastern gateway.</w:t>
      </w:r>
    </w:p>
    <w:p w14:paraId="2F0E82AB" w14:textId="3EBD8F6D" w:rsidR="006D587B" w:rsidRPr="00C329FA" w:rsidRDefault="000027D2" w:rsidP="000027D2">
      <w:pPr>
        <w:tabs>
          <w:tab w:val="left" w:pos="709"/>
        </w:tabs>
        <w:spacing w:after="0" w:line="240" w:lineRule="auto"/>
        <w:ind w:firstLine="709"/>
        <w:jc w:val="both"/>
        <w:rPr>
          <w:rFonts w:ascii="Times New Roman" w:hAnsi="Times New Roman"/>
          <w:i/>
          <w:iCs/>
          <w:color w:val="FF0000"/>
          <w:sz w:val="24"/>
          <w:szCs w:val="24"/>
          <w:lang w:val="en-US"/>
        </w:rPr>
      </w:pPr>
      <w:r w:rsidRPr="00C329FA">
        <w:rPr>
          <w:rFonts w:ascii="Times New Roman" w:hAnsi="Times New Roman"/>
          <w:b/>
          <w:bCs/>
          <w:i/>
          <w:iCs/>
          <w:sz w:val="24"/>
          <w:szCs w:val="24"/>
          <w:lang w:val="en-US"/>
        </w:rPr>
        <w:t>Key words and phrases:</w:t>
      </w:r>
      <w:r w:rsidRPr="00C329FA">
        <w:rPr>
          <w:rFonts w:ascii="Times New Roman" w:hAnsi="Times New Roman"/>
          <w:i/>
          <w:iCs/>
          <w:sz w:val="24"/>
          <w:szCs w:val="24"/>
          <w:lang w:val="en-US"/>
        </w:rPr>
        <w:t xml:space="preserve"> </w:t>
      </w:r>
      <w:r w:rsidR="005517D7" w:rsidRPr="005517D7">
        <w:rPr>
          <w:rFonts w:ascii="Times New Roman" w:hAnsi="Times New Roman"/>
          <w:i/>
          <w:iCs/>
          <w:sz w:val="24"/>
          <w:szCs w:val="24"/>
          <w:lang w:val="en-US"/>
        </w:rPr>
        <w:t xml:space="preserve">Vladivostok, Northern Sea Route, Trans-Arctic </w:t>
      </w:r>
      <w:r w:rsidR="005517D7">
        <w:rPr>
          <w:rFonts w:ascii="Times New Roman" w:hAnsi="Times New Roman"/>
          <w:i/>
          <w:iCs/>
          <w:sz w:val="24"/>
          <w:szCs w:val="24"/>
          <w:lang w:val="en-US"/>
        </w:rPr>
        <w:t>c</w:t>
      </w:r>
      <w:r w:rsidR="005517D7" w:rsidRPr="005517D7">
        <w:rPr>
          <w:rFonts w:ascii="Times New Roman" w:hAnsi="Times New Roman"/>
          <w:i/>
          <w:iCs/>
          <w:sz w:val="24"/>
          <w:szCs w:val="24"/>
          <w:lang w:val="en-US"/>
        </w:rPr>
        <w:t xml:space="preserve">orridor, port infrastructure, Arctic Basin, Eastern </w:t>
      </w:r>
      <w:r w:rsidR="005517D7">
        <w:rPr>
          <w:rFonts w:ascii="Times New Roman" w:hAnsi="Times New Roman"/>
          <w:i/>
          <w:iCs/>
          <w:sz w:val="24"/>
          <w:szCs w:val="24"/>
          <w:lang w:val="en-US"/>
        </w:rPr>
        <w:t>t</w:t>
      </w:r>
      <w:r w:rsidR="005517D7" w:rsidRPr="005517D7">
        <w:rPr>
          <w:rFonts w:ascii="Times New Roman" w:hAnsi="Times New Roman"/>
          <w:i/>
          <w:iCs/>
          <w:sz w:val="24"/>
          <w:szCs w:val="24"/>
          <w:lang w:val="en-US"/>
        </w:rPr>
        <w:t xml:space="preserve">ransport and </w:t>
      </w:r>
      <w:r w:rsidR="005517D7">
        <w:rPr>
          <w:rFonts w:ascii="Times New Roman" w:hAnsi="Times New Roman"/>
          <w:i/>
          <w:iCs/>
          <w:sz w:val="24"/>
          <w:szCs w:val="24"/>
          <w:lang w:val="en-US"/>
        </w:rPr>
        <w:t>l</w:t>
      </w:r>
      <w:r w:rsidR="005517D7" w:rsidRPr="005517D7">
        <w:rPr>
          <w:rFonts w:ascii="Times New Roman" w:hAnsi="Times New Roman"/>
          <w:i/>
          <w:iCs/>
          <w:sz w:val="24"/>
          <w:szCs w:val="24"/>
          <w:lang w:val="en-US"/>
        </w:rPr>
        <w:t xml:space="preserve">ogistics </w:t>
      </w:r>
      <w:r w:rsidR="005517D7">
        <w:rPr>
          <w:rFonts w:ascii="Times New Roman" w:hAnsi="Times New Roman"/>
          <w:i/>
          <w:iCs/>
          <w:sz w:val="24"/>
          <w:szCs w:val="24"/>
          <w:lang w:val="en-US"/>
        </w:rPr>
        <w:t>h</w:t>
      </w:r>
      <w:r w:rsidR="005517D7" w:rsidRPr="005517D7">
        <w:rPr>
          <w:rFonts w:ascii="Times New Roman" w:hAnsi="Times New Roman"/>
          <w:i/>
          <w:iCs/>
          <w:sz w:val="24"/>
          <w:szCs w:val="24"/>
          <w:lang w:val="en-US"/>
        </w:rPr>
        <w:t>ub.</w:t>
      </w:r>
    </w:p>
    <w:p w14:paraId="2AA8A0A9" w14:textId="1C02BB86" w:rsidR="000001A9" w:rsidRPr="00C329FA" w:rsidRDefault="000001A9" w:rsidP="001F5F0A">
      <w:pPr>
        <w:jc w:val="both"/>
        <w:rPr>
          <w:rFonts w:ascii="Times New Roman" w:hAnsi="Times New Roman" w:cs="Times New Roman"/>
          <w:b/>
          <w:bCs/>
          <w:lang w:val="en-US"/>
        </w:rPr>
      </w:pPr>
    </w:p>
    <w:p w14:paraId="370BBD38" w14:textId="0F76B8AF" w:rsidR="003A641D" w:rsidRPr="000B1361" w:rsidRDefault="003A641D" w:rsidP="003A641D">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 xml:space="preserve">В условиях трансформации глобальных цепочек поставок и смещения центров экономической активности в Северо-Восточную, Юго-Восточную Азию Северный морской путь (далее - СМП) перестает быть исключительно внутрироссийским транспортным коридором, эволюционируя в Трансарктический морской коридор. Данная конфигурация связывает рынки Северо-Западной Европы и АТР в единую бесшовную систему. В этой архитектуре Владивосток выступает не просто портом Дальневосточного бассейна, а </w:t>
      </w:r>
      <w:r w:rsidRPr="000B1361">
        <w:rPr>
          <w:rFonts w:ascii="Times New Roman" w:hAnsi="Times New Roman" w:cs="Times New Roman"/>
          <w:sz w:val="24"/>
          <w:szCs w:val="24"/>
        </w:rPr>
        <w:lastRenderedPageBreak/>
        <w:t>ключевой точкой входа и распределения грузопотока, следующего через высокие широты в восточном направлении.</w:t>
      </w:r>
    </w:p>
    <w:p w14:paraId="7B59988E" w14:textId="77777777" w:rsidR="0051783B" w:rsidRPr="000B1361" w:rsidRDefault="00B17B12" w:rsidP="003A641D">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В соответствии с распоряжением Правительства Российской Федерации от 01 августа 2022 г. № 2115-р Правительство Приморского края ведёт работу по развитию регулярных каботажных перевозок по Северному морскому пути, а также по созданию Восточного транспортно-логистического узла для перевалки транзитных контейнерных грузов в портах Приморского края</w:t>
      </w:r>
      <w:r w:rsidR="008347AE" w:rsidRPr="000B1361">
        <w:rPr>
          <w:rFonts w:ascii="Times New Roman" w:hAnsi="Times New Roman" w:cs="Times New Roman"/>
          <w:sz w:val="24"/>
          <w:szCs w:val="24"/>
        </w:rPr>
        <w:t xml:space="preserve"> [1]</w:t>
      </w:r>
      <w:r w:rsidRPr="000B1361">
        <w:rPr>
          <w:rFonts w:ascii="Times New Roman" w:hAnsi="Times New Roman" w:cs="Times New Roman"/>
          <w:sz w:val="24"/>
          <w:szCs w:val="24"/>
        </w:rPr>
        <w:t>.</w:t>
      </w:r>
    </w:p>
    <w:p w14:paraId="2869D30B" w14:textId="294FF43D" w:rsidR="006D4C9E" w:rsidRPr="000B1361" w:rsidRDefault="006D4C9E" w:rsidP="0051783B">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Северный морской путь короче привычного маршрута через Суэцкий канал в два раза. Владивосток является точкой входа в Северный морской путь. Здесь расположены государственные контролирующие органы по правовому надзору за следованием судов по СМП. Во Владивостоке функционируют научно-исследовательские организации, специализирующиеся на изучении износостойких материалов, используемых в условиях крайнего севера, а также на исследованиях погодных условий, ледяного покрова и арктической навигации.</w:t>
      </w:r>
    </w:p>
    <w:p w14:paraId="152B0C87" w14:textId="77777777" w:rsidR="008347AE" w:rsidRPr="000B1361" w:rsidRDefault="006D4C9E" w:rsidP="008347AE">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Весь северный путь из Европы в Азию составляет порядка 7 200 миль, и только половина этого пути пролегает в суровых ледовых условиях. Морские суда ледового класса не являются конкурентоспособными при транзитных перевозках, при их использовании на всем маршруте.</w:t>
      </w:r>
    </w:p>
    <w:p w14:paraId="09014DCE" w14:textId="15CB45B1" w:rsidR="006D4C9E" w:rsidRPr="000B1361" w:rsidRDefault="006D4C9E" w:rsidP="008347AE">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В целях обеспечения грузооборота крупнотоннажных контейнеров по Северному морскому пути</w:t>
      </w:r>
      <w:r w:rsidR="008347AE" w:rsidRPr="000B1361">
        <w:rPr>
          <w:rFonts w:ascii="Times New Roman" w:hAnsi="Times New Roman" w:cs="Times New Roman"/>
          <w:sz w:val="24"/>
          <w:szCs w:val="24"/>
        </w:rPr>
        <w:t xml:space="preserve"> </w:t>
      </w:r>
      <w:r w:rsidRPr="000B1361">
        <w:rPr>
          <w:rFonts w:ascii="Times New Roman" w:hAnsi="Times New Roman" w:cs="Times New Roman"/>
          <w:sz w:val="24"/>
          <w:szCs w:val="24"/>
        </w:rPr>
        <w:t>в морском порту Владивосток на платформе Владивостокского морского порта ведется строительство Восточного транспортно-логистического узла Северного морского пути</w:t>
      </w:r>
      <w:r w:rsidR="001F5F0A" w:rsidRPr="000B1361">
        <w:rPr>
          <w:rFonts w:ascii="Times New Roman" w:hAnsi="Times New Roman" w:cs="Times New Roman"/>
          <w:sz w:val="24"/>
          <w:szCs w:val="24"/>
        </w:rPr>
        <w:t xml:space="preserve">, который позволит принимать контейнеровозы вместимостью более 10 тыс. </w:t>
      </w:r>
      <w:r w:rsidR="009613EC" w:rsidRPr="000B1361">
        <w:rPr>
          <w:rFonts w:ascii="Times New Roman" w:hAnsi="Times New Roman" w:cs="Times New Roman"/>
          <w:sz w:val="24"/>
          <w:szCs w:val="24"/>
          <w:lang w:val="en-US"/>
        </w:rPr>
        <w:t>TEU</w:t>
      </w:r>
      <w:r w:rsidR="009613EC" w:rsidRPr="000B1361">
        <w:rPr>
          <w:rFonts w:ascii="Times New Roman" w:hAnsi="Times New Roman" w:cs="Times New Roman"/>
          <w:sz w:val="24"/>
          <w:szCs w:val="24"/>
        </w:rPr>
        <w:t xml:space="preserve"> (</w:t>
      </w:r>
      <w:r w:rsidR="009613EC" w:rsidRPr="000B1361">
        <w:rPr>
          <w:rFonts w:ascii="Times New Roman" w:hAnsi="Times New Roman" w:cs="Times New Roman"/>
          <w:sz w:val="24"/>
          <w:szCs w:val="24"/>
          <w:lang w:val="en-US"/>
        </w:rPr>
        <w:t>twenty</w:t>
      </w:r>
      <w:r w:rsidR="009613EC" w:rsidRPr="000B1361">
        <w:rPr>
          <w:rFonts w:ascii="Times New Roman" w:hAnsi="Times New Roman" w:cs="Times New Roman"/>
          <w:sz w:val="24"/>
          <w:szCs w:val="24"/>
        </w:rPr>
        <w:t>-</w:t>
      </w:r>
      <w:r w:rsidR="009613EC" w:rsidRPr="000B1361">
        <w:rPr>
          <w:rFonts w:ascii="Times New Roman" w:hAnsi="Times New Roman" w:cs="Times New Roman"/>
          <w:sz w:val="24"/>
          <w:szCs w:val="24"/>
          <w:lang w:val="en-US"/>
        </w:rPr>
        <w:t>foot</w:t>
      </w:r>
      <w:r w:rsidR="009613EC" w:rsidRPr="000B1361">
        <w:rPr>
          <w:rFonts w:ascii="Times New Roman" w:hAnsi="Times New Roman" w:cs="Times New Roman"/>
          <w:sz w:val="24"/>
          <w:szCs w:val="24"/>
        </w:rPr>
        <w:t xml:space="preserve"> </w:t>
      </w:r>
      <w:r w:rsidR="009613EC" w:rsidRPr="000B1361">
        <w:rPr>
          <w:rFonts w:ascii="Times New Roman" w:hAnsi="Times New Roman" w:cs="Times New Roman"/>
          <w:sz w:val="24"/>
          <w:szCs w:val="24"/>
          <w:lang w:val="en-US"/>
        </w:rPr>
        <w:t>equivalent</w:t>
      </w:r>
      <w:r w:rsidR="009613EC" w:rsidRPr="000B1361">
        <w:rPr>
          <w:rFonts w:ascii="Times New Roman" w:hAnsi="Times New Roman" w:cs="Times New Roman"/>
          <w:sz w:val="24"/>
          <w:szCs w:val="24"/>
        </w:rPr>
        <w:t xml:space="preserve"> </w:t>
      </w:r>
      <w:r w:rsidR="009613EC" w:rsidRPr="000B1361">
        <w:rPr>
          <w:rFonts w:ascii="Times New Roman" w:hAnsi="Times New Roman" w:cs="Times New Roman"/>
          <w:sz w:val="24"/>
          <w:szCs w:val="24"/>
          <w:lang w:val="en-US"/>
        </w:rPr>
        <w:t>unit</w:t>
      </w:r>
      <w:r w:rsidR="009613EC" w:rsidRPr="000B1361">
        <w:rPr>
          <w:rFonts w:ascii="Times New Roman" w:hAnsi="Times New Roman" w:cs="Times New Roman"/>
          <w:sz w:val="24"/>
          <w:szCs w:val="24"/>
        </w:rPr>
        <w:t xml:space="preserve">, далее – </w:t>
      </w:r>
      <w:r w:rsidR="009613EC" w:rsidRPr="000B1361">
        <w:rPr>
          <w:rFonts w:ascii="Times New Roman" w:hAnsi="Times New Roman" w:cs="Times New Roman"/>
          <w:sz w:val="24"/>
          <w:szCs w:val="24"/>
          <w:lang w:val="en-US"/>
        </w:rPr>
        <w:t>TEU</w:t>
      </w:r>
      <w:r w:rsidR="009613EC" w:rsidRPr="000B1361">
        <w:rPr>
          <w:rFonts w:ascii="Times New Roman" w:hAnsi="Times New Roman" w:cs="Times New Roman"/>
          <w:sz w:val="24"/>
          <w:szCs w:val="24"/>
        </w:rPr>
        <w:t>)</w:t>
      </w:r>
      <w:r w:rsidR="001F5F0A" w:rsidRPr="000B1361">
        <w:rPr>
          <w:rFonts w:ascii="Times New Roman" w:hAnsi="Times New Roman" w:cs="Times New Roman"/>
          <w:sz w:val="24"/>
          <w:szCs w:val="24"/>
        </w:rPr>
        <w:t>.</w:t>
      </w:r>
      <w:r w:rsidRPr="000B1361">
        <w:rPr>
          <w:rFonts w:ascii="Times New Roman" w:hAnsi="Times New Roman" w:cs="Times New Roman"/>
          <w:sz w:val="24"/>
          <w:szCs w:val="24"/>
        </w:rPr>
        <w:t xml:space="preserve"> </w:t>
      </w:r>
      <w:r w:rsidR="001F5F0A" w:rsidRPr="000B1361">
        <w:rPr>
          <w:rFonts w:ascii="Times New Roman" w:hAnsi="Times New Roman" w:cs="Times New Roman"/>
          <w:sz w:val="24"/>
          <w:szCs w:val="24"/>
        </w:rPr>
        <w:t>На текущий момент порты Приморского края могут принимать суда вместимостью до 2,5 тыс. TEU.</w:t>
      </w:r>
    </w:p>
    <w:p w14:paraId="762BD1E1" w14:textId="7C8F818C" w:rsidR="000001A9" w:rsidRPr="000B1361" w:rsidRDefault="003A641D" w:rsidP="003A74FF">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В отличие от арктических портов специализирующихся преимущественно на вывозе сырья и СПГ, порты Владивостокского узла обеспечивают критически важную функцию мультимодального хаба, сопрягая глубоководные терминалы с пропускной способностью Транссибирской магистрали</w:t>
      </w:r>
      <w:r w:rsidR="006D4C9E" w:rsidRPr="000B1361">
        <w:rPr>
          <w:rFonts w:ascii="Times New Roman" w:hAnsi="Times New Roman" w:cs="Times New Roman"/>
          <w:sz w:val="24"/>
          <w:szCs w:val="24"/>
        </w:rPr>
        <w:t>.</w:t>
      </w:r>
    </w:p>
    <w:p w14:paraId="1B594279" w14:textId="29A8D9DD" w:rsidR="003A74FF" w:rsidRPr="000B1361" w:rsidRDefault="003A74FF" w:rsidP="003A74FF">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Объектом исследования выступает транспортно-логистическая система морского порта Владивосток в условиях её интеграции в формирующийся Трансарктический морской коридор.</w:t>
      </w:r>
    </w:p>
    <w:p w14:paraId="7D0A04C2" w14:textId="4A57E995" w:rsidR="008B4AC9" w:rsidRPr="000B1361" w:rsidRDefault="003A74FF" w:rsidP="003A74FF">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Предметом исследования являются инфраструктурные возможности и конкурентные преимущества Владивостокского транспортного узла как восточного мультимодального хаба Северного морского пути в сопоставлении с портами Арктического бассейна.</w:t>
      </w:r>
    </w:p>
    <w:p w14:paraId="053E995A" w14:textId="77777777" w:rsidR="00AA6465" w:rsidRPr="000B1361" w:rsidRDefault="003A74FF" w:rsidP="00AA6465">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lastRenderedPageBreak/>
        <w:t>Цель настоящей работы – на основе сравнительного анализа инфраструктурных возможностей Владивостокского узла и ключевых портов Арктического бассейна определить условия, при которых Владивосток способен реализовать функцию восточного хаба Трансарктического коридора, а также оценить перспективы привлечения инвестиций</w:t>
      </w:r>
      <w:r w:rsidR="00AA6465" w:rsidRPr="000B1361">
        <w:rPr>
          <w:rFonts w:ascii="Times New Roman" w:hAnsi="Times New Roman" w:cs="Times New Roman"/>
          <w:sz w:val="24"/>
          <w:szCs w:val="24"/>
        </w:rPr>
        <w:br/>
      </w:r>
      <w:r w:rsidRPr="000B1361">
        <w:rPr>
          <w:rFonts w:ascii="Times New Roman" w:hAnsi="Times New Roman" w:cs="Times New Roman"/>
          <w:sz w:val="24"/>
          <w:szCs w:val="24"/>
        </w:rPr>
        <w:t>в логистические проекты региона.</w:t>
      </w:r>
    </w:p>
    <w:p w14:paraId="559ADA95" w14:textId="22F883A4" w:rsidR="00AA6465" w:rsidRPr="000B1361" w:rsidRDefault="00331A10" w:rsidP="00AA6465">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Анализ контейнерооборота морских портов Российской Федерации по итогам 2025 года позволяет выявить ключевые тенденции, определяющие позиционирование Владивостока</w:t>
      </w:r>
      <w:r w:rsidRPr="000B1361">
        <w:rPr>
          <w:rFonts w:ascii="Times New Roman" w:hAnsi="Times New Roman" w:cs="Times New Roman"/>
          <w:sz w:val="24"/>
          <w:szCs w:val="24"/>
        </w:rPr>
        <w:br/>
        <w:t>в архитектуре Трансарктического морского коридора.</w:t>
      </w:r>
    </w:p>
    <w:p w14:paraId="170A5555" w14:textId="24451017" w:rsidR="00D126BE" w:rsidRPr="000B1361" w:rsidRDefault="00D126BE" w:rsidP="00D126BE">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По данным Ассоциации морских торговых портов (АСОП), совокупный грузооборот морских портов Российской Федерации по итогам 2025 года сократился на 0,4%, составив 884,5 млн тонн. Снижение затронуло большинство морских бассейнов страны: Арктический бассейн показал падение на 6,3% (до 87,1 млн тонн), Азово-Черноморский — на 3,9% (до 265,4 млн тонн), Каспийский — на 5,4% (до 8,6 млн тонн), Балтийский — на 0,6% (до 271,3 млн тонн). Единственным бассейном, продемонстрировавшим положительную динамику, стал Дальневосточный, грузооборот которого вырос на 6,6%, достигнув 252,1 млн тонн</w:t>
      </w:r>
      <w:r w:rsidR="00D521BA" w:rsidRPr="000B1361">
        <w:rPr>
          <w:rFonts w:ascii="Times New Roman" w:hAnsi="Times New Roman" w:cs="Times New Roman"/>
          <w:sz w:val="24"/>
          <w:szCs w:val="24"/>
        </w:rPr>
        <w:t xml:space="preserve"> [2]</w:t>
      </w:r>
      <w:r w:rsidRPr="000B1361">
        <w:rPr>
          <w:rFonts w:ascii="Times New Roman" w:hAnsi="Times New Roman" w:cs="Times New Roman"/>
          <w:sz w:val="24"/>
          <w:szCs w:val="24"/>
        </w:rPr>
        <w:t>.</w:t>
      </w:r>
    </w:p>
    <w:p w14:paraId="72C974FC" w14:textId="14D15BA8" w:rsidR="00D521BA" w:rsidRPr="000B1361" w:rsidRDefault="00712266" w:rsidP="00D521BA">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Согласно анализу руководителя консультационного центра «</w:t>
      </w:r>
      <w:proofErr w:type="spellStart"/>
      <w:r w:rsidRPr="000B1361">
        <w:rPr>
          <w:rFonts w:ascii="Times New Roman" w:hAnsi="Times New Roman" w:cs="Times New Roman"/>
          <w:sz w:val="24"/>
          <w:szCs w:val="24"/>
        </w:rPr>
        <w:t>Гекон</w:t>
      </w:r>
      <w:proofErr w:type="spellEnd"/>
      <w:r w:rsidRPr="000B1361">
        <w:rPr>
          <w:rFonts w:ascii="Times New Roman" w:hAnsi="Times New Roman" w:cs="Times New Roman"/>
          <w:sz w:val="24"/>
          <w:szCs w:val="24"/>
        </w:rPr>
        <w:t xml:space="preserve">» Михаила Григорьева, грузопоток по Северному морскому пути по итогам 2025 года также снизился на 0,87 млн тонн, или на 2,3% в годовом выражении, достигнув 37,02 млн тонн [3]. </w:t>
      </w:r>
      <w:r w:rsidR="00D126BE" w:rsidRPr="000B1361">
        <w:rPr>
          <w:rFonts w:ascii="Times New Roman" w:hAnsi="Times New Roman" w:cs="Times New Roman"/>
          <w:sz w:val="24"/>
          <w:szCs w:val="24"/>
        </w:rPr>
        <w:t>Снижение общего грузооборота обусловлено комплексом факторов:</w:t>
      </w:r>
    </w:p>
    <w:p w14:paraId="78541B78" w14:textId="77777777" w:rsidR="00D521BA" w:rsidRPr="000B1361" w:rsidRDefault="00D126BE" w:rsidP="00D521BA">
      <w:pPr>
        <w:pStyle w:val="a3"/>
        <w:numPr>
          <w:ilvl w:val="0"/>
          <w:numId w:val="10"/>
        </w:numPr>
        <w:spacing w:line="360" w:lineRule="auto"/>
        <w:ind w:left="0" w:firstLine="709"/>
        <w:jc w:val="both"/>
        <w:rPr>
          <w:rFonts w:ascii="Times New Roman" w:hAnsi="Times New Roman" w:cs="Times New Roman"/>
        </w:rPr>
      </w:pPr>
      <w:r w:rsidRPr="000B1361">
        <w:rPr>
          <w:rFonts w:ascii="Times New Roman" w:hAnsi="Times New Roman" w:cs="Times New Roman"/>
        </w:rPr>
        <w:t>Сокращение экспорта нефтепродуктов (на 7,7% по итогам года) вследствие регуляторных ограничений и запретов на экспорт, вводимых Правительством Российской Федерации для стабилизации внутреннего рынка;</w:t>
      </w:r>
    </w:p>
    <w:p w14:paraId="50017592" w14:textId="77777777" w:rsidR="00D521BA" w:rsidRPr="000B1361" w:rsidRDefault="00D126BE" w:rsidP="0020396F">
      <w:pPr>
        <w:pStyle w:val="a3"/>
        <w:numPr>
          <w:ilvl w:val="0"/>
          <w:numId w:val="10"/>
        </w:numPr>
        <w:spacing w:line="360" w:lineRule="auto"/>
        <w:ind w:left="0" w:firstLine="709"/>
        <w:jc w:val="both"/>
        <w:rPr>
          <w:rFonts w:ascii="Times New Roman" w:hAnsi="Times New Roman" w:cs="Times New Roman"/>
        </w:rPr>
      </w:pPr>
      <w:r w:rsidRPr="000B1361">
        <w:rPr>
          <w:rFonts w:ascii="Times New Roman" w:hAnsi="Times New Roman" w:cs="Times New Roman"/>
        </w:rPr>
        <w:t>Падение перевалки зерна (на 31,1%) под влиянием расширения мировых посевных площадей и запрета на импорт иностранных семян;</w:t>
      </w:r>
    </w:p>
    <w:p w14:paraId="5958EA5B" w14:textId="0C04EAA8" w:rsidR="00D126BE" w:rsidRPr="000B1361" w:rsidRDefault="00D126BE" w:rsidP="004C3D62">
      <w:pPr>
        <w:pStyle w:val="a3"/>
        <w:numPr>
          <w:ilvl w:val="0"/>
          <w:numId w:val="10"/>
        </w:numPr>
        <w:spacing w:line="360" w:lineRule="auto"/>
        <w:ind w:left="0" w:firstLine="709"/>
        <w:jc w:val="both"/>
        <w:rPr>
          <w:rFonts w:ascii="Times New Roman" w:hAnsi="Times New Roman" w:cs="Times New Roman"/>
        </w:rPr>
      </w:pPr>
      <w:r w:rsidRPr="000B1361">
        <w:rPr>
          <w:rFonts w:ascii="Times New Roman" w:hAnsi="Times New Roman" w:cs="Times New Roman"/>
        </w:rPr>
        <w:t>Снижение контейнерооборота (на 2,7% в тоннах и на 4,9% в TEU), вызванное сокращением импорта готовых автомобилей, высоким уровнем ключевой ставки, ограничивающей потребительское кредитование и инвестиционную активность, а также укреплением рубля, сдерживающим экспорт.</w:t>
      </w:r>
    </w:p>
    <w:p w14:paraId="46856FAC" w14:textId="3FF88073" w:rsidR="00D126BE" w:rsidRPr="000B1361" w:rsidRDefault="00D126BE" w:rsidP="00D126BE">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 xml:space="preserve">В контейнерном сегменте дополнительное давление оказало перераспределение грузопотоков: по данным холдинга «Глобал </w:t>
      </w:r>
      <w:proofErr w:type="spellStart"/>
      <w:r w:rsidRPr="000B1361">
        <w:rPr>
          <w:rFonts w:ascii="Times New Roman" w:hAnsi="Times New Roman" w:cs="Times New Roman"/>
          <w:sz w:val="24"/>
          <w:szCs w:val="24"/>
        </w:rPr>
        <w:t>Портс</w:t>
      </w:r>
      <w:proofErr w:type="spellEnd"/>
      <w:r w:rsidRPr="000B1361">
        <w:rPr>
          <w:rFonts w:ascii="Times New Roman" w:hAnsi="Times New Roman" w:cs="Times New Roman"/>
          <w:sz w:val="24"/>
          <w:szCs w:val="24"/>
        </w:rPr>
        <w:t>», доля Балтийского и Азово-Черноморского бассейнов в морских контейнерных перевозках выросла на 4,7 и 4,1</w:t>
      </w:r>
      <w:r w:rsidR="00D521BA" w:rsidRPr="000B1361">
        <w:rPr>
          <w:rFonts w:ascii="Times New Roman" w:hAnsi="Times New Roman" w:cs="Times New Roman"/>
          <w:sz w:val="24"/>
          <w:szCs w:val="24"/>
        </w:rPr>
        <w:t>%</w:t>
      </w:r>
      <w:r w:rsidRPr="000B1361">
        <w:rPr>
          <w:rFonts w:ascii="Times New Roman" w:hAnsi="Times New Roman" w:cs="Times New Roman"/>
          <w:sz w:val="24"/>
          <w:szCs w:val="24"/>
        </w:rPr>
        <w:t xml:space="preserve"> соответственно, тогда как доля Дальневосточного бассейна сократилась на 12,9%. Данное изменение объясняется постепенным восстановлением импортных поставок через порты </w:t>
      </w:r>
      <w:r w:rsidRPr="000B1361">
        <w:rPr>
          <w:rFonts w:ascii="Times New Roman" w:hAnsi="Times New Roman" w:cs="Times New Roman"/>
          <w:sz w:val="24"/>
          <w:szCs w:val="24"/>
        </w:rPr>
        <w:lastRenderedPageBreak/>
        <w:t>Северо-Запада после их резкого падения в 2022–2023 годах, а также практикой перевозки контейнеров в полувагонах, что привело к оттоку части контейнерного экспорта с дальневосточного направления и скоплению порожних контейнеров в центральной части страны.</w:t>
      </w:r>
    </w:p>
    <w:p w14:paraId="6550D791" w14:textId="682D37CE" w:rsidR="00D126BE" w:rsidRPr="000B1361" w:rsidRDefault="00D126BE" w:rsidP="00D521BA">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 xml:space="preserve">На этом фоне ключевым драйвером роста для Дальневосточного бассейна выступили сухие грузы, объём перевалки которых увеличился на 9,4% (до 169,1 млн тонн), прежде всего за счёт угля (+7,8% по стране в целом), добыча и экспорт которого смещаются в азиатскую часть России </w:t>
      </w:r>
      <w:r w:rsidR="0051783B" w:rsidRPr="000B1361">
        <w:rPr>
          <w:rFonts w:ascii="Times New Roman" w:hAnsi="Times New Roman" w:cs="Times New Roman"/>
          <w:sz w:val="24"/>
          <w:szCs w:val="24"/>
        </w:rPr>
        <w:t>–</w:t>
      </w:r>
      <w:r w:rsidR="0051783B" w:rsidRPr="000B1361">
        <w:rPr>
          <w:rFonts w:ascii="Times New Roman" w:hAnsi="Times New Roman" w:cs="Times New Roman"/>
          <w:sz w:val="24"/>
          <w:szCs w:val="24"/>
        </w:rPr>
        <w:br/>
        <w:t>в</w:t>
      </w:r>
      <w:r w:rsidRPr="000B1361">
        <w:rPr>
          <w:rFonts w:ascii="Times New Roman" w:hAnsi="Times New Roman" w:cs="Times New Roman"/>
          <w:sz w:val="24"/>
          <w:szCs w:val="24"/>
        </w:rPr>
        <w:t xml:space="preserve"> Якутию и на Дальний Восток</w:t>
      </w:r>
      <w:r w:rsidR="00D521BA" w:rsidRPr="000B1361">
        <w:rPr>
          <w:rFonts w:ascii="Times New Roman" w:hAnsi="Times New Roman" w:cs="Times New Roman"/>
          <w:sz w:val="24"/>
          <w:szCs w:val="24"/>
        </w:rPr>
        <w:t xml:space="preserve"> [</w:t>
      </w:r>
      <w:r w:rsidR="00712266" w:rsidRPr="000B1361">
        <w:rPr>
          <w:rFonts w:ascii="Times New Roman" w:hAnsi="Times New Roman" w:cs="Times New Roman"/>
          <w:sz w:val="24"/>
          <w:szCs w:val="24"/>
        </w:rPr>
        <w:t>4</w:t>
      </w:r>
      <w:r w:rsidR="00D521BA" w:rsidRPr="000B1361">
        <w:rPr>
          <w:rFonts w:ascii="Times New Roman" w:hAnsi="Times New Roman" w:cs="Times New Roman"/>
          <w:sz w:val="24"/>
          <w:szCs w:val="24"/>
        </w:rPr>
        <w:t>]</w:t>
      </w:r>
      <w:r w:rsidRPr="000B1361">
        <w:rPr>
          <w:rFonts w:ascii="Times New Roman" w:hAnsi="Times New Roman" w:cs="Times New Roman"/>
          <w:sz w:val="24"/>
          <w:szCs w:val="24"/>
        </w:rPr>
        <w:t>.</w:t>
      </w:r>
    </w:p>
    <w:p w14:paraId="37277EAC" w14:textId="6FB35448" w:rsidR="00D126BE" w:rsidRPr="000B1361" w:rsidRDefault="00D126BE" w:rsidP="00D521BA">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Однако, несмотря на общее снижение контейнерного рынка и временное перераспределение долей между бассейнами, Владивосток сохранил за собой позицию абсолютного лидера</w:t>
      </w:r>
      <w:r w:rsidR="00D521BA" w:rsidRPr="000B1361">
        <w:rPr>
          <w:rFonts w:ascii="Times New Roman" w:hAnsi="Times New Roman" w:cs="Times New Roman"/>
          <w:sz w:val="24"/>
          <w:szCs w:val="24"/>
        </w:rPr>
        <w:br/>
      </w:r>
      <w:r w:rsidRPr="000B1361">
        <w:rPr>
          <w:rFonts w:ascii="Times New Roman" w:hAnsi="Times New Roman" w:cs="Times New Roman"/>
          <w:sz w:val="24"/>
          <w:szCs w:val="24"/>
        </w:rPr>
        <w:t>по контейнерообороту среди всех морских портов России. Анализ расстановки сил в данном сегменте позволяет выявить фундаментальные структурные преимущества Владивостокского транспортного узла, критически важные для его позиционирования в качестве восточного хаба Трансарктического коридора.</w:t>
      </w:r>
    </w:p>
    <w:p w14:paraId="2EC2452D" w14:textId="667A0AA1" w:rsidR="00331A10" w:rsidRPr="000B1361" w:rsidRDefault="00331A10" w:rsidP="00AA6465">
      <w:pPr>
        <w:spacing w:after="0" w:line="360" w:lineRule="auto"/>
        <w:ind w:firstLine="709"/>
        <w:jc w:val="both"/>
        <w:rPr>
          <w:rFonts w:ascii="Times New Roman" w:hAnsi="Times New Roman" w:cs="Times New Roman"/>
          <w:sz w:val="24"/>
          <w:szCs w:val="24"/>
        </w:rPr>
      </w:pPr>
      <w:r w:rsidRPr="000B1361">
        <w:rPr>
          <w:rFonts w:ascii="Times New Roman" w:hAnsi="Times New Roman" w:cs="Times New Roman"/>
          <w:sz w:val="24"/>
          <w:szCs w:val="24"/>
        </w:rPr>
        <w:t xml:space="preserve">По итогам 2025 года порт Владивосток сохранил первое место среди всех морских портов России по объёму перевалки контейнерных грузов, достигнув показателя 1 470 тыс. TEU, что на 11% превышает результат предыдущего года. Отрыв от ближайшего конкурента </w:t>
      </w:r>
      <w:r w:rsidR="00D521BA"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Большого порта Санкт-Петербург </w:t>
      </w:r>
      <w:r w:rsidR="00D521BA" w:rsidRPr="000B1361">
        <w:rPr>
          <w:rFonts w:ascii="Times New Roman" w:hAnsi="Times New Roman" w:cs="Times New Roman"/>
          <w:sz w:val="24"/>
          <w:szCs w:val="24"/>
        </w:rPr>
        <w:t xml:space="preserve">– </w:t>
      </w:r>
      <w:r w:rsidRPr="000B1361">
        <w:rPr>
          <w:rFonts w:ascii="Times New Roman" w:hAnsi="Times New Roman" w:cs="Times New Roman"/>
          <w:sz w:val="24"/>
          <w:szCs w:val="24"/>
        </w:rPr>
        <w:t>сократился с 16% до 5%, что объясняется восстановлением грузопотоков</w:t>
      </w:r>
      <w:r w:rsidR="0051783B" w:rsidRPr="000B1361">
        <w:rPr>
          <w:rFonts w:ascii="Times New Roman" w:hAnsi="Times New Roman" w:cs="Times New Roman"/>
          <w:sz w:val="24"/>
          <w:szCs w:val="24"/>
        </w:rPr>
        <w:br/>
      </w:r>
      <w:r w:rsidRPr="000B1361">
        <w:rPr>
          <w:rFonts w:ascii="Times New Roman" w:hAnsi="Times New Roman" w:cs="Times New Roman"/>
          <w:sz w:val="24"/>
          <w:szCs w:val="24"/>
        </w:rPr>
        <w:t>на Балтике после переориентации части объёмов на Дальний Восток в 2022–2023 годах. Тем</w:t>
      </w:r>
      <w:r w:rsidR="0051783B" w:rsidRPr="000B1361">
        <w:rPr>
          <w:rFonts w:ascii="Times New Roman" w:hAnsi="Times New Roman" w:cs="Times New Roman"/>
          <w:sz w:val="24"/>
          <w:szCs w:val="24"/>
        </w:rPr>
        <w:br/>
      </w:r>
      <w:r w:rsidRPr="000B1361">
        <w:rPr>
          <w:rFonts w:ascii="Times New Roman" w:hAnsi="Times New Roman" w:cs="Times New Roman"/>
          <w:sz w:val="24"/>
          <w:szCs w:val="24"/>
        </w:rPr>
        <w:t>не менее, абсолютное лидерство Владивостока остаётся неоспоримым.</w:t>
      </w:r>
    </w:p>
    <w:p w14:paraId="4016B370" w14:textId="77777777" w:rsidR="00331A10" w:rsidRPr="000B1361" w:rsidRDefault="00AA6465" w:rsidP="00331A10">
      <w:pPr>
        <w:spacing w:after="0" w:line="360" w:lineRule="auto"/>
        <w:ind w:firstLine="709"/>
        <w:jc w:val="center"/>
        <w:rPr>
          <w:rFonts w:ascii="Times New Roman" w:hAnsi="Times New Roman" w:cs="Times New Roman"/>
          <w:sz w:val="24"/>
          <w:szCs w:val="24"/>
          <w:lang w:val="en-US"/>
        </w:rPr>
      </w:pPr>
      <w:r w:rsidRPr="000B1361">
        <w:rPr>
          <w:rFonts w:ascii="Times New Roman" w:hAnsi="Times New Roman" w:cs="Times New Roman"/>
          <w:noProof/>
          <w:sz w:val="24"/>
          <w:szCs w:val="24"/>
        </w:rPr>
        <w:drawing>
          <wp:inline distT="0" distB="0" distL="0" distR="0" wp14:anchorId="5C931549" wp14:editId="7EF18F4B">
            <wp:extent cx="4724400" cy="2982502"/>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8242" cy="2984927"/>
                    </a:xfrm>
                    <a:prstGeom prst="rect">
                      <a:avLst/>
                    </a:prstGeom>
                    <a:noFill/>
                    <a:ln>
                      <a:noFill/>
                    </a:ln>
                  </pic:spPr>
                </pic:pic>
              </a:graphicData>
            </a:graphic>
          </wp:inline>
        </w:drawing>
      </w:r>
    </w:p>
    <w:p w14:paraId="38211488" w14:textId="4A625B54" w:rsidR="009613EC" w:rsidRPr="000B1361" w:rsidRDefault="009613EC" w:rsidP="009613EC">
      <w:pPr>
        <w:spacing w:after="0" w:line="360" w:lineRule="auto"/>
        <w:ind w:firstLine="709"/>
        <w:jc w:val="center"/>
        <w:rPr>
          <w:rFonts w:ascii="Times New Roman" w:hAnsi="Times New Roman" w:cs="Times New Roman"/>
          <w:sz w:val="24"/>
          <w:szCs w:val="24"/>
        </w:rPr>
      </w:pPr>
      <w:r w:rsidRPr="000B1361">
        <w:rPr>
          <w:rFonts w:ascii="Times New Roman" w:hAnsi="Times New Roman" w:cs="Times New Roman"/>
          <w:sz w:val="24"/>
          <w:szCs w:val="24"/>
        </w:rPr>
        <w:lastRenderedPageBreak/>
        <w:t xml:space="preserve">Рисунок 1 – ТОП 10 морских портов РФ по контейнерообороту за 2025 год [цит. по </w:t>
      </w:r>
      <w:r w:rsidR="00712266" w:rsidRPr="000B1361">
        <w:rPr>
          <w:rFonts w:ascii="Times New Roman" w:hAnsi="Times New Roman" w:cs="Times New Roman"/>
          <w:sz w:val="24"/>
          <w:szCs w:val="24"/>
        </w:rPr>
        <w:t>5</w:t>
      </w:r>
      <w:r w:rsidRPr="000B1361">
        <w:rPr>
          <w:rFonts w:ascii="Times New Roman" w:hAnsi="Times New Roman" w:cs="Times New Roman"/>
          <w:sz w:val="24"/>
          <w:szCs w:val="24"/>
        </w:rPr>
        <w:t>].</w:t>
      </w:r>
    </w:p>
    <w:p w14:paraId="4FE0D385" w14:textId="07260E6F" w:rsidR="00331A10" w:rsidRPr="000B1361" w:rsidRDefault="00331A10" w:rsidP="00331A10">
      <w:pPr>
        <w:spacing w:after="0" w:line="360" w:lineRule="auto"/>
        <w:ind w:firstLine="709"/>
        <w:rPr>
          <w:rFonts w:ascii="Times New Roman" w:hAnsi="Times New Roman" w:cs="Times New Roman"/>
          <w:sz w:val="24"/>
          <w:szCs w:val="24"/>
        </w:rPr>
      </w:pPr>
      <w:r w:rsidRPr="000B1361">
        <w:rPr>
          <w:rFonts w:ascii="Times New Roman" w:hAnsi="Times New Roman" w:cs="Times New Roman"/>
          <w:sz w:val="24"/>
          <w:szCs w:val="24"/>
        </w:rPr>
        <w:t xml:space="preserve">Дальневосточный бассейн представлен шестью портами из десяти: Владивосток (1 место, 1 470 тыс. TEU, -11%), Восточный (4 место, 420 тыс. TEU, -23%), Корсаков (6 место, 139 тыс. TEU, </w:t>
      </w:r>
      <w:r w:rsidRPr="000B1361">
        <w:rPr>
          <w:rFonts w:ascii="Times New Roman" w:hAnsi="Times New Roman" w:cs="Times New Roman"/>
          <w:sz w:val="24"/>
          <w:szCs w:val="24"/>
        </w:rPr>
        <w:br/>
        <w:t xml:space="preserve">-3%), Петропавловск-Камчатский (7 место, 109 тыс. TEU, 0%), Находка (8 место, 102 тыс. TEU, </w:t>
      </w:r>
      <w:r w:rsidRPr="000B1361">
        <w:rPr>
          <w:rFonts w:ascii="Times New Roman" w:hAnsi="Times New Roman" w:cs="Times New Roman"/>
          <w:sz w:val="24"/>
          <w:szCs w:val="24"/>
        </w:rPr>
        <w:br/>
        <w:t>-32%), Магадан (9 место, 84 тыс. TEU, +4%).</w:t>
      </w:r>
    </w:p>
    <w:p w14:paraId="7AB6DF8D" w14:textId="3EA8BB25" w:rsidR="00331A10" w:rsidRPr="000B1361" w:rsidRDefault="00331A10" w:rsidP="00331A10">
      <w:pPr>
        <w:spacing w:after="0" w:line="360" w:lineRule="auto"/>
        <w:ind w:firstLine="709"/>
        <w:rPr>
          <w:rFonts w:ascii="Times New Roman" w:hAnsi="Times New Roman" w:cs="Times New Roman"/>
          <w:sz w:val="24"/>
          <w:szCs w:val="24"/>
        </w:rPr>
      </w:pPr>
      <w:r w:rsidRPr="000B1361">
        <w:rPr>
          <w:rFonts w:ascii="Times New Roman" w:hAnsi="Times New Roman" w:cs="Times New Roman"/>
          <w:sz w:val="24"/>
          <w:szCs w:val="24"/>
        </w:rPr>
        <w:t>Балтийский бассейн – двумя портами: Большой порт Санкт-Петербург (2 место, 1 401 тыс. TEU, +2%), Калининград (5 место, 294 тыс. TEU, +16%).</w:t>
      </w:r>
    </w:p>
    <w:p w14:paraId="29DA63F5" w14:textId="32DE1228" w:rsidR="00331A10" w:rsidRPr="000B1361" w:rsidRDefault="00331A10" w:rsidP="00331A10">
      <w:pPr>
        <w:spacing w:after="0" w:line="360" w:lineRule="auto"/>
        <w:ind w:firstLine="709"/>
        <w:rPr>
          <w:rFonts w:ascii="Times New Roman" w:hAnsi="Times New Roman" w:cs="Times New Roman"/>
          <w:sz w:val="24"/>
          <w:szCs w:val="24"/>
        </w:rPr>
      </w:pPr>
      <w:r w:rsidRPr="000B1361">
        <w:rPr>
          <w:rFonts w:ascii="Times New Roman" w:hAnsi="Times New Roman" w:cs="Times New Roman"/>
          <w:sz w:val="24"/>
          <w:szCs w:val="24"/>
        </w:rPr>
        <w:t>Арктический бассейн — одним портом: Дудинка (10 место, 63 тыс. TEU, -2%).</w:t>
      </w:r>
    </w:p>
    <w:p w14:paraId="2CEB3A8E" w14:textId="1F032046" w:rsidR="00B17B12" w:rsidRPr="000B1361" w:rsidRDefault="00331A10" w:rsidP="00331A10">
      <w:pPr>
        <w:spacing w:after="0" w:line="360" w:lineRule="auto"/>
        <w:ind w:firstLine="709"/>
        <w:jc w:val="center"/>
        <w:rPr>
          <w:rFonts w:ascii="Times New Roman" w:hAnsi="Times New Roman" w:cs="Times New Roman"/>
          <w:sz w:val="24"/>
          <w:szCs w:val="24"/>
        </w:rPr>
      </w:pPr>
      <w:r w:rsidRPr="000B1361">
        <w:rPr>
          <w:rFonts w:ascii="Times New Roman" w:hAnsi="Times New Roman" w:cs="Times New Roman"/>
          <w:noProof/>
          <w:sz w:val="24"/>
          <w:szCs w:val="24"/>
        </w:rPr>
        <w:drawing>
          <wp:inline distT="0" distB="0" distL="0" distR="0" wp14:anchorId="462A2EC0" wp14:editId="27117518">
            <wp:extent cx="5055984" cy="2407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9158" cy="2418956"/>
                    </a:xfrm>
                    <a:prstGeom prst="rect">
                      <a:avLst/>
                    </a:prstGeom>
                    <a:noFill/>
                    <a:ln>
                      <a:noFill/>
                    </a:ln>
                  </pic:spPr>
                </pic:pic>
              </a:graphicData>
            </a:graphic>
          </wp:inline>
        </w:drawing>
      </w:r>
      <w:r w:rsidR="00B17B12" w:rsidRPr="000B1361">
        <w:rPr>
          <w:rFonts w:ascii="Times New Roman" w:hAnsi="Times New Roman" w:cs="Times New Roman"/>
          <w:sz w:val="24"/>
          <w:szCs w:val="24"/>
        </w:rPr>
        <w:t xml:space="preserve"> </w:t>
      </w:r>
    </w:p>
    <w:p w14:paraId="2DDCF3A9" w14:textId="21ABAB64" w:rsidR="00B17B12" w:rsidRPr="000B1361" w:rsidRDefault="009613EC" w:rsidP="009613EC">
      <w:pPr>
        <w:spacing w:after="0" w:line="360" w:lineRule="auto"/>
        <w:ind w:firstLine="709"/>
        <w:jc w:val="center"/>
        <w:rPr>
          <w:rFonts w:ascii="Times New Roman" w:hAnsi="Times New Roman" w:cs="Times New Roman"/>
          <w:sz w:val="24"/>
          <w:szCs w:val="24"/>
        </w:rPr>
      </w:pPr>
      <w:r w:rsidRPr="000B1361">
        <w:rPr>
          <w:rFonts w:ascii="Times New Roman" w:hAnsi="Times New Roman" w:cs="Times New Roman"/>
          <w:sz w:val="24"/>
          <w:szCs w:val="24"/>
        </w:rPr>
        <w:t xml:space="preserve">Рисунок 2 – ТОП 10 контейнерных портов РФ по итогам 2025 года [цит. по </w:t>
      </w:r>
      <w:r w:rsidR="00712266" w:rsidRPr="000B1361">
        <w:rPr>
          <w:rFonts w:ascii="Times New Roman" w:hAnsi="Times New Roman" w:cs="Times New Roman"/>
          <w:sz w:val="24"/>
          <w:szCs w:val="24"/>
        </w:rPr>
        <w:t>5</w:t>
      </w:r>
      <w:r w:rsidRPr="000B1361">
        <w:rPr>
          <w:rFonts w:ascii="Times New Roman" w:hAnsi="Times New Roman" w:cs="Times New Roman"/>
          <w:sz w:val="24"/>
          <w:szCs w:val="24"/>
        </w:rPr>
        <w:t>].</w:t>
      </w:r>
    </w:p>
    <w:p w14:paraId="4A57ED1D" w14:textId="35D904FC" w:rsidR="0051783B" w:rsidRPr="000B1361" w:rsidRDefault="00B17B12" w:rsidP="0051783B">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Отставание Петербурга от Владивостока за год сократилось с 16% до 5%. В 2023 году</w:t>
      </w:r>
      <w:r w:rsidR="0051783B" w:rsidRPr="000B1361">
        <w:rPr>
          <w:rFonts w:ascii="Times New Roman" w:hAnsi="Times New Roman" w:cs="Times New Roman"/>
          <w:sz w:val="24"/>
          <w:szCs w:val="24"/>
        </w:rPr>
        <w:br/>
      </w:r>
      <w:r w:rsidRPr="000B1361">
        <w:rPr>
          <w:rFonts w:ascii="Times New Roman" w:hAnsi="Times New Roman" w:cs="Times New Roman"/>
          <w:sz w:val="24"/>
          <w:szCs w:val="24"/>
        </w:rPr>
        <w:t>на Владивосток приходился 31% от совокупного контейнерооборота портов, в 2025-м - 28%.</w:t>
      </w:r>
      <w:r w:rsidR="0051783B" w:rsidRPr="000B1361">
        <w:rPr>
          <w:rFonts w:ascii="Times New Roman" w:hAnsi="Times New Roman" w:cs="Times New Roman"/>
          <w:sz w:val="24"/>
          <w:szCs w:val="24"/>
        </w:rPr>
        <w:t xml:space="preserve"> </w:t>
      </w:r>
      <w:r w:rsidRPr="000B1361">
        <w:rPr>
          <w:rFonts w:ascii="Times New Roman" w:hAnsi="Times New Roman" w:cs="Times New Roman"/>
          <w:sz w:val="24"/>
          <w:szCs w:val="24"/>
        </w:rPr>
        <w:t>Если</w:t>
      </w:r>
      <w:r w:rsidR="0051783B" w:rsidRPr="000B1361">
        <w:rPr>
          <w:rFonts w:ascii="Times New Roman" w:hAnsi="Times New Roman" w:cs="Times New Roman"/>
          <w:sz w:val="24"/>
          <w:szCs w:val="24"/>
        </w:rPr>
        <w:br/>
      </w:r>
      <w:r w:rsidRPr="000B1361">
        <w:rPr>
          <w:rFonts w:ascii="Times New Roman" w:hAnsi="Times New Roman" w:cs="Times New Roman"/>
          <w:sz w:val="24"/>
          <w:szCs w:val="24"/>
        </w:rPr>
        <w:t>в этом году северная столица может вернуть себе утраченное из-за санкций первое место, то лидер среди терминалов вряд ли скоро сменится.</w:t>
      </w:r>
      <w:r w:rsidR="009613EC" w:rsidRPr="000B1361">
        <w:rPr>
          <w:rFonts w:ascii="Times New Roman" w:hAnsi="Times New Roman" w:cs="Times New Roman"/>
          <w:sz w:val="24"/>
          <w:szCs w:val="24"/>
        </w:rPr>
        <w:t xml:space="preserve"> Т</w:t>
      </w:r>
      <w:r w:rsidRPr="000B1361">
        <w:rPr>
          <w:rFonts w:ascii="Times New Roman" w:hAnsi="Times New Roman" w:cs="Times New Roman"/>
          <w:sz w:val="24"/>
          <w:szCs w:val="24"/>
        </w:rPr>
        <w:t xml:space="preserve">ерминал </w:t>
      </w:r>
      <w:r w:rsidR="00042C27" w:rsidRPr="000B1361">
        <w:rPr>
          <w:rFonts w:ascii="Times New Roman" w:hAnsi="Times New Roman" w:cs="Times New Roman"/>
          <w:sz w:val="24"/>
          <w:szCs w:val="24"/>
        </w:rPr>
        <w:t xml:space="preserve">Владивостокского морского порта (далее – </w:t>
      </w:r>
      <w:r w:rsidRPr="000B1361">
        <w:rPr>
          <w:rFonts w:ascii="Times New Roman" w:hAnsi="Times New Roman" w:cs="Times New Roman"/>
          <w:sz w:val="24"/>
          <w:szCs w:val="24"/>
        </w:rPr>
        <w:t>ВМТП</w:t>
      </w:r>
      <w:r w:rsidR="00042C27" w:rsidRPr="000B1361">
        <w:rPr>
          <w:rFonts w:ascii="Times New Roman" w:hAnsi="Times New Roman" w:cs="Times New Roman"/>
          <w:sz w:val="24"/>
          <w:szCs w:val="24"/>
        </w:rPr>
        <w:t xml:space="preserve">) </w:t>
      </w:r>
      <w:r w:rsidRPr="000B1361">
        <w:rPr>
          <w:rFonts w:ascii="Times New Roman" w:hAnsi="Times New Roman" w:cs="Times New Roman"/>
          <w:sz w:val="24"/>
          <w:szCs w:val="24"/>
        </w:rPr>
        <w:t>(FESCO) во Владивостоке</w:t>
      </w:r>
      <w:r w:rsidR="009613EC" w:rsidRPr="000B1361">
        <w:rPr>
          <w:rFonts w:ascii="Times New Roman" w:hAnsi="Times New Roman" w:cs="Times New Roman"/>
          <w:sz w:val="24"/>
          <w:szCs w:val="24"/>
        </w:rPr>
        <w:t xml:space="preserve"> является ч</w:t>
      </w:r>
      <w:r w:rsidRPr="000B1361">
        <w:rPr>
          <w:rFonts w:ascii="Times New Roman" w:hAnsi="Times New Roman" w:cs="Times New Roman"/>
          <w:sz w:val="24"/>
          <w:szCs w:val="24"/>
        </w:rPr>
        <w:t>емпион</w:t>
      </w:r>
      <w:r w:rsidR="009613EC" w:rsidRPr="000B1361">
        <w:rPr>
          <w:rFonts w:ascii="Times New Roman" w:hAnsi="Times New Roman" w:cs="Times New Roman"/>
          <w:sz w:val="24"/>
          <w:szCs w:val="24"/>
        </w:rPr>
        <w:t>ом</w:t>
      </w:r>
      <w:r w:rsidRPr="000B1361">
        <w:rPr>
          <w:rFonts w:ascii="Times New Roman" w:hAnsi="Times New Roman" w:cs="Times New Roman"/>
          <w:sz w:val="24"/>
          <w:szCs w:val="24"/>
        </w:rPr>
        <w:t xml:space="preserve"> 6-й год подряд - 805 тыс. TEU</w:t>
      </w:r>
      <w:r w:rsidR="0077251D" w:rsidRPr="000B1361">
        <w:rPr>
          <w:rFonts w:ascii="Times New Roman" w:hAnsi="Times New Roman" w:cs="Times New Roman"/>
          <w:sz w:val="24"/>
          <w:szCs w:val="24"/>
        </w:rPr>
        <w:t>.</w:t>
      </w:r>
    </w:p>
    <w:p w14:paraId="175ED06A" w14:textId="32ECAC22" w:rsidR="00BE7142" w:rsidRPr="000B1361" w:rsidRDefault="00BE7142" w:rsidP="00BE7142">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Учитывая намерения </w:t>
      </w:r>
      <w:r w:rsidR="00042C27" w:rsidRPr="000B1361">
        <w:rPr>
          <w:rFonts w:ascii="Times New Roman" w:hAnsi="Times New Roman" w:cs="Times New Roman"/>
          <w:sz w:val="24"/>
          <w:szCs w:val="24"/>
        </w:rPr>
        <w:t xml:space="preserve">ВМТП </w:t>
      </w:r>
      <w:r w:rsidRPr="000B1361">
        <w:rPr>
          <w:rFonts w:ascii="Times New Roman" w:hAnsi="Times New Roman" w:cs="Times New Roman"/>
          <w:sz w:val="24"/>
          <w:szCs w:val="24"/>
        </w:rPr>
        <w:t>по модернизации инфраструктуры, данное лидерство имеет потенциал к долгосрочному закреплению. Ключевым проектом здесь выступает создание Восточного транспортно-логистического узла (далее – ВТЛУ), ориентированного на перевалку транзитных контейнерных грузов, в том числе следующих по Северному морскому пути. Объём инвестиций в проект оценивается в порядка 18 млрд рублей, завершение строительства запланировано на 2027 год.</w:t>
      </w:r>
    </w:p>
    <w:p w14:paraId="6811F110" w14:textId="1359D798" w:rsidR="00BE7142" w:rsidRPr="000B1361" w:rsidRDefault="00BE7142" w:rsidP="00BE7142">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lastRenderedPageBreak/>
        <w:t>В рамках ВТЛУ на территории ВМТП будет построен глубоководный терминал, способный принимать контейнеровозы вместимостью более 10 тыс. TEU. Проектом предусмотрено возведение двух новых причалов общей протяжённостью 750 метров, глубина у каждого из них составит около 16,5 метра.</w:t>
      </w:r>
    </w:p>
    <w:p w14:paraId="44F58672" w14:textId="5BE16E32" w:rsidR="00BE7142" w:rsidRPr="000B1361" w:rsidRDefault="00BE7142" w:rsidP="00BE7142">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Для сравнения: на текущий момент порты Приморского края могут принимать суда вместимостью до 2,5 тыс. TEU, а ВМТП уже работает с превышением проектной мощности</w:t>
      </w:r>
      <w:r w:rsidRPr="000B1361">
        <w:rPr>
          <w:rFonts w:ascii="Times New Roman" w:hAnsi="Times New Roman" w:cs="Times New Roman"/>
          <w:sz w:val="24"/>
          <w:szCs w:val="24"/>
        </w:rPr>
        <w:br/>
        <w:t>по перевалке контейнерных грузов в среднем на 15%. К 2028 году планируется завершить реконструкцию терминала с выходом на суммарную мощность 1,2 млн TEU в год.</w:t>
      </w:r>
    </w:p>
    <w:p w14:paraId="2B2EEB09" w14:textId="540E318E" w:rsidR="00BE7142" w:rsidRPr="000B1361" w:rsidRDefault="00BE7142" w:rsidP="00BE7142">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Таким образом, создание ВТЛУ не только снимет существующие инфраструктурные ограничения ВМТП, но и обеспечит техническую возможность для полноценного включения Владивостока в Трансарктический коридор в качестве восточного хаба, способного обслуживать крупнотоннажные контейнеровозы ледового класса, следующие по Севморпути [</w:t>
      </w:r>
      <w:r w:rsidR="00712266" w:rsidRPr="000B1361">
        <w:rPr>
          <w:rFonts w:ascii="Times New Roman" w:hAnsi="Times New Roman" w:cs="Times New Roman"/>
          <w:sz w:val="24"/>
          <w:szCs w:val="24"/>
        </w:rPr>
        <w:t>6</w:t>
      </w:r>
      <w:r w:rsidRPr="000B1361">
        <w:rPr>
          <w:rFonts w:ascii="Times New Roman" w:hAnsi="Times New Roman" w:cs="Times New Roman"/>
          <w:sz w:val="24"/>
          <w:szCs w:val="24"/>
        </w:rPr>
        <w:t>].</w:t>
      </w:r>
    </w:p>
    <w:p w14:paraId="3F6792AE" w14:textId="62760F3F" w:rsidR="0051783B" w:rsidRPr="000B1361" w:rsidRDefault="0080485D" w:rsidP="00BE7142">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На фоне устойчивого роста контейнерооборота Владивостокского узла и масштабных планов по его модернизации принципиально иная картина наблюдается в портах Арктического бассейна. </w:t>
      </w:r>
      <w:r w:rsidR="0051783B" w:rsidRPr="000B1361">
        <w:rPr>
          <w:rFonts w:ascii="Times New Roman" w:hAnsi="Times New Roman" w:cs="Times New Roman"/>
          <w:sz w:val="24"/>
          <w:szCs w:val="24"/>
        </w:rPr>
        <w:t>Морские порты Арктического бассейна продемонстрировали снижение грузооборота</w:t>
      </w:r>
      <w:r w:rsidR="0077251D" w:rsidRPr="000B1361">
        <w:rPr>
          <w:rFonts w:ascii="Times New Roman" w:hAnsi="Times New Roman" w:cs="Times New Roman"/>
          <w:sz w:val="24"/>
          <w:szCs w:val="24"/>
        </w:rPr>
        <w:br/>
        <w:t xml:space="preserve">с </w:t>
      </w:r>
      <w:r w:rsidR="0051783B" w:rsidRPr="000B1361">
        <w:rPr>
          <w:rFonts w:ascii="Times New Roman" w:hAnsi="Times New Roman" w:cs="Times New Roman"/>
          <w:sz w:val="24"/>
          <w:szCs w:val="24"/>
        </w:rPr>
        <w:t>показател</w:t>
      </w:r>
      <w:r w:rsidR="0077251D" w:rsidRPr="000B1361">
        <w:rPr>
          <w:rFonts w:ascii="Times New Roman" w:hAnsi="Times New Roman" w:cs="Times New Roman"/>
          <w:sz w:val="24"/>
          <w:szCs w:val="24"/>
        </w:rPr>
        <w:t xml:space="preserve">ем </w:t>
      </w:r>
      <w:r w:rsidR="0051783B" w:rsidRPr="000B1361">
        <w:rPr>
          <w:rFonts w:ascii="Times New Roman" w:hAnsi="Times New Roman" w:cs="Times New Roman"/>
          <w:sz w:val="24"/>
          <w:szCs w:val="24"/>
        </w:rPr>
        <w:t>87,1 млн тонн, что на 6,3% ниже уровня 2024 года. Объём перевалки сухих грузов сократился на 18,3% (до 21,3 млн тонн), наливных — на 1,6% (до 65,8 млн тонн).</w:t>
      </w:r>
    </w:p>
    <w:p w14:paraId="09C37675" w14:textId="12A12522" w:rsidR="0051783B" w:rsidRPr="000B1361" w:rsidRDefault="0051783B" w:rsidP="0051783B">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Снижение затронуло все без исключения арктические порты:</w:t>
      </w:r>
      <w:r w:rsidR="0003780C" w:rsidRPr="000B1361">
        <w:rPr>
          <w:rFonts w:ascii="Times New Roman" w:hAnsi="Times New Roman" w:cs="Times New Roman"/>
          <w:sz w:val="24"/>
          <w:szCs w:val="24"/>
        </w:rPr>
        <w:t xml:space="preserve"> Дудинка </w:t>
      </w:r>
      <w:r w:rsidR="00B32C90" w:rsidRPr="000B1361">
        <w:rPr>
          <w:rFonts w:ascii="Times New Roman" w:hAnsi="Times New Roman" w:cs="Times New Roman"/>
          <w:sz w:val="24"/>
          <w:szCs w:val="24"/>
        </w:rPr>
        <w:t>–</w:t>
      </w:r>
      <w:r w:rsidR="0003780C" w:rsidRPr="000B1361">
        <w:rPr>
          <w:rFonts w:ascii="Times New Roman" w:hAnsi="Times New Roman" w:cs="Times New Roman"/>
          <w:sz w:val="24"/>
          <w:szCs w:val="24"/>
        </w:rPr>
        <w:t xml:space="preserve"> единственный арктический порт, вошедший в ТОП-10 российских портов по контейнерообороту. По итогам 2025 года показатель составил 63 тыс. TEU (-2% к 2024 году). Уникальность Дудинки обусловлена тем, что порт принимает как морские, так и речные суда, обеспечивая круглогодичную навигацию</w:t>
      </w:r>
      <w:r w:rsidR="0003780C" w:rsidRPr="000B1361">
        <w:rPr>
          <w:rFonts w:ascii="Times New Roman" w:hAnsi="Times New Roman" w:cs="Times New Roman"/>
          <w:sz w:val="24"/>
          <w:szCs w:val="24"/>
        </w:rPr>
        <w:br/>
        <w:t xml:space="preserve">в условиях Крайнего Севера и выступая ключевым звеном в системе Северного завоза по притокам Енисея. </w:t>
      </w:r>
      <w:r w:rsidRPr="000B1361">
        <w:rPr>
          <w:rFonts w:ascii="Times New Roman" w:hAnsi="Times New Roman" w:cs="Times New Roman"/>
          <w:sz w:val="24"/>
          <w:szCs w:val="24"/>
        </w:rPr>
        <w:t>Мурманск</w:t>
      </w:r>
      <w:r w:rsidR="0077251D" w:rsidRPr="000B1361">
        <w:rPr>
          <w:rFonts w:ascii="Times New Roman" w:hAnsi="Times New Roman" w:cs="Times New Roman"/>
          <w:sz w:val="24"/>
          <w:szCs w:val="24"/>
        </w:rPr>
        <w:t xml:space="preserve"> – </w:t>
      </w:r>
      <w:r w:rsidRPr="000B1361">
        <w:rPr>
          <w:rFonts w:ascii="Times New Roman" w:hAnsi="Times New Roman" w:cs="Times New Roman"/>
          <w:sz w:val="24"/>
          <w:szCs w:val="24"/>
        </w:rPr>
        <w:t xml:space="preserve">крупнейший порт бассейна </w:t>
      </w:r>
      <w:r w:rsidR="0077251D"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обработал за год 47 млн тонн грузов, потеряв 9,8% относительно 2024 года. Основная причина падения </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низкая рентабельность перевалки угля, на который приходится свыше 70% общего потока грузов Мурманского морского торгового порта.</w:t>
      </w:r>
      <w:r w:rsidR="00AE3540" w:rsidRPr="000B1361">
        <w:rPr>
          <w:rFonts w:ascii="Times New Roman" w:hAnsi="Times New Roman" w:cs="Times New Roman"/>
          <w:sz w:val="24"/>
          <w:szCs w:val="24"/>
        </w:rPr>
        <w:t xml:space="preserve"> </w:t>
      </w:r>
      <w:proofErr w:type="spellStart"/>
      <w:r w:rsidRPr="000B1361">
        <w:rPr>
          <w:rFonts w:ascii="Times New Roman" w:hAnsi="Times New Roman" w:cs="Times New Roman"/>
          <w:sz w:val="24"/>
          <w:szCs w:val="24"/>
        </w:rPr>
        <w:t>Сабетта</w:t>
      </w:r>
      <w:proofErr w:type="spellEnd"/>
      <w:r w:rsidRPr="000B1361">
        <w:rPr>
          <w:rFonts w:ascii="Times New Roman" w:hAnsi="Times New Roman" w:cs="Times New Roman"/>
          <w:sz w:val="24"/>
          <w:szCs w:val="24"/>
        </w:rPr>
        <w:t xml:space="preserve"> </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ключевой порт для проекта «Ямал СПГ»</w:t>
      </w:r>
      <w:r w:rsidR="00AE3540" w:rsidRPr="000B1361">
        <w:rPr>
          <w:rFonts w:ascii="Times New Roman" w:hAnsi="Times New Roman" w:cs="Times New Roman"/>
          <w:sz w:val="24"/>
          <w:szCs w:val="24"/>
        </w:rPr>
        <w:t xml:space="preserve">, который </w:t>
      </w:r>
      <w:r w:rsidRPr="000B1361">
        <w:rPr>
          <w:rFonts w:ascii="Times New Roman" w:hAnsi="Times New Roman" w:cs="Times New Roman"/>
          <w:sz w:val="24"/>
          <w:szCs w:val="24"/>
        </w:rPr>
        <w:t>завершил</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год с наименьшими потерями среди арктических портов: 29,1 млн тонн (-0,4% к 2024 году). Относительная стабильность </w:t>
      </w:r>
      <w:proofErr w:type="spellStart"/>
      <w:r w:rsidRPr="000B1361">
        <w:rPr>
          <w:rFonts w:ascii="Times New Roman" w:hAnsi="Times New Roman" w:cs="Times New Roman"/>
          <w:sz w:val="24"/>
          <w:szCs w:val="24"/>
        </w:rPr>
        <w:t>Сабетты</w:t>
      </w:r>
      <w:proofErr w:type="spellEnd"/>
      <w:r w:rsidRPr="000B1361">
        <w:rPr>
          <w:rFonts w:ascii="Times New Roman" w:hAnsi="Times New Roman" w:cs="Times New Roman"/>
          <w:sz w:val="24"/>
          <w:szCs w:val="24"/>
        </w:rPr>
        <w:t xml:space="preserve"> объясняется узкой специализацией на отгрузке сжиженного природного газа, спрос на который на мировых рынках остаётся устойчивым.</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Варандей </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нефтеналивной терминал в Ненецком автономном округе показал падение на 10,3%, до 4,6 млн тонн.</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Архангельск продемонстрировал наиболее глубокое снижение </w:t>
      </w:r>
      <w:r w:rsidR="00AE3540" w:rsidRPr="000B1361">
        <w:rPr>
          <w:rFonts w:ascii="Times New Roman" w:hAnsi="Times New Roman" w:cs="Times New Roman"/>
          <w:sz w:val="24"/>
          <w:szCs w:val="24"/>
        </w:rPr>
        <w:t xml:space="preserve">– </w:t>
      </w:r>
      <w:r w:rsidRPr="000B1361">
        <w:rPr>
          <w:rFonts w:ascii="Times New Roman" w:hAnsi="Times New Roman" w:cs="Times New Roman"/>
          <w:sz w:val="24"/>
          <w:szCs w:val="24"/>
        </w:rPr>
        <w:t>на 14,6%, до 2,2 млн тонн</w:t>
      </w:r>
      <w:r w:rsidR="00AE3540" w:rsidRPr="000B1361">
        <w:rPr>
          <w:rFonts w:ascii="Times New Roman" w:hAnsi="Times New Roman" w:cs="Times New Roman"/>
          <w:sz w:val="24"/>
          <w:szCs w:val="24"/>
        </w:rPr>
        <w:t xml:space="preserve"> [</w:t>
      </w:r>
      <w:r w:rsidR="00712266" w:rsidRPr="000B1361">
        <w:rPr>
          <w:rFonts w:ascii="Times New Roman" w:hAnsi="Times New Roman" w:cs="Times New Roman"/>
          <w:sz w:val="24"/>
          <w:szCs w:val="24"/>
        </w:rPr>
        <w:t>7</w:t>
      </w:r>
      <w:r w:rsidR="00AE3540" w:rsidRPr="000B1361">
        <w:rPr>
          <w:rFonts w:ascii="Times New Roman" w:hAnsi="Times New Roman" w:cs="Times New Roman"/>
          <w:sz w:val="24"/>
          <w:szCs w:val="24"/>
        </w:rPr>
        <w:t>].</w:t>
      </w:r>
    </w:p>
    <w:p w14:paraId="452C444A" w14:textId="68BD2287" w:rsidR="0051783B" w:rsidRPr="000B1361" w:rsidRDefault="0051783B" w:rsidP="00AE3540">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lastRenderedPageBreak/>
        <w:t>В отличие от Дальневосточного бассейна, где порты демонстрируют рост за счёт диверсифицированной грузовой базы и контейнеризации, порты Арктики остаются узкоспециализированными сырьевыми терминалами. Их грузооборот критически зависит</w:t>
      </w:r>
      <w:r w:rsidR="00B16F49" w:rsidRPr="000B1361">
        <w:rPr>
          <w:rFonts w:ascii="Times New Roman" w:hAnsi="Times New Roman" w:cs="Times New Roman"/>
          <w:sz w:val="24"/>
          <w:szCs w:val="24"/>
        </w:rPr>
        <w:br/>
      </w:r>
      <w:r w:rsidRPr="000B1361">
        <w:rPr>
          <w:rFonts w:ascii="Times New Roman" w:hAnsi="Times New Roman" w:cs="Times New Roman"/>
          <w:sz w:val="24"/>
          <w:szCs w:val="24"/>
        </w:rPr>
        <w:t>от конъюнктуры мировых рынков угля, нефти и СПГ</w:t>
      </w:r>
      <w:r w:rsidR="00AE3540" w:rsidRPr="000B1361">
        <w:rPr>
          <w:rFonts w:ascii="Times New Roman" w:hAnsi="Times New Roman" w:cs="Times New Roman"/>
          <w:sz w:val="24"/>
          <w:szCs w:val="24"/>
        </w:rPr>
        <w:t>.</w:t>
      </w:r>
    </w:p>
    <w:p w14:paraId="5E8835E9" w14:textId="77777777" w:rsidR="00B16F49" w:rsidRPr="000B1361" w:rsidRDefault="0051783B" w:rsidP="00B16F49">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Таким образом, </w:t>
      </w:r>
      <w:r w:rsidR="00B16F49" w:rsidRPr="000B1361">
        <w:rPr>
          <w:rFonts w:ascii="Times New Roman" w:hAnsi="Times New Roman" w:cs="Times New Roman"/>
          <w:sz w:val="24"/>
          <w:szCs w:val="24"/>
        </w:rPr>
        <w:t>подтверждается факт</w:t>
      </w:r>
      <w:r w:rsidRPr="000B1361">
        <w:rPr>
          <w:rFonts w:ascii="Times New Roman" w:hAnsi="Times New Roman" w:cs="Times New Roman"/>
          <w:sz w:val="24"/>
          <w:szCs w:val="24"/>
        </w:rPr>
        <w:t>, что именно Дальневосточный бассейн, а не Арктика, является естественным контейнерным хабом для Трансарктического коридора. Арктические порты могут служить точками вывоза сырья, но не способны выполнять функцию мультимодального распределительного узла для грузов с высокой добавленной стоимостью.</w:t>
      </w:r>
    </w:p>
    <w:p w14:paraId="3BD3A4CC" w14:textId="604FE0A3" w:rsidR="00B16F49" w:rsidRPr="000B1361" w:rsidRDefault="00B16F49" w:rsidP="00B16F49">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Тем не менее, Трансарктический коридор и логистический потенциал Северного морского пути вызывают растущий интерес со стороны зарубежных партнёров</w:t>
      </w:r>
      <w:r w:rsidR="00115BE7" w:rsidRPr="000B1361">
        <w:rPr>
          <w:rFonts w:ascii="Times New Roman" w:hAnsi="Times New Roman" w:cs="Times New Roman"/>
          <w:sz w:val="24"/>
          <w:szCs w:val="24"/>
        </w:rPr>
        <w:t xml:space="preserve"> и инвесторов</w:t>
      </w:r>
      <w:r w:rsidRPr="000B1361">
        <w:rPr>
          <w:rFonts w:ascii="Times New Roman" w:hAnsi="Times New Roman" w:cs="Times New Roman"/>
          <w:sz w:val="24"/>
          <w:szCs w:val="24"/>
        </w:rPr>
        <w:t xml:space="preserve"> выражающих готовность инвестировать в развитие соответствующей инфраструктуры.</w:t>
      </w:r>
      <w:r w:rsidR="00115BE7" w:rsidRPr="000B1361">
        <w:rPr>
          <w:rFonts w:ascii="Times New Roman" w:hAnsi="Times New Roman" w:cs="Times New Roman"/>
          <w:sz w:val="24"/>
          <w:szCs w:val="24"/>
        </w:rPr>
        <w:t xml:space="preserve"> Правительство Российской Федерации и Министерство Российской Федерации по развитию Дальнего Востока</w:t>
      </w:r>
      <w:r w:rsidR="0080485D" w:rsidRPr="000B1361">
        <w:rPr>
          <w:rFonts w:ascii="Times New Roman" w:hAnsi="Times New Roman" w:cs="Times New Roman"/>
          <w:sz w:val="24"/>
          <w:szCs w:val="24"/>
        </w:rPr>
        <w:br/>
      </w:r>
      <w:r w:rsidR="00115BE7" w:rsidRPr="000B1361">
        <w:rPr>
          <w:rFonts w:ascii="Times New Roman" w:hAnsi="Times New Roman" w:cs="Times New Roman"/>
          <w:sz w:val="24"/>
          <w:szCs w:val="24"/>
        </w:rPr>
        <w:t>и Арктики активно стимулируют привлечение иностранных инвестиций, создавая для этого уникальные преференциальные режимы. Ключевым инструментом такой политики с января 2026 года выступает Международная территория опережающего развития (далее – МТОР), предоставляющая иностранным инвесторам беспрецедентные условия для реализации проектов,</w:t>
      </w:r>
      <w:r w:rsidR="0080485D" w:rsidRPr="000B1361">
        <w:rPr>
          <w:rFonts w:ascii="Times New Roman" w:hAnsi="Times New Roman" w:cs="Times New Roman"/>
          <w:sz w:val="24"/>
          <w:szCs w:val="24"/>
        </w:rPr>
        <w:br/>
      </w:r>
      <w:r w:rsidR="00115BE7" w:rsidRPr="000B1361">
        <w:rPr>
          <w:rFonts w:ascii="Times New Roman" w:hAnsi="Times New Roman" w:cs="Times New Roman"/>
          <w:sz w:val="24"/>
          <w:szCs w:val="24"/>
        </w:rPr>
        <w:t>в основу которых может быть заложено межправительственное соглашение.</w:t>
      </w:r>
    </w:p>
    <w:p w14:paraId="64F30698" w14:textId="03870890" w:rsidR="00BF24E3" w:rsidRPr="000B1361" w:rsidRDefault="0080485D" w:rsidP="00032213">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Приморский край уже становится площадкой для реализации новой модели инвестиционного сотрудничества. В настоящее время на территории региона в логистической сфере реализуется восемь инвестиционных проектов, и к</w:t>
      </w:r>
      <w:r w:rsidR="00BF24E3" w:rsidRPr="000B1361">
        <w:rPr>
          <w:rFonts w:ascii="Times New Roman" w:hAnsi="Times New Roman" w:cs="Times New Roman"/>
          <w:sz w:val="24"/>
          <w:szCs w:val="24"/>
        </w:rPr>
        <w:t>рупнейши</w:t>
      </w:r>
      <w:r w:rsidR="00032213" w:rsidRPr="000B1361">
        <w:rPr>
          <w:rFonts w:ascii="Times New Roman" w:hAnsi="Times New Roman" w:cs="Times New Roman"/>
          <w:sz w:val="24"/>
          <w:szCs w:val="24"/>
        </w:rPr>
        <w:t xml:space="preserve">й </w:t>
      </w:r>
      <w:r w:rsidR="00115BE7" w:rsidRPr="000B1361">
        <w:rPr>
          <w:rFonts w:ascii="Times New Roman" w:hAnsi="Times New Roman" w:cs="Times New Roman"/>
          <w:sz w:val="24"/>
          <w:szCs w:val="24"/>
        </w:rPr>
        <w:t xml:space="preserve">проект </w:t>
      </w:r>
      <w:r w:rsidR="00BF24E3" w:rsidRPr="000B1361">
        <w:rPr>
          <w:rFonts w:ascii="Times New Roman" w:hAnsi="Times New Roman" w:cs="Times New Roman"/>
          <w:sz w:val="24"/>
          <w:szCs w:val="24"/>
        </w:rPr>
        <w:t>из них</w:t>
      </w:r>
      <w:r w:rsidR="00032213" w:rsidRPr="000B1361">
        <w:rPr>
          <w:rFonts w:ascii="Times New Roman" w:hAnsi="Times New Roman" w:cs="Times New Roman"/>
          <w:sz w:val="24"/>
          <w:szCs w:val="24"/>
        </w:rPr>
        <w:t xml:space="preserve"> </w:t>
      </w:r>
      <w:r w:rsidR="00115BE7" w:rsidRPr="000B1361">
        <w:rPr>
          <w:rFonts w:ascii="Times New Roman" w:hAnsi="Times New Roman" w:cs="Times New Roman"/>
          <w:sz w:val="24"/>
          <w:szCs w:val="24"/>
        </w:rPr>
        <w:t xml:space="preserve">– </w:t>
      </w:r>
      <w:r w:rsidR="00032213" w:rsidRPr="000B1361">
        <w:rPr>
          <w:rFonts w:ascii="Times New Roman" w:hAnsi="Times New Roman" w:cs="Times New Roman"/>
          <w:sz w:val="24"/>
          <w:szCs w:val="24"/>
        </w:rPr>
        <w:t>а</w:t>
      </w:r>
      <w:r w:rsidR="00732CA7" w:rsidRPr="000B1361">
        <w:rPr>
          <w:rFonts w:ascii="Times New Roman" w:hAnsi="Times New Roman" w:cs="Times New Roman"/>
          <w:sz w:val="24"/>
          <w:szCs w:val="24"/>
        </w:rPr>
        <w:t>гропромышленный парк в бухте Суходол (инвестор – компания «</w:t>
      </w:r>
      <w:proofErr w:type="spellStart"/>
      <w:r w:rsidR="00732CA7" w:rsidRPr="000B1361">
        <w:rPr>
          <w:rFonts w:ascii="Times New Roman" w:hAnsi="Times New Roman" w:cs="Times New Roman"/>
          <w:sz w:val="24"/>
          <w:szCs w:val="24"/>
        </w:rPr>
        <w:t>ЛегендАгро</w:t>
      </w:r>
      <w:proofErr w:type="spellEnd"/>
      <w:r w:rsidR="00732CA7" w:rsidRPr="000B1361">
        <w:rPr>
          <w:rFonts w:ascii="Times New Roman" w:hAnsi="Times New Roman" w:cs="Times New Roman"/>
          <w:sz w:val="24"/>
          <w:szCs w:val="24"/>
        </w:rPr>
        <w:t>», входящая в группу «</w:t>
      </w:r>
      <w:proofErr w:type="spellStart"/>
      <w:r w:rsidR="00732CA7" w:rsidRPr="000B1361">
        <w:rPr>
          <w:rFonts w:ascii="Times New Roman" w:hAnsi="Times New Roman" w:cs="Times New Roman"/>
          <w:sz w:val="24"/>
          <w:szCs w:val="24"/>
        </w:rPr>
        <w:t>Бэйдахуан</w:t>
      </w:r>
      <w:proofErr w:type="spellEnd"/>
      <w:r w:rsidR="00732CA7" w:rsidRPr="000B1361">
        <w:rPr>
          <w:rFonts w:ascii="Times New Roman" w:hAnsi="Times New Roman" w:cs="Times New Roman"/>
          <w:sz w:val="24"/>
          <w:szCs w:val="24"/>
        </w:rPr>
        <w:t>»). При совместной поддержке Министерства Российской Федерации по развитию Дальнего Востока и Арктики, Правительства Приморского края и Министерства сельского хозяйства Китайской Народной Республики компания «</w:t>
      </w:r>
      <w:proofErr w:type="spellStart"/>
      <w:r w:rsidR="00732CA7" w:rsidRPr="000B1361">
        <w:rPr>
          <w:rFonts w:ascii="Times New Roman" w:hAnsi="Times New Roman" w:cs="Times New Roman"/>
          <w:sz w:val="24"/>
          <w:szCs w:val="24"/>
        </w:rPr>
        <w:t>ЛегендАгро</w:t>
      </w:r>
      <w:proofErr w:type="spellEnd"/>
      <w:r w:rsidR="00732CA7" w:rsidRPr="000B1361">
        <w:rPr>
          <w:rFonts w:ascii="Times New Roman" w:hAnsi="Times New Roman" w:cs="Times New Roman"/>
          <w:sz w:val="24"/>
          <w:szCs w:val="24"/>
        </w:rPr>
        <w:t xml:space="preserve">» реализует проект создания демонстрационного российско-китайского агропромышленного парка в бухте Суходол. В состав парка войдут завод по глубокой переработке масличных культур и специализированный морской зерновой терминал. Завершение проекта запланировано на 2027 год. Общий объём инвестиций составляет 6,8 млрд рублей. Данный проект выступает базовым для формирования Международной территории опережающего развития (МТОР) и позиционируется как инфраструктурно-логистический хаб для сельскохозяйственной продукции в рамках международного </w:t>
      </w:r>
      <w:r w:rsidR="00732CA7" w:rsidRPr="000B1361">
        <w:rPr>
          <w:rFonts w:ascii="Times New Roman" w:hAnsi="Times New Roman" w:cs="Times New Roman"/>
          <w:sz w:val="24"/>
          <w:szCs w:val="24"/>
        </w:rPr>
        <w:lastRenderedPageBreak/>
        <w:t>транспортного коридора «Приморье-1», обеспечивающего связь портов Приморского края с южными провинциями КНР и другими странами Азиатско-Тихоокеанского региона</w:t>
      </w:r>
      <w:r w:rsidR="00032213" w:rsidRPr="000B1361">
        <w:rPr>
          <w:rFonts w:ascii="Times New Roman" w:hAnsi="Times New Roman" w:cs="Times New Roman"/>
          <w:sz w:val="24"/>
          <w:szCs w:val="24"/>
        </w:rPr>
        <w:t xml:space="preserve"> [</w:t>
      </w:r>
      <w:r w:rsidR="00712266" w:rsidRPr="000B1361">
        <w:rPr>
          <w:rFonts w:ascii="Times New Roman" w:hAnsi="Times New Roman" w:cs="Times New Roman"/>
          <w:sz w:val="24"/>
          <w:szCs w:val="24"/>
        </w:rPr>
        <w:t>8</w:t>
      </w:r>
      <w:r w:rsidR="00032213" w:rsidRPr="000B1361">
        <w:rPr>
          <w:rFonts w:ascii="Times New Roman" w:hAnsi="Times New Roman" w:cs="Times New Roman"/>
          <w:sz w:val="24"/>
          <w:szCs w:val="24"/>
        </w:rPr>
        <w:t>]</w:t>
      </w:r>
      <w:r w:rsidR="00732CA7" w:rsidRPr="000B1361">
        <w:rPr>
          <w:rFonts w:ascii="Times New Roman" w:hAnsi="Times New Roman" w:cs="Times New Roman"/>
          <w:sz w:val="24"/>
          <w:szCs w:val="24"/>
        </w:rPr>
        <w:t>.</w:t>
      </w:r>
    </w:p>
    <w:p w14:paraId="0AF46FD7" w14:textId="414E99E8" w:rsidR="00B43633" w:rsidRPr="000B1361" w:rsidRDefault="00B43633" w:rsidP="00B43633">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В Арктической зоне Российской Федерации также реализуется ряд проектов с привлечением иностранного капитала, однако их отраслевая направленность и степень практической реализации принципиально отличаются от приморской модели.</w:t>
      </w:r>
    </w:p>
    <w:p w14:paraId="07963BE6" w14:textId="7BA023D8" w:rsidR="00B43633" w:rsidRPr="000B1361" w:rsidRDefault="00B43633" w:rsidP="005B6685">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Наиболее крупные иностранные инвестиции в Арктике сконцентрированы в сфере добычи и сжижения природного газа. В проекте «Ямал СПГ» китайская компания China National Petroleum Corporation (далее – CNPC) и Фонд Шёлкового пути совокупно владеют 29,9% акций, ещё 20% принадлежит французской Total. В проекте «Арктик СПГ-2» китайским CNPC и </w:t>
      </w:r>
      <w:r w:rsidR="005B6685" w:rsidRPr="000B1361">
        <w:rPr>
          <w:rFonts w:ascii="Times New Roman" w:hAnsi="Times New Roman" w:cs="Times New Roman"/>
          <w:sz w:val="24"/>
          <w:szCs w:val="24"/>
        </w:rPr>
        <w:t xml:space="preserve">China National </w:t>
      </w:r>
      <w:proofErr w:type="spellStart"/>
      <w:r w:rsidR="005B6685" w:rsidRPr="000B1361">
        <w:rPr>
          <w:rFonts w:ascii="Times New Roman" w:hAnsi="Times New Roman" w:cs="Times New Roman"/>
          <w:sz w:val="24"/>
          <w:szCs w:val="24"/>
        </w:rPr>
        <w:t>Offshore</w:t>
      </w:r>
      <w:proofErr w:type="spellEnd"/>
      <w:r w:rsidR="005B6685" w:rsidRPr="000B1361">
        <w:rPr>
          <w:rFonts w:ascii="Times New Roman" w:hAnsi="Times New Roman" w:cs="Times New Roman"/>
          <w:sz w:val="24"/>
          <w:szCs w:val="24"/>
        </w:rPr>
        <w:t xml:space="preserve"> Oil Corporation (</w:t>
      </w:r>
      <w:r w:rsidRPr="000B1361">
        <w:rPr>
          <w:rFonts w:ascii="Times New Roman" w:hAnsi="Times New Roman" w:cs="Times New Roman"/>
          <w:sz w:val="24"/>
          <w:szCs w:val="24"/>
        </w:rPr>
        <w:t>CNOOC</w:t>
      </w:r>
      <w:r w:rsidR="005B6685" w:rsidRPr="000B1361">
        <w:rPr>
          <w:rFonts w:ascii="Times New Roman" w:hAnsi="Times New Roman" w:cs="Times New Roman"/>
          <w:sz w:val="24"/>
          <w:szCs w:val="24"/>
        </w:rPr>
        <w:t>)</w:t>
      </w:r>
      <w:r w:rsidRPr="000B1361">
        <w:rPr>
          <w:rFonts w:ascii="Times New Roman" w:hAnsi="Times New Roman" w:cs="Times New Roman"/>
          <w:sz w:val="24"/>
          <w:szCs w:val="24"/>
        </w:rPr>
        <w:t xml:space="preserve"> принадлежит по 10% акций каждой. Однако данные проекты представляют собой классические сырьевые концессии и не формируют публичную логистическую инфраструктуру для транзита грузов по Трансарктическому коридор</w:t>
      </w:r>
      <w:r w:rsidR="005B6685" w:rsidRPr="000B1361">
        <w:rPr>
          <w:rFonts w:ascii="Times New Roman" w:hAnsi="Times New Roman" w:cs="Times New Roman"/>
          <w:sz w:val="24"/>
          <w:szCs w:val="24"/>
        </w:rPr>
        <w:t>у. П</w:t>
      </w:r>
      <w:r w:rsidRPr="000B1361">
        <w:rPr>
          <w:rFonts w:ascii="Times New Roman" w:hAnsi="Times New Roman" w:cs="Times New Roman"/>
          <w:sz w:val="24"/>
          <w:szCs w:val="24"/>
        </w:rPr>
        <w:t xml:space="preserve">роизводимый сжиженный природный газ отгружается напрямую на экспорт через специализированные терминалы </w:t>
      </w:r>
      <w:proofErr w:type="spellStart"/>
      <w:r w:rsidRPr="000B1361">
        <w:rPr>
          <w:rFonts w:ascii="Times New Roman" w:hAnsi="Times New Roman" w:cs="Times New Roman"/>
          <w:sz w:val="24"/>
          <w:szCs w:val="24"/>
        </w:rPr>
        <w:t>Сабетты</w:t>
      </w:r>
      <w:proofErr w:type="spellEnd"/>
      <w:r w:rsidRPr="000B1361">
        <w:rPr>
          <w:rFonts w:ascii="Times New Roman" w:hAnsi="Times New Roman" w:cs="Times New Roman"/>
          <w:sz w:val="24"/>
          <w:szCs w:val="24"/>
        </w:rPr>
        <w:t xml:space="preserve"> и Утреннего</w:t>
      </w:r>
      <w:r w:rsidR="005B6685" w:rsidRPr="000B1361">
        <w:rPr>
          <w:rFonts w:ascii="Times New Roman" w:hAnsi="Times New Roman" w:cs="Times New Roman"/>
          <w:sz w:val="24"/>
          <w:szCs w:val="24"/>
        </w:rPr>
        <w:t xml:space="preserve"> [</w:t>
      </w:r>
      <w:r w:rsidR="00712266" w:rsidRPr="000B1361">
        <w:rPr>
          <w:rFonts w:ascii="Times New Roman" w:hAnsi="Times New Roman" w:cs="Times New Roman"/>
          <w:sz w:val="24"/>
          <w:szCs w:val="24"/>
        </w:rPr>
        <w:t>9</w:t>
      </w:r>
      <w:r w:rsidR="005B6685" w:rsidRPr="000B1361">
        <w:rPr>
          <w:rFonts w:ascii="Times New Roman" w:hAnsi="Times New Roman" w:cs="Times New Roman"/>
          <w:sz w:val="24"/>
          <w:szCs w:val="24"/>
        </w:rPr>
        <w:t>]</w:t>
      </w:r>
      <w:r w:rsidRPr="000B1361">
        <w:rPr>
          <w:rFonts w:ascii="Times New Roman" w:hAnsi="Times New Roman" w:cs="Times New Roman"/>
          <w:sz w:val="24"/>
          <w:szCs w:val="24"/>
        </w:rPr>
        <w:t>.</w:t>
      </w:r>
    </w:p>
    <w:p w14:paraId="5DCB6573" w14:textId="0A6FD955" w:rsidR="00B43633" w:rsidRPr="000B1361" w:rsidRDefault="00B43633" w:rsidP="005B6685">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В части развития портово-логистической инфраструктуры для Северного морского пути международное сотрудничество пока не вышло за рамки рамочных соглашений. Совместное предприятие Госкорпорации «Росатом» и DP World (ОАЭ) </w:t>
      </w:r>
      <w:r w:rsidR="005B6685" w:rsidRPr="000B1361">
        <w:rPr>
          <w:rFonts w:ascii="Times New Roman" w:hAnsi="Times New Roman" w:cs="Times New Roman"/>
          <w:sz w:val="24"/>
          <w:szCs w:val="24"/>
        </w:rPr>
        <w:t xml:space="preserve">– </w:t>
      </w:r>
      <w:r w:rsidRPr="000B1361">
        <w:rPr>
          <w:rFonts w:ascii="Times New Roman" w:hAnsi="Times New Roman" w:cs="Times New Roman"/>
          <w:sz w:val="24"/>
          <w:szCs w:val="24"/>
        </w:rPr>
        <w:t>ООО «Международная контейнерная логистика» ведёт подготовку к инвестиционному решению по созданию контейнерной линии</w:t>
      </w:r>
      <w:r w:rsidR="005B6685" w:rsidRPr="000B1361">
        <w:rPr>
          <w:rFonts w:ascii="Times New Roman" w:hAnsi="Times New Roman" w:cs="Times New Roman"/>
          <w:sz w:val="24"/>
          <w:szCs w:val="24"/>
        </w:rPr>
        <w:br/>
      </w:r>
      <w:r w:rsidRPr="000B1361">
        <w:rPr>
          <w:rFonts w:ascii="Times New Roman" w:hAnsi="Times New Roman" w:cs="Times New Roman"/>
          <w:sz w:val="24"/>
          <w:szCs w:val="24"/>
        </w:rPr>
        <w:t xml:space="preserve">и портов-хабов, однако конкретные параметры и сроки строительства не утверждены. Китайская судоходная компания </w:t>
      </w:r>
      <w:proofErr w:type="spellStart"/>
      <w:r w:rsidRPr="000B1361">
        <w:rPr>
          <w:rFonts w:ascii="Times New Roman" w:hAnsi="Times New Roman" w:cs="Times New Roman"/>
          <w:sz w:val="24"/>
          <w:szCs w:val="24"/>
        </w:rPr>
        <w:t>NewNew</w:t>
      </w:r>
      <w:proofErr w:type="spellEnd"/>
      <w:r w:rsidRPr="000B1361">
        <w:rPr>
          <w:rFonts w:ascii="Times New Roman" w:hAnsi="Times New Roman" w:cs="Times New Roman"/>
          <w:sz w:val="24"/>
          <w:szCs w:val="24"/>
        </w:rPr>
        <w:t xml:space="preserve"> Shipping Line в 2025 году подписала меморандум</w:t>
      </w:r>
      <w:r w:rsidR="005B6685" w:rsidRPr="000B1361">
        <w:rPr>
          <w:rFonts w:ascii="Times New Roman" w:hAnsi="Times New Roman" w:cs="Times New Roman"/>
          <w:sz w:val="24"/>
          <w:szCs w:val="24"/>
        </w:rPr>
        <w:br/>
      </w:r>
      <w:r w:rsidRPr="000B1361">
        <w:rPr>
          <w:rFonts w:ascii="Times New Roman" w:hAnsi="Times New Roman" w:cs="Times New Roman"/>
          <w:sz w:val="24"/>
          <w:szCs w:val="24"/>
        </w:rPr>
        <w:t>о взаимопонимании с правительством Мурманской области, обсуждая перспективы организации регулярных контейнерных перевозок через порт Мурманск</w:t>
      </w:r>
      <w:r w:rsidR="005B6685" w:rsidRPr="000B1361">
        <w:rPr>
          <w:rFonts w:ascii="Times New Roman" w:hAnsi="Times New Roman" w:cs="Times New Roman"/>
          <w:sz w:val="24"/>
          <w:szCs w:val="24"/>
        </w:rPr>
        <w:t xml:space="preserve"> [</w:t>
      </w:r>
      <w:r w:rsidR="00712266" w:rsidRPr="000B1361">
        <w:rPr>
          <w:rFonts w:ascii="Times New Roman" w:hAnsi="Times New Roman" w:cs="Times New Roman"/>
          <w:sz w:val="24"/>
          <w:szCs w:val="24"/>
        </w:rPr>
        <w:t>10</w:t>
      </w:r>
      <w:r w:rsidR="005B6685" w:rsidRPr="000B1361">
        <w:rPr>
          <w:rFonts w:ascii="Times New Roman" w:hAnsi="Times New Roman" w:cs="Times New Roman"/>
          <w:sz w:val="24"/>
          <w:szCs w:val="24"/>
        </w:rPr>
        <w:t>]</w:t>
      </w:r>
      <w:r w:rsidRPr="000B1361">
        <w:rPr>
          <w:rFonts w:ascii="Times New Roman" w:hAnsi="Times New Roman" w:cs="Times New Roman"/>
          <w:sz w:val="24"/>
          <w:szCs w:val="24"/>
        </w:rPr>
        <w:t>. В июне 2025 года также объявлено</w:t>
      </w:r>
      <w:r w:rsidR="005B6685" w:rsidRPr="000B1361">
        <w:rPr>
          <w:rFonts w:ascii="Times New Roman" w:hAnsi="Times New Roman" w:cs="Times New Roman"/>
          <w:sz w:val="24"/>
          <w:szCs w:val="24"/>
        </w:rPr>
        <w:br/>
      </w:r>
      <w:r w:rsidRPr="000B1361">
        <w:rPr>
          <w:rFonts w:ascii="Times New Roman" w:hAnsi="Times New Roman" w:cs="Times New Roman"/>
          <w:sz w:val="24"/>
          <w:szCs w:val="24"/>
        </w:rPr>
        <w:t xml:space="preserve">о создании совместного предприятия </w:t>
      </w:r>
      <w:proofErr w:type="spellStart"/>
      <w:r w:rsidRPr="000B1361">
        <w:rPr>
          <w:rFonts w:ascii="Times New Roman" w:hAnsi="Times New Roman" w:cs="Times New Roman"/>
          <w:sz w:val="24"/>
          <w:szCs w:val="24"/>
        </w:rPr>
        <w:t>NewNew</w:t>
      </w:r>
      <w:proofErr w:type="spellEnd"/>
      <w:r w:rsidRPr="000B1361">
        <w:rPr>
          <w:rFonts w:ascii="Times New Roman" w:hAnsi="Times New Roman" w:cs="Times New Roman"/>
          <w:sz w:val="24"/>
          <w:szCs w:val="24"/>
        </w:rPr>
        <w:t xml:space="preserve"> Shipping Line и «Росатома» для строительства контейнеровозов ледового класса, однако информация о начале строительства портовой инфраструктуры с подтверждёнными объёмами инвестиций отсутствует</w:t>
      </w:r>
      <w:r w:rsidR="005B6685" w:rsidRPr="000B1361">
        <w:rPr>
          <w:rFonts w:ascii="Times New Roman" w:hAnsi="Times New Roman" w:cs="Times New Roman"/>
          <w:sz w:val="24"/>
          <w:szCs w:val="24"/>
        </w:rPr>
        <w:t xml:space="preserve"> [1</w:t>
      </w:r>
      <w:r w:rsidR="00712266" w:rsidRPr="000B1361">
        <w:rPr>
          <w:rFonts w:ascii="Times New Roman" w:hAnsi="Times New Roman" w:cs="Times New Roman"/>
          <w:sz w:val="24"/>
          <w:szCs w:val="24"/>
        </w:rPr>
        <w:t>1</w:t>
      </w:r>
      <w:r w:rsidR="005B6685" w:rsidRPr="000B1361">
        <w:rPr>
          <w:rFonts w:ascii="Times New Roman" w:hAnsi="Times New Roman" w:cs="Times New Roman"/>
          <w:sz w:val="24"/>
          <w:szCs w:val="24"/>
        </w:rPr>
        <w:t>]</w:t>
      </w:r>
      <w:r w:rsidRPr="000B1361">
        <w:rPr>
          <w:rFonts w:ascii="Times New Roman" w:hAnsi="Times New Roman" w:cs="Times New Roman"/>
          <w:sz w:val="24"/>
          <w:szCs w:val="24"/>
        </w:rPr>
        <w:t>.</w:t>
      </w:r>
    </w:p>
    <w:p w14:paraId="176A7671" w14:textId="64101BF9" w:rsidR="00B43633" w:rsidRPr="000B1361" w:rsidRDefault="00B43633" w:rsidP="005B6685">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Показательным примером реализационных рисков в Арктике служит проект индийской фармацевтической компании «САФФАРМ» по строительству комплекса в Мурманской области. При заявленном объёме инвестиций более 9,2 млрд рублей и плановом запуске в IV квартале 2027 года, по состоянию на начало 2026 года проект приостановлен. Губернатор Мурманской области Андрей Чибис пояснил, что возникли трудности «субъективного плана» при взаимодействии</w:t>
      </w:r>
      <w:r w:rsidR="005B6685" w:rsidRPr="000B1361">
        <w:rPr>
          <w:rFonts w:ascii="Times New Roman" w:hAnsi="Times New Roman" w:cs="Times New Roman"/>
          <w:sz w:val="24"/>
          <w:szCs w:val="24"/>
        </w:rPr>
        <w:br/>
      </w:r>
      <w:r w:rsidRPr="000B1361">
        <w:rPr>
          <w:rFonts w:ascii="Times New Roman" w:hAnsi="Times New Roman" w:cs="Times New Roman"/>
          <w:sz w:val="24"/>
          <w:szCs w:val="24"/>
        </w:rPr>
        <w:t>с инвестором и выделении земельного участка</w:t>
      </w:r>
      <w:r w:rsidR="005B6685" w:rsidRPr="000B1361">
        <w:rPr>
          <w:rFonts w:ascii="Times New Roman" w:hAnsi="Times New Roman" w:cs="Times New Roman"/>
          <w:sz w:val="24"/>
          <w:szCs w:val="24"/>
        </w:rPr>
        <w:t xml:space="preserve"> [1</w:t>
      </w:r>
      <w:r w:rsidR="00712266" w:rsidRPr="000B1361">
        <w:rPr>
          <w:rFonts w:ascii="Times New Roman" w:hAnsi="Times New Roman" w:cs="Times New Roman"/>
          <w:sz w:val="24"/>
          <w:szCs w:val="24"/>
        </w:rPr>
        <w:t>2</w:t>
      </w:r>
      <w:r w:rsidR="005B6685" w:rsidRPr="000B1361">
        <w:rPr>
          <w:rFonts w:ascii="Times New Roman" w:hAnsi="Times New Roman" w:cs="Times New Roman"/>
          <w:sz w:val="24"/>
          <w:szCs w:val="24"/>
        </w:rPr>
        <w:t>]</w:t>
      </w:r>
      <w:r w:rsidRPr="000B1361">
        <w:rPr>
          <w:rFonts w:ascii="Times New Roman" w:hAnsi="Times New Roman" w:cs="Times New Roman"/>
          <w:sz w:val="24"/>
          <w:szCs w:val="24"/>
        </w:rPr>
        <w:t>.</w:t>
      </w:r>
    </w:p>
    <w:p w14:paraId="12C24144" w14:textId="77777777" w:rsidR="00B43633" w:rsidRPr="000B1361" w:rsidRDefault="00B43633" w:rsidP="00B43633">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lastRenderedPageBreak/>
        <w:t>Таким образом, Приморский край демонстрирует работающую модель привлечения иностранных инвестиций в логистическую инфраструктуру, основанную на сочетании преференциального режима МТОР, межправительственной поддержки и прямой заинтересованности китайского бизнеса в создании перерабатывающих и перевалочных мощностей на российской территории. Арктика же пока остаётся зоной преимущественно сырьевых вложений и рамочных соглашений, не перешедших в стадию практической реализации инфраструктурных проектов, сопоставимых с приморскими.</w:t>
      </w:r>
    </w:p>
    <w:p w14:paraId="7A3F7804" w14:textId="704C2FCB" w:rsidR="00042C27" w:rsidRPr="000B1361" w:rsidRDefault="00042C27" w:rsidP="00042C27">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 xml:space="preserve">Проведённый анализ инфраструктурных возможностей Владивостокского транспортного узла и портов Арктического бассейна в контексте формирования Трансарктического морского коридора позволяет сделать вывод о том, что Владивосток является лидером восточного направления с потенциалом для роста и расширения своих возможностей. Терминал ВМТП (FESCO) удерживает звание крупнейшего в стране шестой год подряд, обработав 805 тыс. TEU. На фоне общего снижения контейнерооборота в стране на 4,9% и падения грузооборота в большинстве морских бассейнов Дальневосточный бассейн остаётся единственным, демонстрирующим устойчивый рост </w:t>
      </w:r>
      <w:r w:rsidR="00712266" w:rsidRPr="000B1361">
        <w:rPr>
          <w:rFonts w:ascii="Times New Roman" w:hAnsi="Times New Roman" w:cs="Times New Roman"/>
          <w:sz w:val="24"/>
          <w:szCs w:val="24"/>
        </w:rPr>
        <w:t xml:space="preserve">– </w:t>
      </w:r>
      <w:r w:rsidRPr="000B1361">
        <w:rPr>
          <w:rFonts w:ascii="Times New Roman" w:hAnsi="Times New Roman" w:cs="Times New Roman"/>
          <w:sz w:val="24"/>
          <w:szCs w:val="24"/>
        </w:rPr>
        <w:t>плюс 6,6% по общему грузообороту. Создание ВТЛУ позволит Владивостоку выполнять критически важную функцию точки смены класса судов, что является необходимым условием для повышения конкурентоспособности транзитных перевозок по Северному морскому пути. Дополняя этот тезис, в целях повышения эффективности транзитных перевозок по Севморпути необходимо обеспечить перевалку грузов в морских портах, до которых могут курсировать обычные суда. Таким морским портом на востоке страны объективно выступает Владивосток. Использование судов ледового класса на всём протяжении маршрута экономически нецелесообразно, в то время как схема «обычное судно – перевалка во Владивостоке – судно ледового класса» позволяет оптимизировать логистические издержки и кратно повысить привлекательность Трансарктического коридора для международных грузоотправителей.</w:t>
      </w:r>
    </w:p>
    <w:p w14:paraId="5112B7A5" w14:textId="50F425A3" w:rsidR="000001A9" w:rsidRPr="000B1361" w:rsidRDefault="00712266" w:rsidP="009A2E88">
      <w:pPr>
        <w:spacing w:after="0" w:line="360" w:lineRule="auto"/>
        <w:ind w:firstLine="708"/>
        <w:jc w:val="both"/>
        <w:rPr>
          <w:rFonts w:ascii="Times New Roman" w:hAnsi="Times New Roman" w:cs="Times New Roman"/>
          <w:sz w:val="24"/>
          <w:szCs w:val="24"/>
        </w:rPr>
      </w:pPr>
      <w:r w:rsidRPr="000B1361">
        <w:rPr>
          <w:rFonts w:ascii="Times New Roman" w:hAnsi="Times New Roman" w:cs="Times New Roman"/>
          <w:sz w:val="24"/>
          <w:szCs w:val="24"/>
        </w:rPr>
        <w:t>Более того</w:t>
      </w:r>
      <w:r w:rsidR="00042C27" w:rsidRPr="000B1361">
        <w:rPr>
          <w:rFonts w:ascii="Times New Roman" w:hAnsi="Times New Roman" w:cs="Times New Roman"/>
          <w:sz w:val="24"/>
          <w:szCs w:val="24"/>
        </w:rPr>
        <w:t xml:space="preserve">, конкурентное преимущество Владивостока как точки входа в Трансарктический коридор может быть полностью реализовано только при условии дальнейшего углубления инвестиционного сотрудничества с Китайской Народной Республикой. Уникальное сочетание географического положения, наличия научно-исследовательской базы по арктической навигации, прямого выхода на Транссибирскую магистраль и преференциального режима МТОР создаёт все необходимые предпосылки для превращения Владивостока в ключевой мультимодальный хаб восточного сектора Северного морского пути. Практическая реализация этого потенциала требует дальнейшего насыщения владивостокского транспортного узла грузовой базой за счёт привлечения </w:t>
      </w:r>
      <w:r w:rsidR="00042C27" w:rsidRPr="000B1361">
        <w:rPr>
          <w:rFonts w:ascii="Times New Roman" w:hAnsi="Times New Roman" w:cs="Times New Roman"/>
          <w:sz w:val="24"/>
          <w:szCs w:val="24"/>
        </w:rPr>
        <w:lastRenderedPageBreak/>
        <w:t>китайских логистических компаний и создания совместных предприятий в рамках режима Международной территории опережающего развития.</w:t>
      </w:r>
    </w:p>
    <w:p w14:paraId="7A5C496B" w14:textId="6B616296" w:rsidR="002B215B" w:rsidRPr="00E73EDB" w:rsidRDefault="003B34B9" w:rsidP="00E73EDB">
      <w:pPr>
        <w:spacing w:line="240" w:lineRule="auto"/>
        <w:jc w:val="both"/>
        <w:rPr>
          <w:rFonts w:ascii="Times New Roman" w:hAnsi="Times New Roman" w:cs="Times New Roman"/>
          <w:sz w:val="24"/>
          <w:szCs w:val="24"/>
        </w:rPr>
      </w:pPr>
      <w:r w:rsidRPr="00D521BA">
        <w:rPr>
          <w:rFonts w:ascii="Times New Roman" w:hAnsi="Times New Roman" w:cs="Times New Roman"/>
          <w:sz w:val="24"/>
          <w:szCs w:val="24"/>
        </w:rPr>
        <w:t>_________________________</w:t>
      </w:r>
    </w:p>
    <w:p w14:paraId="6EE4C54D" w14:textId="77777777" w:rsidR="002B215B" w:rsidRDefault="002B215B" w:rsidP="002B215B">
      <w:pPr>
        <w:rPr>
          <w:rFonts w:ascii="Times New Roman" w:hAnsi="Times New Roman" w:cs="Times New Roman"/>
        </w:rPr>
      </w:pPr>
    </w:p>
    <w:p w14:paraId="63010419" w14:textId="09C3B2C8"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Распоряжение Правительства Российской Федерации от 01.08.2022 № 2115-р. // Официальный интернет-портал правовой информации. – URL: http://publication.pravo.gov.ru/Document/View/0001202208040008 (дата обращения: 12.04.2026).</w:t>
      </w:r>
    </w:p>
    <w:p w14:paraId="3907214D" w14:textId="4CA84BBC"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Грузооборот морских портов России за 2025 год. – Текст: электронный // Ассоциация морских торговых портов: [сайт]. – 2026. – URL: https://www.morport.com/rus/news/gruzooborot-morskih-portov-rossii-za-2025-god (дата обращения: 12.04.2026).</w:t>
      </w:r>
    </w:p>
    <w:p w14:paraId="6195683A" w14:textId="4ED7ECE7" w:rsidR="002B215B" w:rsidRPr="000B1361" w:rsidRDefault="002B215B" w:rsidP="00E73EDB">
      <w:pPr>
        <w:numPr>
          <w:ilvl w:val="0"/>
          <w:numId w:val="12"/>
        </w:numPr>
        <w:spacing w:after="0"/>
        <w:jc w:val="both"/>
        <w:rPr>
          <w:rFonts w:ascii="Times New Roman" w:hAnsi="Times New Roman" w:cs="Times New Roman"/>
          <w:sz w:val="24"/>
          <w:szCs w:val="24"/>
        </w:rPr>
      </w:pPr>
      <w:proofErr w:type="spellStart"/>
      <w:r w:rsidRPr="000B1361">
        <w:rPr>
          <w:rFonts w:ascii="Times New Roman" w:hAnsi="Times New Roman" w:cs="Times New Roman"/>
          <w:sz w:val="24"/>
          <w:szCs w:val="24"/>
        </w:rPr>
        <w:t>Скорлыгина</w:t>
      </w:r>
      <w:proofErr w:type="spellEnd"/>
      <w:r w:rsidRPr="000B1361">
        <w:rPr>
          <w:rFonts w:ascii="Times New Roman" w:hAnsi="Times New Roman" w:cs="Times New Roman"/>
          <w:sz w:val="24"/>
          <w:szCs w:val="24"/>
        </w:rPr>
        <w:t xml:space="preserve"> Н. Арктика не держит нагрузку: перевозка грузов по Севморпути снизилась в 2025 году на 870 тыс. тонн</w:t>
      </w:r>
      <w:r w:rsidR="00E73EDB" w:rsidRPr="000B1361">
        <w:rPr>
          <w:rFonts w:ascii="Times New Roman" w:hAnsi="Times New Roman" w:cs="Times New Roman"/>
          <w:sz w:val="24"/>
          <w:szCs w:val="24"/>
        </w:rPr>
        <w:t xml:space="preserve"> – Текст: электронный</w:t>
      </w:r>
      <w:r w:rsidRPr="000B1361">
        <w:rPr>
          <w:rFonts w:ascii="Times New Roman" w:hAnsi="Times New Roman" w:cs="Times New Roman"/>
          <w:sz w:val="24"/>
          <w:szCs w:val="24"/>
        </w:rPr>
        <w:t xml:space="preserve"> / Н. </w:t>
      </w:r>
      <w:proofErr w:type="spellStart"/>
      <w:r w:rsidRPr="000B1361">
        <w:rPr>
          <w:rFonts w:ascii="Times New Roman" w:hAnsi="Times New Roman" w:cs="Times New Roman"/>
          <w:sz w:val="24"/>
          <w:szCs w:val="24"/>
        </w:rPr>
        <w:t>Скорлыгина</w:t>
      </w:r>
      <w:proofErr w:type="spellEnd"/>
      <w:r w:rsidRPr="000B1361">
        <w:rPr>
          <w:rFonts w:ascii="Times New Roman" w:hAnsi="Times New Roman" w:cs="Times New Roman"/>
          <w:sz w:val="24"/>
          <w:szCs w:val="24"/>
        </w:rPr>
        <w:t>, Т. Дятел, П. Трифонова.</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Коммерсантъ.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2026.</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URL: https://www.kommersant.ru/doc/8419017 (дата обращения: 12.04.2026).</w:t>
      </w:r>
    </w:p>
    <w:p w14:paraId="3BCC706F" w14:textId="78D2ECEB"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Контейнерооборот морских терминалов «Глобал </w:t>
      </w:r>
      <w:proofErr w:type="spellStart"/>
      <w:r w:rsidRPr="000B1361">
        <w:rPr>
          <w:rFonts w:ascii="Times New Roman" w:hAnsi="Times New Roman" w:cs="Times New Roman"/>
          <w:sz w:val="24"/>
          <w:szCs w:val="24"/>
        </w:rPr>
        <w:t>Портс</w:t>
      </w:r>
      <w:proofErr w:type="spellEnd"/>
      <w:r w:rsidRPr="000B1361">
        <w:rPr>
          <w:rFonts w:ascii="Times New Roman" w:hAnsi="Times New Roman" w:cs="Times New Roman"/>
          <w:sz w:val="24"/>
          <w:szCs w:val="24"/>
        </w:rPr>
        <w:t xml:space="preserve">» в 2025 году снизился на 4,4% — до 1,1 млн TEU.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Текст: электронный // </w:t>
      </w:r>
      <w:proofErr w:type="spellStart"/>
      <w:proofErr w:type="gramStart"/>
      <w:r w:rsidRPr="000B1361">
        <w:rPr>
          <w:rFonts w:ascii="Times New Roman" w:hAnsi="Times New Roman" w:cs="Times New Roman"/>
          <w:sz w:val="24"/>
          <w:szCs w:val="24"/>
        </w:rPr>
        <w:t>PortNews</w:t>
      </w:r>
      <w:proofErr w:type="spellEnd"/>
      <w:r w:rsidRPr="000B1361">
        <w:rPr>
          <w:rFonts w:ascii="Times New Roman" w:hAnsi="Times New Roman" w:cs="Times New Roman"/>
          <w:sz w:val="24"/>
          <w:szCs w:val="24"/>
        </w:rPr>
        <w:t xml:space="preserve"> :</w:t>
      </w:r>
      <w:proofErr w:type="gramEnd"/>
      <w:r w:rsidRPr="000B1361">
        <w:rPr>
          <w:rFonts w:ascii="Times New Roman" w:hAnsi="Times New Roman" w:cs="Times New Roman"/>
          <w:sz w:val="24"/>
          <w:szCs w:val="24"/>
        </w:rPr>
        <w:t xml:space="preserve"> информационно-аналитическое агентство</w:t>
      </w:r>
      <w:r w:rsidR="00E73EDB" w:rsidRPr="000B1361">
        <w:rPr>
          <w:rFonts w:ascii="Times New Roman" w:hAnsi="Times New Roman" w:cs="Times New Roman"/>
          <w:sz w:val="24"/>
          <w:szCs w:val="24"/>
        </w:rPr>
        <w:t>: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2026.</w:t>
      </w:r>
      <w:r w:rsidR="00E73EDB" w:rsidRPr="000B1361">
        <w:rPr>
          <w:rFonts w:ascii="Times New Roman" w:hAnsi="Times New Roman" w:cs="Times New Roman"/>
          <w:sz w:val="24"/>
          <w:szCs w:val="24"/>
        </w:rPr>
        <w:t xml:space="preserve"> – </w:t>
      </w:r>
      <w:r w:rsidRPr="000B1361">
        <w:rPr>
          <w:rFonts w:ascii="Times New Roman" w:hAnsi="Times New Roman" w:cs="Times New Roman"/>
          <w:sz w:val="24"/>
          <w:szCs w:val="24"/>
        </w:rPr>
        <w:t xml:space="preserve"> URL: https://portnews.ru/news/386976/ (дата обращения: 12.04.2026).</w:t>
      </w:r>
    </w:p>
    <w:p w14:paraId="2D02135D" w14:textId="1E300F5A"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Рейтинг контейнерных портов России в 2025 году. — Текст: электронный // </w:t>
      </w:r>
      <w:proofErr w:type="spellStart"/>
      <w:r w:rsidRPr="000B1361">
        <w:rPr>
          <w:rFonts w:ascii="Times New Roman" w:hAnsi="Times New Roman" w:cs="Times New Roman"/>
          <w:sz w:val="24"/>
          <w:szCs w:val="24"/>
        </w:rPr>
        <w:t>InfraNews</w:t>
      </w:r>
      <w:proofErr w:type="spellEnd"/>
      <w:r w:rsidRPr="000B1361">
        <w:rPr>
          <w:rFonts w:ascii="Times New Roman" w:hAnsi="Times New Roman" w:cs="Times New Roman"/>
          <w:sz w:val="24"/>
          <w:szCs w:val="24"/>
        </w:rPr>
        <w:t>: отраслевое агентство</w:t>
      </w:r>
      <w:r w:rsidR="00E73EDB" w:rsidRPr="000B1361">
        <w:rPr>
          <w:rFonts w:ascii="Times New Roman" w:hAnsi="Times New Roman" w:cs="Times New Roman"/>
          <w:sz w:val="24"/>
          <w:szCs w:val="24"/>
        </w:rPr>
        <w:t xml:space="preserve">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2026.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URL: https://www.infranews.ru/novosti/porty/69548-rejting-kontejnernyh-portov-rossii-v-2025-godu/ (дата обращения: 12.04.2026).</w:t>
      </w:r>
    </w:p>
    <w:p w14:paraId="43ADA3BD" w14:textId="2D6B8E7A"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ВМТП получит два новых глубоководных причала в рамках модернизации.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Текст: электронный // РБК Приморье</w:t>
      </w:r>
      <w:r w:rsidR="00E73EDB" w:rsidRPr="000B1361">
        <w:rPr>
          <w:rFonts w:ascii="Times New Roman" w:hAnsi="Times New Roman" w:cs="Times New Roman"/>
          <w:sz w:val="24"/>
          <w:szCs w:val="24"/>
        </w:rPr>
        <w:t>: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w:t>
      </w:r>
      <w:r w:rsidRPr="000B1361">
        <w:rPr>
          <w:rFonts w:ascii="Times New Roman" w:hAnsi="Times New Roman" w:cs="Times New Roman"/>
          <w:sz w:val="24"/>
          <w:szCs w:val="24"/>
        </w:rPr>
        <w:t xml:space="preserve"> 2023.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URL: https://prim.rbc.ru/prim/freenews/64a62a099a794728bdb81714 (дата обращения: 12.04.2026).</w:t>
      </w:r>
    </w:p>
    <w:p w14:paraId="776F520A" w14:textId="2E6803BE"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Грузооборот порта Мурманск в 2025 году уменьшился на 9,8%. — Текст: электронный // Комсомольская правда. Мурманск</w:t>
      </w:r>
      <w:r w:rsidR="00E73EDB" w:rsidRPr="000B1361">
        <w:rPr>
          <w:rFonts w:ascii="Times New Roman" w:hAnsi="Times New Roman" w:cs="Times New Roman"/>
          <w:sz w:val="24"/>
          <w:szCs w:val="24"/>
        </w:rPr>
        <w:t>: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2026.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 URL: https://www.murmansk.kp.ru/online/news/6774797/ (дата обращения: 12.04.2026).</w:t>
      </w:r>
    </w:p>
    <w:p w14:paraId="04AB354F" w14:textId="5E9924AD"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Кулешов Е. Китай создаёт для себя зерновую базу в Приморье: инвесторы из Поднебесной подминают под себя местный аграрный бизнес / Е. Кулешов. — Текст: электронный // PrimaMedia. — 2025. — 7 октября. — URL: https://primamedia.ru/news/2246859/ (дата обращения: 12.04.2026).</w:t>
      </w:r>
    </w:p>
    <w:p w14:paraId="3728CBED" w14:textId="6E0460B2"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Черняев М. В. Россия и Китай в Арктике: современное состояние и перспективы развития сотрудничества </w:t>
      </w:r>
      <w:r w:rsidR="00E73EDB" w:rsidRPr="000B1361">
        <w:rPr>
          <w:rFonts w:ascii="Times New Roman" w:hAnsi="Times New Roman" w:cs="Times New Roman"/>
          <w:sz w:val="24"/>
          <w:szCs w:val="24"/>
        </w:rPr>
        <w:t xml:space="preserve">– Текст: электронный </w:t>
      </w:r>
      <w:r w:rsidRPr="000B1361">
        <w:rPr>
          <w:rFonts w:ascii="Times New Roman" w:hAnsi="Times New Roman" w:cs="Times New Roman"/>
          <w:sz w:val="24"/>
          <w:szCs w:val="24"/>
        </w:rPr>
        <w:t xml:space="preserve">/ М. В. Черняев, Е. А. Егорычева, Е. Ю. Сидорова. // Арктика и Север. </w:t>
      </w:r>
      <w:r w:rsidR="00E73EDB" w:rsidRPr="000B1361">
        <w:rPr>
          <w:rFonts w:ascii="Times New Roman" w:hAnsi="Times New Roman" w:cs="Times New Roman"/>
          <w:sz w:val="24"/>
          <w:szCs w:val="24"/>
        </w:rPr>
        <w:t>–</w:t>
      </w:r>
      <w:r w:rsidRPr="000B1361">
        <w:rPr>
          <w:rFonts w:ascii="Times New Roman" w:hAnsi="Times New Roman" w:cs="Times New Roman"/>
          <w:sz w:val="24"/>
          <w:szCs w:val="24"/>
        </w:rPr>
        <w:t xml:space="preserve">2025. </w:t>
      </w:r>
      <w:r w:rsidR="00E73EDB" w:rsidRPr="000B1361">
        <w:rPr>
          <w:rFonts w:ascii="Times New Roman" w:hAnsi="Times New Roman" w:cs="Times New Roman"/>
          <w:sz w:val="24"/>
          <w:szCs w:val="24"/>
        </w:rPr>
        <w:t>–</w:t>
      </w:r>
      <w:r w:rsidRPr="000B1361">
        <w:rPr>
          <w:rFonts w:ascii="Times New Roman" w:hAnsi="Times New Roman" w:cs="Times New Roman"/>
          <w:sz w:val="24"/>
          <w:szCs w:val="24"/>
        </w:rPr>
        <w:t xml:space="preserve">№ 61. </w:t>
      </w:r>
      <w:r w:rsidR="00E73EDB" w:rsidRPr="000B1361">
        <w:rPr>
          <w:rFonts w:ascii="Times New Roman" w:hAnsi="Times New Roman" w:cs="Times New Roman"/>
          <w:sz w:val="24"/>
          <w:szCs w:val="24"/>
        </w:rPr>
        <w:t>–</w:t>
      </w:r>
      <w:r w:rsidRPr="000B1361">
        <w:rPr>
          <w:rFonts w:ascii="Times New Roman" w:hAnsi="Times New Roman" w:cs="Times New Roman"/>
          <w:sz w:val="24"/>
          <w:szCs w:val="24"/>
        </w:rPr>
        <w:t>URL: https://cyberleninka.ru/article/n/rossiya-i-kitay-v-arktike-sovremennoe-sostoyanie-i-perspektivy-razvitiya-sotrudnichestva (дата обращения: 12.04.2026).</w:t>
      </w:r>
    </w:p>
    <w:p w14:paraId="33240DBA" w14:textId="09E7F90B"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Базанов М. Выгоден без ограничений: у зарубежных инвесторов растет интерес к Севморпути</w:t>
      </w:r>
      <w:r w:rsidR="00E73EDB" w:rsidRPr="000B1361">
        <w:rPr>
          <w:rFonts w:ascii="Times New Roman" w:hAnsi="Times New Roman" w:cs="Times New Roman"/>
          <w:sz w:val="24"/>
          <w:szCs w:val="24"/>
        </w:rPr>
        <w:t xml:space="preserve"> – Текст: электронный</w:t>
      </w:r>
      <w:r w:rsidRPr="000B1361">
        <w:rPr>
          <w:rFonts w:ascii="Times New Roman" w:hAnsi="Times New Roman" w:cs="Times New Roman"/>
          <w:sz w:val="24"/>
          <w:szCs w:val="24"/>
        </w:rPr>
        <w:t xml:space="preserve"> / М. Базанов. // Известия.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2025.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URL: https://iz.ru/2005979/maksim-bazanov/vygoden-bez-ogranichenij-u-zarubezhnyh-investorov-rastet-interes-k-sevmorputi (дата обращения: 12.04.2026).</w:t>
      </w:r>
    </w:p>
    <w:p w14:paraId="092F6F1E" w14:textId="085CDFDA" w:rsidR="002B215B" w:rsidRPr="000B1361" w:rsidRDefault="002B215B" w:rsidP="00E73ED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Мурманская область и </w:t>
      </w:r>
      <w:proofErr w:type="spellStart"/>
      <w:r w:rsidRPr="000B1361">
        <w:rPr>
          <w:rFonts w:ascii="Times New Roman" w:hAnsi="Times New Roman" w:cs="Times New Roman"/>
          <w:sz w:val="24"/>
          <w:szCs w:val="24"/>
        </w:rPr>
        <w:t>NewNew</w:t>
      </w:r>
      <w:proofErr w:type="spellEnd"/>
      <w:r w:rsidRPr="000B1361">
        <w:rPr>
          <w:rFonts w:ascii="Times New Roman" w:hAnsi="Times New Roman" w:cs="Times New Roman"/>
          <w:sz w:val="24"/>
          <w:szCs w:val="24"/>
        </w:rPr>
        <w:t xml:space="preserve"> Shipping Line договорились о грузоперевозках.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Текст: электронный // Арктика России: информационный портал</w:t>
      </w:r>
      <w:r w:rsidR="00E73EDB" w:rsidRPr="000B1361">
        <w:rPr>
          <w:rFonts w:ascii="Times New Roman" w:hAnsi="Times New Roman" w:cs="Times New Roman"/>
          <w:sz w:val="24"/>
          <w:szCs w:val="24"/>
        </w:rPr>
        <w:t>: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 xml:space="preserve">2025. — </w:t>
      </w:r>
      <w:r w:rsidRPr="000B1361">
        <w:rPr>
          <w:rFonts w:ascii="Times New Roman" w:hAnsi="Times New Roman" w:cs="Times New Roman"/>
          <w:sz w:val="24"/>
          <w:szCs w:val="24"/>
        </w:rPr>
        <w:lastRenderedPageBreak/>
        <w:t>URL: https://arctic-russia.ru/news/murmanskaya-oblast-i-newnew-shipping-line-dogovorilis-o-gruzoperevozkakh/ (дата обращения: 12.04.2026).</w:t>
      </w:r>
    </w:p>
    <w:p w14:paraId="09BFFCB7" w14:textId="2B28C236" w:rsidR="002B215B" w:rsidRPr="000B1361" w:rsidRDefault="002B215B" w:rsidP="002B215B">
      <w:pPr>
        <w:numPr>
          <w:ilvl w:val="0"/>
          <w:numId w:val="12"/>
        </w:numPr>
        <w:spacing w:after="0"/>
        <w:jc w:val="both"/>
        <w:rPr>
          <w:rFonts w:ascii="Times New Roman" w:hAnsi="Times New Roman" w:cs="Times New Roman"/>
          <w:sz w:val="24"/>
          <w:szCs w:val="24"/>
        </w:rPr>
      </w:pPr>
      <w:r w:rsidRPr="000B1361">
        <w:rPr>
          <w:rFonts w:ascii="Times New Roman" w:hAnsi="Times New Roman" w:cs="Times New Roman"/>
          <w:sz w:val="24"/>
          <w:szCs w:val="24"/>
        </w:rPr>
        <w:t xml:space="preserve">Индийский фармзавод в Мурманске «не вышел» из стадии бизнес-концепции.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Текст: электронный // РБК Мурманск</w:t>
      </w:r>
      <w:r w:rsidR="00E73EDB" w:rsidRPr="000B1361">
        <w:rPr>
          <w:rFonts w:ascii="Times New Roman" w:hAnsi="Times New Roman" w:cs="Times New Roman"/>
          <w:sz w:val="24"/>
          <w:szCs w:val="24"/>
        </w:rPr>
        <w:t>: [сайт]</w:t>
      </w:r>
      <w:r w:rsidRPr="000B1361">
        <w:rPr>
          <w:rFonts w:ascii="Times New Roman" w:hAnsi="Times New Roman" w:cs="Times New Roman"/>
          <w:sz w:val="24"/>
          <w:szCs w:val="24"/>
        </w:rPr>
        <w:t xml:space="preserve">. </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2026.</w:t>
      </w:r>
      <w:r w:rsidR="00E73EDB" w:rsidRPr="000B1361">
        <w:rPr>
          <w:rFonts w:ascii="Times New Roman" w:hAnsi="Times New Roman" w:cs="Times New Roman"/>
          <w:sz w:val="24"/>
          <w:szCs w:val="24"/>
        </w:rPr>
        <w:t xml:space="preserve"> </w:t>
      </w:r>
      <w:r w:rsidRPr="000B1361">
        <w:rPr>
          <w:rFonts w:ascii="Times New Roman" w:hAnsi="Times New Roman" w:cs="Times New Roman"/>
          <w:sz w:val="24"/>
          <w:szCs w:val="24"/>
        </w:rPr>
        <w:t>URL: https://murmansk.rbc.ru/murmansk/12/02/2026/698dc1b19a79473832489b60 (дата обращения: 12.04.2026).</w:t>
      </w:r>
    </w:p>
    <w:sectPr w:rsidR="002B215B" w:rsidRPr="000B1361" w:rsidSect="00AA005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ED2"/>
    <w:multiLevelType w:val="hybridMultilevel"/>
    <w:tmpl w:val="46942D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44637D"/>
    <w:multiLevelType w:val="hybridMultilevel"/>
    <w:tmpl w:val="EAC89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8E4A4E"/>
    <w:multiLevelType w:val="hybridMultilevel"/>
    <w:tmpl w:val="48DA6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FDA54D1"/>
    <w:multiLevelType w:val="hybridMultilevel"/>
    <w:tmpl w:val="64965904"/>
    <w:lvl w:ilvl="0" w:tplc="3D5C7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103D63"/>
    <w:multiLevelType w:val="hybridMultilevel"/>
    <w:tmpl w:val="7A9AF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6F6D70"/>
    <w:multiLevelType w:val="hybridMultilevel"/>
    <w:tmpl w:val="2A6CFE84"/>
    <w:lvl w:ilvl="0" w:tplc="11C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803C53"/>
    <w:multiLevelType w:val="hybridMultilevel"/>
    <w:tmpl w:val="ABC05186"/>
    <w:lvl w:ilvl="0" w:tplc="689CAA0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1741BEF"/>
    <w:multiLevelType w:val="hybridMultilevel"/>
    <w:tmpl w:val="15526B56"/>
    <w:lvl w:ilvl="0" w:tplc="4AD4384C">
      <w:start w:val="1"/>
      <w:numFmt w:val="decimal"/>
      <w:lvlText w:val="%1."/>
      <w:lvlJc w:val="left"/>
      <w:pPr>
        <w:ind w:left="720" w:hanging="360"/>
      </w:pPr>
      <w:rPr>
        <w:rFonts w:ascii="Arial" w:eastAsia="SimSun" w:hAnsi="Arial" w:cs="Arial"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26547C"/>
    <w:multiLevelType w:val="hybridMultilevel"/>
    <w:tmpl w:val="649086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AA16AD"/>
    <w:multiLevelType w:val="multilevel"/>
    <w:tmpl w:val="48CA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814477"/>
    <w:multiLevelType w:val="hybridMultilevel"/>
    <w:tmpl w:val="370E91F4"/>
    <w:lvl w:ilvl="0" w:tplc="10C83C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7BC87FFC"/>
    <w:multiLevelType w:val="hybridMultilevel"/>
    <w:tmpl w:val="992A7732"/>
    <w:lvl w:ilvl="0" w:tplc="AC0CF49C">
      <w:start w:val="1"/>
      <w:numFmt w:val="decimal"/>
      <w:lvlText w:val="%1."/>
      <w:lvlJc w:val="left"/>
      <w:pPr>
        <w:ind w:left="1069" w:hanging="360"/>
      </w:pPr>
      <w:rPr>
        <w:rFonts w:hint="default"/>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5987387">
    <w:abstractNumId w:val="2"/>
  </w:num>
  <w:num w:numId="2" w16cid:durableId="129909531">
    <w:abstractNumId w:val="8"/>
  </w:num>
  <w:num w:numId="3" w16cid:durableId="468548408">
    <w:abstractNumId w:val="7"/>
  </w:num>
  <w:num w:numId="4" w16cid:durableId="678771368">
    <w:abstractNumId w:val="10"/>
  </w:num>
  <w:num w:numId="5" w16cid:durableId="692607806">
    <w:abstractNumId w:val="11"/>
  </w:num>
  <w:num w:numId="6" w16cid:durableId="561793791">
    <w:abstractNumId w:val="1"/>
  </w:num>
  <w:num w:numId="7" w16cid:durableId="1816680792">
    <w:abstractNumId w:val="4"/>
  </w:num>
  <w:num w:numId="8" w16cid:durableId="1366712179">
    <w:abstractNumId w:val="0"/>
  </w:num>
  <w:num w:numId="9" w16cid:durableId="1767647712">
    <w:abstractNumId w:val="3"/>
  </w:num>
  <w:num w:numId="10" w16cid:durableId="420488657">
    <w:abstractNumId w:val="5"/>
  </w:num>
  <w:num w:numId="11" w16cid:durableId="1108038946">
    <w:abstractNumId w:val="6"/>
  </w:num>
  <w:num w:numId="12" w16cid:durableId="1000700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BA"/>
    <w:rsid w:val="000001A9"/>
    <w:rsid w:val="000027D2"/>
    <w:rsid w:val="000101D1"/>
    <w:rsid w:val="000178BB"/>
    <w:rsid w:val="00032213"/>
    <w:rsid w:val="0003780C"/>
    <w:rsid w:val="00042C27"/>
    <w:rsid w:val="00081889"/>
    <w:rsid w:val="000A45CD"/>
    <w:rsid w:val="000A476E"/>
    <w:rsid w:val="000B1361"/>
    <w:rsid w:val="000F481F"/>
    <w:rsid w:val="001033A2"/>
    <w:rsid w:val="00111ACB"/>
    <w:rsid w:val="00115BE7"/>
    <w:rsid w:val="00137320"/>
    <w:rsid w:val="00160C5C"/>
    <w:rsid w:val="001623FA"/>
    <w:rsid w:val="00182F80"/>
    <w:rsid w:val="001A3E73"/>
    <w:rsid w:val="001A63EF"/>
    <w:rsid w:val="001F5F0A"/>
    <w:rsid w:val="002206C8"/>
    <w:rsid w:val="00242DA5"/>
    <w:rsid w:val="00271EB5"/>
    <w:rsid w:val="0028476B"/>
    <w:rsid w:val="00290B60"/>
    <w:rsid w:val="002B215B"/>
    <w:rsid w:val="002E010C"/>
    <w:rsid w:val="003014C7"/>
    <w:rsid w:val="003109AC"/>
    <w:rsid w:val="003310E3"/>
    <w:rsid w:val="00331A10"/>
    <w:rsid w:val="003A641D"/>
    <w:rsid w:val="003A74FF"/>
    <w:rsid w:val="003B2940"/>
    <w:rsid w:val="003B34B9"/>
    <w:rsid w:val="003E2A45"/>
    <w:rsid w:val="003E4BD4"/>
    <w:rsid w:val="003E766B"/>
    <w:rsid w:val="004311BE"/>
    <w:rsid w:val="00456D36"/>
    <w:rsid w:val="00456DC1"/>
    <w:rsid w:val="00484E74"/>
    <w:rsid w:val="00486738"/>
    <w:rsid w:val="00495404"/>
    <w:rsid w:val="004A28E8"/>
    <w:rsid w:val="0051783B"/>
    <w:rsid w:val="005517D7"/>
    <w:rsid w:val="00573F62"/>
    <w:rsid w:val="005B6685"/>
    <w:rsid w:val="005E07D3"/>
    <w:rsid w:val="005F4BEE"/>
    <w:rsid w:val="00607628"/>
    <w:rsid w:val="00623588"/>
    <w:rsid w:val="00665CCE"/>
    <w:rsid w:val="00693F35"/>
    <w:rsid w:val="006D4C9E"/>
    <w:rsid w:val="006D587B"/>
    <w:rsid w:val="006E4E37"/>
    <w:rsid w:val="00712266"/>
    <w:rsid w:val="00720204"/>
    <w:rsid w:val="007202D3"/>
    <w:rsid w:val="00732CA7"/>
    <w:rsid w:val="0077251D"/>
    <w:rsid w:val="00781B1F"/>
    <w:rsid w:val="007A0CAB"/>
    <w:rsid w:val="007C3950"/>
    <w:rsid w:val="007D6F87"/>
    <w:rsid w:val="0080485D"/>
    <w:rsid w:val="00833105"/>
    <w:rsid w:val="008347AE"/>
    <w:rsid w:val="00843B3F"/>
    <w:rsid w:val="008513D4"/>
    <w:rsid w:val="00867AC4"/>
    <w:rsid w:val="008776A0"/>
    <w:rsid w:val="00885603"/>
    <w:rsid w:val="008B4AC9"/>
    <w:rsid w:val="008B52E1"/>
    <w:rsid w:val="008C0E6D"/>
    <w:rsid w:val="008D360E"/>
    <w:rsid w:val="009613EC"/>
    <w:rsid w:val="00981B90"/>
    <w:rsid w:val="009A2E88"/>
    <w:rsid w:val="009C6BF9"/>
    <w:rsid w:val="00A02B59"/>
    <w:rsid w:val="00A12CB7"/>
    <w:rsid w:val="00AA0050"/>
    <w:rsid w:val="00AA3FC3"/>
    <w:rsid w:val="00AA6465"/>
    <w:rsid w:val="00AD7665"/>
    <w:rsid w:val="00AE3540"/>
    <w:rsid w:val="00B06063"/>
    <w:rsid w:val="00B16F49"/>
    <w:rsid w:val="00B17B12"/>
    <w:rsid w:val="00B25ACF"/>
    <w:rsid w:val="00B30A29"/>
    <w:rsid w:val="00B32C90"/>
    <w:rsid w:val="00B43633"/>
    <w:rsid w:val="00B45E6A"/>
    <w:rsid w:val="00B607C1"/>
    <w:rsid w:val="00B87389"/>
    <w:rsid w:val="00BA6282"/>
    <w:rsid w:val="00BE7142"/>
    <w:rsid w:val="00BF24E3"/>
    <w:rsid w:val="00BF7E5B"/>
    <w:rsid w:val="00C25D19"/>
    <w:rsid w:val="00C329FA"/>
    <w:rsid w:val="00C5122E"/>
    <w:rsid w:val="00C84003"/>
    <w:rsid w:val="00CA2087"/>
    <w:rsid w:val="00CA35DF"/>
    <w:rsid w:val="00CC076F"/>
    <w:rsid w:val="00CE40CA"/>
    <w:rsid w:val="00CF2265"/>
    <w:rsid w:val="00D0230F"/>
    <w:rsid w:val="00D126BE"/>
    <w:rsid w:val="00D170BA"/>
    <w:rsid w:val="00D33CEF"/>
    <w:rsid w:val="00D401D5"/>
    <w:rsid w:val="00D521BA"/>
    <w:rsid w:val="00D611DC"/>
    <w:rsid w:val="00DD5009"/>
    <w:rsid w:val="00DD65ED"/>
    <w:rsid w:val="00E02885"/>
    <w:rsid w:val="00E73EDB"/>
    <w:rsid w:val="00E85DBD"/>
    <w:rsid w:val="00EA5D4C"/>
    <w:rsid w:val="00EB49D2"/>
    <w:rsid w:val="00EC1687"/>
    <w:rsid w:val="00ED645B"/>
    <w:rsid w:val="00F60F74"/>
    <w:rsid w:val="00FB0A66"/>
    <w:rsid w:val="00FF6FA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A869"/>
  <w15:chartTrackingRefBased/>
  <w15:docId w15:val="{B270D0D7-0D06-4769-B119-9912323F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C5122E"/>
    <w:pPr>
      <w:spacing w:before="100" w:beforeAutospacing="1" w:after="100" w:afterAutospacing="1" w:line="240" w:lineRule="auto"/>
      <w:outlineLvl w:val="0"/>
    </w:pPr>
    <w:rPr>
      <w:rFonts w:ascii="Times New Roman" w:eastAsia="MS Mincho" w:hAnsi="Times New Roman" w:cs="Times New Roman"/>
      <w:b/>
      <w:bCs/>
      <w:kern w:val="36"/>
      <w:sz w:val="48"/>
      <w:szCs w:val="48"/>
      <w:lang w:eastAsia="ja-JP"/>
    </w:rPr>
  </w:style>
  <w:style w:type="paragraph" w:styleId="2">
    <w:name w:val="heading 2"/>
    <w:basedOn w:val="a"/>
    <w:next w:val="a"/>
    <w:link w:val="20"/>
    <w:uiPriority w:val="9"/>
    <w:semiHidden/>
    <w:unhideWhenUsed/>
    <w:qFormat/>
    <w:rsid w:val="00115B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5DF"/>
    <w:pPr>
      <w:spacing w:after="0" w:line="240" w:lineRule="auto"/>
      <w:ind w:left="720"/>
      <w:contextualSpacing/>
    </w:pPr>
    <w:rPr>
      <w:rFonts w:eastAsiaTheme="minorHAnsi"/>
      <w:sz w:val="24"/>
      <w:szCs w:val="24"/>
      <w:lang w:eastAsia="en-US"/>
    </w:rPr>
  </w:style>
  <w:style w:type="character" w:styleId="a4">
    <w:name w:val="Hyperlink"/>
    <w:basedOn w:val="a0"/>
    <w:uiPriority w:val="99"/>
    <w:unhideWhenUsed/>
    <w:rsid w:val="00CA35DF"/>
    <w:rPr>
      <w:color w:val="0563C1" w:themeColor="hyperlink"/>
      <w:u w:val="single"/>
    </w:rPr>
  </w:style>
  <w:style w:type="character" w:customStyle="1" w:styleId="11">
    <w:name w:val="Неразрешенное упоминание1"/>
    <w:basedOn w:val="a0"/>
    <w:uiPriority w:val="99"/>
    <w:semiHidden/>
    <w:unhideWhenUsed/>
    <w:rsid w:val="00CA35DF"/>
    <w:rPr>
      <w:color w:val="605E5C"/>
      <w:shd w:val="clear" w:color="auto" w:fill="E1DFDD"/>
    </w:rPr>
  </w:style>
  <w:style w:type="character" w:customStyle="1" w:styleId="10">
    <w:name w:val="Заголовок 1 Знак"/>
    <w:basedOn w:val="a0"/>
    <w:link w:val="1"/>
    <w:rsid w:val="00C5122E"/>
    <w:rPr>
      <w:rFonts w:ascii="Times New Roman" w:eastAsia="MS Mincho" w:hAnsi="Times New Roman" w:cs="Times New Roman"/>
      <w:b/>
      <w:bCs/>
      <w:kern w:val="36"/>
      <w:sz w:val="48"/>
      <w:szCs w:val="48"/>
      <w:lang w:eastAsia="ja-JP"/>
    </w:rPr>
  </w:style>
  <w:style w:type="character" w:customStyle="1" w:styleId="markedcontent">
    <w:name w:val="markedcontent"/>
    <w:basedOn w:val="a0"/>
    <w:rsid w:val="00160C5C"/>
  </w:style>
  <w:style w:type="character" w:styleId="a5">
    <w:name w:val="FollowedHyperlink"/>
    <w:basedOn w:val="a0"/>
    <w:uiPriority w:val="99"/>
    <w:semiHidden/>
    <w:unhideWhenUsed/>
    <w:rsid w:val="000F481F"/>
    <w:rPr>
      <w:color w:val="954F72" w:themeColor="followedHyperlink"/>
      <w:u w:val="single"/>
    </w:rPr>
  </w:style>
  <w:style w:type="character" w:customStyle="1" w:styleId="21">
    <w:name w:val="Неразрешенное упоминание2"/>
    <w:basedOn w:val="a0"/>
    <w:uiPriority w:val="99"/>
    <w:semiHidden/>
    <w:unhideWhenUsed/>
    <w:rsid w:val="00D611DC"/>
    <w:rPr>
      <w:color w:val="605E5C"/>
      <w:shd w:val="clear" w:color="auto" w:fill="E1DFDD"/>
    </w:rPr>
  </w:style>
  <w:style w:type="character" w:customStyle="1" w:styleId="a6">
    <w:name w:val="Текст сноски Знак"/>
    <w:link w:val="a7"/>
    <w:locked/>
    <w:rsid w:val="003B34B9"/>
    <w:rPr>
      <w:sz w:val="18"/>
    </w:rPr>
  </w:style>
  <w:style w:type="paragraph" w:styleId="a7">
    <w:name w:val="footnote text"/>
    <w:basedOn w:val="a"/>
    <w:link w:val="a6"/>
    <w:rsid w:val="003B34B9"/>
    <w:pPr>
      <w:spacing w:after="200" w:line="276" w:lineRule="auto"/>
    </w:pPr>
    <w:rPr>
      <w:sz w:val="18"/>
    </w:rPr>
  </w:style>
  <w:style w:type="character" w:customStyle="1" w:styleId="12">
    <w:name w:val="Текст сноски Знак1"/>
    <w:basedOn w:val="a0"/>
    <w:uiPriority w:val="99"/>
    <w:semiHidden/>
    <w:rsid w:val="003B34B9"/>
    <w:rPr>
      <w:sz w:val="20"/>
      <w:szCs w:val="20"/>
    </w:rPr>
  </w:style>
  <w:style w:type="character" w:styleId="a8">
    <w:name w:val="Unresolved Mention"/>
    <w:basedOn w:val="a0"/>
    <w:uiPriority w:val="99"/>
    <w:semiHidden/>
    <w:unhideWhenUsed/>
    <w:rsid w:val="00E02885"/>
    <w:rPr>
      <w:color w:val="605E5C"/>
      <w:shd w:val="clear" w:color="auto" w:fill="E1DFDD"/>
    </w:rPr>
  </w:style>
  <w:style w:type="character" w:customStyle="1" w:styleId="20">
    <w:name w:val="Заголовок 2 Знак"/>
    <w:basedOn w:val="a0"/>
    <w:link w:val="2"/>
    <w:uiPriority w:val="9"/>
    <w:semiHidden/>
    <w:rsid w:val="00115B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749">
      <w:bodyDiv w:val="1"/>
      <w:marLeft w:val="0"/>
      <w:marRight w:val="0"/>
      <w:marTop w:val="0"/>
      <w:marBottom w:val="0"/>
      <w:divBdr>
        <w:top w:val="none" w:sz="0" w:space="0" w:color="auto"/>
        <w:left w:val="none" w:sz="0" w:space="0" w:color="auto"/>
        <w:bottom w:val="none" w:sz="0" w:space="0" w:color="auto"/>
        <w:right w:val="none" w:sz="0" w:space="0" w:color="auto"/>
      </w:divBdr>
      <w:divsChild>
        <w:div w:id="1159030933">
          <w:marLeft w:val="0"/>
          <w:marRight w:val="0"/>
          <w:marTop w:val="0"/>
          <w:marBottom w:val="0"/>
          <w:divBdr>
            <w:top w:val="none" w:sz="0" w:space="0" w:color="auto"/>
            <w:left w:val="none" w:sz="0" w:space="0" w:color="auto"/>
            <w:bottom w:val="none" w:sz="0" w:space="0" w:color="auto"/>
            <w:right w:val="none" w:sz="0" w:space="0" w:color="auto"/>
          </w:divBdr>
          <w:divsChild>
            <w:div w:id="11028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135">
      <w:bodyDiv w:val="1"/>
      <w:marLeft w:val="0"/>
      <w:marRight w:val="0"/>
      <w:marTop w:val="0"/>
      <w:marBottom w:val="0"/>
      <w:divBdr>
        <w:top w:val="none" w:sz="0" w:space="0" w:color="auto"/>
        <w:left w:val="none" w:sz="0" w:space="0" w:color="auto"/>
        <w:bottom w:val="none" w:sz="0" w:space="0" w:color="auto"/>
        <w:right w:val="none" w:sz="0" w:space="0" w:color="auto"/>
      </w:divBdr>
    </w:div>
    <w:div w:id="198470272">
      <w:bodyDiv w:val="1"/>
      <w:marLeft w:val="0"/>
      <w:marRight w:val="0"/>
      <w:marTop w:val="0"/>
      <w:marBottom w:val="0"/>
      <w:divBdr>
        <w:top w:val="none" w:sz="0" w:space="0" w:color="auto"/>
        <w:left w:val="none" w:sz="0" w:space="0" w:color="auto"/>
        <w:bottom w:val="none" w:sz="0" w:space="0" w:color="auto"/>
        <w:right w:val="none" w:sz="0" w:space="0" w:color="auto"/>
      </w:divBdr>
    </w:div>
    <w:div w:id="201720173">
      <w:bodyDiv w:val="1"/>
      <w:marLeft w:val="0"/>
      <w:marRight w:val="0"/>
      <w:marTop w:val="0"/>
      <w:marBottom w:val="0"/>
      <w:divBdr>
        <w:top w:val="none" w:sz="0" w:space="0" w:color="auto"/>
        <w:left w:val="none" w:sz="0" w:space="0" w:color="auto"/>
        <w:bottom w:val="none" w:sz="0" w:space="0" w:color="auto"/>
        <w:right w:val="none" w:sz="0" w:space="0" w:color="auto"/>
      </w:divBdr>
    </w:div>
    <w:div w:id="214316596">
      <w:bodyDiv w:val="1"/>
      <w:marLeft w:val="0"/>
      <w:marRight w:val="0"/>
      <w:marTop w:val="0"/>
      <w:marBottom w:val="0"/>
      <w:divBdr>
        <w:top w:val="none" w:sz="0" w:space="0" w:color="auto"/>
        <w:left w:val="none" w:sz="0" w:space="0" w:color="auto"/>
        <w:bottom w:val="none" w:sz="0" w:space="0" w:color="auto"/>
        <w:right w:val="none" w:sz="0" w:space="0" w:color="auto"/>
      </w:divBdr>
    </w:div>
    <w:div w:id="223222696">
      <w:bodyDiv w:val="1"/>
      <w:marLeft w:val="0"/>
      <w:marRight w:val="0"/>
      <w:marTop w:val="0"/>
      <w:marBottom w:val="0"/>
      <w:divBdr>
        <w:top w:val="none" w:sz="0" w:space="0" w:color="auto"/>
        <w:left w:val="none" w:sz="0" w:space="0" w:color="auto"/>
        <w:bottom w:val="none" w:sz="0" w:space="0" w:color="auto"/>
        <w:right w:val="none" w:sz="0" w:space="0" w:color="auto"/>
      </w:divBdr>
    </w:div>
    <w:div w:id="235012907">
      <w:bodyDiv w:val="1"/>
      <w:marLeft w:val="0"/>
      <w:marRight w:val="0"/>
      <w:marTop w:val="0"/>
      <w:marBottom w:val="0"/>
      <w:divBdr>
        <w:top w:val="none" w:sz="0" w:space="0" w:color="auto"/>
        <w:left w:val="none" w:sz="0" w:space="0" w:color="auto"/>
        <w:bottom w:val="none" w:sz="0" w:space="0" w:color="auto"/>
        <w:right w:val="none" w:sz="0" w:space="0" w:color="auto"/>
      </w:divBdr>
    </w:div>
    <w:div w:id="332874909">
      <w:bodyDiv w:val="1"/>
      <w:marLeft w:val="0"/>
      <w:marRight w:val="0"/>
      <w:marTop w:val="0"/>
      <w:marBottom w:val="0"/>
      <w:divBdr>
        <w:top w:val="none" w:sz="0" w:space="0" w:color="auto"/>
        <w:left w:val="none" w:sz="0" w:space="0" w:color="auto"/>
        <w:bottom w:val="none" w:sz="0" w:space="0" w:color="auto"/>
        <w:right w:val="none" w:sz="0" w:space="0" w:color="auto"/>
      </w:divBdr>
    </w:div>
    <w:div w:id="526408655">
      <w:bodyDiv w:val="1"/>
      <w:marLeft w:val="0"/>
      <w:marRight w:val="0"/>
      <w:marTop w:val="0"/>
      <w:marBottom w:val="0"/>
      <w:divBdr>
        <w:top w:val="none" w:sz="0" w:space="0" w:color="auto"/>
        <w:left w:val="none" w:sz="0" w:space="0" w:color="auto"/>
        <w:bottom w:val="none" w:sz="0" w:space="0" w:color="auto"/>
        <w:right w:val="none" w:sz="0" w:space="0" w:color="auto"/>
      </w:divBdr>
    </w:div>
    <w:div w:id="596526169">
      <w:bodyDiv w:val="1"/>
      <w:marLeft w:val="0"/>
      <w:marRight w:val="0"/>
      <w:marTop w:val="0"/>
      <w:marBottom w:val="0"/>
      <w:divBdr>
        <w:top w:val="none" w:sz="0" w:space="0" w:color="auto"/>
        <w:left w:val="none" w:sz="0" w:space="0" w:color="auto"/>
        <w:bottom w:val="none" w:sz="0" w:space="0" w:color="auto"/>
        <w:right w:val="none" w:sz="0" w:space="0" w:color="auto"/>
      </w:divBdr>
    </w:div>
    <w:div w:id="634604538">
      <w:bodyDiv w:val="1"/>
      <w:marLeft w:val="0"/>
      <w:marRight w:val="0"/>
      <w:marTop w:val="0"/>
      <w:marBottom w:val="0"/>
      <w:divBdr>
        <w:top w:val="none" w:sz="0" w:space="0" w:color="auto"/>
        <w:left w:val="none" w:sz="0" w:space="0" w:color="auto"/>
        <w:bottom w:val="none" w:sz="0" w:space="0" w:color="auto"/>
        <w:right w:val="none" w:sz="0" w:space="0" w:color="auto"/>
      </w:divBdr>
    </w:div>
    <w:div w:id="768162633">
      <w:bodyDiv w:val="1"/>
      <w:marLeft w:val="0"/>
      <w:marRight w:val="0"/>
      <w:marTop w:val="0"/>
      <w:marBottom w:val="0"/>
      <w:divBdr>
        <w:top w:val="none" w:sz="0" w:space="0" w:color="auto"/>
        <w:left w:val="none" w:sz="0" w:space="0" w:color="auto"/>
        <w:bottom w:val="none" w:sz="0" w:space="0" w:color="auto"/>
        <w:right w:val="none" w:sz="0" w:space="0" w:color="auto"/>
      </w:divBdr>
    </w:div>
    <w:div w:id="773014167">
      <w:bodyDiv w:val="1"/>
      <w:marLeft w:val="0"/>
      <w:marRight w:val="0"/>
      <w:marTop w:val="0"/>
      <w:marBottom w:val="0"/>
      <w:divBdr>
        <w:top w:val="none" w:sz="0" w:space="0" w:color="auto"/>
        <w:left w:val="none" w:sz="0" w:space="0" w:color="auto"/>
        <w:bottom w:val="none" w:sz="0" w:space="0" w:color="auto"/>
        <w:right w:val="none" w:sz="0" w:space="0" w:color="auto"/>
      </w:divBdr>
    </w:div>
    <w:div w:id="1297448847">
      <w:bodyDiv w:val="1"/>
      <w:marLeft w:val="0"/>
      <w:marRight w:val="0"/>
      <w:marTop w:val="0"/>
      <w:marBottom w:val="0"/>
      <w:divBdr>
        <w:top w:val="none" w:sz="0" w:space="0" w:color="auto"/>
        <w:left w:val="none" w:sz="0" w:space="0" w:color="auto"/>
        <w:bottom w:val="none" w:sz="0" w:space="0" w:color="auto"/>
        <w:right w:val="none" w:sz="0" w:space="0" w:color="auto"/>
      </w:divBdr>
    </w:div>
    <w:div w:id="1457985987">
      <w:bodyDiv w:val="1"/>
      <w:marLeft w:val="0"/>
      <w:marRight w:val="0"/>
      <w:marTop w:val="0"/>
      <w:marBottom w:val="0"/>
      <w:divBdr>
        <w:top w:val="none" w:sz="0" w:space="0" w:color="auto"/>
        <w:left w:val="none" w:sz="0" w:space="0" w:color="auto"/>
        <w:bottom w:val="none" w:sz="0" w:space="0" w:color="auto"/>
        <w:right w:val="none" w:sz="0" w:space="0" w:color="auto"/>
      </w:divBdr>
    </w:div>
    <w:div w:id="1490049612">
      <w:bodyDiv w:val="1"/>
      <w:marLeft w:val="0"/>
      <w:marRight w:val="0"/>
      <w:marTop w:val="0"/>
      <w:marBottom w:val="0"/>
      <w:divBdr>
        <w:top w:val="none" w:sz="0" w:space="0" w:color="auto"/>
        <w:left w:val="none" w:sz="0" w:space="0" w:color="auto"/>
        <w:bottom w:val="none" w:sz="0" w:space="0" w:color="auto"/>
        <w:right w:val="none" w:sz="0" w:space="0" w:color="auto"/>
      </w:divBdr>
    </w:div>
    <w:div w:id="1517963629">
      <w:bodyDiv w:val="1"/>
      <w:marLeft w:val="0"/>
      <w:marRight w:val="0"/>
      <w:marTop w:val="0"/>
      <w:marBottom w:val="0"/>
      <w:divBdr>
        <w:top w:val="none" w:sz="0" w:space="0" w:color="auto"/>
        <w:left w:val="none" w:sz="0" w:space="0" w:color="auto"/>
        <w:bottom w:val="none" w:sz="0" w:space="0" w:color="auto"/>
        <w:right w:val="none" w:sz="0" w:space="0" w:color="auto"/>
      </w:divBdr>
    </w:div>
    <w:div w:id="1529949360">
      <w:bodyDiv w:val="1"/>
      <w:marLeft w:val="0"/>
      <w:marRight w:val="0"/>
      <w:marTop w:val="0"/>
      <w:marBottom w:val="0"/>
      <w:divBdr>
        <w:top w:val="none" w:sz="0" w:space="0" w:color="auto"/>
        <w:left w:val="none" w:sz="0" w:space="0" w:color="auto"/>
        <w:bottom w:val="none" w:sz="0" w:space="0" w:color="auto"/>
        <w:right w:val="none" w:sz="0" w:space="0" w:color="auto"/>
      </w:divBdr>
    </w:div>
    <w:div w:id="1622614948">
      <w:bodyDiv w:val="1"/>
      <w:marLeft w:val="0"/>
      <w:marRight w:val="0"/>
      <w:marTop w:val="0"/>
      <w:marBottom w:val="0"/>
      <w:divBdr>
        <w:top w:val="none" w:sz="0" w:space="0" w:color="auto"/>
        <w:left w:val="none" w:sz="0" w:space="0" w:color="auto"/>
        <w:bottom w:val="none" w:sz="0" w:space="0" w:color="auto"/>
        <w:right w:val="none" w:sz="0" w:space="0" w:color="auto"/>
      </w:divBdr>
    </w:div>
    <w:div w:id="1676103530">
      <w:bodyDiv w:val="1"/>
      <w:marLeft w:val="0"/>
      <w:marRight w:val="0"/>
      <w:marTop w:val="0"/>
      <w:marBottom w:val="0"/>
      <w:divBdr>
        <w:top w:val="none" w:sz="0" w:space="0" w:color="auto"/>
        <w:left w:val="none" w:sz="0" w:space="0" w:color="auto"/>
        <w:bottom w:val="none" w:sz="0" w:space="0" w:color="auto"/>
        <w:right w:val="none" w:sz="0" w:space="0" w:color="auto"/>
      </w:divBdr>
    </w:div>
    <w:div w:id="1705861481">
      <w:bodyDiv w:val="1"/>
      <w:marLeft w:val="0"/>
      <w:marRight w:val="0"/>
      <w:marTop w:val="0"/>
      <w:marBottom w:val="0"/>
      <w:divBdr>
        <w:top w:val="none" w:sz="0" w:space="0" w:color="auto"/>
        <w:left w:val="none" w:sz="0" w:space="0" w:color="auto"/>
        <w:bottom w:val="none" w:sz="0" w:space="0" w:color="auto"/>
        <w:right w:val="none" w:sz="0" w:space="0" w:color="auto"/>
      </w:divBdr>
    </w:div>
    <w:div w:id="1706439121">
      <w:bodyDiv w:val="1"/>
      <w:marLeft w:val="0"/>
      <w:marRight w:val="0"/>
      <w:marTop w:val="0"/>
      <w:marBottom w:val="0"/>
      <w:divBdr>
        <w:top w:val="none" w:sz="0" w:space="0" w:color="auto"/>
        <w:left w:val="none" w:sz="0" w:space="0" w:color="auto"/>
        <w:bottom w:val="none" w:sz="0" w:space="0" w:color="auto"/>
        <w:right w:val="none" w:sz="0" w:space="0" w:color="auto"/>
      </w:divBdr>
    </w:div>
    <w:div w:id="1720469292">
      <w:bodyDiv w:val="1"/>
      <w:marLeft w:val="0"/>
      <w:marRight w:val="0"/>
      <w:marTop w:val="0"/>
      <w:marBottom w:val="0"/>
      <w:divBdr>
        <w:top w:val="none" w:sz="0" w:space="0" w:color="auto"/>
        <w:left w:val="none" w:sz="0" w:space="0" w:color="auto"/>
        <w:bottom w:val="none" w:sz="0" w:space="0" w:color="auto"/>
        <w:right w:val="none" w:sz="0" w:space="0" w:color="auto"/>
      </w:divBdr>
    </w:div>
    <w:div w:id="1722364976">
      <w:bodyDiv w:val="1"/>
      <w:marLeft w:val="0"/>
      <w:marRight w:val="0"/>
      <w:marTop w:val="0"/>
      <w:marBottom w:val="0"/>
      <w:divBdr>
        <w:top w:val="none" w:sz="0" w:space="0" w:color="auto"/>
        <w:left w:val="none" w:sz="0" w:space="0" w:color="auto"/>
        <w:bottom w:val="none" w:sz="0" w:space="0" w:color="auto"/>
        <w:right w:val="none" w:sz="0" w:space="0" w:color="auto"/>
      </w:divBdr>
    </w:div>
    <w:div w:id="1846168072">
      <w:bodyDiv w:val="1"/>
      <w:marLeft w:val="0"/>
      <w:marRight w:val="0"/>
      <w:marTop w:val="0"/>
      <w:marBottom w:val="0"/>
      <w:divBdr>
        <w:top w:val="none" w:sz="0" w:space="0" w:color="auto"/>
        <w:left w:val="none" w:sz="0" w:space="0" w:color="auto"/>
        <w:bottom w:val="none" w:sz="0" w:space="0" w:color="auto"/>
        <w:right w:val="none" w:sz="0" w:space="0" w:color="auto"/>
      </w:divBdr>
    </w:div>
    <w:div w:id="21202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tvinov.alex1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11</Pages>
  <Words>3680</Words>
  <Characters>20978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Литвинов</dc:creator>
  <cp:keywords/>
  <dc:description/>
  <cp:lastModifiedBy>Алексей Литвинов</cp:lastModifiedBy>
  <cp:revision>13</cp:revision>
  <dcterms:created xsi:type="dcterms:W3CDTF">2023-11-17T11:56:00Z</dcterms:created>
  <dcterms:modified xsi:type="dcterms:W3CDTF">2026-04-17T04:07:00Z</dcterms:modified>
</cp:coreProperties>
</file>