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5E02" w:rsidRPr="00D40C1B" w:rsidRDefault="00113D77" w:rsidP="00224D73">
      <w:pPr>
        <w:spacing w:after="0" w:line="240" w:lineRule="auto"/>
        <w:ind w:firstLine="709"/>
        <w:jc w:val="center"/>
        <w:rPr>
          <w:rFonts w:ascii="Times New Roman" w:hAnsi="Times New Roman" w:cs="Times New Roman"/>
          <w:b/>
          <w:sz w:val="28"/>
          <w:szCs w:val="28"/>
        </w:rPr>
      </w:pPr>
      <w:r>
        <w:rPr>
          <w:rStyle w:val="fontstyle01"/>
        </w:rPr>
        <w:t>DOI 10.34755/IROK.2023.22.23.130</w:t>
      </w:r>
      <w:r>
        <w:rPr>
          <w:b/>
          <w:bCs/>
          <w:color w:val="000000"/>
          <w:sz w:val="28"/>
          <w:szCs w:val="28"/>
        </w:rPr>
        <w:br/>
      </w:r>
      <w:r>
        <w:rPr>
          <w:rStyle w:val="fontstyle01"/>
        </w:rPr>
        <w:t>Особенности учета и налогообложения на предприятиях малого</w:t>
      </w:r>
      <w:r>
        <w:rPr>
          <w:b/>
          <w:bCs/>
          <w:color w:val="000000"/>
          <w:sz w:val="28"/>
          <w:szCs w:val="28"/>
        </w:rPr>
        <w:br/>
      </w:r>
      <w:r>
        <w:rPr>
          <w:rStyle w:val="fontstyle01"/>
        </w:rPr>
        <w:t>бизнеса за рубежом</w:t>
      </w:r>
      <w:r>
        <w:rPr>
          <w:b/>
          <w:bCs/>
          <w:color w:val="000000"/>
          <w:sz w:val="28"/>
          <w:szCs w:val="28"/>
        </w:rPr>
        <w:br/>
      </w:r>
      <w:r>
        <w:rPr>
          <w:rStyle w:val="fontstyle21"/>
        </w:rPr>
        <w:t>Поломских Е.П.. магистрант направления «Экономика и финансы»</w:t>
      </w:r>
      <w:r>
        <w:rPr>
          <w:i/>
          <w:iCs/>
          <w:color w:val="000000"/>
          <w:sz w:val="28"/>
          <w:szCs w:val="28"/>
        </w:rPr>
        <w:br/>
      </w:r>
      <w:r>
        <w:rPr>
          <w:rStyle w:val="fontstyle21"/>
        </w:rPr>
        <w:t>кафедры экономики и управления</w:t>
      </w:r>
      <w:r>
        <w:rPr>
          <w:i/>
          <w:iCs/>
          <w:color w:val="000000"/>
          <w:sz w:val="28"/>
          <w:szCs w:val="28"/>
        </w:rPr>
        <w:br/>
      </w:r>
      <w:r>
        <w:rPr>
          <w:rStyle w:val="fontstyle21"/>
        </w:rPr>
        <w:t>Василенко М.Е., к.э.н., доцент кафедры экономики и управления</w:t>
      </w:r>
      <w:r>
        <w:rPr>
          <w:i/>
          <w:iCs/>
          <w:color w:val="000000"/>
          <w:sz w:val="28"/>
          <w:szCs w:val="28"/>
        </w:rPr>
        <w:br/>
      </w:r>
      <w:r>
        <w:rPr>
          <w:rStyle w:val="fontstyle21"/>
        </w:rPr>
        <w:t>ФГБОУ ВО «Владивостокский государственный университет»,</w:t>
      </w:r>
      <w:r>
        <w:rPr>
          <w:i/>
          <w:iCs/>
          <w:color w:val="000000"/>
          <w:sz w:val="28"/>
          <w:szCs w:val="28"/>
        </w:rPr>
        <w:br/>
      </w:r>
      <w:r>
        <w:rPr>
          <w:rStyle w:val="fontstyle21"/>
        </w:rPr>
        <w:t>РФ, г. Владивосток</w:t>
      </w:r>
      <w:r>
        <w:t xml:space="preserve"> </w:t>
      </w:r>
      <w:bookmarkStart w:id="0" w:name="_GoBack"/>
      <w:bookmarkEnd w:id="0"/>
    </w:p>
    <w:p w:rsidR="007F1ED4" w:rsidRDefault="00D40C1B" w:rsidP="00224D7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w:t>
      </w:r>
      <w:r w:rsidR="007F1ED4">
        <w:rPr>
          <w:rFonts w:ascii="Times New Roman" w:hAnsi="Times New Roman" w:cs="Times New Roman"/>
          <w:sz w:val="28"/>
          <w:szCs w:val="28"/>
        </w:rPr>
        <w:t xml:space="preserve"> статье рассматриваются особенности учета и процедуры налогообложения предприятий малого бизнеса за рубежом. Отмечается, что субъекты малого бизнеса являются наиболее значимым сегментом экономики во всех ведущих и развивающихся странах мира, составляющим больший процент ВВП страны. Малые предприятия менее устойчивы к изменяющимся условиям и менее конкурентоспособны, в сравнении с крупными предприятиями. Тем не менее, именно предприятия малого бизнеса непосредственно влияют на социально-экономическое развитие страны в целом, зачастую предоставляя новые рабочие места. Автором отмечены основные меры поддержки малого бизнеса в области налогообложения, предоставления субсидий и иных мер поддержки. В статье проанализированы ключевые принципы организации систем налогообложения малого бизнеса в развитых государствах.</w:t>
      </w:r>
    </w:p>
    <w:p w:rsidR="007F1ED4" w:rsidRDefault="007F1ED4" w:rsidP="00224D73">
      <w:pPr>
        <w:spacing w:after="0" w:line="240" w:lineRule="auto"/>
        <w:ind w:firstLine="709"/>
        <w:jc w:val="both"/>
        <w:rPr>
          <w:rFonts w:ascii="Times New Roman" w:hAnsi="Times New Roman" w:cs="Times New Roman"/>
          <w:sz w:val="28"/>
          <w:szCs w:val="28"/>
        </w:rPr>
      </w:pPr>
      <w:r w:rsidRPr="00D40C1B">
        <w:rPr>
          <w:rFonts w:ascii="Times New Roman" w:hAnsi="Times New Roman" w:cs="Times New Roman"/>
          <w:b/>
          <w:sz w:val="28"/>
          <w:szCs w:val="28"/>
        </w:rPr>
        <w:t>Ключевые слова:</w:t>
      </w:r>
      <w:r>
        <w:rPr>
          <w:rFonts w:ascii="Times New Roman" w:hAnsi="Times New Roman" w:cs="Times New Roman"/>
          <w:sz w:val="28"/>
          <w:szCs w:val="28"/>
        </w:rPr>
        <w:t xml:space="preserve"> малый бизнес, налогообложение, предпринимательская деятельность, учет экономической деятельности, субсидии, налоговое стимулирование.</w:t>
      </w:r>
    </w:p>
    <w:p w:rsidR="007F1ED4" w:rsidRPr="00D40C1B" w:rsidRDefault="007F1ED4" w:rsidP="007F1ED4">
      <w:pPr>
        <w:spacing w:after="0" w:line="240" w:lineRule="auto"/>
        <w:ind w:firstLine="709"/>
        <w:jc w:val="center"/>
        <w:rPr>
          <w:rFonts w:ascii="Times New Roman" w:hAnsi="Times New Roman" w:cs="Times New Roman"/>
          <w:b/>
          <w:sz w:val="28"/>
          <w:szCs w:val="28"/>
          <w:lang w:val="en-US"/>
        </w:rPr>
      </w:pPr>
      <w:r w:rsidRPr="00D40C1B">
        <w:rPr>
          <w:rFonts w:ascii="Times New Roman" w:hAnsi="Times New Roman" w:cs="Times New Roman"/>
          <w:b/>
          <w:sz w:val="28"/>
          <w:szCs w:val="28"/>
          <w:lang w:val="en-US"/>
        </w:rPr>
        <w:t>FEATURES OF ACCOUNTING AND TAXATION AT SMALL BUSINESSES ABROAD</w:t>
      </w:r>
    </w:p>
    <w:p w:rsidR="007F1ED4" w:rsidRPr="007F1ED4" w:rsidRDefault="007F1ED4" w:rsidP="007F1ED4">
      <w:pPr>
        <w:spacing w:after="0" w:line="240" w:lineRule="auto"/>
        <w:ind w:firstLine="709"/>
        <w:jc w:val="both"/>
        <w:rPr>
          <w:rFonts w:ascii="Times New Roman" w:hAnsi="Times New Roman" w:cs="Times New Roman"/>
          <w:sz w:val="28"/>
          <w:szCs w:val="28"/>
          <w:lang w:val="en-US"/>
        </w:rPr>
      </w:pPr>
      <w:r w:rsidRPr="007F1ED4">
        <w:rPr>
          <w:rFonts w:ascii="Times New Roman" w:hAnsi="Times New Roman" w:cs="Times New Roman"/>
          <w:sz w:val="28"/>
          <w:szCs w:val="28"/>
          <w:lang w:val="en-US"/>
        </w:rPr>
        <w:t>The article discusses the features of accounting and taxation procedures for small businesses abroad. It is noted that small business entities are the most significant segment of the economy in all leading and developing countries of the world, making up a larger percentage of the country's GDP. Small enterprises are less resistant to changing conditions and less competitive compared to large enterprises. Nevertheless, it is small businesses that directly affect the socio-economic development of the country as a whole, often providing new jobs. The author notes the main measures to support small businesses in the field of taxation, subsidies and other support measures. The article analyzes the key principles of the organization of small business taxation systems in developed countries.</w:t>
      </w:r>
    </w:p>
    <w:p w:rsidR="007F1ED4" w:rsidRPr="007F1ED4" w:rsidRDefault="007F1ED4" w:rsidP="007F1ED4">
      <w:pPr>
        <w:spacing w:after="0" w:line="240" w:lineRule="auto"/>
        <w:ind w:firstLine="709"/>
        <w:jc w:val="both"/>
        <w:rPr>
          <w:rFonts w:ascii="Times New Roman" w:hAnsi="Times New Roman" w:cs="Times New Roman"/>
          <w:sz w:val="28"/>
          <w:szCs w:val="28"/>
          <w:lang w:val="en-US"/>
        </w:rPr>
      </w:pPr>
      <w:r w:rsidRPr="00D40C1B">
        <w:rPr>
          <w:rFonts w:ascii="Times New Roman" w:hAnsi="Times New Roman" w:cs="Times New Roman"/>
          <w:b/>
          <w:sz w:val="28"/>
          <w:szCs w:val="28"/>
          <w:lang w:val="en-US"/>
        </w:rPr>
        <w:t>Keywords:</w:t>
      </w:r>
      <w:r w:rsidRPr="007F1ED4">
        <w:rPr>
          <w:rFonts w:ascii="Times New Roman" w:hAnsi="Times New Roman" w:cs="Times New Roman"/>
          <w:sz w:val="28"/>
          <w:szCs w:val="28"/>
          <w:lang w:val="en-US"/>
        </w:rPr>
        <w:t xml:space="preserve"> small business, taxation, entrepreneurial activity, accounting of economic activity, subsidies, tax incentives.</w:t>
      </w:r>
    </w:p>
    <w:p w:rsidR="00224D73" w:rsidRDefault="000278C6" w:rsidP="00224D7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Процесс осуществления определенного вида предпринимательской деятельности, направленного на получение положительного финансового результата, с учетом возникновения различных условий риска, следует </w:t>
      </w:r>
      <w:r w:rsidR="00294513">
        <w:rPr>
          <w:rFonts w:ascii="Times New Roman" w:hAnsi="Times New Roman" w:cs="Times New Roman"/>
          <w:sz w:val="28"/>
          <w:szCs w:val="28"/>
        </w:rPr>
        <w:t>понимать,</w:t>
      </w:r>
      <w:r>
        <w:rPr>
          <w:rFonts w:ascii="Times New Roman" w:hAnsi="Times New Roman" w:cs="Times New Roman"/>
          <w:sz w:val="28"/>
          <w:szCs w:val="28"/>
        </w:rPr>
        <w:t xml:space="preserve"> как значение понятия «</w:t>
      </w:r>
      <w:r w:rsidR="00294513">
        <w:rPr>
          <w:rFonts w:ascii="Times New Roman" w:hAnsi="Times New Roman" w:cs="Times New Roman"/>
          <w:sz w:val="28"/>
          <w:szCs w:val="28"/>
        </w:rPr>
        <w:t>бизнес»</w:t>
      </w:r>
      <w:r w:rsidR="00294513" w:rsidRPr="007F1ED4">
        <w:rPr>
          <w:rFonts w:ascii="Times New Roman" w:hAnsi="Times New Roman" w:cs="Times New Roman"/>
          <w:sz w:val="28"/>
          <w:szCs w:val="28"/>
        </w:rPr>
        <w:t xml:space="preserve"> [</w:t>
      </w:r>
      <w:r w:rsidR="007F1ED4" w:rsidRPr="007F1ED4">
        <w:rPr>
          <w:rFonts w:ascii="Times New Roman" w:hAnsi="Times New Roman" w:cs="Times New Roman"/>
          <w:sz w:val="28"/>
          <w:szCs w:val="28"/>
        </w:rPr>
        <w:t>1]</w:t>
      </w:r>
      <w:r>
        <w:rPr>
          <w:rFonts w:ascii="Times New Roman" w:hAnsi="Times New Roman" w:cs="Times New Roman"/>
          <w:sz w:val="28"/>
          <w:szCs w:val="28"/>
        </w:rPr>
        <w:t>. Данное понятие является достаточно широким, что позволяет разделить данную категорию на м</w:t>
      </w:r>
      <w:r w:rsidR="00297C89">
        <w:rPr>
          <w:rFonts w:ascii="Times New Roman" w:hAnsi="Times New Roman" w:cs="Times New Roman"/>
          <w:sz w:val="28"/>
          <w:szCs w:val="28"/>
        </w:rPr>
        <w:t>алый, средний и крупный бизнес, при этом в различных странах определены различные критерии данного разделения.</w:t>
      </w:r>
    </w:p>
    <w:p w:rsidR="00297C89" w:rsidRDefault="00297C89" w:rsidP="00224D7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Так, в Великобритании, одной из стран, активно развивающей и поддерживающей рассматриваемый</w:t>
      </w:r>
      <w:r w:rsidR="00B20392">
        <w:rPr>
          <w:rFonts w:ascii="Times New Roman" w:hAnsi="Times New Roman" w:cs="Times New Roman"/>
          <w:sz w:val="28"/>
          <w:szCs w:val="28"/>
        </w:rPr>
        <w:t xml:space="preserve"> вид деятельности</w:t>
      </w:r>
      <w:r>
        <w:rPr>
          <w:rFonts w:ascii="Times New Roman" w:hAnsi="Times New Roman" w:cs="Times New Roman"/>
          <w:sz w:val="28"/>
          <w:szCs w:val="28"/>
        </w:rPr>
        <w:t>, к объектам малого бизнеса относятся организации, годовой оборот которых не превышает 3 миллионов фунтов, а численность сотрудников не превышают количество 50 человек.</w:t>
      </w:r>
      <w:r w:rsidR="007A3B26">
        <w:rPr>
          <w:rFonts w:ascii="Times New Roman" w:hAnsi="Times New Roman" w:cs="Times New Roman"/>
          <w:sz w:val="28"/>
          <w:szCs w:val="28"/>
        </w:rPr>
        <w:t xml:space="preserve"> </w:t>
      </w:r>
      <w:r w:rsidR="00B20392">
        <w:rPr>
          <w:rFonts w:ascii="Times New Roman" w:hAnsi="Times New Roman" w:cs="Times New Roman"/>
          <w:sz w:val="28"/>
          <w:szCs w:val="28"/>
        </w:rPr>
        <w:t xml:space="preserve">Процедура регистрации бизнеса в стране является достаточно понятной и оперативной, включая в себя оформление вида предпринимательской деятельности, подготовку и сдачу бухгалтерской и иных видов отчетности, а </w:t>
      </w:r>
      <w:r w:rsidR="00B20392">
        <w:rPr>
          <w:rFonts w:ascii="Times New Roman" w:hAnsi="Times New Roman" w:cs="Times New Roman"/>
          <w:sz w:val="28"/>
          <w:szCs w:val="28"/>
        </w:rPr>
        <w:lastRenderedPageBreak/>
        <w:t>также процедуру уплаты налогов, которая производится посредством сети Интернет, и возможно даже в домашних условиях.</w:t>
      </w:r>
    </w:p>
    <w:p w:rsidR="007A3B26" w:rsidRDefault="007A3B26" w:rsidP="00224D7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Малый бизнес в США является довольно привлекательной сферой деятельности в данной стране, что обусловлено довольно простой и недорогой процедурой регистрации и ликвидации, упрощенной системой налогообложения, а также возможностью самостоятельного ведения бухгалтерской отчетности. Объекты малого бизнеса в США, как правило, представлены малым семейным предпринимательством, в котором осуществляют деятельность от 20 до 500 человек, предоставляющие три из четырех новых рабочих мест ежегодно. Не смотря на высокую востребованность данной категории деятельности среди населения (ежегодная регистрация порядка 600 тысяч предприятий малого бизнеса), ежегодно в США ликвидируется порядка 500 тысяч подобного рода предприятий, что обусловлено оперативной реакцией владельцев малого бизнеса на уровень спроса у населения</w:t>
      </w:r>
      <w:r w:rsidR="007F1ED4" w:rsidRPr="007F1ED4">
        <w:rPr>
          <w:rFonts w:ascii="Times New Roman" w:hAnsi="Times New Roman" w:cs="Times New Roman"/>
          <w:sz w:val="28"/>
          <w:szCs w:val="28"/>
        </w:rPr>
        <w:t xml:space="preserve"> [2]</w:t>
      </w:r>
      <w:r>
        <w:rPr>
          <w:rFonts w:ascii="Times New Roman" w:hAnsi="Times New Roman" w:cs="Times New Roman"/>
          <w:sz w:val="28"/>
          <w:szCs w:val="28"/>
        </w:rPr>
        <w:t>.</w:t>
      </w:r>
    </w:p>
    <w:p w:rsidR="007A3B26" w:rsidRDefault="00B20392" w:rsidP="00224D7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Таким образом, рассмотрим ключевые характеристики малого бизнеса: прохождение процедуры регистрации в компетентных органах; довольно небольшие объемы деятельности и численность сотрудников; самостоятельность в принятии решений в рамках возникновения условий риска; личная заинтересованность в достижении высоких результатов осуществляемой деятельности, а также ответственность за них; гибкость к изменяющимся условиям и уровню спроса.</w:t>
      </w:r>
    </w:p>
    <w:p w:rsidR="00573687" w:rsidRDefault="00573687" w:rsidP="00224D7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 нашем исследовании процесс осуществления предпринимательской деятельности в небольших объемах с привлечением малой численности персонала, в рамках которой владелец принимает самостоятельные, ни с кем не согласованные решения, учитывая возникшие условия риска, осознавая возможные последствия и уровень ответственности, направленные на получение прибыли, будем считать малым бизнесом.</w:t>
      </w:r>
    </w:p>
    <w:p w:rsidR="00573687" w:rsidRDefault="00573687" w:rsidP="00224D7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На сегодняшний день в условиях нестабильной экономической ситуации, обусловленной военными действиями на территориях Украины, Израиля, введением многочисленных санкций на деятельность различных организаций и предприятий, деятельность государств направлено на поддержку одного из важнейших сегментов экономики – малого бизнеса.</w:t>
      </w:r>
      <w:r w:rsidR="00AD00C9">
        <w:rPr>
          <w:rFonts w:ascii="Times New Roman" w:hAnsi="Times New Roman" w:cs="Times New Roman"/>
          <w:sz w:val="28"/>
          <w:szCs w:val="28"/>
        </w:rPr>
        <w:t xml:space="preserve"> Развитие малого бизнеса прямо пропорционально уровню экономической стабильности и состоянию экономики всей страны. Именно поэтому и Российская Федерация, и зарубежные страны стремятся оказывать эффективную помощь и содействие предпринимательской деятельности посредством предоставления </w:t>
      </w:r>
      <w:r w:rsidR="006E79EC">
        <w:rPr>
          <w:rFonts w:ascii="Times New Roman" w:hAnsi="Times New Roman" w:cs="Times New Roman"/>
          <w:sz w:val="28"/>
          <w:szCs w:val="28"/>
        </w:rPr>
        <w:t xml:space="preserve">субсидий и субвенций на ведение малого бизнеса, </w:t>
      </w:r>
      <w:r w:rsidR="00AD00C9">
        <w:rPr>
          <w:rFonts w:ascii="Times New Roman" w:hAnsi="Times New Roman" w:cs="Times New Roman"/>
          <w:sz w:val="28"/>
          <w:szCs w:val="28"/>
        </w:rPr>
        <w:t>упрощенных механизмов учета экономической</w:t>
      </w:r>
      <w:r w:rsidR="006E79EC">
        <w:rPr>
          <w:rFonts w:ascii="Times New Roman" w:hAnsi="Times New Roman" w:cs="Times New Roman"/>
          <w:sz w:val="28"/>
          <w:szCs w:val="28"/>
        </w:rPr>
        <w:t xml:space="preserve"> деятельности и налогообложения.</w:t>
      </w:r>
    </w:p>
    <w:p w:rsidR="006E79EC" w:rsidRDefault="006E79EC" w:rsidP="00224D7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Объекты малого бизнеса имеют ряд преимуществ, позволяющие им оперативно реагировать на изменяющие факторы и обстоятельства, а именно: малая численность персонала организации; высокий уровень восприимчивости к фундаментальным изменениям; высокий уровень мотивации в процессе осуществления деятельности; </w:t>
      </w:r>
      <w:r w:rsidR="00E34E18">
        <w:rPr>
          <w:rFonts w:ascii="Times New Roman" w:hAnsi="Times New Roman" w:cs="Times New Roman"/>
          <w:sz w:val="28"/>
          <w:szCs w:val="28"/>
        </w:rPr>
        <w:t>оперативное освоение нововведений и инноваций.</w:t>
      </w:r>
    </w:p>
    <w:p w:rsidR="00E34E18" w:rsidRPr="00D40C1B" w:rsidRDefault="00E34E18" w:rsidP="00224D7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Данные преимущества малого бизнеса были высоко отмечены развитыми западными странами, именно поэтому в промышленно развитых странах организации малого бизнеса занимают довольно большую нишу в области научных разработок и исследований.</w:t>
      </w:r>
      <w:r w:rsidR="008837DB">
        <w:rPr>
          <w:rFonts w:ascii="Times New Roman" w:hAnsi="Times New Roman" w:cs="Times New Roman"/>
          <w:sz w:val="28"/>
          <w:szCs w:val="28"/>
        </w:rPr>
        <w:t xml:space="preserve"> Так, объектам малого бизнеса, деятельность которых направлена на разработку и развитие инновационных технологий, предоставляются налоговые льготы и преференции на государственном уровне. Предоставление налоговых пошлин зависит от следующих характеристик предприятия малого бизнеса: размер организации; сфера деятельности; возраст (чем моложе компания, тем выше уровень получения возможных преференций); характер деятельности и т.д.</w:t>
      </w:r>
    </w:p>
    <w:p w:rsidR="008837DB" w:rsidRDefault="008837DB" w:rsidP="00224D7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Рассмотрим наиболее распространенные льготы в рамках предоставления налогового стимулирования предприятий малого бизнеса, осуществляющих свою деятельность в сфере инноваций:</w:t>
      </w:r>
    </w:p>
    <w:p w:rsidR="008837DB" w:rsidRDefault="008837DB" w:rsidP="008837DB">
      <w:pPr>
        <w:pStyle w:val="a6"/>
        <w:numPr>
          <w:ilvl w:val="0"/>
          <w:numId w:val="1"/>
        </w:numPr>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 xml:space="preserve">налоговые каникулы. Данная мера широко распространена во Франции, представляет собой освобождение от уплаты налога на прибыль или его частичное снижение на определенный период времени. </w:t>
      </w:r>
      <w:r w:rsidR="00D55478">
        <w:rPr>
          <w:rFonts w:ascii="Times New Roman" w:hAnsi="Times New Roman" w:cs="Times New Roman"/>
          <w:sz w:val="28"/>
          <w:szCs w:val="28"/>
        </w:rPr>
        <w:t>Особое распространение имеет на только созданные мелкие и средние фирмы;</w:t>
      </w:r>
    </w:p>
    <w:p w:rsidR="00D55478" w:rsidRDefault="00D55478" w:rsidP="008837DB">
      <w:pPr>
        <w:pStyle w:val="a6"/>
        <w:numPr>
          <w:ilvl w:val="0"/>
          <w:numId w:val="1"/>
        </w:numPr>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дополнительные налоговые скидки по налогу на прибыль. Для организаций, занимающихся инновационной деятельностью</w:t>
      </w:r>
      <w:r w:rsidR="00EE25C2">
        <w:rPr>
          <w:rFonts w:ascii="Times New Roman" w:hAnsi="Times New Roman" w:cs="Times New Roman"/>
          <w:sz w:val="28"/>
          <w:szCs w:val="28"/>
        </w:rPr>
        <w:t xml:space="preserve"> в некоторых зарубежных странах значительно сокращен налог на прибыль. К примеру, в Великобритании для организаций, начинающих свою деятельность в сфере инноваций, налог на прибыль установлен в размере 1% вместо 20;</w:t>
      </w:r>
    </w:p>
    <w:p w:rsidR="00EE25C2" w:rsidRDefault="00EE25C2" w:rsidP="008837DB">
      <w:pPr>
        <w:pStyle w:val="a6"/>
        <w:numPr>
          <w:ilvl w:val="0"/>
          <w:numId w:val="1"/>
        </w:numPr>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 xml:space="preserve">налоговый исследовательский кредит. </w:t>
      </w:r>
      <w:r w:rsidR="00422AA2">
        <w:rPr>
          <w:rFonts w:ascii="Times New Roman" w:hAnsi="Times New Roman" w:cs="Times New Roman"/>
          <w:sz w:val="28"/>
          <w:szCs w:val="28"/>
        </w:rPr>
        <w:t>Молодым французским компаниям, впервые осуществившим вложения в НИОКР, во Франции предусмотрена повышенная величина налогового кредита в размере 50%, а также возможность получения приростного налогового кредита в размере 30% от первых 100 млн евро. На сегодняшний день размеры налоговых кредитов во многих зарубежных странах являются константным значением и соответствуют действующими налоговыми законодательствами, однако, в определенных странах (США, Япония), они ежегодно пересматриваются</w:t>
      </w:r>
      <w:r w:rsidR="007F1ED4" w:rsidRPr="007F1ED4">
        <w:rPr>
          <w:rFonts w:ascii="Times New Roman" w:hAnsi="Times New Roman" w:cs="Times New Roman"/>
          <w:sz w:val="28"/>
          <w:szCs w:val="28"/>
        </w:rPr>
        <w:t xml:space="preserve"> [4] </w:t>
      </w:r>
      <w:r w:rsidR="00422AA2">
        <w:rPr>
          <w:rFonts w:ascii="Times New Roman" w:hAnsi="Times New Roman" w:cs="Times New Roman"/>
          <w:sz w:val="28"/>
          <w:szCs w:val="28"/>
        </w:rPr>
        <w:t>.</w:t>
      </w:r>
    </w:p>
    <w:p w:rsidR="00422AA2" w:rsidRDefault="00152C60" w:rsidP="00422AA2">
      <w:pPr>
        <w:pStyle w:val="a6"/>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Таким образом, в европейских странах разработана и успешно функционирует система предоставления льготного налогового стимулирования предприятий малого бизнеса, осуществляющих свою деятельность в сфере инновационных технологий.</w:t>
      </w:r>
    </w:p>
    <w:p w:rsidR="00152C60" w:rsidRDefault="00152C60" w:rsidP="00422AA2">
      <w:pPr>
        <w:pStyle w:val="a6"/>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Как мы говорили ранее, успешное развитие сферы малого бизнеса благоприятно влияет на экономическое состояние страны в целом, отражаясь на уровне ее ВВП, именно поэтому особое внимание зарубежных стран направлено на налоговое регулирование сферы малого бизнеса. Так, на территории Евросоюза, установлены разнообразные меры стимулирования сферы малого предпринимательства, выражающиеся в упрощенной процедуре создания и ликвидации малого бизнеса, а также предоставления большого спектра льгот и стимулирующих выплат, способствующих быстрому развитию данного вида предприятий.</w:t>
      </w:r>
    </w:p>
    <w:p w:rsidR="004627CE" w:rsidRDefault="004627CE" w:rsidP="00422AA2">
      <w:pPr>
        <w:pStyle w:val="a6"/>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 xml:space="preserve">Однако, не смотря на то, что в зарубежных странах предприятиям сегмента малого бизнеса предоставляются разнообразные меры стимулирования и </w:t>
      </w:r>
      <w:r>
        <w:rPr>
          <w:rFonts w:ascii="Times New Roman" w:hAnsi="Times New Roman" w:cs="Times New Roman"/>
          <w:sz w:val="28"/>
          <w:szCs w:val="28"/>
        </w:rPr>
        <w:lastRenderedPageBreak/>
        <w:t>поддержки, а в период становления и построения бизнеса для них применяются пониженные ставки налогообложения, руководители данных организаций не используют механизмы искусственного сдерживания развития и расширения своей организации с целью предотвращения перехода на повышенную налоговую ставку, что обусловлено установленной следующей ставкой налога на прибыль от деятельности организаций, немного ниже предыдущей.</w:t>
      </w:r>
    </w:p>
    <w:p w:rsidR="0046353C" w:rsidRDefault="0046353C" w:rsidP="0046353C">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Однако, рядом стран, являющимися лидерами в рейтингах по уровню налоговых поступлений в ВВП страны (Дания, Франция, Швеция и другие европейские страны), государственная мера поддержки малого предпринимательства, заключаемая в применении льготных условий, снижении налоговых ставок, предоставлении специальных режимов, не применяется.</w:t>
      </w:r>
    </w:p>
    <w:p w:rsidR="0046353C" w:rsidRDefault="0046353C" w:rsidP="0046353C">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 государственной политике, направленной на поддержку малого бизнеса, большинство развитых зарубежных стран применяются следующую идеологию:</w:t>
      </w:r>
    </w:p>
    <w:p w:rsidR="0046353C" w:rsidRDefault="0046353C" w:rsidP="0046353C">
      <w:pPr>
        <w:spacing w:after="0" w:line="240" w:lineRule="auto"/>
        <w:ind w:firstLine="709"/>
        <w:jc w:val="both"/>
        <w:rPr>
          <w:rFonts w:ascii="Times New Roman" w:hAnsi="Times New Roman" w:cs="Times New Roman"/>
          <w:sz w:val="28"/>
          <w:szCs w:val="28"/>
        </w:rPr>
      </w:pPr>
      <w:r w:rsidRPr="00D33620">
        <w:rPr>
          <w:rFonts w:ascii="Times New Roman" w:hAnsi="Times New Roman" w:cs="Times New Roman"/>
          <w:sz w:val="28"/>
          <w:szCs w:val="28"/>
        </w:rPr>
        <w:t>1)</w:t>
      </w:r>
      <w:r>
        <w:rPr>
          <w:rFonts w:ascii="Times New Roman" w:hAnsi="Times New Roman" w:cs="Times New Roman"/>
          <w:sz w:val="28"/>
          <w:szCs w:val="28"/>
        </w:rPr>
        <w:t xml:space="preserve"> Налоговая система страны строится таким образом, чтобы сегмент малого бизнеса мог активно развиваться и расширяться, что обусловлено тем, что именно к сегменту малого предпринимательства относится большая часть организаций и предприятий, осуществляющих свою деятельность на территории рассматриваемых государств.</w:t>
      </w:r>
    </w:p>
    <w:p w:rsidR="0046353C" w:rsidRDefault="0046353C" w:rsidP="0046353C">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2) Максимальные поступления в бюджет страны поступают за счет отчислений предприятий малого бизнеса, что позволяет государству большую часть подоходного, прямых налогов, сборов направлять в отношении сегмента среднего и крупного бизнеса.</w:t>
      </w:r>
    </w:p>
    <w:p w:rsidR="0046353C" w:rsidRDefault="0046353C" w:rsidP="0046353C">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3) Минимизация теневого сектора экономики посредством удержания на довольно высоком уровне ставок наиболее важных налоговых и иных сборов.</w:t>
      </w:r>
    </w:p>
    <w:p w:rsidR="0046353C" w:rsidRDefault="0046353C" w:rsidP="0046353C">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4) Система социального обеспечения и гарантии социального характера способствуют активизации осуществления выплат по результатам получения реальных доходов и являются константными.</w:t>
      </w:r>
    </w:p>
    <w:p w:rsidR="0046353C" w:rsidRDefault="0046353C" w:rsidP="0046353C">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5) Снижение уровня налогового обременения с предприятий, относящихся к малому бизнесу, осуществляется посредством активного привлечения инвесторов иностранных государств, квалифицированных специалистов.</w:t>
      </w:r>
    </w:p>
    <w:p w:rsidR="0046353C" w:rsidRDefault="0046353C" w:rsidP="0046353C">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6) Прогрессивное налогообложение личных доходов, а также прибыли, полученной от деятельности предприятия малого бизнеса, что выступает мощным стимулом к их развитию и расширению, способствуя плавному переходу в сегмент среднего, а затем и крупного бизнеса.</w:t>
      </w:r>
    </w:p>
    <w:p w:rsidR="0046353C" w:rsidRDefault="0046353C" w:rsidP="0046353C">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7) Применение различных программ поддержки на государственном уровне, включая сокращение числа административных преград.</w:t>
      </w:r>
    </w:p>
    <w:p w:rsidR="0046353C" w:rsidRPr="006D30F4" w:rsidRDefault="0046353C" w:rsidP="0046353C">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Однако, не смотря на то, что большинство развитых зарубежных стран в государственной политике, направленной на поддержание и развитие малого предпринимательства, руководствуются рассмотренными выше принципами, каждое государство имеет специфические подходы к системе налогообложения данного сегмента экономики, а именно: степень владения потенциальных налогоплательщиков юридическими и налоговыми процессами и механизмами; принятый порядок уплаты налоговых отчислений; инструменты и возможности контроля налоговой системы специализированными органами и службами </w:t>
      </w:r>
      <w:r w:rsidRPr="006D30F4">
        <w:rPr>
          <w:rFonts w:ascii="Times New Roman" w:hAnsi="Times New Roman" w:cs="Times New Roman"/>
          <w:sz w:val="28"/>
          <w:szCs w:val="28"/>
        </w:rPr>
        <w:t>[</w:t>
      </w:r>
      <w:r>
        <w:rPr>
          <w:rFonts w:ascii="Times New Roman" w:hAnsi="Times New Roman" w:cs="Times New Roman"/>
          <w:sz w:val="28"/>
          <w:szCs w:val="28"/>
        </w:rPr>
        <w:t>5</w:t>
      </w:r>
      <w:r w:rsidRPr="006D30F4">
        <w:rPr>
          <w:rFonts w:ascii="Times New Roman" w:hAnsi="Times New Roman" w:cs="Times New Roman"/>
          <w:sz w:val="28"/>
          <w:szCs w:val="28"/>
        </w:rPr>
        <w:t>]</w:t>
      </w:r>
      <w:r>
        <w:rPr>
          <w:rFonts w:ascii="Times New Roman" w:hAnsi="Times New Roman" w:cs="Times New Roman"/>
          <w:sz w:val="28"/>
          <w:szCs w:val="28"/>
        </w:rPr>
        <w:t>.</w:t>
      </w:r>
    </w:p>
    <w:p w:rsidR="002A43EA" w:rsidRDefault="002A43EA" w:rsidP="002A43EA">
      <w:pPr>
        <w:pStyle w:val="a6"/>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 xml:space="preserve">В рамках принятия решения о предоставлении льготных условий </w:t>
      </w:r>
      <w:r w:rsidR="007C3468">
        <w:rPr>
          <w:rFonts w:ascii="Times New Roman" w:hAnsi="Times New Roman" w:cs="Times New Roman"/>
          <w:sz w:val="28"/>
          <w:szCs w:val="28"/>
        </w:rPr>
        <w:t>для предприятия малого бизнеса или обременении их специальным режимом, зарубежные страны рассматривают следующие критерии: количество устроенного персонала в организации; объем полученной выручки; размер активов; характеристика собственников предприятия и т.д.</w:t>
      </w:r>
    </w:p>
    <w:p w:rsidR="007C3468" w:rsidRDefault="007C3468" w:rsidP="002A43EA">
      <w:pPr>
        <w:pStyle w:val="a6"/>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Таким образом, в рамках осуществления выбора конкретного порядка налогообложения субъектов малого бизнеса, учитывается не только необходимость поддержки и стимулирования данного сегмента бизнеса, но и возможности налоговых органов государства эффективно применять и осуществлять контроль выбранных методов.</w:t>
      </w:r>
    </w:p>
    <w:p w:rsidR="007C3468" w:rsidRDefault="007F1ED4" w:rsidP="002A43EA">
      <w:pPr>
        <w:pStyle w:val="a6"/>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Тем не менее, не все государства в целях поддержания малого бизнеса используют специальные режимы, некоторые из них (Германия, Австралия) применяют только особые правила в отношении НДС или прием ускоренной амортизации в рамках предоставления определенных льгот в отношении налога на прибыль организаций</w:t>
      </w:r>
      <w:r w:rsidRPr="007F1ED4">
        <w:rPr>
          <w:rFonts w:ascii="Times New Roman" w:hAnsi="Times New Roman" w:cs="Times New Roman"/>
          <w:sz w:val="28"/>
          <w:szCs w:val="28"/>
        </w:rPr>
        <w:t xml:space="preserve"> [3]</w:t>
      </w:r>
      <w:r>
        <w:rPr>
          <w:rFonts w:ascii="Times New Roman" w:hAnsi="Times New Roman" w:cs="Times New Roman"/>
          <w:sz w:val="28"/>
          <w:szCs w:val="28"/>
        </w:rPr>
        <w:t>.</w:t>
      </w:r>
    </w:p>
    <w:p w:rsidR="007F1ED4" w:rsidRDefault="007F1ED4" w:rsidP="002A43EA">
      <w:pPr>
        <w:pStyle w:val="a6"/>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 xml:space="preserve">Такие зарубежные страны, как Великобритания, Канада, Франция, Бельгия стимулируют развитие малого бизнеса посредством их налогообложения по уменьшенным ставкам доходов организаций. Выделяют ряд стран, признавших нецелесообразным применение специальных режимов в отношении малого бизнеса. К ним относятся Дания, Австрия, Эстония, Ирландия, Новая Зеландия и др. Так, в Новой Зеландии на протяжении длительного периода обсуждалась возможность внедрения налога на денежные потоки, которая в итоге не была принята, что обусловлено возможностью применения других методов в рамках существующей законодательной базы с целью уменьшения уровня издержек предприятия. Однако, в данной стране существуют обязательства по налогу на товары и услуги </w:t>
      </w:r>
      <w:r>
        <w:rPr>
          <w:rFonts w:ascii="Times New Roman" w:hAnsi="Times New Roman" w:cs="Times New Roman"/>
          <w:sz w:val="28"/>
          <w:szCs w:val="28"/>
          <w:lang w:val="en-US"/>
        </w:rPr>
        <w:t>GST</w:t>
      </w:r>
      <w:r>
        <w:rPr>
          <w:rFonts w:ascii="Times New Roman" w:hAnsi="Times New Roman" w:cs="Times New Roman"/>
          <w:sz w:val="28"/>
          <w:szCs w:val="28"/>
        </w:rPr>
        <w:t xml:space="preserve"> (в России – НДС), исчисляемые по кассовому методу. Таким образом, отклоненный налог отличался бы от имеющегося исключительно уровнем величины затрат на оплату труда.</w:t>
      </w:r>
    </w:p>
    <w:p w:rsidR="0046353C" w:rsidRDefault="0046353C" w:rsidP="0046353C">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На сегодняшний день в ряде зарубежных стран применяются альтернативные минимальные налоги. Под данным видом налогов подразумеваются начисления, в основу которых включены валовые активы, бухгалтерская прибыль, оборот или определенные их комбинации, применительно либо к организациям, осуществляющим свою предпринимательскую деятельность, либо же в общем, к сегменту предпринимательской деятельности.</w:t>
      </w:r>
    </w:p>
    <w:p w:rsidR="0046353C" w:rsidRDefault="0046353C" w:rsidP="0046353C">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Так, в ряде зарубежных стран, таких как Северная Америка, Канада, Норвегия, Дания, установление суммы минимального альтернативного налога производится путем конвертирования налоговых вычетов, определение которых в свою очередь, осуществляется, исходя из правил, применение которых зависит напрямую от процедуры расчета базиса налога на доходы организаций.</w:t>
      </w:r>
    </w:p>
    <w:p w:rsidR="007F1ED4" w:rsidRPr="0046353C" w:rsidRDefault="0046353C" w:rsidP="0046353C">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Исходя из вышеизложенного, можно прийти к выводу, что в рамках применения минимального альтернативного налога, в основу которого входят «валовые активы», практически устраняется проблема осознанного искажения налоговой базы плательщика. Также, одной из не менее эффективных вариаций базиса минимального альтернативного налога могли бы стать основные средства предприятия малого бизнеса (оборудование, земельные ресурсы, машины и т.д.). Однако, данная вариация способствует ущемлению прав и ограничению деятельности предприятий малого бизнеса, направленных на производство и потребление каких-либо товаров, что в свою очередь будет благоприятно воздействовать на сферу услуг. Тем не менее, </w:t>
      </w:r>
      <w:r w:rsidR="00294513">
        <w:rPr>
          <w:rFonts w:ascii="Times New Roman" w:hAnsi="Times New Roman" w:cs="Times New Roman"/>
          <w:sz w:val="28"/>
          <w:szCs w:val="28"/>
        </w:rPr>
        <w:t>несмотря</w:t>
      </w:r>
      <w:r>
        <w:rPr>
          <w:rFonts w:ascii="Times New Roman" w:hAnsi="Times New Roman" w:cs="Times New Roman"/>
          <w:sz w:val="28"/>
          <w:szCs w:val="28"/>
        </w:rPr>
        <w:t xml:space="preserve"> на то, что в большинстве зарубежных стран малое предпринимательство связано в основном со сферой предоставления услуг, его основные средства не могут выступать эффективным базисом минимального альтернативного налога.</w:t>
      </w:r>
    </w:p>
    <w:p w:rsidR="007F1ED4" w:rsidRDefault="007F1ED4" w:rsidP="002A43EA">
      <w:pPr>
        <w:pStyle w:val="a6"/>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Не менее значимым является тот факт, что в мировой экономике НДС облагаются все организации, вне зависимости от их статуса. В случае низкого уровня доходов или УСН допускается освобождение от обязанности уплаты данного налога, однако, в данном случае применяется практика добровольной регистрации в качестве плательщика налога, а в отдельных странах (Великобритания) для таких организаций предусмотрены определенные налоговые льготы.</w:t>
      </w:r>
    </w:p>
    <w:p w:rsidR="0046353C" w:rsidRPr="006D30F4" w:rsidRDefault="0046353C" w:rsidP="0046353C">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Резюмируя вышеизложенное, сегмент малого предпринимательства в большинстве зарубежных стран является наиболее популярным и развитым, имеющим различные меры поддержки со стороны государства, что обусловлено тем, что именно субъекты малого бизнеса вносят наибольший вклад в формирование и развитие экономики государства, зачастую определяя уровень ВВП страны. На государственном уровне постоянно разрабатываются и совершенствуются уже имеющиеся меры поддержки и развития малого бизнеса, заключающиеся не только во внедрении упрощенной системы создания или устранения организации, снижении требований к количественным характеристикам, размерам оборота, но и применении льготной системы налогообложения предприятий рассматриваемого сегмента, упрощении процедуры оплаты налогов, предоставление налогового стимулирования предприятий малого бизнеса, предоставление налоговых пошлин.</w:t>
      </w:r>
    </w:p>
    <w:p w:rsidR="007F1ED4" w:rsidRDefault="007F1ED4" w:rsidP="007F1ED4">
      <w:pPr>
        <w:pStyle w:val="a6"/>
        <w:spacing w:after="0" w:line="240" w:lineRule="auto"/>
        <w:ind w:left="0" w:firstLine="709"/>
        <w:jc w:val="center"/>
        <w:rPr>
          <w:rFonts w:ascii="Times New Roman" w:hAnsi="Times New Roman" w:cs="Times New Roman"/>
          <w:b/>
          <w:sz w:val="28"/>
          <w:szCs w:val="28"/>
        </w:rPr>
      </w:pPr>
    </w:p>
    <w:p w:rsidR="007F1ED4" w:rsidRDefault="007F1ED4" w:rsidP="007F1ED4">
      <w:pPr>
        <w:pStyle w:val="a6"/>
        <w:spacing w:after="0" w:line="240" w:lineRule="auto"/>
        <w:ind w:left="0" w:firstLine="709"/>
        <w:jc w:val="center"/>
        <w:rPr>
          <w:rFonts w:ascii="Times New Roman" w:hAnsi="Times New Roman" w:cs="Times New Roman"/>
          <w:b/>
          <w:sz w:val="28"/>
          <w:szCs w:val="28"/>
        </w:rPr>
      </w:pPr>
      <w:r w:rsidRPr="007F1ED4">
        <w:rPr>
          <w:rFonts w:ascii="Times New Roman" w:hAnsi="Times New Roman" w:cs="Times New Roman"/>
          <w:b/>
          <w:sz w:val="28"/>
          <w:szCs w:val="28"/>
        </w:rPr>
        <w:t>Список литературы</w:t>
      </w:r>
    </w:p>
    <w:p w:rsidR="007F1ED4" w:rsidRDefault="007F1ED4" w:rsidP="007F1ED4">
      <w:pPr>
        <w:pStyle w:val="a6"/>
        <w:numPr>
          <w:ilvl w:val="0"/>
          <w:numId w:val="3"/>
        </w:numPr>
        <w:spacing w:after="0" w:line="240" w:lineRule="auto"/>
        <w:ind w:left="0" w:firstLine="709"/>
        <w:jc w:val="both"/>
        <w:rPr>
          <w:rFonts w:ascii="Times New Roman" w:hAnsi="Times New Roman" w:cs="Times New Roman"/>
          <w:sz w:val="28"/>
          <w:szCs w:val="28"/>
        </w:rPr>
      </w:pPr>
      <w:r w:rsidRPr="007F1ED4">
        <w:rPr>
          <w:rFonts w:ascii="Times New Roman" w:hAnsi="Times New Roman" w:cs="Times New Roman"/>
          <w:sz w:val="28"/>
          <w:szCs w:val="28"/>
        </w:rPr>
        <w:t>Вандина О.Г. Сравнительный анализ систем налогообложения, применяемых субъектами малого и среднего предпринимательства [</w:t>
      </w:r>
      <w:r>
        <w:rPr>
          <w:rFonts w:ascii="Times New Roman" w:hAnsi="Times New Roman" w:cs="Times New Roman"/>
          <w:sz w:val="28"/>
          <w:szCs w:val="28"/>
        </w:rPr>
        <w:t>Текст</w:t>
      </w:r>
      <w:r w:rsidRPr="007F1ED4">
        <w:rPr>
          <w:rFonts w:ascii="Times New Roman" w:hAnsi="Times New Roman" w:cs="Times New Roman"/>
          <w:sz w:val="28"/>
          <w:szCs w:val="28"/>
        </w:rPr>
        <w:t>]</w:t>
      </w:r>
      <w:r>
        <w:rPr>
          <w:rFonts w:ascii="Times New Roman" w:hAnsi="Times New Roman" w:cs="Times New Roman"/>
          <w:sz w:val="28"/>
          <w:szCs w:val="28"/>
        </w:rPr>
        <w:t xml:space="preserve"> </w:t>
      </w:r>
      <w:r w:rsidRPr="007F1ED4">
        <w:rPr>
          <w:rFonts w:ascii="Times New Roman" w:hAnsi="Times New Roman" w:cs="Times New Roman"/>
          <w:sz w:val="28"/>
          <w:szCs w:val="28"/>
        </w:rPr>
        <w:t>/ О.Г. Вандина, А.В. Ледовская, С.Е. Шиянов // Вестник Екатерининского института. – 2022.</w:t>
      </w:r>
      <w:r>
        <w:rPr>
          <w:rFonts w:ascii="Times New Roman" w:hAnsi="Times New Roman" w:cs="Times New Roman"/>
          <w:sz w:val="28"/>
          <w:szCs w:val="28"/>
        </w:rPr>
        <w:t xml:space="preserve"> </w:t>
      </w:r>
      <w:r w:rsidRPr="007F1ED4">
        <w:rPr>
          <w:rFonts w:ascii="Times New Roman" w:hAnsi="Times New Roman" w:cs="Times New Roman"/>
          <w:sz w:val="28"/>
          <w:szCs w:val="28"/>
        </w:rPr>
        <w:t>– №4 (60). – С. 49-53</w:t>
      </w:r>
      <w:r>
        <w:rPr>
          <w:rFonts w:ascii="Times New Roman" w:hAnsi="Times New Roman" w:cs="Times New Roman"/>
          <w:sz w:val="28"/>
          <w:szCs w:val="28"/>
        </w:rPr>
        <w:t>.</w:t>
      </w:r>
    </w:p>
    <w:p w:rsidR="007F1ED4" w:rsidRDefault="007F1ED4" w:rsidP="007F1ED4">
      <w:pPr>
        <w:pStyle w:val="a6"/>
        <w:numPr>
          <w:ilvl w:val="0"/>
          <w:numId w:val="3"/>
        </w:numPr>
        <w:spacing w:after="0" w:line="240" w:lineRule="auto"/>
        <w:ind w:left="0" w:firstLine="709"/>
        <w:jc w:val="both"/>
        <w:rPr>
          <w:rFonts w:ascii="Times New Roman" w:hAnsi="Times New Roman" w:cs="Times New Roman"/>
          <w:sz w:val="28"/>
          <w:szCs w:val="28"/>
        </w:rPr>
      </w:pPr>
      <w:r w:rsidRPr="007F1ED4">
        <w:rPr>
          <w:rFonts w:ascii="Times New Roman" w:hAnsi="Times New Roman" w:cs="Times New Roman"/>
          <w:sz w:val="28"/>
          <w:szCs w:val="28"/>
        </w:rPr>
        <w:t>Иванова О.Н. Сравнительный анализ ИП за рубежом и в России (Якутии) [</w:t>
      </w:r>
      <w:r>
        <w:rPr>
          <w:rFonts w:ascii="Times New Roman" w:hAnsi="Times New Roman" w:cs="Times New Roman"/>
          <w:sz w:val="28"/>
          <w:szCs w:val="28"/>
        </w:rPr>
        <w:t>Текст</w:t>
      </w:r>
      <w:r w:rsidRPr="007F1ED4">
        <w:rPr>
          <w:rFonts w:ascii="Times New Roman" w:hAnsi="Times New Roman" w:cs="Times New Roman"/>
          <w:sz w:val="28"/>
          <w:szCs w:val="28"/>
        </w:rPr>
        <w:t>]</w:t>
      </w:r>
      <w:r>
        <w:rPr>
          <w:rFonts w:ascii="Times New Roman" w:hAnsi="Times New Roman" w:cs="Times New Roman"/>
          <w:sz w:val="28"/>
          <w:szCs w:val="28"/>
        </w:rPr>
        <w:t xml:space="preserve"> </w:t>
      </w:r>
      <w:r w:rsidRPr="007F1ED4">
        <w:rPr>
          <w:rFonts w:ascii="Times New Roman" w:hAnsi="Times New Roman" w:cs="Times New Roman"/>
          <w:sz w:val="28"/>
          <w:szCs w:val="28"/>
        </w:rPr>
        <w:t>/ О.Н. Иванова, С.В. Флегонтова // Тенденции развития науки и образования. – 2019. – №47-3. – С. 51-55.</w:t>
      </w:r>
    </w:p>
    <w:p w:rsidR="007F1ED4" w:rsidRDefault="007F1ED4" w:rsidP="007F1ED4">
      <w:pPr>
        <w:pStyle w:val="a6"/>
        <w:numPr>
          <w:ilvl w:val="0"/>
          <w:numId w:val="3"/>
        </w:numPr>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 xml:space="preserve">Кузин А.Э. Зарубежный опыт налогообложения организаций </w:t>
      </w:r>
      <w:r w:rsidRPr="007F1ED4">
        <w:rPr>
          <w:rFonts w:ascii="Times New Roman" w:hAnsi="Times New Roman" w:cs="Times New Roman"/>
          <w:sz w:val="28"/>
          <w:szCs w:val="28"/>
        </w:rPr>
        <w:t>[</w:t>
      </w:r>
      <w:r>
        <w:rPr>
          <w:rFonts w:ascii="Times New Roman" w:hAnsi="Times New Roman" w:cs="Times New Roman"/>
          <w:sz w:val="28"/>
          <w:szCs w:val="28"/>
        </w:rPr>
        <w:t>Текст</w:t>
      </w:r>
      <w:r w:rsidRPr="007F1ED4">
        <w:rPr>
          <w:rFonts w:ascii="Times New Roman" w:hAnsi="Times New Roman" w:cs="Times New Roman"/>
          <w:sz w:val="28"/>
          <w:szCs w:val="28"/>
        </w:rPr>
        <w:t>]</w:t>
      </w:r>
      <w:r>
        <w:rPr>
          <w:rFonts w:ascii="Times New Roman" w:hAnsi="Times New Roman" w:cs="Times New Roman"/>
          <w:sz w:val="28"/>
          <w:szCs w:val="28"/>
        </w:rPr>
        <w:t xml:space="preserve"> / А.Э. Кузин // Контентус. – 2019. - № 9(86). – С. 45-50.</w:t>
      </w:r>
    </w:p>
    <w:p w:rsidR="007F1ED4" w:rsidRDefault="007F1ED4" w:rsidP="007F1ED4">
      <w:pPr>
        <w:pStyle w:val="a6"/>
        <w:numPr>
          <w:ilvl w:val="0"/>
          <w:numId w:val="3"/>
        </w:numPr>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 xml:space="preserve">Маслова Т.С. Государственная помощь малому и среднему бизнесу в России и за рубежом как объект анализа </w:t>
      </w:r>
      <w:r w:rsidRPr="007F1ED4">
        <w:rPr>
          <w:rFonts w:ascii="Times New Roman" w:hAnsi="Times New Roman" w:cs="Times New Roman"/>
          <w:sz w:val="28"/>
          <w:szCs w:val="28"/>
        </w:rPr>
        <w:t>[</w:t>
      </w:r>
      <w:r>
        <w:rPr>
          <w:rFonts w:ascii="Times New Roman" w:hAnsi="Times New Roman" w:cs="Times New Roman"/>
          <w:sz w:val="28"/>
          <w:szCs w:val="28"/>
        </w:rPr>
        <w:t>Текст</w:t>
      </w:r>
      <w:r w:rsidRPr="007F1ED4">
        <w:rPr>
          <w:rFonts w:ascii="Times New Roman" w:hAnsi="Times New Roman" w:cs="Times New Roman"/>
          <w:sz w:val="28"/>
          <w:szCs w:val="28"/>
        </w:rPr>
        <w:t>]</w:t>
      </w:r>
      <w:r>
        <w:rPr>
          <w:rFonts w:ascii="Times New Roman" w:hAnsi="Times New Roman" w:cs="Times New Roman"/>
          <w:sz w:val="28"/>
          <w:szCs w:val="28"/>
        </w:rPr>
        <w:t xml:space="preserve"> / Т.С</w:t>
      </w:r>
      <w:r w:rsidRPr="007F1ED4">
        <w:rPr>
          <w:rFonts w:ascii="Times New Roman" w:hAnsi="Times New Roman" w:cs="Times New Roman"/>
          <w:sz w:val="28"/>
          <w:szCs w:val="28"/>
        </w:rPr>
        <w:t>.</w:t>
      </w:r>
      <w:r>
        <w:rPr>
          <w:rFonts w:ascii="Times New Roman" w:hAnsi="Times New Roman" w:cs="Times New Roman"/>
          <w:sz w:val="28"/>
          <w:szCs w:val="28"/>
        </w:rPr>
        <w:t xml:space="preserve"> Маслова, А.А. Лалаева // Бухгалтерский учет в бюджетных и некоммерческих организациях. – 2018. - №12 (444). – С. 24-33.</w:t>
      </w:r>
    </w:p>
    <w:p w:rsidR="007F1ED4" w:rsidRDefault="007F1ED4" w:rsidP="007F1ED4">
      <w:pPr>
        <w:pStyle w:val="a6"/>
        <w:numPr>
          <w:ilvl w:val="0"/>
          <w:numId w:val="3"/>
        </w:numPr>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 xml:space="preserve">Хапсаева Р.Б. Налогообложение малого бизнеса в России и за рубежом </w:t>
      </w:r>
      <w:r w:rsidRPr="007F1ED4">
        <w:rPr>
          <w:rFonts w:ascii="Times New Roman" w:hAnsi="Times New Roman" w:cs="Times New Roman"/>
          <w:sz w:val="28"/>
          <w:szCs w:val="28"/>
        </w:rPr>
        <w:t>[</w:t>
      </w:r>
      <w:r>
        <w:rPr>
          <w:rFonts w:ascii="Times New Roman" w:hAnsi="Times New Roman" w:cs="Times New Roman"/>
          <w:sz w:val="28"/>
          <w:szCs w:val="28"/>
        </w:rPr>
        <w:t>Текст</w:t>
      </w:r>
      <w:r w:rsidRPr="007F1ED4">
        <w:rPr>
          <w:rFonts w:ascii="Times New Roman" w:hAnsi="Times New Roman" w:cs="Times New Roman"/>
          <w:sz w:val="28"/>
          <w:szCs w:val="28"/>
        </w:rPr>
        <w:t>]</w:t>
      </w:r>
      <w:r>
        <w:rPr>
          <w:rFonts w:ascii="Times New Roman" w:hAnsi="Times New Roman" w:cs="Times New Roman"/>
          <w:sz w:val="28"/>
          <w:szCs w:val="28"/>
        </w:rPr>
        <w:t xml:space="preserve"> / Р.Б. Хапсаева, М.К. Цалоева // Экономика и управление: проблемы, решения. – 2017. - №11. – С. 61-66.</w:t>
      </w:r>
    </w:p>
    <w:p w:rsidR="00D40C1B" w:rsidRPr="00D40C1B" w:rsidRDefault="00D40C1B" w:rsidP="00D40C1B">
      <w:pPr>
        <w:pStyle w:val="a6"/>
        <w:spacing w:after="0" w:line="240" w:lineRule="auto"/>
        <w:ind w:left="709"/>
        <w:jc w:val="center"/>
        <w:rPr>
          <w:rFonts w:ascii="Times New Roman" w:hAnsi="Times New Roman" w:cs="Times New Roman"/>
          <w:b/>
          <w:sz w:val="28"/>
          <w:szCs w:val="28"/>
          <w:lang w:val="en-US"/>
        </w:rPr>
      </w:pPr>
      <w:r w:rsidRPr="00D40C1B">
        <w:rPr>
          <w:rFonts w:ascii="Times New Roman" w:hAnsi="Times New Roman" w:cs="Times New Roman"/>
          <w:b/>
          <w:sz w:val="28"/>
          <w:szCs w:val="28"/>
          <w:lang w:val="en-US"/>
        </w:rPr>
        <w:t>List of literature</w:t>
      </w:r>
    </w:p>
    <w:p w:rsidR="00D40C1B" w:rsidRPr="00D40C1B" w:rsidRDefault="00D40C1B" w:rsidP="00D40C1B">
      <w:pPr>
        <w:pStyle w:val="a6"/>
        <w:spacing w:after="0" w:line="240" w:lineRule="auto"/>
        <w:ind w:left="0" w:firstLine="709"/>
        <w:jc w:val="both"/>
        <w:rPr>
          <w:rFonts w:ascii="Times New Roman" w:hAnsi="Times New Roman" w:cs="Times New Roman"/>
          <w:sz w:val="28"/>
          <w:szCs w:val="28"/>
          <w:lang w:val="en-US"/>
        </w:rPr>
      </w:pPr>
      <w:r w:rsidRPr="00D40C1B">
        <w:rPr>
          <w:rFonts w:ascii="Times New Roman" w:hAnsi="Times New Roman" w:cs="Times New Roman"/>
          <w:sz w:val="28"/>
          <w:szCs w:val="28"/>
          <w:lang w:val="en-US"/>
        </w:rPr>
        <w:t>1. Vandina O.G. Comparative analysis of taxation systems used by small and medium-sized businesses [Text] / O.G. Vandina, A.V. Ledovskaya, S.E. Shiyanov // Bulletin of the Catherine Institute. – 2022. – №4 (60). – Pp. 49-53.</w:t>
      </w:r>
    </w:p>
    <w:p w:rsidR="00D40C1B" w:rsidRPr="00D40C1B" w:rsidRDefault="00D40C1B" w:rsidP="00D40C1B">
      <w:pPr>
        <w:pStyle w:val="a6"/>
        <w:spacing w:after="0" w:line="240" w:lineRule="auto"/>
        <w:ind w:left="0" w:firstLine="709"/>
        <w:jc w:val="both"/>
        <w:rPr>
          <w:rFonts w:ascii="Times New Roman" w:hAnsi="Times New Roman" w:cs="Times New Roman"/>
          <w:sz w:val="28"/>
          <w:szCs w:val="28"/>
          <w:lang w:val="en-US"/>
        </w:rPr>
      </w:pPr>
      <w:r w:rsidRPr="00D40C1B">
        <w:rPr>
          <w:rFonts w:ascii="Times New Roman" w:hAnsi="Times New Roman" w:cs="Times New Roman"/>
          <w:sz w:val="28"/>
          <w:szCs w:val="28"/>
          <w:lang w:val="en-US"/>
        </w:rPr>
        <w:t>2. Ivanova O.N. Comparative analysis of individual entrepreneurs abroad and in Russia (Yakutia) [Text] / O.N. Ivanova, S.V. Flegontova // Trends in the development of science and education. – 2019. – No.47-3. – pp. 51-55.</w:t>
      </w:r>
    </w:p>
    <w:p w:rsidR="00D40C1B" w:rsidRPr="00D40C1B" w:rsidRDefault="00D40C1B" w:rsidP="00D40C1B">
      <w:pPr>
        <w:pStyle w:val="a6"/>
        <w:spacing w:after="0" w:line="240" w:lineRule="auto"/>
        <w:ind w:left="0" w:firstLine="709"/>
        <w:jc w:val="both"/>
        <w:rPr>
          <w:rFonts w:ascii="Times New Roman" w:hAnsi="Times New Roman" w:cs="Times New Roman"/>
          <w:sz w:val="28"/>
          <w:szCs w:val="28"/>
          <w:lang w:val="en-US"/>
        </w:rPr>
      </w:pPr>
      <w:r w:rsidRPr="00D40C1B">
        <w:rPr>
          <w:rFonts w:ascii="Times New Roman" w:hAnsi="Times New Roman" w:cs="Times New Roman"/>
          <w:sz w:val="28"/>
          <w:szCs w:val="28"/>
          <w:lang w:val="en-US"/>
        </w:rPr>
        <w:t>3. Kuzin A.E. Foreign experience of taxation of organizations [Text] / A.E. Kuzin // Content. – 2019. - № 9(86). – Pp. 45-50.</w:t>
      </w:r>
    </w:p>
    <w:p w:rsidR="00D40C1B" w:rsidRPr="00D40C1B" w:rsidRDefault="00D40C1B" w:rsidP="00D40C1B">
      <w:pPr>
        <w:pStyle w:val="a6"/>
        <w:spacing w:after="0" w:line="240" w:lineRule="auto"/>
        <w:ind w:left="0" w:firstLine="709"/>
        <w:jc w:val="both"/>
        <w:rPr>
          <w:rFonts w:ascii="Times New Roman" w:hAnsi="Times New Roman" w:cs="Times New Roman"/>
          <w:sz w:val="28"/>
          <w:szCs w:val="28"/>
          <w:lang w:val="en-US"/>
        </w:rPr>
      </w:pPr>
      <w:r w:rsidRPr="00D40C1B">
        <w:rPr>
          <w:rFonts w:ascii="Times New Roman" w:hAnsi="Times New Roman" w:cs="Times New Roman"/>
          <w:sz w:val="28"/>
          <w:szCs w:val="28"/>
          <w:lang w:val="en-US"/>
        </w:rPr>
        <w:t>4. Maslova T.S. State assistance to small and medium-sized businesses in Russia and abroad as an object of analysis [Text] / T.S. Maslova, A.A. Lalaeva // Accounting in budgetary and non-profit organizations. – 2018. - №12 (444). – Pp. 24-33.</w:t>
      </w:r>
    </w:p>
    <w:p w:rsidR="00D40C1B" w:rsidRPr="00D40C1B" w:rsidRDefault="00D40C1B" w:rsidP="00D40C1B">
      <w:pPr>
        <w:pStyle w:val="a6"/>
        <w:spacing w:after="0" w:line="240" w:lineRule="auto"/>
        <w:ind w:left="0" w:firstLine="709"/>
        <w:jc w:val="both"/>
        <w:rPr>
          <w:rFonts w:ascii="Times New Roman" w:hAnsi="Times New Roman" w:cs="Times New Roman"/>
          <w:sz w:val="28"/>
          <w:szCs w:val="28"/>
          <w:lang w:val="en-US"/>
        </w:rPr>
      </w:pPr>
      <w:r w:rsidRPr="00D40C1B">
        <w:rPr>
          <w:rFonts w:ascii="Times New Roman" w:hAnsi="Times New Roman" w:cs="Times New Roman"/>
          <w:sz w:val="28"/>
          <w:szCs w:val="28"/>
          <w:lang w:val="en-US"/>
        </w:rPr>
        <w:t>5. Thapsaeva R.B. Taxation of small business in Russia and abroad [Text] / R.B. Thapsaeva, M.K. Tsaloeva // Economics and management: problems, solutions. – 2017. - No. 11. – pp. 61-66.</w:t>
      </w:r>
    </w:p>
    <w:p w:rsidR="007F1ED4" w:rsidRPr="00D40C1B" w:rsidRDefault="007F1ED4" w:rsidP="007F1ED4">
      <w:pPr>
        <w:pStyle w:val="a6"/>
        <w:spacing w:after="0" w:line="240" w:lineRule="auto"/>
        <w:ind w:left="0" w:firstLine="709"/>
        <w:jc w:val="both"/>
        <w:rPr>
          <w:rFonts w:ascii="Times New Roman" w:hAnsi="Times New Roman" w:cs="Times New Roman"/>
          <w:sz w:val="28"/>
          <w:szCs w:val="28"/>
          <w:lang w:val="en-US"/>
        </w:rPr>
      </w:pPr>
    </w:p>
    <w:p w:rsidR="007F1ED4" w:rsidRPr="00D40C1B" w:rsidRDefault="007F1ED4" w:rsidP="007F1ED4">
      <w:pPr>
        <w:pStyle w:val="a6"/>
        <w:spacing w:after="0" w:line="240" w:lineRule="auto"/>
        <w:ind w:left="0" w:firstLine="709"/>
        <w:jc w:val="both"/>
        <w:rPr>
          <w:rFonts w:ascii="Times New Roman" w:hAnsi="Times New Roman" w:cs="Times New Roman"/>
          <w:sz w:val="28"/>
          <w:szCs w:val="28"/>
          <w:lang w:val="en-US"/>
        </w:rPr>
      </w:pPr>
    </w:p>
    <w:p w:rsidR="007F1ED4" w:rsidRPr="00D40C1B" w:rsidRDefault="007F1ED4" w:rsidP="007F1ED4">
      <w:pPr>
        <w:pStyle w:val="a6"/>
        <w:spacing w:after="0" w:line="240" w:lineRule="auto"/>
        <w:ind w:left="0" w:firstLine="709"/>
        <w:jc w:val="both"/>
        <w:rPr>
          <w:rFonts w:ascii="Times New Roman" w:hAnsi="Times New Roman" w:cs="Times New Roman"/>
          <w:sz w:val="28"/>
          <w:szCs w:val="28"/>
          <w:lang w:val="en-US"/>
        </w:rPr>
      </w:pPr>
    </w:p>
    <w:p w:rsidR="007F1ED4" w:rsidRPr="00D40C1B" w:rsidRDefault="007F1ED4" w:rsidP="002A43EA">
      <w:pPr>
        <w:pStyle w:val="a6"/>
        <w:spacing w:after="0" w:line="240" w:lineRule="auto"/>
        <w:ind w:left="0" w:firstLine="709"/>
        <w:jc w:val="both"/>
        <w:rPr>
          <w:rFonts w:ascii="Times New Roman" w:hAnsi="Times New Roman" w:cs="Times New Roman"/>
          <w:sz w:val="28"/>
          <w:szCs w:val="28"/>
          <w:lang w:val="en-US"/>
        </w:rPr>
      </w:pPr>
    </w:p>
    <w:p w:rsidR="00297C89" w:rsidRPr="00D40C1B" w:rsidRDefault="00297C89" w:rsidP="00224D73">
      <w:pPr>
        <w:spacing w:after="0" w:line="240" w:lineRule="auto"/>
        <w:ind w:firstLine="709"/>
        <w:jc w:val="both"/>
        <w:rPr>
          <w:rFonts w:ascii="Times New Roman" w:hAnsi="Times New Roman" w:cs="Times New Roman"/>
          <w:sz w:val="28"/>
          <w:szCs w:val="28"/>
          <w:lang w:val="en-US"/>
        </w:rPr>
      </w:pPr>
    </w:p>
    <w:sectPr w:rsidR="00297C89" w:rsidRPr="00D40C1B" w:rsidSect="00224D73">
      <w:footerReference w:type="default" r:id="rId8"/>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55A81" w:rsidRDefault="00555A81" w:rsidP="00297C89">
      <w:pPr>
        <w:spacing w:after="0" w:line="240" w:lineRule="auto"/>
      </w:pPr>
      <w:r>
        <w:separator/>
      </w:r>
    </w:p>
  </w:endnote>
  <w:endnote w:type="continuationSeparator" w:id="0">
    <w:p w:rsidR="00555A81" w:rsidRDefault="00555A81" w:rsidP="00297C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cs="Times New Roman"/>
      </w:rPr>
      <w:id w:val="-558473938"/>
      <w:docPartObj>
        <w:docPartGallery w:val="Page Numbers (Bottom of Page)"/>
        <w:docPartUnique/>
      </w:docPartObj>
    </w:sdtPr>
    <w:sdtEndPr/>
    <w:sdtContent>
      <w:p w:rsidR="00D40C1B" w:rsidRPr="00D40C1B" w:rsidRDefault="00D40C1B" w:rsidP="00D40C1B">
        <w:pPr>
          <w:pStyle w:val="a9"/>
          <w:jc w:val="center"/>
          <w:rPr>
            <w:rFonts w:ascii="Times New Roman" w:hAnsi="Times New Roman" w:cs="Times New Roman"/>
          </w:rPr>
        </w:pPr>
        <w:r w:rsidRPr="00D40C1B">
          <w:rPr>
            <w:rFonts w:ascii="Times New Roman" w:hAnsi="Times New Roman" w:cs="Times New Roman"/>
          </w:rPr>
          <w:fldChar w:fldCharType="begin"/>
        </w:r>
        <w:r w:rsidRPr="00D40C1B">
          <w:rPr>
            <w:rFonts w:ascii="Times New Roman" w:hAnsi="Times New Roman" w:cs="Times New Roman"/>
          </w:rPr>
          <w:instrText>PAGE   \* MERGEFORMAT</w:instrText>
        </w:r>
        <w:r w:rsidRPr="00D40C1B">
          <w:rPr>
            <w:rFonts w:ascii="Times New Roman" w:hAnsi="Times New Roman" w:cs="Times New Roman"/>
          </w:rPr>
          <w:fldChar w:fldCharType="separate"/>
        </w:r>
        <w:r w:rsidR="007024EE">
          <w:rPr>
            <w:rFonts w:ascii="Times New Roman" w:hAnsi="Times New Roman" w:cs="Times New Roman"/>
            <w:noProof/>
          </w:rPr>
          <w:t>1</w:t>
        </w:r>
        <w:r w:rsidRPr="00D40C1B">
          <w:rPr>
            <w:rFonts w:ascii="Times New Roman" w:hAnsi="Times New Roman" w:cs="Times New Roman"/>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55A81" w:rsidRDefault="00555A81" w:rsidP="00297C89">
      <w:pPr>
        <w:spacing w:after="0" w:line="240" w:lineRule="auto"/>
      </w:pPr>
      <w:r>
        <w:separator/>
      </w:r>
    </w:p>
  </w:footnote>
  <w:footnote w:type="continuationSeparator" w:id="0">
    <w:p w:rsidR="00555A81" w:rsidRDefault="00555A81" w:rsidP="00297C8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F042F9"/>
    <w:multiLevelType w:val="hybridMultilevel"/>
    <w:tmpl w:val="9650E642"/>
    <w:lvl w:ilvl="0" w:tplc="F580C7CE">
      <w:start w:val="1"/>
      <w:numFmt w:val="decimal"/>
      <w:lvlText w:val="%1."/>
      <w:lvlJc w:val="left"/>
      <w:pPr>
        <w:ind w:left="1144" w:hanging="360"/>
      </w:pPr>
      <w:rPr>
        <w:rFonts w:hint="default"/>
      </w:rPr>
    </w:lvl>
    <w:lvl w:ilvl="1" w:tplc="04190019" w:tentative="1">
      <w:start w:val="1"/>
      <w:numFmt w:val="lowerLetter"/>
      <w:lvlText w:val="%2."/>
      <w:lvlJc w:val="left"/>
      <w:pPr>
        <w:ind w:left="1864" w:hanging="360"/>
      </w:pPr>
    </w:lvl>
    <w:lvl w:ilvl="2" w:tplc="0419001B" w:tentative="1">
      <w:start w:val="1"/>
      <w:numFmt w:val="lowerRoman"/>
      <w:lvlText w:val="%3."/>
      <w:lvlJc w:val="right"/>
      <w:pPr>
        <w:ind w:left="2584" w:hanging="180"/>
      </w:pPr>
    </w:lvl>
    <w:lvl w:ilvl="3" w:tplc="0419000F" w:tentative="1">
      <w:start w:val="1"/>
      <w:numFmt w:val="decimal"/>
      <w:lvlText w:val="%4."/>
      <w:lvlJc w:val="left"/>
      <w:pPr>
        <w:ind w:left="3304" w:hanging="360"/>
      </w:pPr>
    </w:lvl>
    <w:lvl w:ilvl="4" w:tplc="04190019" w:tentative="1">
      <w:start w:val="1"/>
      <w:numFmt w:val="lowerLetter"/>
      <w:lvlText w:val="%5."/>
      <w:lvlJc w:val="left"/>
      <w:pPr>
        <w:ind w:left="4024" w:hanging="360"/>
      </w:pPr>
    </w:lvl>
    <w:lvl w:ilvl="5" w:tplc="0419001B" w:tentative="1">
      <w:start w:val="1"/>
      <w:numFmt w:val="lowerRoman"/>
      <w:lvlText w:val="%6."/>
      <w:lvlJc w:val="right"/>
      <w:pPr>
        <w:ind w:left="4744" w:hanging="180"/>
      </w:pPr>
    </w:lvl>
    <w:lvl w:ilvl="6" w:tplc="0419000F" w:tentative="1">
      <w:start w:val="1"/>
      <w:numFmt w:val="decimal"/>
      <w:lvlText w:val="%7."/>
      <w:lvlJc w:val="left"/>
      <w:pPr>
        <w:ind w:left="5464" w:hanging="360"/>
      </w:pPr>
    </w:lvl>
    <w:lvl w:ilvl="7" w:tplc="04190019" w:tentative="1">
      <w:start w:val="1"/>
      <w:numFmt w:val="lowerLetter"/>
      <w:lvlText w:val="%8."/>
      <w:lvlJc w:val="left"/>
      <w:pPr>
        <w:ind w:left="6184" w:hanging="360"/>
      </w:pPr>
    </w:lvl>
    <w:lvl w:ilvl="8" w:tplc="0419001B" w:tentative="1">
      <w:start w:val="1"/>
      <w:numFmt w:val="lowerRoman"/>
      <w:lvlText w:val="%9."/>
      <w:lvlJc w:val="right"/>
      <w:pPr>
        <w:ind w:left="6904" w:hanging="180"/>
      </w:pPr>
    </w:lvl>
  </w:abstractNum>
  <w:abstractNum w:abstractNumId="1" w15:restartNumberingAfterBreak="0">
    <w:nsid w:val="140A7CFB"/>
    <w:multiLevelType w:val="hybridMultilevel"/>
    <w:tmpl w:val="215C5098"/>
    <w:lvl w:ilvl="0" w:tplc="D06A283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15:restartNumberingAfterBreak="0">
    <w:nsid w:val="5CA73045"/>
    <w:multiLevelType w:val="hybridMultilevel"/>
    <w:tmpl w:val="9650E642"/>
    <w:lvl w:ilvl="0" w:tplc="F580C7CE">
      <w:start w:val="1"/>
      <w:numFmt w:val="decimal"/>
      <w:lvlText w:val="%1."/>
      <w:lvlJc w:val="left"/>
      <w:pPr>
        <w:ind w:left="1144" w:hanging="360"/>
      </w:pPr>
      <w:rPr>
        <w:rFonts w:hint="default"/>
      </w:rPr>
    </w:lvl>
    <w:lvl w:ilvl="1" w:tplc="04190019" w:tentative="1">
      <w:start w:val="1"/>
      <w:numFmt w:val="lowerLetter"/>
      <w:lvlText w:val="%2."/>
      <w:lvlJc w:val="left"/>
      <w:pPr>
        <w:ind w:left="1864" w:hanging="360"/>
      </w:pPr>
    </w:lvl>
    <w:lvl w:ilvl="2" w:tplc="0419001B" w:tentative="1">
      <w:start w:val="1"/>
      <w:numFmt w:val="lowerRoman"/>
      <w:lvlText w:val="%3."/>
      <w:lvlJc w:val="right"/>
      <w:pPr>
        <w:ind w:left="2584" w:hanging="180"/>
      </w:pPr>
    </w:lvl>
    <w:lvl w:ilvl="3" w:tplc="0419000F" w:tentative="1">
      <w:start w:val="1"/>
      <w:numFmt w:val="decimal"/>
      <w:lvlText w:val="%4."/>
      <w:lvlJc w:val="left"/>
      <w:pPr>
        <w:ind w:left="3304" w:hanging="360"/>
      </w:pPr>
    </w:lvl>
    <w:lvl w:ilvl="4" w:tplc="04190019" w:tentative="1">
      <w:start w:val="1"/>
      <w:numFmt w:val="lowerLetter"/>
      <w:lvlText w:val="%5."/>
      <w:lvlJc w:val="left"/>
      <w:pPr>
        <w:ind w:left="4024" w:hanging="360"/>
      </w:pPr>
    </w:lvl>
    <w:lvl w:ilvl="5" w:tplc="0419001B" w:tentative="1">
      <w:start w:val="1"/>
      <w:numFmt w:val="lowerRoman"/>
      <w:lvlText w:val="%6."/>
      <w:lvlJc w:val="right"/>
      <w:pPr>
        <w:ind w:left="4744" w:hanging="180"/>
      </w:pPr>
    </w:lvl>
    <w:lvl w:ilvl="6" w:tplc="0419000F" w:tentative="1">
      <w:start w:val="1"/>
      <w:numFmt w:val="decimal"/>
      <w:lvlText w:val="%7."/>
      <w:lvlJc w:val="left"/>
      <w:pPr>
        <w:ind w:left="5464" w:hanging="360"/>
      </w:pPr>
    </w:lvl>
    <w:lvl w:ilvl="7" w:tplc="04190019" w:tentative="1">
      <w:start w:val="1"/>
      <w:numFmt w:val="lowerLetter"/>
      <w:lvlText w:val="%8."/>
      <w:lvlJc w:val="left"/>
      <w:pPr>
        <w:ind w:left="6184" w:hanging="360"/>
      </w:pPr>
    </w:lvl>
    <w:lvl w:ilvl="8" w:tplc="0419001B" w:tentative="1">
      <w:start w:val="1"/>
      <w:numFmt w:val="lowerRoman"/>
      <w:lvlText w:val="%9."/>
      <w:lvlJc w:val="right"/>
      <w:pPr>
        <w:ind w:left="6904"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4D73"/>
    <w:rsid w:val="000278C6"/>
    <w:rsid w:val="000B4F6E"/>
    <w:rsid w:val="00113D77"/>
    <w:rsid w:val="00152C60"/>
    <w:rsid w:val="00197A83"/>
    <w:rsid w:val="00224D73"/>
    <w:rsid w:val="00294513"/>
    <w:rsid w:val="00297C89"/>
    <w:rsid w:val="002A43EA"/>
    <w:rsid w:val="00422AA2"/>
    <w:rsid w:val="004627CE"/>
    <w:rsid w:val="0046353C"/>
    <w:rsid w:val="004A22A3"/>
    <w:rsid w:val="00555A81"/>
    <w:rsid w:val="00573687"/>
    <w:rsid w:val="005A598B"/>
    <w:rsid w:val="006E79EC"/>
    <w:rsid w:val="007024EE"/>
    <w:rsid w:val="007A3B26"/>
    <w:rsid w:val="007C3468"/>
    <w:rsid w:val="007F1ED4"/>
    <w:rsid w:val="008837DB"/>
    <w:rsid w:val="00AD00C9"/>
    <w:rsid w:val="00B20392"/>
    <w:rsid w:val="00C970B9"/>
    <w:rsid w:val="00D40C1B"/>
    <w:rsid w:val="00D55478"/>
    <w:rsid w:val="00E34E18"/>
    <w:rsid w:val="00EC5249"/>
    <w:rsid w:val="00EE25C2"/>
    <w:rsid w:val="00FB605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770089E-8A43-4384-BAE7-8118490751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297C89"/>
    <w:pPr>
      <w:spacing w:after="0" w:line="240" w:lineRule="auto"/>
    </w:pPr>
    <w:rPr>
      <w:sz w:val="20"/>
      <w:szCs w:val="20"/>
    </w:rPr>
  </w:style>
  <w:style w:type="character" w:customStyle="1" w:styleId="a4">
    <w:name w:val="Текст сноски Знак"/>
    <w:basedOn w:val="a0"/>
    <w:link w:val="a3"/>
    <w:uiPriority w:val="99"/>
    <w:semiHidden/>
    <w:rsid w:val="00297C89"/>
    <w:rPr>
      <w:sz w:val="20"/>
      <w:szCs w:val="20"/>
    </w:rPr>
  </w:style>
  <w:style w:type="character" w:styleId="a5">
    <w:name w:val="footnote reference"/>
    <w:basedOn w:val="a0"/>
    <w:uiPriority w:val="99"/>
    <w:semiHidden/>
    <w:unhideWhenUsed/>
    <w:rsid w:val="00297C89"/>
    <w:rPr>
      <w:vertAlign w:val="superscript"/>
    </w:rPr>
  </w:style>
  <w:style w:type="paragraph" w:styleId="a6">
    <w:name w:val="List Paragraph"/>
    <w:basedOn w:val="a"/>
    <w:uiPriority w:val="34"/>
    <w:qFormat/>
    <w:rsid w:val="008837DB"/>
    <w:pPr>
      <w:ind w:left="720"/>
      <w:contextualSpacing/>
    </w:pPr>
  </w:style>
  <w:style w:type="paragraph" w:styleId="a7">
    <w:name w:val="header"/>
    <w:basedOn w:val="a"/>
    <w:link w:val="a8"/>
    <w:uiPriority w:val="99"/>
    <w:unhideWhenUsed/>
    <w:rsid w:val="00D40C1B"/>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D40C1B"/>
  </w:style>
  <w:style w:type="paragraph" w:styleId="a9">
    <w:name w:val="footer"/>
    <w:basedOn w:val="a"/>
    <w:link w:val="aa"/>
    <w:uiPriority w:val="99"/>
    <w:unhideWhenUsed/>
    <w:rsid w:val="00D40C1B"/>
    <w:pPr>
      <w:tabs>
        <w:tab w:val="center" w:pos="4677"/>
        <w:tab w:val="right" w:pos="9355"/>
      </w:tabs>
      <w:spacing w:after="0" w:line="240" w:lineRule="auto"/>
    </w:pPr>
  </w:style>
  <w:style w:type="character" w:customStyle="1" w:styleId="aa">
    <w:name w:val="Нижний колонтитул Знак"/>
    <w:basedOn w:val="a0"/>
    <w:link w:val="a9"/>
    <w:uiPriority w:val="99"/>
    <w:rsid w:val="00D40C1B"/>
  </w:style>
  <w:style w:type="character" w:customStyle="1" w:styleId="fontstyle01">
    <w:name w:val="fontstyle01"/>
    <w:basedOn w:val="a0"/>
    <w:rsid w:val="00113D77"/>
    <w:rPr>
      <w:rFonts w:ascii="Times New Roman" w:hAnsi="Times New Roman" w:cs="Times New Roman" w:hint="default"/>
      <w:b/>
      <w:bCs/>
      <w:i w:val="0"/>
      <w:iCs w:val="0"/>
      <w:color w:val="000000"/>
      <w:sz w:val="28"/>
      <w:szCs w:val="28"/>
    </w:rPr>
  </w:style>
  <w:style w:type="character" w:customStyle="1" w:styleId="fontstyle21">
    <w:name w:val="fontstyle21"/>
    <w:basedOn w:val="a0"/>
    <w:rsid w:val="00113D77"/>
    <w:rPr>
      <w:rFonts w:ascii="Times New Roman" w:hAnsi="Times New Roman" w:cs="Times New Roman" w:hint="default"/>
      <w:b w:val="0"/>
      <w:bCs w:val="0"/>
      <w:i/>
      <w:iCs/>
      <w:color w:val="00000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466066-BF7A-42C8-8DCA-F1EFC00FF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2791</Words>
  <Characters>15909</Characters>
  <Application>Microsoft Office Word</Application>
  <DocSecurity>0</DocSecurity>
  <Lines>132</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18663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Андрей</dc:creator>
  <cp:lastModifiedBy>Василенко Марина</cp:lastModifiedBy>
  <cp:revision>2</cp:revision>
  <dcterms:created xsi:type="dcterms:W3CDTF">2023-12-21T04:11:00Z</dcterms:created>
  <dcterms:modified xsi:type="dcterms:W3CDTF">2023-12-21T04:11:00Z</dcterms:modified>
</cp:coreProperties>
</file>