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198" w:rsidRPr="006F0198" w:rsidRDefault="006F0198" w:rsidP="006F01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t>НЕГОСУДАРСТВЕННОЕ ОБРАЗОВАТЕЛЬНОЕ УЧРЕЖДЕНИЕ</w:t>
      </w: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br/>
        <w:t xml:space="preserve">ДОПОЛНИТЕЛЬНОГО ПРОФЕССИОНАЛЬНОГО </w:t>
      </w:r>
      <w:proofErr w:type="gramStart"/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t>ОБРАЗОВАНИЯ</w:t>
      </w: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br/>
        <w:t>«</w:t>
      </w:r>
      <w:proofErr w:type="gramEnd"/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t>САНКТ-ПЕТЕРБУРГСКИЙ ИНСТИТУТ ПРОЕКТНОГО МЕНЕДЖМЕНТА»</w:t>
      </w:r>
      <w:r w:rsidRPr="006F0198">
        <w:rPr>
          <w:rFonts w:ascii="Arial" w:eastAsia="Times New Roman" w:hAnsi="Arial" w:cs="Arial"/>
          <w:b/>
          <w:bCs/>
          <w:color w:val="333399"/>
          <w:sz w:val="24"/>
          <w:szCs w:val="24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106"/>
          <w:szCs w:val="106"/>
          <w:lang w:eastAsia="ru-RU"/>
        </w:rPr>
        <w:t>Сборник</w:t>
      </w:r>
      <w:r w:rsidRPr="006F0198">
        <w:rPr>
          <w:rFonts w:ascii="Arial" w:eastAsia="Times New Roman" w:hAnsi="Arial" w:cs="Arial"/>
          <w:b/>
          <w:bCs/>
          <w:color w:val="333399"/>
          <w:sz w:val="106"/>
          <w:szCs w:val="106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t>научных статей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  <w:t>по итогам международной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  <w:t>научно-практической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  <w:t>конференции</w:t>
      </w:r>
      <w:r w:rsidRPr="006F0198">
        <w:rPr>
          <w:rFonts w:ascii="Arial" w:eastAsia="Times New Roman" w:hAnsi="Arial" w:cs="Arial"/>
          <w:b/>
          <w:bCs/>
          <w:color w:val="333399"/>
          <w:sz w:val="44"/>
          <w:szCs w:val="44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36"/>
          <w:szCs w:val="36"/>
          <w:lang w:eastAsia="ru-RU"/>
        </w:rPr>
        <w:t>30 апреля 2016 года</w:t>
      </w:r>
      <w:r w:rsidRPr="006F0198">
        <w:rPr>
          <w:rFonts w:ascii="Arial" w:eastAsia="Times New Roman" w:hAnsi="Arial" w:cs="Arial"/>
          <w:b/>
          <w:bCs/>
          <w:color w:val="333399"/>
          <w:sz w:val="36"/>
          <w:szCs w:val="36"/>
          <w:lang w:eastAsia="ru-RU"/>
        </w:rPr>
        <w:br/>
      </w:r>
      <w:r w:rsidRPr="006F0198">
        <w:rPr>
          <w:rFonts w:ascii="Arial" w:eastAsia="Times New Roman" w:hAnsi="Arial" w:cs="Arial"/>
          <w:b/>
          <w:bCs/>
          <w:color w:val="333399"/>
          <w:sz w:val="32"/>
          <w:szCs w:val="32"/>
          <w:lang w:eastAsia="ru-RU"/>
        </w:rPr>
        <w:t>МОДЕРНИЗАЦИОННЫЙ ВЕКТОР РАЗВИТИЯ НАУКИ</w:t>
      </w:r>
      <w:r w:rsidRPr="006F0198">
        <w:rPr>
          <w:rFonts w:ascii="Arial" w:eastAsia="Times New Roman" w:hAnsi="Arial" w:cs="Arial"/>
          <w:b/>
          <w:bCs/>
          <w:color w:val="333399"/>
          <w:sz w:val="32"/>
          <w:szCs w:val="32"/>
          <w:lang w:eastAsia="ru-RU"/>
        </w:rPr>
        <w:br/>
        <w:t>В XXI ВЕКЕ: ТРАДИЦИИ, НОВАЦИИ, ПРЕЕМСТВЕННОСТЬ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3000"/>
      </w:tblGrid>
      <w:tr w:rsidR="006F0198" w:rsidRPr="006F0198" w:rsidTr="006F0198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198" w:rsidRPr="006F0198" w:rsidRDefault="006F0198" w:rsidP="006F0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АРХИТЕКТУРА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БИОЛОГИЧЕСКИЕ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ГЕОГРАФИЧЕСКИЕ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ГИДРОГЕОЭКОЛОГИЯ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ГОСУДАРСТВЕННОЕ 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МУНИЦИПАЛЬНОЕ УПРАВЛЕНИЕ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ИННОВАЦИОННОЕ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ПРЕДПРИНИМАТЕЛЬСТВО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ИНФОРМАЦИОННЫЕ ТЕХНОЛОГИИ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ИСТОРИЧЕСКИЕ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КУЛЬТУРОЛОГИЯ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МЕДИЦИНСКИЕ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 xml:space="preserve">МЕЖКУЛЬТУРНАЯ 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lastRenderedPageBreak/>
              <w:t>КОММУНИКАЦИЯ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ПЕДАГОГИЧЕСКИЕ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ПОВЫШЕНИЕ КВАЛИФИКАЦИИ 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ПРОФЕССИОНАЛЬНАЯ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ПЕРЕПОДГОТОВКА СПЕЦИАЛИСТОВ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СОЦИАЛЬНОЙ СФЕРЫ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198" w:rsidRPr="006F0198" w:rsidRDefault="006F0198" w:rsidP="006F01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lastRenderedPageBreak/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ПОЛИТИЧЕСКИЕ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ПСИХОЛОГИЧЕСКИЕ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СОЦИОЛОГИЧЕСКИЕ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ТЕХНИЧЕСКИЕ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ФАРМАЦЕВТИЧЕСКИЕ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ФИЗИКА КОНДЕНСИРОВАННОГО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СОСТОЯНИЯ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ФИЗИКО-МАТЕМАТИЧЕСКИЕ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  <w:t>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ФИЛОЛОГИЧЕСКИЕ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ФИЛОСОФСКИЕ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lastRenderedPageBreak/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ХИМИЧЕСКИЕ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ЭКОНОМИЧЕСКИЕ НАУКИ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br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sym w:font="Symbol" w:char="F0B7"/>
            </w:r>
            <w:r w:rsidRPr="006F0198">
              <w:rPr>
                <w:rFonts w:ascii="Symbol" w:eastAsia="Times New Roman" w:hAnsi="Symbol" w:cs="Times New Roman"/>
                <w:color w:val="333399"/>
                <w:sz w:val="20"/>
                <w:szCs w:val="20"/>
                <w:lang w:eastAsia="ru-RU"/>
              </w:rPr>
              <w:t></w:t>
            </w:r>
            <w:r w:rsidRPr="006F0198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  <w:lang w:eastAsia="ru-RU"/>
              </w:rPr>
              <w:t>ЮРИДИЧЕСКИЕ НАУКИ</w:t>
            </w:r>
          </w:p>
        </w:tc>
      </w:tr>
    </w:tbl>
    <w:p w:rsidR="006F0198" w:rsidRDefault="006F0198">
      <w:pPr>
        <w:rPr>
          <w:rFonts w:ascii="Arial" w:eastAsia="Times New Roman" w:hAnsi="Arial" w:cs="Arial"/>
          <w:b/>
          <w:bCs/>
          <w:color w:val="333399"/>
          <w:sz w:val="26"/>
          <w:szCs w:val="26"/>
          <w:lang w:eastAsia="ru-RU"/>
        </w:rPr>
      </w:pPr>
      <w:r w:rsidRPr="006F01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6F0198">
        <w:rPr>
          <w:rFonts w:ascii="Arial" w:eastAsia="Times New Roman" w:hAnsi="Arial" w:cs="Arial"/>
          <w:b/>
          <w:bCs/>
          <w:color w:val="333399"/>
          <w:sz w:val="26"/>
          <w:szCs w:val="26"/>
          <w:lang w:eastAsia="ru-RU"/>
        </w:rPr>
        <w:t>САНКТ-ПЕТЕРБУРГ</w:t>
      </w:r>
      <w:r w:rsidRPr="006F0198">
        <w:rPr>
          <w:rFonts w:ascii="Arial" w:eastAsia="Times New Roman" w:hAnsi="Arial" w:cs="Arial"/>
          <w:b/>
          <w:bCs/>
          <w:color w:val="333399"/>
          <w:sz w:val="26"/>
          <w:szCs w:val="26"/>
          <w:lang w:eastAsia="ru-RU"/>
        </w:rPr>
        <w:br/>
        <w:t>2016</w:t>
      </w:r>
    </w:p>
    <w:p w:rsidR="006F0198" w:rsidRDefault="006F0198">
      <w:pPr>
        <w:rPr>
          <w:rStyle w:val="fontstyle01"/>
          <w:sz w:val="28"/>
          <w:szCs w:val="28"/>
        </w:rPr>
      </w:pP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УДК 00; 001; 009; 1; 7; 8; 9; 30; 33; 34; 35; 37; 39; 50; 51; 52; 53; 54; 55; 60; 61; 62; 63; 65;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66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ББК 2; 5; 6/8; 20; 22; 22.3; 24; 26; 26.3; 26.8; 28; 30; 32; 52; 53; 60; 63; 63.3; 65; 65.05; 67;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71; 74; 77; 80; 80/84; 87; 88</w:t>
      </w:r>
      <w:r w:rsidRPr="006F0198">
        <w:rPr>
          <w:b/>
          <w:b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Электронная версия сборника размещается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Научной электронной библиотеке (</w:t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eLibrary.ru</w:t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(договор с ООО «НЭБ» № 687-07/2013К)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Включена в Российский индекс научного цитирования (</w:t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РИНЦ</w:t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  <w:r w:rsidRPr="006F0198">
        <w:rPr>
          <w:i/>
          <w:iCs/>
          <w:color w:val="000000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Модернизационный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 вектор развития науки в XXI веке: традиции, новации, преемственность,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30 апреля 2016 года, г. Санкт-Петербург. </w:t>
      </w:r>
      <w:r w:rsidRPr="006F0198">
        <w:rPr>
          <w:rFonts w:ascii="Symbol" w:hAnsi="Symbol"/>
          <w:color w:val="000000"/>
          <w:sz w:val="24"/>
          <w:szCs w:val="24"/>
        </w:rPr>
        <w:sym w:font="Symbol" w:char="F02D"/>
      </w:r>
      <w:r w:rsidRPr="006F0198">
        <w:rPr>
          <w:rFonts w:ascii="Symbol" w:hAnsi="Symbol"/>
          <w:color w:val="000000"/>
          <w:sz w:val="24"/>
          <w:szCs w:val="24"/>
        </w:rPr>
        <w:t>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СПб.: Изд-во «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КультИнформПресс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», 2016. </w:t>
      </w:r>
      <w:r w:rsidRPr="006F0198">
        <w:rPr>
          <w:rFonts w:ascii="Symbol" w:hAnsi="Symbol"/>
          <w:color w:val="000000"/>
          <w:sz w:val="24"/>
          <w:szCs w:val="24"/>
        </w:rPr>
        <w:sym w:font="Symbol" w:char="F02D"/>
      </w:r>
      <w:r w:rsidRPr="006F0198">
        <w:rPr>
          <w:rFonts w:ascii="Symbol" w:hAnsi="Symbol"/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297 c.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Сборник включает статьи участников Международной научно-практической конференции «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Модернизационный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 вектор развития науки в XXI веке: традиции, новации, преемственность», прошедшей 30 апреля 2016 года в городе Санкт-Петербурге на базе Негосударственного образовательного учреждения дополнительного профессионального образования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«Санкт-Петербургский институт проектного менеджмента».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Сборник содержит статьи по </w:t>
      </w:r>
      <w:r w:rsidRPr="006F01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научным направлениям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: архитектура; биологические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науки; географические науки; 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гидрогеоэкология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>; государственное и муниципальное управление; инновационное предпринимательство; информационные технологии; исторические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науки; культурология; медицинские науки; межкультурная коммуникация; педагогические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науки; повышение квалификации и профессиональная переподготовка специалистов социальной сферы; политические науки; 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психологические науки; социологические науки; технические науки; фармацевтические науки; физика конденсированного состояния; 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физикоматематические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 xml:space="preserve"> науки; филологические науки; философские науки; химические науки; экономические науки; юридические науки.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В материалах конференции обсуждаются проблемы различных областей современной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науки. Статьи представлены учеными и специалистами Российской Федерации и ближнего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зарубежья. Сборник представляет интерес для учёных различных исследовательских направлений, преподавателей, студентов, аспирантов – для всех, кто интересуется развитием современной науки.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Издательство не несет ответственности за материалы, опубликованные в сборнике.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Все материалы поданы в авторской редакции и отображают персональную позицию участника конференции.</w:t>
      </w:r>
      <w:r w:rsidRPr="006F0198">
        <w:rPr>
          <w:color w:val="000000"/>
        </w:rPr>
        <w:br/>
      </w:r>
      <w:r w:rsidRPr="006F0198">
        <w:rPr>
          <w:rFonts w:ascii="Arial" w:hAnsi="Arial" w:cs="Arial"/>
          <w:b/>
          <w:bCs/>
          <w:color w:val="000000"/>
          <w:sz w:val="28"/>
          <w:szCs w:val="28"/>
        </w:rPr>
        <w:t>ISBN 978-5-8392-0600-7</w:t>
      </w:r>
      <w:r w:rsidRPr="006F0198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Pr="006F0198">
        <w:rPr>
          <w:rFonts w:ascii="Symbol" w:hAnsi="Symbol"/>
          <w:color w:val="000000"/>
          <w:sz w:val="24"/>
          <w:szCs w:val="24"/>
        </w:rPr>
        <w:sym w:font="Symbol" w:char="F0D3"/>
      </w:r>
      <w:r w:rsidRPr="006F0198">
        <w:rPr>
          <w:rFonts w:ascii="Symbol" w:hAnsi="Symbol"/>
          <w:color w:val="000000"/>
          <w:sz w:val="24"/>
          <w:szCs w:val="24"/>
        </w:rPr>
        <w:t>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Негосударственное образовательное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учреждение дополнительного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профессионального образования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«Санкт-Петербургский институт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проектного менеджмента»,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2016</w:t>
      </w:r>
      <w:r w:rsidRPr="006F0198">
        <w:rPr>
          <w:color w:val="000000"/>
        </w:rPr>
        <w:br/>
      </w:r>
      <w:r w:rsidRPr="006F0198">
        <w:rPr>
          <w:rFonts w:ascii="Symbol" w:hAnsi="Symbol"/>
          <w:color w:val="000000"/>
          <w:sz w:val="24"/>
          <w:szCs w:val="24"/>
        </w:rPr>
        <w:sym w:font="Symbol" w:char="F0D3"/>
      </w:r>
      <w:r w:rsidRPr="006F0198">
        <w:rPr>
          <w:rFonts w:ascii="Symbol" w:hAnsi="Symbol"/>
          <w:color w:val="000000"/>
          <w:sz w:val="24"/>
          <w:szCs w:val="24"/>
        </w:rPr>
        <w:t></w:t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Издательство «</w:t>
      </w:r>
      <w:proofErr w:type="spellStart"/>
      <w:r w:rsidRPr="006F0198">
        <w:rPr>
          <w:rFonts w:ascii="Times New Roman" w:hAnsi="Times New Roman" w:cs="Times New Roman"/>
          <w:color w:val="000000"/>
          <w:sz w:val="24"/>
          <w:szCs w:val="24"/>
        </w:rPr>
        <w:t>КультИнформПресс</w:t>
      </w:r>
      <w:proofErr w:type="spellEnd"/>
      <w:r w:rsidRPr="006F0198">
        <w:rPr>
          <w:rFonts w:ascii="Times New Roman" w:hAnsi="Times New Roman" w:cs="Times New Roman"/>
          <w:color w:val="000000"/>
          <w:sz w:val="24"/>
          <w:szCs w:val="24"/>
        </w:rPr>
        <w:t>»,</w:t>
      </w:r>
      <w:r w:rsidRPr="006F0198">
        <w:rPr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4"/>
          <w:szCs w:val="24"/>
        </w:rPr>
        <w:t>2016</w:t>
      </w:r>
    </w:p>
    <w:p w:rsidR="006F0198" w:rsidRDefault="006F0198">
      <w:pPr>
        <w:rPr>
          <w:rStyle w:val="fontstyle01"/>
          <w:sz w:val="28"/>
          <w:szCs w:val="28"/>
        </w:rPr>
      </w:pPr>
    </w:p>
    <w:p w:rsidR="006F0198" w:rsidRDefault="006F0198">
      <w:pPr>
        <w:rPr>
          <w:rStyle w:val="fontstyle01"/>
          <w:sz w:val="28"/>
          <w:szCs w:val="28"/>
        </w:rPr>
      </w:pPr>
    </w:p>
    <w:p w:rsidR="006A6E28" w:rsidRPr="006F0198" w:rsidRDefault="006F0198" w:rsidP="006A6E28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F0198">
        <w:rPr>
          <w:rStyle w:val="fontstyle01"/>
          <w:sz w:val="28"/>
          <w:szCs w:val="28"/>
        </w:rPr>
        <w:t>НЕГОСУДАРСТВЕННОЕ ОБРАЗОВАТЕЛЬНОЕ УЧРЕЖДЕНИЕ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01"/>
          <w:sz w:val="28"/>
          <w:szCs w:val="28"/>
        </w:rPr>
        <w:t>ДОПОЛНИТЕЛЬНОГО ПРОФЕССИОНАЛЬНОГО ОБРАЗОВАНИЯ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r w:rsidRPr="006F0198">
        <w:rPr>
          <w:rStyle w:val="fontstyle01"/>
          <w:sz w:val="28"/>
          <w:szCs w:val="28"/>
        </w:rPr>
        <w:t>«САНКТ-ПЕТЕРБУРГСКИЙ ИНСТИТУТ ПРОЕКТНОГО МЕНЕДЖМЕНТА»</w:t>
      </w:r>
      <w:r w:rsidRPr="006F0198">
        <w:rPr>
          <w:rFonts w:ascii="Arial" w:hAnsi="Arial" w:cs="Arial"/>
          <w:color w:val="000000"/>
          <w:sz w:val="28"/>
          <w:szCs w:val="28"/>
        </w:rPr>
        <w:br/>
      </w:r>
      <w:bookmarkStart w:id="0" w:name="_GoBack"/>
      <w:bookmarkEnd w:id="0"/>
    </w:p>
    <w:p w:rsidR="006F0198" w:rsidRPr="006F0198" w:rsidRDefault="006F019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F01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УДК 394(</w:t>
      </w:r>
      <w:proofErr w:type="gramStart"/>
      <w:r w:rsidRPr="006F01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957)</w:t>
      </w:r>
      <w:r w:rsidRPr="006F0198">
        <w:rPr>
          <w:b/>
          <w:b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Толстых</w:t>
      </w:r>
      <w:proofErr w:type="gramEnd"/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И.Н., </w:t>
      </w:r>
      <w:proofErr w:type="spellStart"/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к.ист.н</w:t>
      </w:r>
      <w:proofErr w:type="spellEnd"/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.,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доцент кафедры «Дизайна и технологий»;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Жеурова</w:t>
      </w:r>
      <w:proofErr w:type="spellEnd"/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В.К., студент, 4 курс, учебный ассистент,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Владивостокский государственный университет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экономики и сервиса</w:t>
      </w:r>
      <w:r w:rsidRPr="006F0198">
        <w:rPr>
          <w:b/>
          <w:bCs/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КОРЕЙСКИЕ ШАМАНСКИЕ ТАНЦЫ. ЭТНОКУЛЬТУРНЫЙ АСПЕКТ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Аннотация: </w:t>
      </w:r>
      <w:proofErr w:type="gramStart"/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</w:t>
      </w:r>
      <w:proofErr w:type="gramEnd"/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статье освещены этнокультурные аспекты корейского шаманизма, как фундаментальной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основы корейской пластической культуры и искусства. Его взаимосвязь с религией, природой. Отражено влияние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буддизма, конфуцианства и даосизма на шаманизм в целом.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Ключевые слова: </w:t>
      </w:r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культура, традиционные формы культуры, корейский шаманизм, шаманский танец, </w:t>
      </w:r>
      <w:proofErr w:type="spellStart"/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риту</w:t>
      </w:r>
      <w:proofErr w:type="spellEnd"/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ал.</w:t>
      </w:r>
      <w:r w:rsidRPr="006F0198">
        <w:rPr>
          <w:i/>
          <w:i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Традиционные формы культуры, включая религиозные, имеют не только научно-теоретическое, но 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опреде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лённое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практическое значение, поскольку в настоящее время по-прежнему сохраняется значительный интерес к этой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форме культуры корейского народа.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Основы духовности и философии корейского искусства, в особенности литературы, музыки, танца, в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значи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тельной степени перенесены из корейского шаманизма. Корейские исследователи полагают, что истоки корейского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шаманизма следует искать в Северной Азии, прародине предков корейцев [6, с. 87]. Возникнув в глубокой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древности,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шаманизм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продолжал существовать на протяжении всей истории корейцев. Испытав влияние буддизма,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конфуцианст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и даосизма, корейский шаманизм сохраняет свои позиции и сегодня.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К фундаментальной основе корейской пластической культуры можно отнести шаманские танцы во время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камлания. Шаманизм является древнейшей формой религии и способом гармонизации человеческого сообщества с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природой, окружающим миром, который представлялся древнему человеку населенным множеством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сверхъестест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венных существ. Шаман был связующим звеном между ними и человеком. Способом осуществления этой связи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слу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жили обрядовые действия, сущность которых состояла в игре на специальных инструментах, пении и плясках.</w:t>
      </w:r>
    </w:p>
    <w:p w:rsidR="006F0198" w:rsidRPr="006F0198" w:rsidRDefault="006F019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Древние корейцы одухотворяли природу. В шаманизме существует деление мира на верхний, средний 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ниж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ний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 Все эти миры населены разного рода демонами и духами. С каждым из них шаман может вступать в контакт, оп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ределяя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важность какого-то одного или нескольких, в зависимости от конкретной ситуативной потребности: сложные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бытовые ситуации, болезни, смерть, предотвращение опасности и др. Поэтому в Корее существовало большое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количе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ство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разного рода шаманов и шаманок.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Женщины-шаманки составляли три главных группы: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– зрелая шаманка,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тангори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– неистовая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шаманка 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сонмудань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– неопытная шаманка. Их положение в обществе было достаточно высоким, о чём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свидетельст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вуют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матрилокальный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 брака в шаманских семьях, когда муж переселялся в дом жены. Даже если оба супруга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были шаманами, статус жены считался выше.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Ю.В.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Ионова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предлагает следующую классификацию корейских шаманов-профессионалов, связанных с раз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личными слоями религиозных традиций большие шаманы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Тэкэм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, женщины- шаманки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, мужчины–слепцы –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Пансу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обладавшие разными профессиональными качествами. Из них выделялись только неистовые шаманы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тангори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, которые специализировались в исполнении экстатических танцев и священных песнопений, что являлось для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них главной обязанностью. Шаманки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сонмудань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не имели права исполнять священных песен и танцев. Они не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явля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лись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наследными шаманками, поэтому не имели «духовной» родословной и своего персонального алтаря [1, с. 90]. Их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главным занятием было гадание на воде, рисе, сосновых ветках, бамбуковых дощечках или предсказывание судьбы.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Шаманский танец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мудань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занимает особое положение. Его пластика, насыщенная выразительностью мель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чайших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деталей, послужила своеобразной основой для дальнейшего развития жанров народного танца.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Следует подчеркнуть, что, описывая содержание того или иного шаманского действа, исследователи </w:t>
      </w:r>
      <w:proofErr w:type="spellStart"/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подроб</w:t>
      </w:r>
      <w:proofErr w:type="spellEnd"/>
      <w:proofErr w:type="gram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но не останавливались на описание его танцевальной части. Они сосредоточивали внимание на составляющих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камла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ния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и просто упоминали о наличии в ритуале песни и танца.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В работе Ю.В.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Ионовой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, посвященной шаманству в Корее, много ссылок на труды зарубежных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исследовате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лей культуры этой страны, где имеются упоминания о шаманской пластике. Так, после смерти шаманки, её дочь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ис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полняла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танцы, которые были способом осуществления духовной связи матери и дочери [1, с. 9]. Ссылаясь на ученого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Т.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Акиба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, исследовательница подчеркивает, что при появлении претендентки на роль шаманки пение и танцы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явля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лись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завершающим этапом обретения духа-покровителя и способом достижения гармонии между духом и телом [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с.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11].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Ритуалы корейского шаманизма преследуют много простых житейских целей. Главная из них – достижение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гармонии и благополучия своей общины. Культовая практика в корейском шаманизме весьма разнообразна. Главной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функцией шаманов является проведение камлания «кут», во время которого шаманка (шаман) исполняет всё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убыст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ряющийся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танец под аккомпанемент барабанов и колокольчиков. Параллельно с танцем исполняются песнопения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заклинания, в которых шаманка призывает своих духов-покровителей. Кульминационной точкой камлания является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впадение шаманки в транс, во время которого происходит её «общение» с духами.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Практически в камланиях, какому бы событию они ни посвящались, всегда одним из основных атрибутов бы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ла игра на барабане Тонге, колокольчиках, пение и танцы. Шаманское пение обычно не имело рифмы и не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подчиня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лось какому-либо ритму, сущность этих напевов-молений составляло стремление шаманов установить контакт с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соот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ветствующим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контексту события духом, призвать его на помощь в решении определенных проблем, и этой же цели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служили танцы.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Очень сложно составить представление о характере движений шаманов и шаманок. Есть свидетельства, что в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шаманском камлании нередко принимали участие женщины семьи, родственницы, соседки, которые, надев шаман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скую одежду, танцевали под барабанные ритмы. «Во время этих танцев –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мугами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– некоторые из них доходили до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состояния транса и начинали прыгать, махать руками, их лица искажались гримасами страдания или удовольствия» [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с.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20-22].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Здесь уместно привести аналогичную ситуацию в камланиях нанайских шаманов, где пляска всех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присутст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вующих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являлась обязательным элементом совершения обряда [2, с. 67]. Сравнительно-сопоставительный анализ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ша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манских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плясок народов Сибири и Дальнего Востока позволяет с достаточной долей уверенности подчеркнуть их им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провизационный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характер, что соответствует и описанию движений корейских шаманов и шаманок. У них одна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при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рода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воздействия — доведение себя до экстатического состояния, чему способствует и музыкальное сопровождение.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Экстатический танец относится к методам, с помощью которых обретается сила правления людьми 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приро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дой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[5, с. 411]. Воздействие корейских шаманов на высшие силы достигается в ритуальных плясках, требующих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осо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бых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мистических костюмов и особой барабанной музыки, основные мелодии и ритмы которой являются личными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секретами каждого шамана.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В целом, шаманские танцы очень индивидуальны, так как их исполнители, исходя из сложившейся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ситуации,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создают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различные дополнительные движения в танце. Среди шаманских танцев есть и свой придворный Комму,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или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>Танец с мечами».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Также ярким и зрелищным является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Чхоёнму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, восходящий к шаманским ритуальным танцам-песнопениям,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возникшим ещё в IX веке. Это групповой танец, где пять исполнителей в масках одеты в одежды пяти цветов: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белый,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синий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, красный, зелёный и жёлтый. Особенностью одежды являются длинные белые рукава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хансам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. Эти длинные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ру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кава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олицетворяют связь с небом, которому поклонялись древние корейцы. Как и в других танцах, костюм является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важным элементом, дополняющим обычный ритмический рисунок движений.</w:t>
      </w:r>
    </w:p>
    <w:p w:rsidR="006F0198" w:rsidRPr="006A6E28" w:rsidRDefault="006F0198">
      <w:pPr>
        <w:rPr>
          <w:rStyle w:val="fontstyle21"/>
          <w:sz w:val="28"/>
          <w:szCs w:val="28"/>
        </w:rPr>
      </w:pP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В шаманизме есть ещё один представляющий интерес танец, который носит название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Сальпхури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 Дословно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переводится как «изгнание дьявола» или «усмирение злых духов». Исполняется в качестве эпилога к ритуалу, кото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рый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проводится с целью убеждения, что душа умершего достигла Рая, тем самым она добивается покоя и утешает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печаль родственников. Танец исполняется под звуки шаманских заклинаний и выражает такие чувства, как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одиноче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ство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, уединение, пустоту, безучастность и, вместе с тем, суетность жизни, а также беспомощность перед лицом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смер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. В южных регионах шаманы исполняли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Сальпхури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медленно, плавно, в то время как на севере – быстро,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ритмично,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иногда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используя прыжки и размахивая руками с такой скоростью, что думается, будто человек находится на грани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безумия. По всей вероятности, высокие прыжки, сопровождавшиеся выкриками, призывающими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прыгать выше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и вы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ше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в заключительной части танца, не только являлись действиями, посредством которых достигалась имитация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пове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дения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птиц, но и выполняли функцию установления связи-дороги с миром священного.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Сальпхури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или «Танец шаманки» – это танец освобождения духа от волнений и тревог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брен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ного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мира. Это один из самых известных и популярных корейских танцев. В своей первооснове он восходит к шаман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скому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обряду Кут, способствующему духовному очищению, изгнанию духов или отправлению душ мёртвых на небе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са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Приведенные выше описания, несомненно, сохранили элементы пластики древних шаманских ритуалов и об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рядов. Можно предположить, что шаманы имели индивидуальные, характерные только лично для них движения, ко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торые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считались наиболее удачными в диалоге с духами. С течением времени они закреплялись, повторялись в танце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всех присутствующих и обретали стабильную форму, постепенно становясь общераспространенными, теряя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авторст</w:t>
      </w:r>
      <w:proofErr w:type="spellEnd"/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во.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Шаманству история уготовила долгую жизнь. До сих пор в разных уголках земли шаманские камлания со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всей атрибутикой продолжают играть важную роль, выполнять социальные функции у тех народностей, у которых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востребованы [2, с. 58]. Шаманизм неоднократно запрещался и вновь возвращался в официальную религию Кореи в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борьбе с конфуцианством. Так, в конце XIX века, в период японского владычества, корейская королева Мин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предпри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lastRenderedPageBreak/>
        <w:t>няла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попытку возродить шаманизм как национальную религию, что закончилось трагически: в 1895 г. она была убита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японцами.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Постепенно шаманские камлания начинают приобретать характер развернутого театрально-танцевального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зрелища, и затем из него выделяются отдельные танцевальные части, которые начинают самостоятельное существо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вание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 Своими обрядами и ритуалами древняя религия по-прежнему служит ежедневным практическим потребностям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людей: гадание, очищение, исцеление от болезней, совет по конкретной проблеме, оказание влияния на события,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уми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лостивление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духов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и.т.п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 Вместе с тем шаманские ритуалы служат важным средством поддержания музыкальных 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других фольклорных традиций корейского народа [4, с. 149].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В настоящее время шаманский танец сохраняется не просто, как памятник славного прошлого и зашифрован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ное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в пластических знаках мироощущения предков – сегодня он, развиваясь, представляет общечеловеческую цен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ность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[7, с. 100].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Таким образом, традиционные шаманские танцы Кореи берут свое начало из религиозных и различных сезон</w:t>
      </w:r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ных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праздников древности, где важную духовно-эмоциональную роль вначале играл предводитель общины, а затем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шаман. Корейские шаманские танцы, это огромный пласт культуры, отражающий этнокультурные особенности, при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сущие только корейскому народу.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Литература</w:t>
      </w:r>
      <w:r w:rsidRPr="006F0198">
        <w:rPr>
          <w:b/>
          <w:bCs/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Ионова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Ю.В. Шаманство в Корее (XIX – начало XX в.) // Символика культов и ритуалов народов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зару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бежной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Азии. Сборник статей. – М.: Главная редакция восточной литературы изд-ва Наука, 1980. – С. 4-35.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2. Карабанова С.Ф. Танцы малых народов юга Дальнего Востока СССР. Как историко-этнографический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ис</w:t>
      </w:r>
      <w:proofErr w:type="spellEnd"/>
      <w:r w:rsidRPr="006F0198">
        <w:rPr>
          <w:color w:val="000000"/>
          <w:sz w:val="28"/>
          <w:szCs w:val="28"/>
        </w:rPr>
        <w:br/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точник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 – М.: Наука, 1979. – 144 с.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3. Марков В.М. Республика Корея, традиции и современность в культуре второй половины ХХ века. Взгляд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из России. – Владивосток: ДВГУ, 1999. – 449 с.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Толстокулаков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И.А. Очерк истории корейской культуры. – Владивосток: ДВГУ, 2002. – 238 с.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Элиаде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Мирча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. Шаманизм: архаические техники экстаза. – М.: София, 2000. – 480 с.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Halla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Pai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Huhm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Kut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Korean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Shamanist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Rituals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Printing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Hollum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. –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Seoul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: 1998. – 102 p.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7. Толстых И.Н. Вестник Дальневосточного отделения РАН. – Владивосток: </w:t>
      </w:r>
      <w:proofErr w:type="spell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Дальнаука</w:t>
      </w:r>
      <w:proofErr w:type="spellEnd"/>
      <w:r w:rsidRPr="006F0198">
        <w:rPr>
          <w:rFonts w:ascii="Times New Roman" w:hAnsi="Times New Roman" w:cs="Times New Roman"/>
          <w:color w:val="000000"/>
          <w:sz w:val="28"/>
          <w:szCs w:val="28"/>
        </w:rPr>
        <w:t>, № 2(150). – 2010. –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126 с.</w:t>
      </w:r>
    </w:p>
    <w:p w:rsidR="006F0198" w:rsidRPr="006F0198" w:rsidRDefault="006F0198">
      <w:pPr>
        <w:rPr>
          <w:sz w:val="28"/>
          <w:szCs w:val="28"/>
        </w:rPr>
      </w:pPr>
      <w:r w:rsidRPr="006F0198">
        <w:rPr>
          <w:rFonts w:ascii="Times New Roman" w:hAnsi="Times New Roman" w:cs="Times New Roman"/>
          <w:color w:val="000000"/>
          <w:sz w:val="28"/>
          <w:szCs w:val="28"/>
        </w:rPr>
        <w:t>Научное издание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 xml:space="preserve">МОДЕРНИЗАЦИОННЫЙ ВЕКТОР РАЗВИТИЯ НАУКИ В XXI </w:t>
      </w:r>
      <w:proofErr w:type="gramStart"/>
      <w:r w:rsidRPr="006F0198">
        <w:rPr>
          <w:rFonts w:ascii="Times New Roman" w:hAnsi="Times New Roman" w:cs="Times New Roman"/>
          <w:color w:val="000000"/>
          <w:sz w:val="28"/>
          <w:szCs w:val="28"/>
        </w:rPr>
        <w:t>ВЕКЕ: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ТРАДИЦИИ</w:t>
      </w:r>
      <w:proofErr w:type="gramEnd"/>
      <w:r w:rsidRPr="006F0198">
        <w:rPr>
          <w:rFonts w:ascii="Times New Roman" w:hAnsi="Times New Roman" w:cs="Times New Roman"/>
          <w:color w:val="000000"/>
          <w:sz w:val="28"/>
          <w:szCs w:val="28"/>
        </w:rPr>
        <w:t>, НОВАЦИИ, ПРЕЕМСТВЕННОСТЬ</w:t>
      </w:r>
      <w:r w:rsidRPr="006F0198">
        <w:rPr>
          <w:color w:val="000000"/>
          <w:sz w:val="28"/>
          <w:szCs w:val="28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Сборник научных статей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 итогам Международной научно-практической конференции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30 апреля 2016 года, г. Санкт-Петербург</w:t>
      </w:r>
      <w:r w:rsidRPr="006F0198">
        <w:rPr>
          <w:i/>
          <w:iCs/>
          <w:color w:val="000000"/>
        </w:rPr>
        <w:br/>
      </w:r>
      <w:r w:rsidRPr="006F0198">
        <w:rPr>
          <w:rFonts w:ascii="Times New Roman" w:hAnsi="Times New Roman" w:cs="Times New Roman"/>
          <w:color w:val="000000"/>
          <w:sz w:val="28"/>
          <w:szCs w:val="28"/>
        </w:rPr>
        <w:t>Издается в авторской редакции</w:t>
      </w:r>
    </w:p>
    <w:sectPr w:rsidR="006F0198" w:rsidRPr="006F0198" w:rsidSect="006F01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198"/>
    <w:rsid w:val="00196505"/>
    <w:rsid w:val="006A6E28"/>
    <w:rsid w:val="006F0198"/>
    <w:rsid w:val="007C4373"/>
    <w:rsid w:val="008D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42C4F-28AB-47AD-85F7-4ADF6A824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F0198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a0"/>
    <w:rsid w:val="006F0198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a0"/>
    <w:rsid w:val="006F0198"/>
    <w:rPr>
      <w:rFonts w:ascii="Times New Roman" w:hAnsi="Times New Roman" w:cs="Times New Roman" w:hint="default"/>
      <w:b/>
      <w:bCs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a0"/>
    <w:rsid w:val="006F0198"/>
    <w:rPr>
      <w:rFonts w:ascii="Times New Roman" w:hAnsi="Times New Roman" w:cs="Times New Roman" w:hint="default"/>
      <w:b/>
      <w:bCs/>
      <w:i/>
      <w:iCs/>
      <w:color w:val="000000"/>
      <w:sz w:val="20"/>
      <w:szCs w:val="20"/>
    </w:rPr>
  </w:style>
  <w:style w:type="character" w:customStyle="1" w:styleId="fontstyle51">
    <w:name w:val="fontstyle51"/>
    <w:basedOn w:val="a0"/>
    <w:rsid w:val="006F0198"/>
    <w:rPr>
      <w:rFonts w:ascii="Times New Roman" w:hAnsi="Times New Roman" w:cs="Times New Roman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6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2344</Words>
  <Characters>13364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15677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Толстых Ирина</dc:creator>
  <cp:keywords/>
  <dc:description/>
  <cp:lastModifiedBy>Толстых Ирина</cp:lastModifiedBy>
  <cp:revision>3</cp:revision>
  <dcterms:created xsi:type="dcterms:W3CDTF">2016-12-13T03:09:00Z</dcterms:created>
  <dcterms:modified xsi:type="dcterms:W3CDTF">2016-12-13T03:11:00Z</dcterms:modified>
</cp:coreProperties>
</file>