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90A" w:rsidRDefault="00F9690A" w:rsidP="005B0240">
      <w:pPr>
        <w:jc w:val="center"/>
      </w:pPr>
      <w:r>
        <w:t>Трансграничные рынки товаров и услуг: проблемы исследования</w:t>
      </w:r>
    </w:p>
    <w:p w:rsidR="00F9690A" w:rsidRDefault="00F9690A" w:rsidP="005B0240">
      <w:pPr>
        <w:jc w:val="right"/>
      </w:pPr>
      <w:r>
        <w:t xml:space="preserve">194 </w:t>
      </w:r>
    </w:p>
    <w:p w:rsidR="00F9690A" w:rsidRDefault="00F9690A" w:rsidP="00F9690A">
      <w:pPr>
        <w:jc w:val="center"/>
      </w:pPr>
      <w:r>
        <w:t>Особенности облигационного финансирования бизнеса в России</w:t>
      </w:r>
    </w:p>
    <w:p w:rsidR="00F9690A" w:rsidRDefault="00F9690A" w:rsidP="00F9690A">
      <w:pPr>
        <w:jc w:val="center"/>
      </w:pPr>
      <w:r>
        <w:t xml:space="preserve">Виктор Васильевич </w:t>
      </w:r>
      <w:proofErr w:type="spellStart"/>
      <w:r>
        <w:t>Савалей</w:t>
      </w:r>
      <w:proofErr w:type="spellEnd"/>
    </w:p>
    <w:p w:rsidR="00F9690A" w:rsidRDefault="00F9690A" w:rsidP="00F9690A">
      <w:pPr>
        <w:jc w:val="center"/>
      </w:pPr>
      <w:r>
        <w:t>ФГБОУ ВО «Владивостокский государственный университет экономики и сервиса»</w:t>
      </w:r>
    </w:p>
    <w:p w:rsidR="00F9690A" w:rsidRDefault="00F9690A" w:rsidP="00F9690A">
      <w:pPr>
        <w:jc w:val="center"/>
      </w:pPr>
      <w:r>
        <w:t>(г. Владивосток, Россия)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Аннотация. В условиях </w:t>
      </w:r>
      <w:proofErr w:type="spellStart"/>
      <w:r w:rsidRPr="005B0240">
        <w:rPr>
          <w:sz w:val="20"/>
          <w:szCs w:val="20"/>
        </w:rPr>
        <w:t>постпандемического</w:t>
      </w:r>
      <w:proofErr w:type="spellEnd"/>
      <w:r w:rsidRPr="005B0240">
        <w:rPr>
          <w:sz w:val="20"/>
          <w:szCs w:val="20"/>
        </w:rPr>
        <w:t xml:space="preserve"> восстановления экономической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активности следует ожидать роста спроса на инвестиционный капитал. Классическими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формам привлечения стратегического финансирования выступают банковское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кредитование, эмиссия акций и корпоративных облигаций. В мировой практике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облигационная форма финансирования широко востребована, в отечественной практике –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стала активно применяться лишь в последние годы. В докладе показаны сравнительные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преимущества этой формы привлечения долгосрочного капитала по сравнению с банковским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кредитованием. Выявлены такие особенности территориального рассредоточения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эмитентов биржевых облигаций как столичная </w:t>
      </w:r>
      <w:proofErr w:type="spellStart"/>
      <w:r w:rsidRPr="005B0240">
        <w:rPr>
          <w:sz w:val="20"/>
          <w:szCs w:val="20"/>
        </w:rPr>
        <w:t>гиперцентрализация</w:t>
      </w:r>
      <w:proofErr w:type="spellEnd"/>
      <w:r w:rsidRPr="005B0240">
        <w:rPr>
          <w:sz w:val="20"/>
          <w:szCs w:val="20"/>
        </w:rPr>
        <w:t xml:space="preserve"> и практическое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отсутствие эмиссионной деятельности в Дальневосточном федеральном округе. Раскрыты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причины этого и сформулированы предложения по стимулированию эмиссионной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деятельности в регионах.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Ключевые слова: корпоративные облигации, эмитент, фондовый рынок. 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Восстановлению экономического роста, подъем потребительского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и инвестиционного спроса в </w:t>
      </w:r>
      <w:proofErr w:type="spellStart"/>
      <w:r w:rsidRPr="005B0240">
        <w:rPr>
          <w:sz w:val="20"/>
          <w:szCs w:val="20"/>
        </w:rPr>
        <w:t>постпандемический</w:t>
      </w:r>
      <w:proofErr w:type="spellEnd"/>
      <w:r w:rsidRPr="005B0240">
        <w:rPr>
          <w:sz w:val="20"/>
          <w:szCs w:val="20"/>
        </w:rPr>
        <w:t xml:space="preserve"> период ожидаемо приведут к заметному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росту потребностей отечественного бизнеса в финансировании как текущей деятельности,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так и воспроизводственного процесса. Представляется неизбежным, поэтому, повышение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в ближайший период активности предприятий на кредитном и фондовом рынках. Вместе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с тем, для российского бизнеса, по-прежнему, остаются полузакрытыми зарубежные рынки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заемного и акционерного капитала. Поиск источников стратегического финансирования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ограничивается по этой причине внутренним рынком и такими его инструментами как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банковские кредиты, эмиссия акций и корпоративных облигаций. 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Цель работы. Кратко охарактеризовать один из наиболее «молодых» сегментов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российского фондового рынка – рынок корпоративных облигаций, который </w:t>
      </w:r>
      <w:proofErr w:type="gramStart"/>
      <w:r w:rsidRPr="005B0240">
        <w:rPr>
          <w:sz w:val="20"/>
          <w:szCs w:val="20"/>
        </w:rPr>
        <w:t>по своему</w:t>
      </w:r>
      <w:proofErr w:type="gramEnd"/>
      <w:r w:rsidRPr="005B0240">
        <w:rPr>
          <w:sz w:val="20"/>
          <w:szCs w:val="20"/>
        </w:rPr>
        <w:t xml:space="preserve">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потенциалу способен в ближайшие годы при соответствующих условиях обеспечить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отечественный бизнес значительными ресурсами стратегического долгосрочного характера.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Новизна исследования и полученных результатов состоит в структурировании преимуществ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облигационной формы привлечения инвестиционного капитала по сравнению с банковским </w:t>
      </w:r>
    </w:p>
    <w:p w:rsidR="00F9690A" w:rsidRDefault="00F9690A" w:rsidP="005B0240">
      <w:pPr>
        <w:jc w:val="right"/>
      </w:pPr>
      <w:r>
        <w:lastRenderedPageBreak/>
        <w:t xml:space="preserve">195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кредитованием для компаний, выделению особенностей территориального рассредоточения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эмитентов и причин, сдерживающих эмиссионную активность в периферийных регионах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страны, изложенных на примере Дальнего Востока. В ходе исследования применялись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методы динамического и структурного анализа, сопоставлений и обобщений.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В настоящее время долговой фондовый рынок в России представлен в основном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биржевыми корпоративными облигациями, эмиссионные программы которых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регистрируются фондовыми биржами: Московской и Санкт-Петербургской. По сравнению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с классическими корпоративными облигациями, регистратором которых является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Банк России, организовать выпуск биржевых облигаций значительно проще: фондовые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биржи не требуют предоставления полного пакета эмиссионных документов, в более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ускоренном порядке осуществляют регистрацию выпуска и допускают к торгам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в соответствии с Правилами листинга биржи. 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За счет упрощенного регламента время между подачей заявки и появлением всех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облигаций в листинге биржи может составлять 1-2 сутки, если биржевые облигации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размещаются не в первый раз и соблюдены все требования по пакету документов.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При первичном размещении период регистрации возрастает до 30-60 дней. Поэтому многие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компании регистрируют на бирже долгосрочные и даже бессрочные программы выпуска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своих облигаций, с указанием максимального объема эмиссии по программе. 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Упрощенный порядок регистрации биржевых облигаций, естественно, отражается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и на объемах привлекаемых денежных средств.  Так, в 2020 году объем выпуска биржевых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корпоративных облигаций на Московской фондовой бирже составил более 10 трлн. </w:t>
      </w:r>
      <w:proofErr w:type="spellStart"/>
      <w:r w:rsidRPr="005B0240">
        <w:rPr>
          <w:sz w:val="20"/>
          <w:szCs w:val="20"/>
        </w:rPr>
        <w:t>руб</w:t>
      </w:r>
      <w:proofErr w:type="spellEnd"/>
      <w:r w:rsidRPr="005B0240">
        <w:rPr>
          <w:sz w:val="20"/>
          <w:szCs w:val="20"/>
        </w:rPr>
        <w:t xml:space="preserve">,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что в 7,6 раза превысило выпуск классических облигаций, проходивших государственную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регистрацию в Банке России [1, 2].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Формат облигационного финансирования имеет много схожего с банковским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кредитованием, но имеет и ряд следующих преимуществ: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1) необязательность залогового обеспечения, в то время как банки практически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всегда требуют предоставить такое обеспечение при выдаче кредита;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2) сроки по корпоративным облигациям обычно намного длиннее, чем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по банковским кредитам, и </w:t>
      </w:r>
      <w:proofErr w:type="gramStart"/>
      <w:r w:rsidRPr="005B0240">
        <w:rPr>
          <w:sz w:val="20"/>
          <w:szCs w:val="20"/>
        </w:rPr>
        <w:t>редко</w:t>
      </w:r>
      <w:proofErr w:type="gramEnd"/>
      <w:r w:rsidRPr="005B0240">
        <w:rPr>
          <w:sz w:val="20"/>
          <w:szCs w:val="20"/>
        </w:rPr>
        <w:t xml:space="preserve"> когда бывают меньше трех лет, а чаще всего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устанавливаются в диапазоне 5-10 лет; кредитные же организации, наоборот, крайне редко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соглашаются открывать финансирование заемщику на срок свыше трех лет, купируя этим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вполне реальные риски неопределенности длинного кредитного горизонта; 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3) отсутствие контроля за целевым расходованием привлеченных средств,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lastRenderedPageBreak/>
        <w:t xml:space="preserve">что позволяет бизнесу гибко использовать заемный капитал для своего развития. Банки же </w:t>
      </w:r>
    </w:p>
    <w:p w:rsidR="00F9690A" w:rsidRDefault="00F9690A" w:rsidP="005B0240">
      <w:pPr>
        <w:jc w:val="right"/>
      </w:pPr>
      <w:r>
        <w:t xml:space="preserve">196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во многих случаях отслеживают объемы и направления расходования заемщиками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выделенных им кредитных ресурсов, требуя соответствия условиям кредитного договора. 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Однако, финансирование развития бизнеса путем эмиссии корпоративных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облигаций при первом вхождении в этот рынок является более дорогим по сравнению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с банковским кредитом, так как требуются затраты на подготовку эмиссии и размещения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>облигаций, и более длительным по времени подготовки документов. К тому же компания-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эмитент должна быть готова к открытию своей финансовой и экономической информации, </w:t>
      </w:r>
    </w:p>
    <w:p w:rsidR="00F9690A" w:rsidRPr="005B0240" w:rsidRDefault="00F9690A" w:rsidP="00F9690A">
      <w:pPr>
        <w:rPr>
          <w:sz w:val="20"/>
          <w:szCs w:val="20"/>
        </w:rPr>
      </w:pPr>
      <w:r w:rsidRPr="005B0240">
        <w:rPr>
          <w:sz w:val="20"/>
          <w:szCs w:val="20"/>
        </w:rPr>
        <w:t xml:space="preserve">что для российского бизнеса не всегда приемлемо. </w:t>
      </w:r>
    </w:p>
    <w:p w:rsidR="00DC0C08" w:rsidRPr="00DB12CF" w:rsidRDefault="00DC0C08" w:rsidP="00DC0C0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right"/>
        <w:rPr>
          <w:color w:val="333333"/>
          <w:spacing w:val="2"/>
        </w:rPr>
      </w:pPr>
      <w:r w:rsidRPr="00DB12CF">
        <w:rPr>
          <w:color w:val="333333"/>
          <w:spacing w:val="2"/>
        </w:rPr>
        <w:t xml:space="preserve">Таблица </w:t>
      </w:r>
      <w:r>
        <w:rPr>
          <w:color w:val="333333"/>
          <w:spacing w:val="2"/>
        </w:rPr>
        <w:t>1</w:t>
      </w:r>
    </w:p>
    <w:p w:rsidR="00DC0C08" w:rsidRPr="00DB12CF" w:rsidRDefault="00DC0C08" w:rsidP="00DC0C08">
      <w:pPr>
        <w:pStyle w:val="a3"/>
        <w:shd w:val="clear" w:color="auto" w:fill="FFFFFF"/>
        <w:spacing w:before="0" w:beforeAutospacing="0" w:after="120" w:afterAutospacing="0" w:line="360" w:lineRule="auto"/>
        <w:jc w:val="center"/>
        <w:rPr>
          <w:color w:val="333333"/>
          <w:spacing w:val="2"/>
        </w:rPr>
      </w:pPr>
      <w:r w:rsidRPr="00DB12CF">
        <w:rPr>
          <w:color w:val="333333"/>
          <w:spacing w:val="2"/>
        </w:rPr>
        <w:t xml:space="preserve">Территориальное распределение </w:t>
      </w:r>
      <w:proofErr w:type="gramStart"/>
      <w:r w:rsidRPr="00DB12CF">
        <w:rPr>
          <w:color w:val="333333"/>
          <w:spacing w:val="2"/>
        </w:rPr>
        <w:t>эмитентов  нефинансового</w:t>
      </w:r>
      <w:proofErr w:type="gramEnd"/>
      <w:r w:rsidRPr="00DB12CF">
        <w:rPr>
          <w:color w:val="333333"/>
          <w:spacing w:val="2"/>
        </w:rPr>
        <w:t xml:space="preserve"> сектора  экономики, </w:t>
      </w:r>
      <w:r>
        <w:rPr>
          <w:color w:val="333333"/>
          <w:spacing w:val="2"/>
        </w:rPr>
        <w:t xml:space="preserve">               </w:t>
      </w:r>
      <w:r w:rsidRPr="00DB12CF">
        <w:rPr>
          <w:color w:val="333333"/>
          <w:spacing w:val="2"/>
        </w:rPr>
        <w:t>зарегистрировавших программы выпуска биржевых облигаций</w:t>
      </w:r>
      <w:r>
        <w:rPr>
          <w:color w:val="333333"/>
          <w:spacing w:val="2"/>
        </w:rPr>
        <w:t xml:space="preserve"> в течение 2019-2020 гг.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61"/>
        <w:gridCol w:w="2785"/>
        <w:gridCol w:w="2799"/>
      </w:tblGrid>
      <w:tr w:rsidR="00DC0C08" w:rsidRPr="00DB12CF" w:rsidTr="00B2041F">
        <w:trPr>
          <w:trHeight w:val="623"/>
        </w:trPr>
        <w:tc>
          <w:tcPr>
            <w:tcW w:w="3823" w:type="dxa"/>
          </w:tcPr>
          <w:p w:rsidR="00DC0C08" w:rsidRPr="00DB12CF" w:rsidRDefault="00DC0C08" w:rsidP="00B2041F">
            <w:pPr>
              <w:pStyle w:val="a3"/>
              <w:spacing w:before="0" w:beforeAutospacing="0"/>
              <w:ind w:firstLine="32"/>
              <w:rPr>
                <w:color w:val="333333"/>
                <w:spacing w:val="2"/>
              </w:rPr>
            </w:pPr>
            <w:r w:rsidRPr="00DB12CF">
              <w:rPr>
                <w:color w:val="333333"/>
                <w:spacing w:val="2"/>
              </w:rPr>
              <w:t>Федеральный округ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/>
              <w:ind w:firstLine="10"/>
              <w:jc w:val="center"/>
              <w:rPr>
                <w:color w:val="333333"/>
                <w:spacing w:val="2"/>
              </w:rPr>
            </w:pPr>
            <w:r w:rsidRPr="00DB12CF">
              <w:rPr>
                <w:color w:val="333333"/>
                <w:spacing w:val="2"/>
              </w:rPr>
              <w:t>Количество программ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/>
              <w:ind w:firstLine="10"/>
              <w:jc w:val="center"/>
              <w:rPr>
                <w:color w:val="333333"/>
                <w:spacing w:val="2"/>
              </w:rPr>
            </w:pPr>
            <w:r w:rsidRPr="00DB12CF">
              <w:rPr>
                <w:color w:val="333333"/>
                <w:spacing w:val="2"/>
              </w:rPr>
              <w:t xml:space="preserve">Максимальный объем эмиссии, </w:t>
            </w:r>
            <w:proofErr w:type="spellStart"/>
            <w:r w:rsidRPr="00DB12CF">
              <w:rPr>
                <w:color w:val="333333"/>
                <w:spacing w:val="2"/>
              </w:rPr>
              <w:t>млрд.руб</w:t>
            </w:r>
            <w:proofErr w:type="spellEnd"/>
          </w:p>
        </w:tc>
      </w:tr>
      <w:tr w:rsidR="00DC0C08" w:rsidRPr="00DB12CF" w:rsidTr="00B2041F">
        <w:tc>
          <w:tcPr>
            <w:tcW w:w="3823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32"/>
              <w:rPr>
                <w:color w:val="333333"/>
                <w:spacing w:val="2"/>
              </w:rPr>
            </w:pPr>
            <w:r w:rsidRPr="00DB12CF">
              <w:rPr>
                <w:color w:val="333333"/>
                <w:spacing w:val="2"/>
              </w:rPr>
              <w:t xml:space="preserve">Центральный 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46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2863,3</w:t>
            </w:r>
          </w:p>
        </w:tc>
      </w:tr>
      <w:tr w:rsidR="00DC0C08" w:rsidRPr="00DB12CF" w:rsidTr="00B2041F">
        <w:tc>
          <w:tcPr>
            <w:tcW w:w="3823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32"/>
              <w:rPr>
                <w:color w:val="333333"/>
                <w:spacing w:val="2"/>
              </w:rPr>
            </w:pPr>
            <w:r w:rsidRPr="00DB12CF">
              <w:rPr>
                <w:color w:val="333333"/>
                <w:spacing w:val="2"/>
              </w:rPr>
              <w:t xml:space="preserve">Северо-Западный 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7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78,3</w:t>
            </w:r>
          </w:p>
        </w:tc>
      </w:tr>
      <w:tr w:rsidR="00DC0C08" w:rsidRPr="00DB12CF" w:rsidTr="00B2041F">
        <w:tc>
          <w:tcPr>
            <w:tcW w:w="3823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32"/>
              <w:rPr>
                <w:color w:val="333333"/>
                <w:spacing w:val="2"/>
              </w:rPr>
            </w:pPr>
            <w:r w:rsidRPr="00DB12CF">
              <w:rPr>
                <w:color w:val="333333"/>
                <w:spacing w:val="2"/>
              </w:rPr>
              <w:t>Приволжский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13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166,0</w:t>
            </w:r>
          </w:p>
        </w:tc>
      </w:tr>
      <w:tr w:rsidR="00DC0C08" w:rsidRPr="00DB12CF" w:rsidTr="00B2041F">
        <w:tc>
          <w:tcPr>
            <w:tcW w:w="3823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32"/>
              <w:rPr>
                <w:color w:val="333333"/>
                <w:spacing w:val="2"/>
              </w:rPr>
            </w:pPr>
            <w:r w:rsidRPr="00DB12CF">
              <w:rPr>
                <w:color w:val="333333"/>
                <w:spacing w:val="2"/>
              </w:rPr>
              <w:t xml:space="preserve">Южный 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7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142,0</w:t>
            </w:r>
          </w:p>
        </w:tc>
      </w:tr>
      <w:tr w:rsidR="00DC0C08" w:rsidRPr="00DB12CF" w:rsidTr="00B2041F">
        <w:tc>
          <w:tcPr>
            <w:tcW w:w="3823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32"/>
              <w:rPr>
                <w:color w:val="333333"/>
                <w:spacing w:val="2"/>
              </w:rPr>
            </w:pPr>
            <w:r w:rsidRPr="00DB12CF">
              <w:rPr>
                <w:color w:val="333333"/>
                <w:spacing w:val="2"/>
              </w:rPr>
              <w:t>Северо-Кавказский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1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27,0</w:t>
            </w:r>
          </w:p>
        </w:tc>
      </w:tr>
      <w:tr w:rsidR="00DC0C08" w:rsidRPr="00DB12CF" w:rsidTr="00B2041F">
        <w:tc>
          <w:tcPr>
            <w:tcW w:w="3823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32"/>
              <w:rPr>
                <w:color w:val="333333"/>
                <w:spacing w:val="2"/>
              </w:rPr>
            </w:pPr>
            <w:r w:rsidRPr="00DB12CF">
              <w:rPr>
                <w:color w:val="333333"/>
                <w:spacing w:val="2"/>
              </w:rPr>
              <w:t xml:space="preserve">Уральский 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10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64,2</w:t>
            </w:r>
          </w:p>
        </w:tc>
      </w:tr>
      <w:tr w:rsidR="00DC0C08" w:rsidRPr="00DB12CF" w:rsidTr="00B2041F">
        <w:tc>
          <w:tcPr>
            <w:tcW w:w="3823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32"/>
              <w:rPr>
                <w:color w:val="333333"/>
                <w:spacing w:val="2"/>
              </w:rPr>
            </w:pPr>
            <w:r w:rsidRPr="00DB12CF">
              <w:rPr>
                <w:color w:val="333333"/>
                <w:spacing w:val="2"/>
              </w:rPr>
              <w:t xml:space="preserve">Сибирский 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13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1</w:t>
            </w:r>
            <w:r w:rsidRPr="00DB12CF">
              <w:rPr>
                <w:color w:val="333333"/>
                <w:spacing w:val="2"/>
              </w:rPr>
              <w:t>6</w:t>
            </w:r>
            <w:r>
              <w:rPr>
                <w:color w:val="333333"/>
                <w:spacing w:val="2"/>
              </w:rPr>
              <w:t>6</w:t>
            </w:r>
            <w:r w:rsidRPr="00DB12CF">
              <w:rPr>
                <w:color w:val="333333"/>
                <w:spacing w:val="2"/>
              </w:rPr>
              <w:t>,</w:t>
            </w:r>
            <w:r>
              <w:rPr>
                <w:color w:val="333333"/>
                <w:spacing w:val="2"/>
              </w:rPr>
              <w:t>4</w:t>
            </w:r>
          </w:p>
        </w:tc>
      </w:tr>
      <w:tr w:rsidR="00DC0C08" w:rsidRPr="00DB12CF" w:rsidTr="00B2041F">
        <w:tc>
          <w:tcPr>
            <w:tcW w:w="3823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32"/>
              <w:rPr>
                <w:color w:val="333333"/>
                <w:spacing w:val="2"/>
              </w:rPr>
            </w:pPr>
            <w:r w:rsidRPr="00DB12CF">
              <w:rPr>
                <w:color w:val="333333"/>
                <w:spacing w:val="2"/>
              </w:rPr>
              <w:t xml:space="preserve">Дальневосточный 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3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360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60,0</w:t>
            </w:r>
          </w:p>
        </w:tc>
      </w:tr>
      <w:tr w:rsidR="00DC0C08" w:rsidRPr="00DB12CF" w:rsidTr="00B2041F">
        <w:tc>
          <w:tcPr>
            <w:tcW w:w="3823" w:type="dxa"/>
          </w:tcPr>
          <w:p w:rsidR="00DC0C08" w:rsidRPr="00DB12CF" w:rsidRDefault="00DC0C08" w:rsidP="00B2041F">
            <w:pPr>
              <w:pStyle w:val="a3"/>
              <w:spacing w:before="0" w:beforeAutospacing="0" w:line="276" w:lineRule="auto"/>
              <w:ind w:firstLine="32"/>
              <w:rPr>
                <w:color w:val="333333"/>
                <w:spacing w:val="2"/>
              </w:rPr>
            </w:pPr>
            <w:r w:rsidRPr="00DB12CF">
              <w:rPr>
                <w:color w:val="333333"/>
                <w:spacing w:val="2"/>
              </w:rPr>
              <w:t>Всего по Российской Федерации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276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100</w:t>
            </w:r>
          </w:p>
        </w:tc>
        <w:tc>
          <w:tcPr>
            <w:tcW w:w="2835" w:type="dxa"/>
          </w:tcPr>
          <w:p w:rsidR="00DC0C08" w:rsidRPr="00DB12CF" w:rsidRDefault="00DC0C08" w:rsidP="00B2041F">
            <w:pPr>
              <w:pStyle w:val="a3"/>
              <w:spacing w:before="0" w:beforeAutospacing="0" w:line="276" w:lineRule="auto"/>
              <w:ind w:firstLine="10"/>
              <w:jc w:val="center"/>
              <w:rPr>
                <w:color w:val="333333"/>
                <w:spacing w:val="2"/>
              </w:rPr>
            </w:pPr>
            <w:r>
              <w:rPr>
                <w:color w:val="333333"/>
                <w:spacing w:val="2"/>
              </w:rPr>
              <w:t>3567,2</w:t>
            </w:r>
          </w:p>
        </w:tc>
      </w:tr>
    </w:tbl>
    <w:p w:rsidR="00DC0C08" w:rsidRPr="001B5DD2" w:rsidRDefault="00DC0C08" w:rsidP="00DC0C08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a5"/>
          <w:color w:val="auto"/>
          <w:u w:val="none"/>
        </w:rPr>
      </w:pPr>
      <w:r w:rsidRPr="001B5DD2">
        <w:rPr>
          <w:spacing w:val="2"/>
        </w:rPr>
        <w:t xml:space="preserve">Источник: сост. по </w:t>
      </w:r>
      <w:r w:rsidRPr="001B5DD2">
        <w:rPr>
          <w:shd w:val="clear" w:color="auto" w:fill="FFFFFF"/>
        </w:rPr>
        <w:t>данным официального сайта Московской фондовой биржи (</w:t>
      </w:r>
      <w:hyperlink r:id="rId4" w:history="1">
        <w:r w:rsidRPr="001B5DD2">
          <w:rPr>
            <w:rStyle w:val="a5"/>
            <w:color w:val="auto"/>
            <w:u w:val="none"/>
          </w:rPr>
          <w:t>https://www.moex.com/ru/listing/securities-registered.aspx</w:t>
        </w:r>
      </w:hyperlink>
      <w:r w:rsidRPr="001B5DD2">
        <w:rPr>
          <w:rStyle w:val="a5"/>
          <w:color w:val="auto"/>
          <w:u w:val="none"/>
        </w:rPr>
        <w:t>)</w:t>
      </w:r>
    </w:p>
    <w:p w:rsidR="00DC0C08" w:rsidRDefault="00DC0C08" w:rsidP="00F9690A">
      <w:pPr>
        <w:rPr>
          <w:sz w:val="20"/>
          <w:szCs w:val="20"/>
        </w:rPr>
      </w:pP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Анализ территориального распределения эмитентов, зарегистрировавших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программы выпуска биржевых облигаций на Московской фондовой бирже в 2019-2020 гг.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>(таблица 1</w:t>
      </w:r>
      <w:proofErr w:type="gramStart"/>
      <w:r w:rsidRPr="00DC0C08">
        <w:rPr>
          <w:rFonts w:ascii="Times New Roman" w:hAnsi="Times New Roman" w:cs="Times New Roman"/>
          <w:sz w:val="24"/>
          <w:szCs w:val="24"/>
        </w:rPr>
        <w:t>),  позволил</w:t>
      </w:r>
      <w:proofErr w:type="gramEnd"/>
      <w:r w:rsidRPr="00DC0C08">
        <w:rPr>
          <w:rFonts w:ascii="Times New Roman" w:hAnsi="Times New Roman" w:cs="Times New Roman"/>
          <w:sz w:val="24"/>
          <w:szCs w:val="24"/>
        </w:rPr>
        <w:t xml:space="preserve"> выявить две важные особенности. 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1. Около 80% объемов выпускаемых биржевых облигаций приходится на компании,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расположенные в Центральном федеральном округе и преимущественно в московской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агломерации, что позволяет охарактеризовать территориальную структуру рынка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корпоративных облигаций как </w:t>
      </w:r>
      <w:proofErr w:type="spellStart"/>
      <w:r w:rsidRPr="00DC0C08">
        <w:rPr>
          <w:rFonts w:ascii="Times New Roman" w:hAnsi="Times New Roman" w:cs="Times New Roman"/>
          <w:sz w:val="24"/>
          <w:szCs w:val="24"/>
        </w:rPr>
        <w:t>гиперцентрализованную</w:t>
      </w:r>
      <w:proofErr w:type="spellEnd"/>
      <w:r w:rsidRPr="00DC0C08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2. В ряде федеральных округов (в их числе и Дальневосточный) в 2019-2020 годах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lastRenderedPageBreak/>
        <w:t xml:space="preserve">эмиссионная деятельность местными предприятиями практически не велась, либо объемы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эмиссии биржевых облигаций были крайне малы.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Попадание Дальневосточного федерального округа в группу аутсайдеров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эмиссионной облигационной деятельности объясняется несколькими объективными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>факт</w:t>
      </w:r>
      <w:r w:rsidR="00DC0C08">
        <w:rPr>
          <w:rFonts w:ascii="Times New Roman" w:hAnsi="Times New Roman" w:cs="Times New Roman"/>
          <w:sz w:val="24"/>
          <w:szCs w:val="24"/>
        </w:rPr>
        <w:t>о</w:t>
      </w:r>
      <w:bookmarkStart w:id="0" w:name="_GoBack"/>
      <w:bookmarkEnd w:id="0"/>
      <w:r w:rsidRPr="00DC0C08">
        <w:rPr>
          <w:rFonts w:ascii="Times New Roman" w:hAnsi="Times New Roman" w:cs="Times New Roman"/>
          <w:sz w:val="24"/>
          <w:szCs w:val="24"/>
        </w:rPr>
        <w:t xml:space="preserve">рами.  </w:t>
      </w:r>
    </w:p>
    <w:p w:rsidR="00F9690A" w:rsidRPr="00DC0C08" w:rsidRDefault="00F9690A" w:rsidP="005B0240">
      <w:pPr>
        <w:jc w:val="right"/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197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Во-первых, масштабы экономики этого региона (низкая численность населения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и, соответственно, объем валового регионального продукта) уступают практически всем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федеральным округам.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Во-вторых, за последние 15-20 лет многие ведущие региональные производственные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компании утратили свою стратегическую самостоятельность, превратившись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в структурные подразделения корпораций и холдингов национального масштаба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с головными офисами в двух столичных мегаполисах. Соответственно, политика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стратегического финансирования значительной части дальневосточного бизнеса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вырабатывается вне региона.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Во многом по данной причине и это, третий фактор, в периферийных регионах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в «демографическом» составе хозяйствующих субъектов доминируют небольшие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предприятия, а их выход на рынок облигаций практически нереален по следующим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причинам: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1) высокие барьеры комиссионных, консультационных и иных затрат на подготовку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необходимых документов для регистрации и размещения облигаций, которые составляют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около 2% от объема выпуска, а это немалые деньги для предпринимателя, которые к тому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же косвенно удорожают стоимость привлекаемого капитала; 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2) расположенные в регионах местные банки из-за отсутствия устойчивого спроса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не нарабатывают опыт оказания </w:t>
      </w:r>
      <w:proofErr w:type="spellStart"/>
      <w:r w:rsidRPr="00DC0C08">
        <w:rPr>
          <w:rFonts w:ascii="Times New Roman" w:hAnsi="Times New Roman" w:cs="Times New Roman"/>
          <w:sz w:val="24"/>
          <w:szCs w:val="24"/>
        </w:rPr>
        <w:t>андеррайтинговых</w:t>
      </w:r>
      <w:proofErr w:type="spellEnd"/>
      <w:r w:rsidRPr="00DC0C08">
        <w:rPr>
          <w:rFonts w:ascii="Times New Roman" w:hAnsi="Times New Roman" w:cs="Times New Roman"/>
          <w:sz w:val="24"/>
          <w:szCs w:val="24"/>
        </w:rPr>
        <w:t xml:space="preserve"> и консультационных услуг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потенциальным эмитентам из среды регионального бизнес-сообщества, а работающие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в регионах филиалы крупных финансовых институтов ограничены в своих полномочиях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и переадресовывают клиентов на центральные офисы в специализированные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подразделения. Однако, скромные размеры облигационных займов (в большинстве своем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это 100 - 300 </w:t>
      </w:r>
      <w:proofErr w:type="spellStart"/>
      <w:proofErr w:type="gramStart"/>
      <w:r w:rsidRPr="00DC0C08">
        <w:rPr>
          <w:rFonts w:ascii="Times New Roman" w:hAnsi="Times New Roman" w:cs="Times New Roman"/>
          <w:sz w:val="24"/>
          <w:szCs w:val="24"/>
        </w:rPr>
        <w:t>млн.руб</w:t>
      </w:r>
      <w:proofErr w:type="spellEnd"/>
      <w:proofErr w:type="gramEnd"/>
      <w:r w:rsidRPr="00DC0C08">
        <w:rPr>
          <w:rFonts w:ascii="Times New Roman" w:hAnsi="Times New Roman" w:cs="Times New Roman"/>
          <w:sz w:val="24"/>
          <w:szCs w:val="24"/>
        </w:rPr>
        <w:t xml:space="preserve">), в которых заинтересованы мелкие и средние компании,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малопривлекательны для крупных финансовых институтов, которые предпочитают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работать с программами выпуска от 1 млрд. </w:t>
      </w:r>
      <w:proofErr w:type="spellStart"/>
      <w:r w:rsidRPr="00DC0C08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DC0C08">
        <w:rPr>
          <w:rFonts w:ascii="Times New Roman" w:hAnsi="Times New Roman" w:cs="Times New Roman"/>
          <w:sz w:val="24"/>
          <w:szCs w:val="24"/>
        </w:rPr>
        <w:t xml:space="preserve"> и выше;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lastRenderedPageBreak/>
        <w:t xml:space="preserve">3) небольшим и малоизвестным предприятиям в случае дебютного выпуска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облигаций приходится соглашаться на более высокие, чем в среднем по рынку ставки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купонов, чтобы привлечь инвесторов и разместить весь заявленный объем облигационного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займа. Это также удорожает заимствование и нивелирует зачастую выгоды облигационных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форм финансирования по сравнению с кредитными.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Однако в последнее время российские власти принимают определенные меры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по повышению привлекательности облигационной эмиссии для малого и среднего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предпринимательства с тем, чтобы распространить эту деятельность за пределы столичного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округа.  </w:t>
      </w:r>
    </w:p>
    <w:p w:rsidR="00F9690A" w:rsidRPr="00DC0C08" w:rsidRDefault="00F9690A" w:rsidP="005B0240">
      <w:pPr>
        <w:jc w:val="right"/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198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Министерство экономического развития РФ с 2019 года реализует программу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субсидирования выпусков акций и облигаций предприятиям малого и среднего бизнеса.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В рамках этой программы эмитент может получить возмещение части своих расходов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по организации выпуска ценных бумаг и части расходов на купонные выплаты. На период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2019 – 2024 гг. установлены следующие параметры субсидирования [3]: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- общая сумма господдержки – более 47 </w:t>
      </w:r>
      <w:proofErr w:type="spellStart"/>
      <w:proofErr w:type="gramStart"/>
      <w:r w:rsidRPr="00DC0C08">
        <w:rPr>
          <w:rFonts w:ascii="Times New Roman" w:hAnsi="Times New Roman" w:cs="Times New Roman"/>
          <w:sz w:val="24"/>
          <w:szCs w:val="24"/>
        </w:rPr>
        <w:t>млрд.руб</w:t>
      </w:r>
      <w:proofErr w:type="spellEnd"/>
      <w:proofErr w:type="gramEnd"/>
      <w:r w:rsidRPr="00DC0C0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- количество субсидируемых выпусков ценных бумаг – не менее 100;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- эмитенту компенсируются расходы по подготовке выпуска в размере до 2%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от объема размещения облигаций, но не более 1,5 </w:t>
      </w:r>
      <w:proofErr w:type="spellStart"/>
      <w:proofErr w:type="gramStart"/>
      <w:r w:rsidRPr="00DC0C08">
        <w:rPr>
          <w:rFonts w:ascii="Times New Roman" w:hAnsi="Times New Roman" w:cs="Times New Roman"/>
          <w:sz w:val="24"/>
          <w:szCs w:val="24"/>
        </w:rPr>
        <w:t>млн.руб</w:t>
      </w:r>
      <w:proofErr w:type="spellEnd"/>
      <w:proofErr w:type="gramEnd"/>
      <w:r w:rsidRPr="00DC0C08">
        <w:rPr>
          <w:rFonts w:ascii="Times New Roman" w:hAnsi="Times New Roman" w:cs="Times New Roman"/>
          <w:sz w:val="24"/>
          <w:szCs w:val="24"/>
        </w:rPr>
        <w:t xml:space="preserve">, и купонные выплаты в размере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до 70% от их суммы, но не более 70% от размера ключевой ставки Банка России;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- объем выпуска облигаций у одного участника программы не должен превышать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proofErr w:type="gramStart"/>
      <w:r w:rsidRPr="00DC0C08">
        <w:rPr>
          <w:rFonts w:ascii="Times New Roman" w:hAnsi="Times New Roman" w:cs="Times New Roman"/>
          <w:sz w:val="24"/>
          <w:szCs w:val="24"/>
        </w:rPr>
        <w:t>млрд.руб</w:t>
      </w:r>
      <w:proofErr w:type="spellEnd"/>
      <w:proofErr w:type="gramEnd"/>
      <w:r w:rsidRPr="00DC0C08">
        <w:rPr>
          <w:rFonts w:ascii="Times New Roman" w:hAnsi="Times New Roman" w:cs="Times New Roman"/>
          <w:sz w:val="24"/>
          <w:szCs w:val="24"/>
        </w:rPr>
        <w:t xml:space="preserve">, а срок их погашения – трех лет.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Однако, критерии для включения в список получателей субсидий слишком строгие.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Так, в условиях пандемического спада экономической активности требование среднего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темпа прироста ежегодной выручки за три последние года не менее чем на 10% оставляет за бортом абсолютное большинство потенциальных соискателей этой поддержки.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Правительству, на наш взгляд, следует оперативно откорректировать этот раздел механизма поддержки эмиссионной деятельности небольших компаний. 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Одновременно следует изучить создание аналогичного механизма на уровне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федерального округа, выделив дополнительные ресурсы и передав полномочия по отбору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lastRenderedPageBreak/>
        <w:t xml:space="preserve">заявок от Министерства экономического развития на региональный уровень, например,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в Корпорацию по развития Дальнего Востока.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Субъекты малого и среднего бизнеса способны придать заметный импульс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восстановлению экономического роста в регионах, но только в том случае, если получат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возможность доступа к финансовым ресурсам в нужных объемах и по приемлемой цене.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Список использованных источников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1. Статистический бюллетень Банка России. - Текст: электронный // Банк России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>[сайт]. Москва, 2020 – URL: https://www.cbr.ru/statistics/bbs/statisticheskiy-byulleten-banka-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C0C08">
        <w:rPr>
          <w:rFonts w:ascii="Times New Roman" w:hAnsi="Times New Roman" w:cs="Times New Roman"/>
          <w:sz w:val="24"/>
          <w:szCs w:val="24"/>
        </w:rPr>
        <w:t>rossii</w:t>
      </w:r>
      <w:proofErr w:type="spellEnd"/>
      <w:r w:rsidRPr="00DC0C08">
        <w:rPr>
          <w:rFonts w:ascii="Times New Roman" w:hAnsi="Times New Roman" w:cs="Times New Roman"/>
          <w:sz w:val="24"/>
          <w:szCs w:val="24"/>
        </w:rPr>
        <w:t xml:space="preserve">/.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2. Список зарегистрированных программ биржевых облигаций. - Текст: электронный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// Московская фондовая биржа [сайт]. Москва, 2020 - URL: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https://www.moex.com/ru/listing/securities-registered.aspx.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3. Об утверждении Правил предоставления субсидий из федерального бюджета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российским организациям – субъектам малого и среднего предпринимательства в целях </w:t>
      </w:r>
    </w:p>
    <w:p w:rsidR="00F9690A" w:rsidRPr="00DC0C08" w:rsidRDefault="00F9690A" w:rsidP="005B0240">
      <w:pPr>
        <w:jc w:val="right"/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199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компенсации части затрат по выпуску акций и облигаций и выплате купонного дохода по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облигациям, размещенным на фондовой бирже: Постановление Правительства Российской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Федерации от 30 апреля 2019 г. № 532. – Текст: электронный // СПС «Консультант Плюс»: 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>[сайт]. –</w:t>
      </w:r>
    </w:p>
    <w:p w:rsidR="00F969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 xml:space="preserve"> URL: https://www.consultant.ru/cons/cgi/online.cgi?req=doc&amp;base=LAW&amp;n=379131&amp;dst=10000</w:t>
      </w:r>
    </w:p>
    <w:p w:rsidR="0085130A" w:rsidRPr="00DC0C08" w:rsidRDefault="00F9690A" w:rsidP="00F9690A">
      <w:pPr>
        <w:rPr>
          <w:rFonts w:ascii="Times New Roman" w:hAnsi="Times New Roman" w:cs="Times New Roman"/>
          <w:sz w:val="24"/>
          <w:szCs w:val="24"/>
        </w:rPr>
      </w:pPr>
      <w:r w:rsidRPr="00DC0C08">
        <w:rPr>
          <w:rFonts w:ascii="Times New Roman" w:hAnsi="Times New Roman" w:cs="Times New Roman"/>
          <w:sz w:val="24"/>
          <w:szCs w:val="24"/>
        </w:rPr>
        <w:t>1%2C0#04885677308444121.</w:t>
      </w:r>
    </w:p>
    <w:p w:rsidR="00F9690A" w:rsidRDefault="00F9690A" w:rsidP="00F9690A"/>
    <w:p w:rsidR="00F9690A" w:rsidRDefault="00F9690A" w:rsidP="00F9690A"/>
    <w:p w:rsidR="00F9690A" w:rsidRDefault="00F9690A" w:rsidP="00F9690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50F875" wp14:editId="3D5848F7">
                <wp:simplePos x="0" y="0"/>
                <wp:positionH relativeFrom="page">
                  <wp:posOffset>1080135</wp:posOffset>
                </wp:positionH>
                <wp:positionV relativeFrom="paragraph">
                  <wp:posOffset>-635</wp:posOffset>
                </wp:positionV>
                <wp:extent cx="6159246" cy="263144"/>
                <wp:effectExtent l="0" t="0" r="0" b="0"/>
                <wp:wrapNone/>
                <wp:docPr id="3506" name="Freeform 3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246" cy="263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9246" h="263144">
                              <a:moveTo>
                                <a:pt x="0" y="263144"/>
                              </a:moveTo>
                              <a:lnTo>
                                <a:pt x="6159246" y="263144"/>
                              </a:lnTo>
                              <a:lnTo>
                                <a:pt x="6159246" y="0"/>
                              </a:lnTo>
                              <a:lnTo>
                                <a:pt x="0" y="0"/>
                              </a:lnTo>
                              <a:lnTo>
                                <a:pt x="0" y="263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1EF59A" id="Freeform 3506" o:spid="_x0000_s1026" style="position:absolute;margin-left:85.05pt;margin-top:-.05pt;width:485pt;height:20.7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159246,26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" path="m,263144r6159246,l6159246,,,,,263144xe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</w:p>
    <w:sectPr w:rsidR="00F96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90A"/>
    <w:rsid w:val="005B0240"/>
    <w:rsid w:val="0085130A"/>
    <w:rsid w:val="00DC0C08"/>
    <w:rsid w:val="00F9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52A13"/>
  <w15:chartTrackingRefBased/>
  <w15:docId w15:val="{C30E1122-88A5-4641-A4D5-1618E1B0A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0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DC0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C0C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oex.com/ru/listing/securities-registered.as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1849</Words>
  <Characters>10543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2021-11-16T10:31:00Z</dcterms:created>
  <dcterms:modified xsi:type="dcterms:W3CDTF">2021-11-16T10:47:00Z</dcterms:modified>
</cp:coreProperties>
</file>