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9E037D" w14:textId="4E4942AA" w:rsidR="00A80354" w:rsidRPr="003B37D6" w:rsidRDefault="00A80354" w:rsidP="00A80354">
      <w:pPr>
        <w:suppressAutoHyphens/>
        <w:spacing w:after="0" w:line="240" w:lineRule="auto"/>
        <w:jc w:val="both"/>
        <w:rPr>
          <w:rFonts w:ascii="Times New Roman" w:eastAsiaTheme="minorHAnsi" w:hAnsi="Times New Roman"/>
          <w:szCs w:val="28"/>
        </w:rPr>
      </w:pPr>
      <w:bookmarkStart w:id="0" w:name="_GoBack"/>
      <w:bookmarkEnd w:id="0"/>
      <w:r w:rsidRPr="003C6FBE">
        <w:rPr>
          <w:rFonts w:ascii="Times New Roman" w:eastAsiaTheme="minorHAnsi" w:hAnsi="Times New Roman"/>
          <w:szCs w:val="28"/>
        </w:rPr>
        <w:t>УДК 338.24</w:t>
      </w:r>
      <w:r w:rsidR="003C6FBE" w:rsidRPr="003C6FBE">
        <w:rPr>
          <w:rFonts w:ascii="Times New Roman" w:eastAsiaTheme="minorHAnsi" w:hAnsi="Times New Roman"/>
          <w:szCs w:val="28"/>
        </w:rPr>
        <w:t>.01</w:t>
      </w:r>
    </w:p>
    <w:p w14:paraId="6B8F6592" w14:textId="1885F9BE" w:rsidR="003C6FBE" w:rsidRPr="00293083" w:rsidRDefault="003C6FBE" w:rsidP="00A80354">
      <w:pPr>
        <w:suppressAutoHyphens/>
        <w:spacing w:after="0" w:line="240" w:lineRule="auto"/>
        <w:jc w:val="both"/>
        <w:rPr>
          <w:rFonts w:ascii="Times New Roman" w:eastAsiaTheme="minorHAnsi" w:hAnsi="Times New Roman"/>
          <w:szCs w:val="28"/>
        </w:rPr>
      </w:pPr>
      <w:r>
        <w:rPr>
          <w:rFonts w:ascii="Times New Roman" w:eastAsiaTheme="minorHAnsi" w:hAnsi="Times New Roman"/>
          <w:szCs w:val="28"/>
          <w:lang w:val="en-US"/>
        </w:rPr>
        <w:t>JEL</w:t>
      </w:r>
      <w:r>
        <w:rPr>
          <w:rFonts w:ascii="Times New Roman" w:eastAsiaTheme="minorHAnsi" w:hAnsi="Times New Roman"/>
          <w:szCs w:val="28"/>
        </w:rPr>
        <w:t xml:space="preserve"> </w:t>
      </w:r>
      <w:r w:rsidR="00293083">
        <w:rPr>
          <w:rFonts w:ascii="Times New Roman" w:eastAsiaTheme="minorHAnsi" w:hAnsi="Times New Roman"/>
          <w:szCs w:val="28"/>
          <w:lang w:val="en-US"/>
        </w:rPr>
        <w:t>M</w:t>
      </w:r>
      <w:r w:rsidR="00293083" w:rsidRPr="00293083">
        <w:rPr>
          <w:rFonts w:ascii="Times New Roman" w:eastAsiaTheme="minorHAnsi" w:hAnsi="Times New Roman"/>
          <w:szCs w:val="28"/>
        </w:rPr>
        <w:t>29</w:t>
      </w:r>
    </w:p>
    <w:p w14:paraId="5E7420FC" w14:textId="52F40941" w:rsidR="00293083" w:rsidRDefault="00293083" w:rsidP="008D4BE5">
      <w:pPr>
        <w:suppressAutoHyphens/>
        <w:spacing w:after="0" w:line="240" w:lineRule="auto"/>
        <w:jc w:val="right"/>
        <w:rPr>
          <w:rFonts w:ascii="Times New Roman" w:eastAsiaTheme="minorHAnsi" w:hAnsi="Times New Roman"/>
          <w:b/>
          <w:szCs w:val="24"/>
        </w:rPr>
      </w:pPr>
      <w:r w:rsidRPr="00293083">
        <w:rPr>
          <w:rFonts w:ascii="Times New Roman" w:eastAsiaTheme="minorHAnsi" w:hAnsi="Times New Roman"/>
          <w:b/>
          <w:szCs w:val="24"/>
        </w:rPr>
        <w:t>Пугач А</w:t>
      </w:r>
      <w:r>
        <w:rPr>
          <w:rFonts w:ascii="Times New Roman" w:eastAsiaTheme="minorHAnsi" w:hAnsi="Times New Roman"/>
          <w:b/>
          <w:szCs w:val="24"/>
        </w:rPr>
        <w:t xml:space="preserve">настасия </w:t>
      </w:r>
      <w:r w:rsidRPr="00293083">
        <w:rPr>
          <w:rFonts w:ascii="Times New Roman" w:eastAsiaTheme="minorHAnsi" w:hAnsi="Times New Roman"/>
          <w:b/>
          <w:szCs w:val="24"/>
        </w:rPr>
        <w:t>А</w:t>
      </w:r>
      <w:r>
        <w:rPr>
          <w:rFonts w:ascii="Times New Roman" w:eastAsiaTheme="minorHAnsi" w:hAnsi="Times New Roman"/>
          <w:b/>
          <w:szCs w:val="24"/>
        </w:rPr>
        <w:t>лександровна</w:t>
      </w:r>
    </w:p>
    <w:p w14:paraId="7713DCAD" w14:textId="79BAC26D" w:rsidR="008D4BE5" w:rsidRDefault="008D4BE5" w:rsidP="008D4BE5">
      <w:pPr>
        <w:suppressAutoHyphens/>
        <w:spacing w:after="0" w:line="240" w:lineRule="auto"/>
        <w:jc w:val="right"/>
        <w:rPr>
          <w:rFonts w:ascii="Times New Roman" w:eastAsiaTheme="minorHAnsi" w:hAnsi="Times New Roman"/>
          <w:b/>
          <w:szCs w:val="24"/>
        </w:rPr>
      </w:pPr>
      <w:proofErr w:type="spellStart"/>
      <w:r w:rsidRPr="008D4BE5">
        <w:rPr>
          <w:rFonts w:ascii="Times New Roman" w:eastAsiaTheme="minorHAnsi" w:hAnsi="Times New Roman"/>
          <w:b/>
          <w:szCs w:val="24"/>
        </w:rPr>
        <w:t>Pugach</w:t>
      </w:r>
      <w:proofErr w:type="spellEnd"/>
      <w:r w:rsidRPr="008D4BE5">
        <w:rPr>
          <w:rFonts w:ascii="Times New Roman" w:eastAsiaTheme="minorHAnsi" w:hAnsi="Times New Roman"/>
          <w:b/>
          <w:szCs w:val="24"/>
        </w:rPr>
        <w:t xml:space="preserve"> </w:t>
      </w:r>
      <w:proofErr w:type="spellStart"/>
      <w:r w:rsidRPr="008D4BE5">
        <w:rPr>
          <w:rFonts w:ascii="Times New Roman" w:eastAsiaTheme="minorHAnsi" w:hAnsi="Times New Roman"/>
          <w:b/>
          <w:szCs w:val="24"/>
        </w:rPr>
        <w:t>Anastasia</w:t>
      </w:r>
      <w:proofErr w:type="spellEnd"/>
      <w:r w:rsidRPr="008D4BE5">
        <w:rPr>
          <w:rFonts w:ascii="Times New Roman" w:eastAsiaTheme="minorHAnsi" w:hAnsi="Times New Roman"/>
          <w:b/>
          <w:szCs w:val="24"/>
        </w:rPr>
        <w:t xml:space="preserve"> </w:t>
      </w:r>
      <w:proofErr w:type="spellStart"/>
      <w:r w:rsidRPr="008D4BE5">
        <w:rPr>
          <w:rFonts w:ascii="Times New Roman" w:eastAsiaTheme="minorHAnsi" w:hAnsi="Times New Roman"/>
          <w:b/>
          <w:szCs w:val="24"/>
        </w:rPr>
        <w:t>Alexandrovna</w:t>
      </w:r>
      <w:proofErr w:type="spellEnd"/>
    </w:p>
    <w:p w14:paraId="1B98EC6B" w14:textId="40D684D2" w:rsidR="00293083" w:rsidRPr="008D4BE5" w:rsidRDefault="008D4BE5" w:rsidP="00293083">
      <w:pPr>
        <w:suppressAutoHyphens/>
        <w:spacing w:after="0" w:line="360" w:lineRule="auto"/>
        <w:jc w:val="right"/>
        <w:rPr>
          <w:rFonts w:ascii="Times New Roman" w:eastAsiaTheme="minorHAnsi" w:hAnsi="Times New Roman"/>
          <w:b/>
          <w:sz w:val="14"/>
          <w:szCs w:val="24"/>
        </w:rPr>
      </w:pPr>
      <w:r w:rsidRPr="008D4BE5">
        <w:rPr>
          <w:rStyle w:val="ab"/>
          <w:rFonts w:ascii="Times New Roman" w:hAnsi="Times New Roman"/>
          <w:color w:val="000000"/>
          <w:spacing w:val="8"/>
          <w:szCs w:val="36"/>
          <w:shd w:val="clear" w:color="auto" w:fill="FFFFFF"/>
        </w:rPr>
        <w:t>ORCID</w:t>
      </w:r>
      <w:r>
        <w:rPr>
          <w:rStyle w:val="ab"/>
          <w:rFonts w:ascii="Times New Roman" w:hAnsi="Times New Roman"/>
          <w:color w:val="000000"/>
          <w:spacing w:val="8"/>
          <w:szCs w:val="36"/>
          <w:shd w:val="clear" w:color="auto" w:fill="FFFFFF"/>
        </w:rPr>
        <w:t xml:space="preserve">: </w:t>
      </w:r>
      <w:r w:rsidRPr="008D4BE5">
        <w:rPr>
          <w:rStyle w:val="ab"/>
          <w:rFonts w:ascii="Times New Roman" w:hAnsi="Times New Roman"/>
          <w:color w:val="000000"/>
          <w:spacing w:val="8"/>
          <w:szCs w:val="36"/>
          <w:shd w:val="clear" w:color="auto" w:fill="FFFFFF"/>
        </w:rPr>
        <w:t>0000-0002-7456-762X</w:t>
      </w:r>
    </w:p>
    <w:p w14:paraId="47F879BF" w14:textId="19885495" w:rsidR="00A80354" w:rsidRDefault="00293083" w:rsidP="008D4BE5">
      <w:pPr>
        <w:suppressAutoHyphens/>
        <w:spacing w:after="0" w:line="240" w:lineRule="auto"/>
        <w:jc w:val="right"/>
        <w:rPr>
          <w:rFonts w:ascii="Times New Roman" w:eastAsiaTheme="minorHAnsi" w:hAnsi="Times New Roman"/>
          <w:b/>
          <w:szCs w:val="24"/>
        </w:rPr>
      </w:pPr>
      <w:r w:rsidRPr="00293083">
        <w:rPr>
          <w:rFonts w:ascii="Times New Roman" w:eastAsiaTheme="minorHAnsi" w:hAnsi="Times New Roman"/>
          <w:b/>
          <w:szCs w:val="24"/>
        </w:rPr>
        <w:t>Бубновская Т</w:t>
      </w:r>
      <w:r>
        <w:rPr>
          <w:rFonts w:ascii="Times New Roman" w:eastAsiaTheme="minorHAnsi" w:hAnsi="Times New Roman"/>
          <w:b/>
          <w:szCs w:val="24"/>
        </w:rPr>
        <w:t xml:space="preserve">атьяна </w:t>
      </w:r>
      <w:r w:rsidRPr="00293083">
        <w:rPr>
          <w:rFonts w:ascii="Times New Roman" w:eastAsiaTheme="minorHAnsi" w:hAnsi="Times New Roman"/>
          <w:b/>
          <w:szCs w:val="24"/>
        </w:rPr>
        <w:t>В</w:t>
      </w:r>
      <w:r>
        <w:rPr>
          <w:rFonts w:ascii="Times New Roman" w:eastAsiaTheme="minorHAnsi" w:hAnsi="Times New Roman"/>
          <w:b/>
          <w:szCs w:val="24"/>
        </w:rPr>
        <w:t>икторовна</w:t>
      </w:r>
    </w:p>
    <w:p w14:paraId="3540A1FD" w14:textId="07CD07F6" w:rsidR="008D4BE5" w:rsidRDefault="008D4BE5" w:rsidP="008D4BE5">
      <w:pPr>
        <w:suppressAutoHyphens/>
        <w:spacing w:after="0" w:line="240" w:lineRule="auto"/>
        <w:jc w:val="right"/>
        <w:rPr>
          <w:rFonts w:ascii="Times New Roman" w:eastAsiaTheme="minorHAnsi" w:hAnsi="Times New Roman"/>
          <w:b/>
          <w:szCs w:val="24"/>
        </w:rPr>
      </w:pPr>
      <w:proofErr w:type="spellStart"/>
      <w:r w:rsidRPr="008D4BE5">
        <w:rPr>
          <w:rFonts w:ascii="Times New Roman" w:eastAsiaTheme="minorHAnsi" w:hAnsi="Times New Roman"/>
          <w:b/>
          <w:szCs w:val="24"/>
        </w:rPr>
        <w:t>Bubnovskaya</w:t>
      </w:r>
      <w:proofErr w:type="spellEnd"/>
      <w:r w:rsidRPr="008D4BE5">
        <w:rPr>
          <w:rFonts w:ascii="Times New Roman" w:eastAsiaTheme="minorHAnsi" w:hAnsi="Times New Roman"/>
          <w:b/>
          <w:szCs w:val="24"/>
        </w:rPr>
        <w:t xml:space="preserve"> </w:t>
      </w:r>
      <w:proofErr w:type="spellStart"/>
      <w:r w:rsidRPr="008D4BE5">
        <w:rPr>
          <w:rFonts w:ascii="Times New Roman" w:eastAsiaTheme="minorHAnsi" w:hAnsi="Times New Roman"/>
          <w:b/>
          <w:szCs w:val="24"/>
        </w:rPr>
        <w:t>Tatyana</w:t>
      </w:r>
      <w:proofErr w:type="spellEnd"/>
      <w:r w:rsidRPr="008D4BE5">
        <w:rPr>
          <w:rFonts w:ascii="Times New Roman" w:eastAsiaTheme="minorHAnsi" w:hAnsi="Times New Roman"/>
          <w:b/>
          <w:szCs w:val="24"/>
        </w:rPr>
        <w:t xml:space="preserve"> </w:t>
      </w:r>
      <w:proofErr w:type="spellStart"/>
      <w:r w:rsidRPr="008D4BE5">
        <w:rPr>
          <w:rFonts w:ascii="Times New Roman" w:eastAsiaTheme="minorHAnsi" w:hAnsi="Times New Roman"/>
          <w:b/>
          <w:szCs w:val="24"/>
        </w:rPr>
        <w:t>Viktorovna</w:t>
      </w:r>
      <w:proofErr w:type="spellEnd"/>
    </w:p>
    <w:p w14:paraId="5FB71DCA" w14:textId="62A7C45A" w:rsidR="00BA220A" w:rsidRPr="00BA220A" w:rsidRDefault="00BA220A" w:rsidP="008D4BE5">
      <w:pPr>
        <w:suppressAutoHyphens/>
        <w:spacing w:after="0" w:line="240" w:lineRule="auto"/>
        <w:jc w:val="right"/>
        <w:rPr>
          <w:rFonts w:ascii="Times New Roman" w:eastAsiaTheme="minorHAnsi" w:hAnsi="Times New Roman"/>
          <w:b/>
          <w:szCs w:val="24"/>
        </w:rPr>
      </w:pPr>
      <w:r w:rsidRPr="00BA220A">
        <w:rPr>
          <w:rStyle w:val="ab"/>
          <w:rFonts w:ascii="Times New Roman" w:hAnsi="Times New Roman"/>
          <w:color w:val="000000"/>
          <w:spacing w:val="8"/>
          <w:szCs w:val="36"/>
          <w:shd w:val="clear" w:color="auto" w:fill="FFFFFF"/>
        </w:rPr>
        <w:t>ORCID:</w:t>
      </w:r>
      <w:r w:rsidRPr="00D51EA6">
        <w:rPr>
          <w:rFonts w:ascii="Times New Roman" w:hAnsi="Times New Roman"/>
        </w:rPr>
        <w:t xml:space="preserve"> </w:t>
      </w:r>
      <w:r w:rsidRPr="00D51EA6">
        <w:rPr>
          <w:rFonts w:ascii="Times New Roman" w:hAnsi="Times New Roman"/>
          <w:b/>
        </w:rPr>
        <w:t>0000-0002-4625-5434</w:t>
      </w:r>
    </w:p>
    <w:p w14:paraId="7F6A4545" w14:textId="4D756EE0" w:rsidR="002F0B9A" w:rsidRPr="008D4BE5" w:rsidRDefault="003C6FBE" w:rsidP="008D4BE5">
      <w:pPr>
        <w:suppressAutoHyphens/>
        <w:spacing w:before="120" w:after="0" w:line="240" w:lineRule="auto"/>
        <w:jc w:val="center"/>
        <w:rPr>
          <w:rFonts w:ascii="Times New Roman" w:eastAsiaTheme="minorHAnsi" w:hAnsi="Times New Roman"/>
          <w:b/>
          <w:szCs w:val="28"/>
        </w:rPr>
      </w:pPr>
      <w:r w:rsidRPr="008D4BE5">
        <w:rPr>
          <w:rFonts w:ascii="Times New Roman" w:eastAsiaTheme="minorHAnsi" w:hAnsi="Times New Roman"/>
          <w:b/>
          <w:szCs w:val="28"/>
        </w:rPr>
        <w:t xml:space="preserve">Управление дебиторской и кредиторской задолженностью как элемент обеспечения экономической безопасности предприятия: практические аспекты </w:t>
      </w:r>
    </w:p>
    <w:p w14:paraId="53564550" w14:textId="0963AA35" w:rsidR="00A80354" w:rsidRPr="008D4BE5" w:rsidRDefault="008D4BE5" w:rsidP="008D4BE5">
      <w:pPr>
        <w:suppressAutoHyphens/>
        <w:spacing w:before="120" w:after="0" w:line="240" w:lineRule="auto"/>
        <w:jc w:val="center"/>
        <w:rPr>
          <w:rFonts w:ascii="Times New Roman" w:eastAsiaTheme="minorHAnsi" w:hAnsi="Times New Roman"/>
          <w:b/>
          <w:szCs w:val="28"/>
          <w:lang w:val="en-US"/>
        </w:rPr>
      </w:pPr>
      <w:r w:rsidRPr="008D4BE5">
        <w:rPr>
          <w:rFonts w:ascii="Times New Roman" w:eastAsiaTheme="minorHAnsi" w:hAnsi="Times New Roman"/>
          <w:b/>
          <w:szCs w:val="28"/>
          <w:lang w:val="en-US"/>
        </w:rPr>
        <w:t>Management of receivables and payables as an element of ensuring the economic security of an enterprise: practical aspects</w:t>
      </w:r>
    </w:p>
    <w:p w14:paraId="3F38C87C" w14:textId="6CB7287F" w:rsidR="00A80354" w:rsidRPr="00B741CD" w:rsidRDefault="008D4BE5" w:rsidP="00B741CD">
      <w:pPr>
        <w:spacing w:before="120" w:after="0" w:line="240" w:lineRule="auto"/>
        <w:ind w:firstLine="709"/>
        <w:jc w:val="both"/>
        <w:rPr>
          <w:rFonts w:ascii="Times New Roman" w:eastAsiaTheme="minorHAnsi" w:hAnsi="Times New Roman"/>
          <w:i/>
          <w:szCs w:val="20"/>
        </w:rPr>
      </w:pPr>
      <w:r>
        <w:rPr>
          <w:rFonts w:ascii="Times New Roman" w:eastAsiaTheme="minorHAnsi" w:hAnsi="Times New Roman"/>
          <w:i/>
          <w:szCs w:val="20"/>
        </w:rPr>
        <w:t xml:space="preserve">Аннотация. </w:t>
      </w:r>
      <w:r w:rsidR="00CA3422" w:rsidRPr="008D4BE5">
        <w:rPr>
          <w:rFonts w:ascii="Times New Roman" w:eastAsiaTheme="minorHAnsi" w:hAnsi="Times New Roman"/>
          <w:i/>
          <w:szCs w:val="20"/>
        </w:rPr>
        <w:t xml:space="preserve">Статья посвящена проблеме эффективности управления дебиторской </w:t>
      </w:r>
      <w:r w:rsidR="00E470BC" w:rsidRPr="008D4BE5">
        <w:rPr>
          <w:rFonts w:ascii="Times New Roman" w:eastAsiaTheme="minorHAnsi" w:hAnsi="Times New Roman"/>
          <w:i/>
          <w:szCs w:val="20"/>
        </w:rPr>
        <w:t xml:space="preserve">и кредиторской задолженностью на </w:t>
      </w:r>
      <w:r w:rsidR="00B741CD" w:rsidRPr="008D4BE5">
        <w:rPr>
          <w:rFonts w:ascii="Times New Roman" w:eastAsiaTheme="minorHAnsi" w:hAnsi="Times New Roman"/>
          <w:i/>
          <w:szCs w:val="20"/>
        </w:rPr>
        <w:t>предприятии.</w:t>
      </w:r>
      <w:r w:rsidR="001A272B" w:rsidRPr="008D4BE5">
        <w:rPr>
          <w:rFonts w:ascii="Times New Roman" w:eastAsiaTheme="minorHAnsi" w:hAnsi="Times New Roman"/>
          <w:i/>
          <w:szCs w:val="20"/>
        </w:rPr>
        <w:t xml:space="preserve"> </w:t>
      </w:r>
      <w:r w:rsidRPr="008D4BE5">
        <w:rPr>
          <w:rFonts w:ascii="Times New Roman" w:eastAsiaTheme="minorHAnsi" w:hAnsi="Times New Roman"/>
          <w:i/>
          <w:szCs w:val="20"/>
        </w:rPr>
        <w:t>Цель исследования –разработка рекомендаций по управлени</w:t>
      </w:r>
      <w:r w:rsidR="00B741CD">
        <w:rPr>
          <w:rFonts w:ascii="Times New Roman" w:eastAsiaTheme="minorHAnsi" w:hAnsi="Times New Roman"/>
          <w:i/>
          <w:szCs w:val="20"/>
        </w:rPr>
        <w:t>ю</w:t>
      </w:r>
      <w:r w:rsidRPr="008D4BE5">
        <w:rPr>
          <w:rFonts w:ascii="Times New Roman" w:eastAsiaTheme="minorHAnsi" w:hAnsi="Times New Roman"/>
          <w:i/>
          <w:szCs w:val="20"/>
        </w:rPr>
        <w:t xml:space="preserve"> дебиторской и кредиторской задолженности предприятия, поспособствовав улучшению составляющих экономической безопасности предприятия.</w:t>
      </w:r>
      <w:r>
        <w:rPr>
          <w:rFonts w:ascii="Times New Roman" w:eastAsiaTheme="minorHAnsi" w:hAnsi="Times New Roman"/>
          <w:i/>
          <w:szCs w:val="20"/>
        </w:rPr>
        <w:t xml:space="preserve"> </w:t>
      </w:r>
      <w:r w:rsidRPr="008D4BE5">
        <w:rPr>
          <w:rFonts w:ascii="Times New Roman" w:eastAsiaTheme="minorHAnsi" w:hAnsi="Times New Roman"/>
          <w:i/>
          <w:szCs w:val="20"/>
        </w:rPr>
        <w:t>Объектом исследования является лизинговая компания ООО «ХХХ», специализирующаяся на финансовом лизинге по направлениям: легковых, грузовых автомобилей, специализированной техники и других предметов</w:t>
      </w:r>
      <w:r w:rsidR="00B741CD">
        <w:rPr>
          <w:rFonts w:ascii="Times New Roman" w:eastAsiaTheme="minorHAnsi" w:hAnsi="Times New Roman"/>
          <w:i/>
          <w:szCs w:val="20"/>
        </w:rPr>
        <w:t xml:space="preserve"> Предметом исследования является дебиторская и кредиторская задолженность</w:t>
      </w:r>
      <w:r w:rsidRPr="008D4BE5">
        <w:rPr>
          <w:rFonts w:ascii="Times New Roman" w:eastAsiaTheme="minorHAnsi" w:hAnsi="Times New Roman"/>
          <w:i/>
          <w:szCs w:val="20"/>
        </w:rPr>
        <w:t>.</w:t>
      </w:r>
      <w:r>
        <w:rPr>
          <w:rFonts w:ascii="Times New Roman" w:eastAsiaTheme="minorHAnsi" w:hAnsi="Times New Roman"/>
          <w:i/>
          <w:szCs w:val="20"/>
        </w:rPr>
        <w:t xml:space="preserve"> </w:t>
      </w:r>
      <w:r w:rsidR="001A272B" w:rsidRPr="008D4BE5">
        <w:rPr>
          <w:rFonts w:ascii="Times New Roman" w:eastAsiaTheme="minorHAnsi" w:hAnsi="Times New Roman"/>
          <w:i/>
          <w:szCs w:val="20"/>
        </w:rPr>
        <w:t xml:space="preserve">В статье </w:t>
      </w:r>
      <w:r w:rsidR="00B741CD">
        <w:rPr>
          <w:rFonts w:ascii="Times New Roman" w:eastAsiaTheme="minorHAnsi" w:hAnsi="Times New Roman"/>
          <w:i/>
          <w:szCs w:val="20"/>
        </w:rPr>
        <w:t>приводятся</w:t>
      </w:r>
      <w:r w:rsidR="002938BB" w:rsidRPr="008D4BE5">
        <w:rPr>
          <w:rFonts w:ascii="Times New Roman" w:eastAsiaTheme="minorHAnsi" w:hAnsi="Times New Roman"/>
          <w:i/>
          <w:szCs w:val="20"/>
        </w:rPr>
        <w:t xml:space="preserve"> рекомендации по улучшению расчетов с кредиторами и дебиторами, определяется влияние предложенных рекомендаций на составляющие экономической безопасности предприятия, описан метод совмещения АВС-анализа с реестром старения задолженности, позволяющий получить детальную картину по кредиторам и дебиторам, сформированы основные результаты, которые возможно достичь, при должном управлении дебиторской и кредиторской задолженностью.</w:t>
      </w:r>
      <w:r w:rsidR="00B741CD" w:rsidRPr="00B741CD">
        <w:rPr>
          <w:rFonts w:ascii="Times New Roman" w:hAnsi="Times New Roman"/>
        </w:rPr>
        <w:t xml:space="preserve"> </w:t>
      </w:r>
      <w:r w:rsidR="00B741CD" w:rsidRPr="00B741CD">
        <w:rPr>
          <w:rFonts w:ascii="Times New Roman" w:hAnsi="Times New Roman"/>
          <w:i/>
        </w:rPr>
        <w:t>Материалами данного исследования послужили труды отечественных и зарубежных ученых-экономистов, занимающихся вопросами управления дебиторской и кредиторской задолженностью</w:t>
      </w:r>
      <w:r w:rsidR="00B741CD">
        <w:rPr>
          <w:rFonts w:ascii="Times New Roman" w:hAnsi="Times New Roman"/>
          <w:i/>
        </w:rPr>
        <w:t>.</w:t>
      </w:r>
      <w:r w:rsidR="00B741CD" w:rsidRPr="00B741CD">
        <w:t xml:space="preserve"> </w:t>
      </w:r>
      <w:r w:rsidR="00B741CD" w:rsidRPr="00B741CD">
        <w:rPr>
          <w:rFonts w:ascii="Times New Roman" w:hAnsi="Times New Roman"/>
          <w:i/>
        </w:rPr>
        <w:t>На основе анализа и синтеза результатов предыдущих исследований автором предложены рекомендации, влияющие на основные составляющие экономической безопасности предприятия, которые помогут компании избежать или минимизировать количество просроченной как дебиторской, так и кредиторской задолженностей.</w:t>
      </w:r>
    </w:p>
    <w:p w14:paraId="007014F1" w14:textId="4102567A" w:rsidR="00A80354" w:rsidRPr="008D4BE5" w:rsidRDefault="00A80354" w:rsidP="008D4BE5">
      <w:pPr>
        <w:suppressAutoHyphens/>
        <w:spacing w:before="120" w:after="0" w:line="240" w:lineRule="auto"/>
        <w:jc w:val="both"/>
        <w:rPr>
          <w:rFonts w:ascii="Times New Roman" w:eastAsiaTheme="minorHAnsi" w:hAnsi="Times New Roman"/>
          <w:i/>
          <w:sz w:val="20"/>
        </w:rPr>
      </w:pPr>
      <w:r w:rsidRPr="008D4BE5">
        <w:rPr>
          <w:rFonts w:ascii="Times New Roman" w:eastAsiaTheme="minorHAnsi" w:hAnsi="Times New Roman"/>
          <w:b/>
          <w:i/>
          <w:sz w:val="20"/>
        </w:rPr>
        <w:t>Ключевые слова</w:t>
      </w:r>
      <w:r w:rsidRPr="008D4BE5">
        <w:rPr>
          <w:rFonts w:ascii="Times New Roman" w:eastAsiaTheme="minorHAnsi" w:hAnsi="Times New Roman"/>
          <w:i/>
          <w:sz w:val="20"/>
        </w:rPr>
        <w:t>: Дебиторская задолженность, кредиторская задолженность, экономическая безопасность</w:t>
      </w:r>
      <w:r w:rsidR="002938BB" w:rsidRPr="008D4BE5">
        <w:rPr>
          <w:rFonts w:ascii="Times New Roman" w:eastAsiaTheme="minorHAnsi" w:hAnsi="Times New Roman"/>
          <w:i/>
          <w:sz w:val="20"/>
        </w:rPr>
        <w:t xml:space="preserve"> предприятия</w:t>
      </w:r>
      <w:r w:rsidRPr="008D4BE5">
        <w:rPr>
          <w:rFonts w:ascii="Times New Roman" w:eastAsiaTheme="minorHAnsi" w:hAnsi="Times New Roman"/>
          <w:i/>
          <w:sz w:val="20"/>
        </w:rPr>
        <w:t>, анализ задолженности, управление задолженностью.</w:t>
      </w:r>
    </w:p>
    <w:p w14:paraId="2D0B9CB8" w14:textId="07550DE5" w:rsidR="0061109D" w:rsidRPr="0061109D" w:rsidRDefault="0061109D" w:rsidP="0061109D">
      <w:pPr>
        <w:suppressAutoHyphens/>
        <w:spacing w:before="120" w:after="0" w:line="240" w:lineRule="auto"/>
        <w:ind w:firstLine="709"/>
        <w:jc w:val="both"/>
        <w:rPr>
          <w:rFonts w:ascii="Times New Roman" w:eastAsiaTheme="minorHAnsi" w:hAnsi="Times New Roman"/>
          <w:i/>
          <w:lang w:val="en-US"/>
        </w:rPr>
      </w:pPr>
      <w:r>
        <w:rPr>
          <w:rFonts w:ascii="Times New Roman" w:eastAsiaTheme="minorHAnsi" w:hAnsi="Times New Roman"/>
          <w:i/>
          <w:lang w:val="en-US"/>
        </w:rPr>
        <w:t>Abstract</w:t>
      </w:r>
      <w:r w:rsidRPr="0061109D">
        <w:rPr>
          <w:rFonts w:ascii="Times New Roman" w:eastAsiaTheme="minorHAnsi" w:hAnsi="Times New Roman"/>
          <w:i/>
          <w:lang w:val="en-US"/>
        </w:rPr>
        <w:t>. The article is devoted to the problem of the effectiveness of the management of receivables and payables in the enterprise. The purpose of the study is to develop recommendations for the management of receivables and payables of the enterprise, contributing to the improvement of the components of the economic security of the enterprise. The object of the study is the leasing company XXX LLC, specializing in financial leasing in the following areas: cars, trucks, specialized equipment and other items. The subject of the study is receivables and payables. The article provides recommendations for improving settlements with creditors and debtors, determines the impact of the proposed recommendations on the components of the economic security of the enterprise, describes the method of combining ABC analysis with the debt aging register, which allows you to get a detailed picture of creditors and debtors, and forms the main results that can be achieved with proper management of receivables and payables. The materials of this study were the works of domestic and foreign scientists-economists involved in the management of receivables and payables. Based on the analysis and synthesis of the results of previous studies, the author proposes recommendations that affect the main components of the economic security of the enterprise, which will help the company to avoid or minimize the amount of overdue accounts receivable and payable.</w:t>
      </w:r>
    </w:p>
    <w:p w14:paraId="0E8BCB47" w14:textId="66538469" w:rsidR="008D4BE5" w:rsidRDefault="008D4BE5" w:rsidP="008D4BE5">
      <w:pPr>
        <w:suppressAutoHyphens/>
        <w:spacing w:before="120" w:after="0" w:line="240" w:lineRule="auto"/>
        <w:jc w:val="both"/>
        <w:rPr>
          <w:rFonts w:ascii="Times New Roman" w:eastAsiaTheme="minorHAnsi" w:hAnsi="Times New Roman"/>
          <w:i/>
          <w:lang w:val="en-US"/>
        </w:rPr>
      </w:pPr>
      <w:r w:rsidRPr="008D4BE5">
        <w:rPr>
          <w:rFonts w:ascii="Times New Roman" w:eastAsiaTheme="minorHAnsi" w:hAnsi="Times New Roman"/>
          <w:b/>
          <w:i/>
          <w:lang w:val="en-US"/>
        </w:rPr>
        <w:t>Key words</w:t>
      </w:r>
      <w:r w:rsidRPr="008D4BE5">
        <w:rPr>
          <w:rFonts w:ascii="Times New Roman" w:eastAsiaTheme="minorHAnsi" w:hAnsi="Times New Roman"/>
          <w:i/>
          <w:lang w:val="en-US"/>
        </w:rPr>
        <w:t>: Accounts receivable, accounts payable, economic security of the enterprise, debt analysis, debt management.</w:t>
      </w:r>
    </w:p>
    <w:p w14:paraId="0B1CD942" w14:textId="0E20CC9A" w:rsidR="00B741CD" w:rsidRPr="00EB1BF7" w:rsidRDefault="00B741CD" w:rsidP="008D4BE5">
      <w:pPr>
        <w:suppressAutoHyphens/>
        <w:spacing w:before="120" w:after="0" w:line="240" w:lineRule="auto"/>
        <w:jc w:val="both"/>
        <w:rPr>
          <w:rFonts w:ascii="Times New Roman" w:eastAsiaTheme="minorHAnsi" w:hAnsi="Times New Roman"/>
          <w:b/>
        </w:rPr>
      </w:pPr>
      <w:r w:rsidRPr="00EB1BF7">
        <w:rPr>
          <w:rFonts w:ascii="Times New Roman" w:eastAsiaTheme="minorHAnsi" w:hAnsi="Times New Roman"/>
          <w:b/>
        </w:rPr>
        <w:t>Введение</w:t>
      </w:r>
    </w:p>
    <w:p w14:paraId="2F14B86E" w14:textId="54254D90" w:rsidR="009D68C8" w:rsidRDefault="009D68C8" w:rsidP="003C6FBE">
      <w:pPr>
        <w:spacing w:after="0" w:line="240" w:lineRule="auto"/>
        <w:ind w:firstLine="709"/>
        <w:jc w:val="both"/>
        <w:rPr>
          <w:rFonts w:ascii="Times New Roman" w:hAnsi="Times New Roman"/>
        </w:rPr>
      </w:pPr>
      <w:r w:rsidRPr="003C6FBE">
        <w:rPr>
          <w:rFonts w:ascii="Times New Roman" w:hAnsi="Times New Roman"/>
        </w:rPr>
        <w:t xml:space="preserve">Одной из острых финансовых проблем на микроэкономическом уровне является задержка платежей контрагентами и невозможность погашения компанией своих обязательств. Насыщение товарных рынков, рост и ужесточение конкуренции за клиента приводят к активному использованию отсрочки платежа, как одного из эффективных инструментов сбытовой политики любого современного предприятия. </w:t>
      </w:r>
    </w:p>
    <w:p w14:paraId="60EE7DBE" w14:textId="3CA1310C" w:rsidR="00EB1BF7" w:rsidRDefault="00B741CD" w:rsidP="00EB1BF7">
      <w:pPr>
        <w:spacing w:after="0" w:line="240" w:lineRule="auto"/>
        <w:ind w:firstLine="709"/>
        <w:jc w:val="both"/>
        <w:rPr>
          <w:rFonts w:ascii="Times New Roman" w:hAnsi="Times New Roman"/>
        </w:rPr>
      </w:pPr>
      <w:r w:rsidRPr="00B741CD">
        <w:rPr>
          <w:rFonts w:ascii="Times New Roman" w:hAnsi="Times New Roman"/>
        </w:rPr>
        <w:lastRenderedPageBreak/>
        <w:t>С развитием рыночных отношений, и роста масштабов общественного производства, происходит увеличение хозяйственных связей между компаниями, в результате которого возникают два неразрывно связанных явления – дебиторская и кредиторская задолженность. Данные явления являются естественными процессами в системе отношений между предприятием и его контрагентами, однако требуют особого внимания со стороны специалистов к эффективности их управления</w:t>
      </w:r>
      <w:r w:rsidR="00653B68" w:rsidRPr="00653B68">
        <w:rPr>
          <w:rFonts w:ascii="Times New Roman" w:hAnsi="Times New Roman"/>
        </w:rPr>
        <w:t xml:space="preserve"> [1]</w:t>
      </w:r>
      <w:r w:rsidRPr="00B741CD">
        <w:rPr>
          <w:rFonts w:ascii="Times New Roman" w:hAnsi="Times New Roman"/>
        </w:rPr>
        <w:t xml:space="preserve">. </w:t>
      </w:r>
    </w:p>
    <w:p w14:paraId="4E8CC657" w14:textId="385ACB26" w:rsidR="00EB1BF7" w:rsidRDefault="00B741CD" w:rsidP="00EB1BF7">
      <w:pPr>
        <w:spacing w:after="0" w:line="240" w:lineRule="auto"/>
        <w:ind w:firstLine="709"/>
        <w:jc w:val="both"/>
        <w:rPr>
          <w:rFonts w:ascii="Times New Roman" w:hAnsi="Times New Roman"/>
        </w:rPr>
      </w:pPr>
      <w:r w:rsidRPr="00B741CD">
        <w:rPr>
          <w:rFonts w:ascii="Times New Roman" w:hAnsi="Times New Roman"/>
        </w:rPr>
        <w:t>Состояние и размеры дебиторской и кредиторской задолженност</w:t>
      </w:r>
      <w:r w:rsidR="00EB1BF7">
        <w:rPr>
          <w:rFonts w:ascii="Times New Roman" w:hAnsi="Times New Roman"/>
        </w:rPr>
        <w:t>ей</w:t>
      </w:r>
      <w:r w:rsidRPr="00B741CD">
        <w:rPr>
          <w:rFonts w:ascii="Times New Roman" w:hAnsi="Times New Roman"/>
        </w:rPr>
        <w:t>, оказывают сильное влияние на финансовое состояние хозяйствующего субъекта и на составляющие экономической безопасности предприятия.</w:t>
      </w:r>
      <w:r w:rsidR="00EB1BF7">
        <w:rPr>
          <w:rFonts w:ascii="Times New Roman" w:hAnsi="Times New Roman"/>
        </w:rPr>
        <w:t xml:space="preserve"> </w:t>
      </w:r>
      <w:r w:rsidR="00EB1BF7" w:rsidRPr="00EB1BF7">
        <w:rPr>
          <w:rFonts w:ascii="Times New Roman" w:hAnsi="Times New Roman"/>
        </w:rPr>
        <w:t>Неудовлетворительное состояние расчетов ведет к недостатку денежных средств компании и увеличению привлеченных средств, что в итоге снижает финансовую устойчивость, платежеспособность, экономическую безопасность предприятия, дестабилизируя ее составляющие.</w:t>
      </w:r>
    </w:p>
    <w:p w14:paraId="346C75CB" w14:textId="7B6D04AC" w:rsidR="00A2502B" w:rsidRPr="003C6FBE" w:rsidRDefault="00A2502B" w:rsidP="003C6FBE">
      <w:pPr>
        <w:spacing w:after="0" w:line="240" w:lineRule="auto"/>
        <w:ind w:firstLine="709"/>
        <w:jc w:val="both"/>
        <w:rPr>
          <w:rFonts w:ascii="Times New Roman" w:hAnsi="Times New Roman"/>
        </w:rPr>
      </w:pPr>
      <w:r w:rsidRPr="003C6FBE">
        <w:rPr>
          <w:rFonts w:ascii="Times New Roman" w:hAnsi="Times New Roman"/>
        </w:rPr>
        <w:t xml:space="preserve">Дебиторская и кредиторская задолженность – два противоположных по сущности, но неразрывно связанных элемента в экономике организации. Дебиторская задолженность является образным показателем будущей выручки, выступает отвлечением денежных средств из оборота компании и источником денежного потока организации, а кредиторская </w:t>
      </w:r>
      <w:r w:rsidR="009D68C8" w:rsidRPr="003C6FBE">
        <w:rPr>
          <w:rFonts w:ascii="Times New Roman" w:hAnsi="Times New Roman"/>
        </w:rPr>
        <w:t>–</w:t>
      </w:r>
      <w:r w:rsidRPr="003C6FBE">
        <w:rPr>
          <w:rFonts w:ascii="Times New Roman" w:hAnsi="Times New Roman"/>
        </w:rPr>
        <w:t xml:space="preserve"> одним из основных источников компании для осуществления бесперебойной деятельности, выступает показателем реализации товаров, работ или услуг, по которым оплата уже наступила, но товар еще не был поставлен.</w:t>
      </w:r>
    </w:p>
    <w:p w14:paraId="32FD1687" w14:textId="6A79812B" w:rsidR="00A2502B" w:rsidRPr="003C6FBE" w:rsidRDefault="00A2502B" w:rsidP="00492A05">
      <w:pPr>
        <w:spacing w:after="0" w:line="240" w:lineRule="auto"/>
        <w:ind w:firstLine="709"/>
        <w:jc w:val="both"/>
        <w:rPr>
          <w:rFonts w:ascii="Times New Roman" w:hAnsi="Times New Roman"/>
        </w:rPr>
      </w:pPr>
      <w:r w:rsidRPr="003C6FBE">
        <w:rPr>
          <w:rFonts w:ascii="Times New Roman" w:hAnsi="Times New Roman"/>
        </w:rPr>
        <w:t>В современной эпохе финансовых отношений расчеты с дебиторами и кредиторами, различными контрагентами, банками, становится неизбежным, из-за чего вопросы эффективного управления, кредиторской и дебиторской задолженностью имеют огромную актуальность в наши дни.</w:t>
      </w:r>
      <w:r w:rsidR="00492A05">
        <w:rPr>
          <w:rFonts w:ascii="Times New Roman" w:hAnsi="Times New Roman"/>
        </w:rPr>
        <w:t xml:space="preserve"> </w:t>
      </w:r>
      <w:r w:rsidR="00492A05" w:rsidRPr="00B741CD">
        <w:rPr>
          <w:rFonts w:ascii="Times New Roman" w:hAnsi="Times New Roman"/>
        </w:rPr>
        <w:t>Выстраивание качественных взаиморасчетов с покупателями товаров/работ/услуг и поставщиками</w:t>
      </w:r>
      <w:r w:rsidR="00492A05" w:rsidRPr="00B741CD">
        <w:rPr>
          <w:rFonts w:ascii="Times New Roman" w:hAnsi="Times New Roman"/>
          <w:i/>
        </w:rPr>
        <w:t xml:space="preserve"> </w:t>
      </w:r>
      <w:r w:rsidR="00492A05" w:rsidRPr="00B741CD">
        <w:rPr>
          <w:rFonts w:ascii="Times New Roman" w:hAnsi="Times New Roman"/>
        </w:rPr>
        <w:t>является главным фактором процветания бизнеса и формирование его конкурентоспособности в условиях рыночной экономики</w:t>
      </w:r>
      <w:r w:rsidR="00492A05">
        <w:rPr>
          <w:rFonts w:ascii="Times New Roman" w:hAnsi="Times New Roman"/>
        </w:rPr>
        <w:t>.</w:t>
      </w:r>
    </w:p>
    <w:p w14:paraId="1FE31E38" w14:textId="4657223E" w:rsidR="00740B92" w:rsidRPr="003C6FBE" w:rsidRDefault="00197390" w:rsidP="003C6FBE">
      <w:pPr>
        <w:spacing w:after="0" w:line="240" w:lineRule="auto"/>
        <w:ind w:firstLine="709"/>
        <w:jc w:val="both"/>
        <w:rPr>
          <w:rFonts w:ascii="Times New Roman" w:hAnsi="Times New Roman"/>
        </w:rPr>
      </w:pPr>
      <w:r w:rsidRPr="003C6FBE">
        <w:rPr>
          <w:rFonts w:ascii="Times New Roman" w:hAnsi="Times New Roman"/>
        </w:rPr>
        <w:t xml:space="preserve">Объектом исследования является лизинговая компания ООО «ХХХ», специализирующаяся на </w:t>
      </w:r>
      <w:r w:rsidR="00740B92" w:rsidRPr="003C6FBE">
        <w:rPr>
          <w:rFonts w:ascii="Times New Roman" w:hAnsi="Times New Roman"/>
        </w:rPr>
        <w:t xml:space="preserve">финансовом лизинге по направлениям: легковых, грузовых автомобилей, специализированной техники и других предметов. </w:t>
      </w:r>
      <w:r w:rsidR="00492A05">
        <w:rPr>
          <w:rFonts w:ascii="Times New Roman" w:hAnsi="Times New Roman"/>
        </w:rPr>
        <w:t>Организация з</w:t>
      </w:r>
      <w:r w:rsidR="00740B92" w:rsidRPr="003C6FBE">
        <w:rPr>
          <w:rFonts w:ascii="Times New Roman" w:hAnsi="Times New Roman"/>
        </w:rPr>
        <w:t>анимает 31-е место в рейтинге лизинговых компаний России на 01.10.2021 г. На данный момент предприятие активно развивается, открывает новые филиалы, растет численность сотрудников, увеличивается лизинговый портфель и объемы продаж [</w:t>
      </w:r>
      <w:r w:rsidR="00653B68" w:rsidRPr="00653B68">
        <w:rPr>
          <w:rFonts w:ascii="Times New Roman" w:hAnsi="Times New Roman"/>
        </w:rPr>
        <w:t>2</w:t>
      </w:r>
      <w:r w:rsidR="00740B92" w:rsidRPr="003C6FBE">
        <w:rPr>
          <w:rFonts w:ascii="Times New Roman" w:hAnsi="Times New Roman"/>
        </w:rPr>
        <w:t>].</w:t>
      </w:r>
    </w:p>
    <w:p w14:paraId="21164892" w14:textId="4DEBD6CF" w:rsidR="00653B68" w:rsidRDefault="009D68C8" w:rsidP="00492A05">
      <w:pPr>
        <w:spacing w:after="0" w:line="240" w:lineRule="auto"/>
        <w:ind w:firstLine="709"/>
        <w:jc w:val="both"/>
        <w:rPr>
          <w:rFonts w:ascii="Times New Roman" w:hAnsi="Times New Roman"/>
        </w:rPr>
      </w:pPr>
      <w:r w:rsidRPr="003C6FBE">
        <w:rPr>
          <w:rFonts w:ascii="Times New Roman" w:hAnsi="Times New Roman"/>
          <w:b/>
        </w:rPr>
        <w:t>Материалы исследования</w:t>
      </w:r>
      <w:r w:rsidRPr="003C6FBE">
        <w:rPr>
          <w:rFonts w:ascii="Times New Roman" w:hAnsi="Times New Roman"/>
        </w:rPr>
        <w:t xml:space="preserve">. </w:t>
      </w:r>
      <w:r w:rsidR="00F13A4E" w:rsidRPr="003C6FBE">
        <w:rPr>
          <w:rFonts w:ascii="Times New Roman" w:hAnsi="Times New Roman"/>
        </w:rPr>
        <w:t xml:space="preserve">Материалами данного исследования послужили труды отечественных и зарубежных ученых-экономистов, занимающихся вопросами управления дебиторской и кредиторской задолженностью: М.Н. </w:t>
      </w:r>
      <w:proofErr w:type="spellStart"/>
      <w:r w:rsidR="00F13A4E" w:rsidRPr="003C6FBE">
        <w:rPr>
          <w:rFonts w:ascii="Times New Roman" w:hAnsi="Times New Roman"/>
        </w:rPr>
        <w:t>Крейниной</w:t>
      </w:r>
      <w:proofErr w:type="spellEnd"/>
      <w:r w:rsidR="00F81D0B" w:rsidRPr="003C6FBE">
        <w:rPr>
          <w:rFonts w:ascii="Times New Roman" w:hAnsi="Times New Roman"/>
        </w:rPr>
        <w:t xml:space="preserve"> [</w:t>
      </w:r>
      <w:r w:rsidR="00653B68" w:rsidRPr="00653B68">
        <w:rPr>
          <w:rFonts w:ascii="Times New Roman" w:hAnsi="Times New Roman"/>
        </w:rPr>
        <w:t>3</w:t>
      </w:r>
      <w:r w:rsidR="00F81D0B" w:rsidRPr="003C6FBE">
        <w:rPr>
          <w:rFonts w:ascii="Times New Roman" w:hAnsi="Times New Roman"/>
        </w:rPr>
        <w:t>]</w:t>
      </w:r>
      <w:r w:rsidR="00F13A4E" w:rsidRPr="003C6FBE">
        <w:rPr>
          <w:rFonts w:ascii="Times New Roman" w:hAnsi="Times New Roman"/>
        </w:rPr>
        <w:t>, Терентьевой Т.В.</w:t>
      </w:r>
      <w:r w:rsidR="00F81D0B" w:rsidRPr="003C6FBE">
        <w:rPr>
          <w:rFonts w:ascii="Times New Roman" w:hAnsi="Times New Roman"/>
        </w:rPr>
        <w:t xml:space="preserve"> [</w:t>
      </w:r>
      <w:r w:rsidR="00653B68" w:rsidRPr="00653B68">
        <w:rPr>
          <w:rFonts w:ascii="Times New Roman" w:hAnsi="Times New Roman"/>
        </w:rPr>
        <w:t>4</w:t>
      </w:r>
      <w:r w:rsidR="00F81D0B" w:rsidRPr="003C6FBE">
        <w:rPr>
          <w:rFonts w:ascii="Times New Roman" w:hAnsi="Times New Roman"/>
        </w:rPr>
        <w:t>]</w:t>
      </w:r>
      <w:r w:rsidR="00F13A4E" w:rsidRPr="003C6FBE">
        <w:rPr>
          <w:rFonts w:ascii="Times New Roman" w:hAnsi="Times New Roman"/>
        </w:rPr>
        <w:t>, А. Сергеева</w:t>
      </w:r>
      <w:r w:rsidR="00F81D0B" w:rsidRPr="003C6FBE">
        <w:rPr>
          <w:rFonts w:ascii="Times New Roman" w:hAnsi="Times New Roman"/>
        </w:rPr>
        <w:t xml:space="preserve"> [</w:t>
      </w:r>
      <w:r w:rsidR="00653B68" w:rsidRPr="00653B68">
        <w:rPr>
          <w:rFonts w:ascii="Times New Roman" w:hAnsi="Times New Roman"/>
        </w:rPr>
        <w:t>5</w:t>
      </w:r>
      <w:r w:rsidR="00F81D0B" w:rsidRPr="003C6FBE">
        <w:rPr>
          <w:rFonts w:ascii="Times New Roman" w:hAnsi="Times New Roman"/>
        </w:rPr>
        <w:t>]</w:t>
      </w:r>
      <w:r w:rsidR="00F13A4E" w:rsidRPr="003C6FBE">
        <w:rPr>
          <w:rFonts w:ascii="Times New Roman" w:hAnsi="Times New Roman"/>
        </w:rPr>
        <w:t xml:space="preserve"> и </w:t>
      </w:r>
      <w:r w:rsidR="00492A05">
        <w:rPr>
          <w:rFonts w:ascii="Times New Roman" w:hAnsi="Times New Roman"/>
        </w:rPr>
        <w:t>экономической безопасностью:</w:t>
      </w:r>
      <w:r w:rsidR="00492A05" w:rsidRPr="00492A05">
        <w:t xml:space="preserve"> </w:t>
      </w:r>
      <w:r w:rsidR="00492A05" w:rsidRPr="00492A05">
        <w:rPr>
          <w:rFonts w:ascii="Times New Roman" w:hAnsi="Times New Roman"/>
        </w:rPr>
        <w:t>М. Меркушева [</w:t>
      </w:r>
      <w:r w:rsidR="00653B68" w:rsidRPr="00653B68">
        <w:rPr>
          <w:rFonts w:ascii="Times New Roman" w:hAnsi="Times New Roman"/>
        </w:rPr>
        <w:t>6</w:t>
      </w:r>
      <w:r w:rsidR="00492A05" w:rsidRPr="00492A05">
        <w:rPr>
          <w:rFonts w:ascii="Times New Roman" w:hAnsi="Times New Roman"/>
        </w:rPr>
        <w:t>]</w:t>
      </w:r>
      <w:r w:rsidR="00492A05">
        <w:rPr>
          <w:rFonts w:ascii="Times New Roman" w:hAnsi="Times New Roman"/>
        </w:rPr>
        <w:t xml:space="preserve">, </w:t>
      </w:r>
      <w:r w:rsidR="00DE7F19">
        <w:rPr>
          <w:rFonts w:ascii="Times New Roman" w:hAnsi="Times New Roman"/>
        </w:rPr>
        <w:t>Л. Гончаренко</w:t>
      </w:r>
      <w:r w:rsidR="00492A05" w:rsidRPr="00492A05">
        <w:rPr>
          <w:rFonts w:ascii="Times New Roman" w:hAnsi="Times New Roman"/>
        </w:rPr>
        <w:t xml:space="preserve"> [</w:t>
      </w:r>
      <w:r w:rsidR="00653B68" w:rsidRPr="00653B68">
        <w:rPr>
          <w:rFonts w:ascii="Times New Roman" w:hAnsi="Times New Roman"/>
        </w:rPr>
        <w:t>7</w:t>
      </w:r>
      <w:r w:rsidR="00492A05" w:rsidRPr="00492A05">
        <w:rPr>
          <w:rFonts w:ascii="Times New Roman" w:hAnsi="Times New Roman"/>
        </w:rPr>
        <w:t>]</w:t>
      </w:r>
      <w:r w:rsidR="00492A05">
        <w:rPr>
          <w:rFonts w:ascii="Times New Roman" w:hAnsi="Times New Roman"/>
        </w:rPr>
        <w:t xml:space="preserve"> и другие</w:t>
      </w:r>
      <w:r w:rsidR="00F13A4E" w:rsidRPr="003C6FBE">
        <w:rPr>
          <w:rFonts w:ascii="Times New Roman" w:hAnsi="Times New Roman"/>
        </w:rPr>
        <w:t xml:space="preserve">. </w:t>
      </w:r>
    </w:p>
    <w:p w14:paraId="13C2E926" w14:textId="3981D5AA" w:rsidR="009D68C8" w:rsidRPr="003C6FBE" w:rsidRDefault="00F13A4E" w:rsidP="00492A05">
      <w:pPr>
        <w:spacing w:after="0" w:line="240" w:lineRule="auto"/>
        <w:ind w:firstLine="709"/>
        <w:jc w:val="both"/>
        <w:rPr>
          <w:rFonts w:ascii="Times New Roman" w:hAnsi="Times New Roman"/>
        </w:rPr>
      </w:pPr>
      <w:r w:rsidRPr="003C6FBE">
        <w:rPr>
          <w:rFonts w:ascii="Times New Roman" w:hAnsi="Times New Roman"/>
        </w:rPr>
        <w:t>На основе анализа и синтеза результатов предыдущих исследований автор</w:t>
      </w:r>
      <w:r w:rsidR="00653B68">
        <w:rPr>
          <w:rFonts w:ascii="Times New Roman" w:hAnsi="Times New Roman"/>
        </w:rPr>
        <w:t>а</w:t>
      </w:r>
      <w:r w:rsidR="00653B68" w:rsidRPr="00653B68">
        <w:rPr>
          <w:rFonts w:ascii="Times New Roman" w:hAnsi="Times New Roman"/>
        </w:rPr>
        <w:t xml:space="preserve"> [8]</w:t>
      </w:r>
      <w:r w:rsidR="00653B68">
        <w:rPr>
          <w:rFonts w:ascii="Times New Roman" w:hAnsi="Times New Roman"/>
        </w:rPr>
        <w:t>,</w:t>
      </w:r>
      <w:r w:rsidRPr="003C6FBE">
        <w:rPr>
          <w:rFonts w:ascii="Times New Roman" w:hAnsi="Times New Roman"/>
        </w:rPr>
        <w:t xml:space="preserve"> предложены </w:t>
      </w:r>
      <w:r w:rsidR="002B71B3" w:rsidRPr="003C6FBE">
        <w:rPr>
          <w:rFonts w:ascii="Times New Roman" w:hAnsi="Times New Roman"/>
        </w:rPr>
        <w:t>рекомендации,</w:t>
      </w:r>
      <w:r w:rsidRPr="003C6FBE">
        <w:rPr>
          <w:rFonts w:ascii="Times New Roman" w:hAnsi="Times New Roman"/>
        </w:rPr>
        <w:t xml:space="preserve"> влияющие на основные составляющие</w:t>
      </w:r>
      <w:r w:rsidR="009B5312" w:rsidRPr="003C6FBE">
        <w:rPr>
          <w:rFonts w:ascii="Times New Roman" w:hAnsi="Times New Roman"/>
        </w:rPr>
        <w:t xml:space="preserve"> экономической безопасности предприятия</w:t>
      </w:r>
      <w:r w:rsidRPr="003C6FBE">
        <w:rPr>
          <w:rFonts w:ascii="Times New Roman" w:hAnsi="Times New Roman"/>
        </w:rPr>
        <w:t>, которые помогут компании избежать или минимизировать количество просроченной</w:t>
      </w:r>
      <w:r w:rsidR="009B5312" w:rsidRPr="003C6FBE">
        <w:rPr>
          <w:rFonts w:ascii="Times New Roman" w:hAnsi="Times New Roman"/>
        </w:rPr>
        <w:t xml:space="preserve"> как дебиторской, так и кредиторской</w:t>
      </w:r>
      <w:r w:rsidRPr="003C6FBE">
        <w:rPr>
          <w:rFonts w:ascii="Times New Roman" w:hAnsi="Times New Roman"/>
        </w:rPr>
        <w:t xml:space="preserve"> задолженност</w:t>
      </w:r>
      <w:r w:rsidR="009B5312" w:rsidRPr="003C6FBE">
        <w:rPr>
          <w:rFonts w:ascii="Times New Roman" w:hAnsi="Times New Roman"/>
        </w:rPr>
        <w:t>ей</w:t>
      </w:r>
      <w:r w:rsidRPr="003C6FBE">
        <w:rPr>
          <w:rFonts w:ascii="Times New Roman" w:hAnsi="Times New Roman"/>
        </w:rPr>
        <w:t>.</w:t>
      </w:r>
    </w:p>
    <w:p w14:paraId="7F9DD3B3" w14:textId="6C8D40EE" w:rsidR="000A0828" w:rsidRPr="003C6FBE" w:rsidRDefault="009D68C8" w:rsidP="003C6FBE">
      <w:pPr>
        <w:spacing w:after="0" w:line="240" w:lineRule="auto"/>
        <w:ind w:firstLine="709"/>
        <w:jc w:val="both"/>
        <w:rPr>
          <w:rFonts w:ascii="Times New Roman" w:hAnsi="Times New Roman"/>
          <w:b/>
        </w:rPr>
      </w:pPr>
      <w:r w:rsidRPr="003C6FBE">
        <w:rPr>
          <w:rFonts w:ascii="Times New Roman" w:hAnsi="Times New Roman"/>
          <w:b/>
        </w:rPr>
        <w:t>Результаты исследования и их обсуждение.</w:t>
      </w:r>
    </w:p>
    <w:p w14:paraId="413869C1" w14:textId="68F329C6"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Проведённый анализ дебиторской и кредиторской задолженности показал, что</w:t>
      </w:r>
      <w:r w:rsidR="00653B68">
        <w:rPr>
          <w:rFonts w:ascii="Times New Roman" w:hAnsi="Times New Roman"/>
        </w:rPr>
        <w:t>: «</w:t>
      </w:r>
      <w:r w:rsidR="002B71B3" w:rsidRPr="003C6FBE">
        <w:rPr>
          <w:rFonts w:ascii="Times New Roman" w:hAnsi="Times New Roman"/>
        </w:rPr>
        <w:t>ООО «ХХХ» грамотно выбирает своих контрагентов и при этом вовремя расплачивается по своим обязательствам. Доля просроченной дебиторской задолженности от общей суммы дебиторской задолженности составляет менее 2 процента, а просроченной кредиторской задо</w:t>
      </w:r>
      <w:r w:rsidR="00293EE6" w:rsidRPr="003C6FBE">
        <w:rPr>
          <w:rFonts w:ascii="Times New Roman" w:hAnsi="Times New Roman"/>
        </w:rPr>
        <w:t>лженности предприятие не имеет</w:t>
      </w:r>
      <w:r w:rsidR="00133F5A">
        <w:rPr>
          <w:rFonts w:ascii="Times New Roman" w:hAnsi="Times New Roman"/>
        </w:rPr>
        <w:t xml:space="preserve">» </w:t>
      </w:r>
      <w:r w:rsidR="00133F5A" w:rsidRPr="00133F5A">
        <w:rPr>
          <w:rFonts w:ascii="Times New Roman" w:hAnsi="Times New Roman"/>
        </w:rPr>
        <w:t>[8]</w:t>
      </w:r>
      <w:r w:rsidR="002B71B3" w:rsidRPr="003C6FBE">
        <w:rPr>
          <w:rFonts w:ascii="Times New Roman" w:hAnsi="Times New Roman"/>
        </w:rPr>
        <w:t>. О</w:t>
      </w:r>
      <w:r w:rsidRPr="003C6FBE">
        <w:rPr>
          <w:rFonts w:ascii="Times New Roman" w:hAnsi="Times New Roman"/>
        </w:rPr>
        <w:t xml:space="preserve">рганизация имеет хорошую систему управления по работе с дебиторами и кредиторами. Изменение динамики и структуры рассматриваемых задолженностей не являются неконтролируемыми процессами, а наоборот имеют четкое обоснование. Так рост дебиторской задолженности </w:t>
      </w:r>
      <w:r w:rsidR="002B71B3" w:rsidRPr="003C6FBE">
        <w:rPr>
          <w:rFonts w:ascii="Times New Roman" w:hAnsi="Times New Roman"/>
        </w:rPr>
        <w:t>–</w:t>
      </w:r>
      <w:r w:rsidRPr="003C6FBE">
        <w:rPr>
          <w:rFonts w:ascii="Times New Roman" w:hAnsi="Times New Roman"/>
        </w:rPr>
        <w:t xml:space="preserve"> это результат увеличения лизинговых сделок, а снижение кредиторской – это результат оперативной оплаты поставщикам за предметы лизинга.</w:t>
      </w:r>
    </w:p>
    <w:p w14:paraId="2C3DF3DF"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Управление за состоянием ДЗ и КЗ в организации происходит путем использования следующих мероприятий: </w:t>
      </w:r>
    </w:p>
    <w:p w14:paraId="5FC174EC"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определения кредитных лимитов для лизингополучателей;</w:t>
      </w:r>
    </w:p>
    <w:p w14:paraId="1BAF6372"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предоставления системы скидок за своевременную оплату;</w:t>
      </w:r>
    </w:p>
    <w:p w14:paraId="3286BA7F"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 </w:t>
      </w:r>
      <w:r w:rsidRPr="003C6FBE">
        <w:rPr>
          <w:rFonts w:ascii="Times New Roman" w:eastAsia="Times New Roman" w:hAnsi="Times New Roman"/>
          <w:lang w:eastAsia="ru-RU"/>
        </w:rPr>
        <w:t xml:space="preserve">ежегодное, по состоянию на 31 декабря, </w:t>
      </w:r>
      <w:r w:rsidRPr="003C6FBE">
        <w:rPr>
          <w:rFonts w:ascii="Times New Roman" w:hAnsi="Times New Roman"/>
        </w:rPr>
        <w:t>проведение инвентаризации ДЗ;</w:t>
      </w:r>
    </w:p>
    <w:p w14:paraId="75AD68CF"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реструктуризация кредиторской задолженности - «получение от кредитора различных уступок»;</w:t>
      </w:r>
    </w:p>
    <w:p w14:paraId="189AC2C4"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начисления пеней и штрафов за несвоевременную оплату, и др.</w:t>
      </w:r>
    </w:p>
    <w:p w14:paraId="042E8C88" w14:textId="676E6313"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В ООО «</w:t>
      </w:r>
      <w:r w:rsidR="002F6B5D" w:rsidRPr="003C6FBE">
        <w:rPr>
          <w:rFonts w:ascii="Times New Roman" w:hAnsi="Times New Roman"/>
        </w:rPr>
        <w:t>ХХХ</w:t>
      </w:r>
      <w:r w:rsidRPr="003C6FBE">
        <w:rPr>
          <w:rFonts w:ascii="Times New Roman" w:hAnsi="Times New Roman"/>
        </w:rPr>
        <w:t>» при работе с дебиторской и кредиторской задолженностью выявлены следующие проблемы:</w:t>
      </w:r>
    </w:p>
    <w:p w14:paraId="08D20125"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 сотрудничество с контрагентами, имеющие высокую степень риска неплатежеспособности; </w:t>
      </w:r>
    </w:p>
    <w:p w14:paraId="7B82A3B5"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не регламентированная работа с просроченной дебиторской задолженностью;</w:t>
      </w:r>
    </w:p>
    <w:p w14:paraId="5DCF4A97"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допущение ошибок при работе с дебиторами и кредиторами;</w:t>
      </w:r>
    </w:p>
    <w:p w14:paraId="746D7C29" w14:textId="15ADE9BE"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отсутствует система мотивации сотрудников, которые работают с учетом, анализом, взысканием дебиторской задолженности и погашением кредиторской задолженности.</w:t>
      </w:r>
    </w:p>
    <w:p w14:paraId="27413405"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В этой связи можно предложить следующие рекомендации для более эффективного управления ДЗ и КЗ:</w:t>
      </w:r>
    </w:p>
    <w:p w14:paraId="0B7578DD" w14:textId="5FCFAF48" w:rsidR="0056612B" w:rsidRPr="003C6FBE" w:rsidRDefault="0056612B" w:rsidP="003C6FBE">
      <w:pPr>
        <w:spacing w:after="0" w:line="240" w:lineRule="auto"/>
        <w:ind w:firstLine="709"/>
        <w:contextualSpacing/>
        <w:jc w:val="both"/>
        <w:rPr>
          <w:rFonts w:ascii="Times New Roman" w:hAnsi="Times New Roman"/>
        </w:rPr>
      </w:pPr>
      <w:r w:rsidRPr="003C6FBE">
        <w:rPr>
          <w:rFonts w:ascii="Times New Roman" w:hAnsi="Times New Roman"/>
        </w:rPr>
        <w:t>1 Разработать дополнительную анкету для контрагентов, при подаче лизингополучателем заявки в ООО «</w:t>
      </w:r>
      <w:r w:rsidR="00293EE6" w:rsidRPr="003C6FBE">
        <w:rPr>
          <w:rFonts w:ascii="Times New Roman" w:hAnsi="Times New Roman"/>
        </w:rPr>
        <w:t>ХХХ</w:t>
      </w:r>
      <w:r w:rsidRPr="003C6FBE">
        <w:rPr>
          <w:rFonts w:ascii="Times New Roman" w:hAnsi="Times New Roman"/>
        </w:rPr>
        <w:t xml:space="preserve">» на оказание услуг. </w:t>
      </w:r>
    </w:p>
    <w:p w14:paraId="34AA6FFB"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В большом разнообразии контрагентов находятся такие компании, которые можно назвать «недобросовестными». При сотрудничестве с подобными контрагентами, у организации появляется риск потери денежных средств, чтобы избежать данный риск, необходимо начинать проверку потенциальных лизингополучателей на стадии подачи ими заявок на получение услуг лизинга.</w:t>
      </w:r>
    </w:p>
    <w:p w14:paraId="0996C4C8"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В заявке содержаться общие сведения о необходимом предмете лизинга, о выбранном лизингополучателем продавце, общая информация о компании ЛП и сведения о руководителе компании. Такая заявка дает понимание менеджерам по продажам о предпочтениях и потребностях клиента, однако отсутствует понимание о его платежеспособности. Именно для раннего выявления неплатежеспособных клиентов, необходимо составить дополнительный лист-опрос, который будет заполняться одновременно с подачей заявки. Ниже приведены примеры вопросов для лист-опроса. </w:t>
      </w:r>
    </w:p>
    <w:p w14:paraId="7807E2E7" w14:textId="62D2F78E" w:rsidR="0056612B" w:rsidRPr="003C6FBE" w:rsidRDefault="002F6B5D" w:rsidP="003C6FBE">
      <w:pPr>
        <w:numPr>
          <w:ilvl w:val="0"/>
          <w:numId w:val="1"/>
        </w:numPr>
        <w:spacing w:after="0" w:line="240" w:lineRule="auto"/>
        <w:ind w:left="0" w:firstLine="709"/>
        <w:jc w:val="both"/>
        <w:rPr>
          <w:rFonts w:ascii="Times New Roman" w:hAnsi="Times New Roman"/>
        </w:rPr>
      </w:pPr>
      <w:r w:rsidRPr="003C6FBE">
        <w:rPr>
          <w:rFonts w:ascii="Times New Roman" w:hAnsi="Times New Roman"/>
        </w:rPr>
        <w:t>у</w:t>
      </w:r>
      <w:r w:rsidR="0056612B" w:rsidRPr="003C6FBE">
        <w:rPr>
          <w:rFonts w:ascii="Times New Roman" w:hAnsi="Times New Roman"/>
        </w:rPr>
        <w:t>кажите планируемый срок лизинга.</w:t>
      </w:r>
    </w:p>
    <w:p w14:paraId="6198A53D" w14:textId="2A4AFD8B" w:rsidR="0056612B" w:rsidRPr="003C6FBE" w:rsidRDefault="002F6B5D" w:rsidP="003C6FBE">
      <w:pPr>
        <w:numPr>
          <w:ilvl w:val="0"/>
          <w:numId w:val="1"/>
        </w:numPr>
        <w:spacing w:after="0" w:line="240" w:lineRule="auto"/>
        <w:ind w:left="0" w:firstLine="709"/>
        <w:jc w:val="both"/>
        <w:rPr>
          <w:rFonts w:ascii="Times New Roman" w:hAnsi="Times New Roman"/>
        </w:rPr>
      </w:pPr>
      <w:r w:rsidRPr="003C6FBE">
        <w:rPr>
          <w:rFonts w:ascii="Times New Roman" w:hAnsi="Times New Roman"/>
        </w:rPr>
        <w:t>к</w:t>
      </w:r>
      <w:r w:rsidR="0056612B" w:rsidRPr="003C6FBE">
        <w:rPr>
          <w:rFonts w:ascii="Times New Roman" w:hAnsi="Times New Roman"/>
        </w:rPr>
        <w:t>акой процент от стоимости предмета лизинга вы готовы внести в счет авансового платежа?</w:t>
      </w:r>
    </w:p>
    <w:p w14:paraId="3807EF99" w14:textId="4A7D53CB" w:rsidR="0056612B" w:rsidRPr="003C6FBE" w:rsidRDefault="002F6B5D" w:rsidP="003C6FBE">
      <w:pPr>
        <w:numPr>
          <w:ilvl w:val="0"/>
          <w:numId w:val="1"/>
        </w:numPr>
        <w:spacing w:after="0" w:line="240" w:lineRule="auto"/>
        <w:ind w:left="0" w:firstLine="709"/>
        <w:contextualSpacing/>
        <w:jc w:val="both"/>
        <w:rPr>
          <w:rFonts w:ascii="Times New Roman" w:hAnsi="Times New Roman"/>
        </w:rPr>
      </w:pPr>
      <w:r w:rsidRPr="003C6FBE">
        <w:rPr>
          <w:rFonts w:ascii="Times New Roman" w:hAnsi="Times New Roman"/>
        </w:rPr>
        <w:t>о</w:t>
      </w:r>
      <w:r w:rsidR="0056612B" w:rsidRPr="003C6FBE">
        <w:rPr>
          <w:rFonts w:ascii="Times New Roman" w:hAnsi="Times New Roman"/>
        </w:rPr>
        <w:t xml:space="preserve">сновные виды деятельности компании и размеры выручки, чистой прибыли за последние 2 года; </w:t>
      </w:r>
    </w:p>
    <w:p w14:paraId="237FA3A4" w14:textId="56FCFA32" w:rsidR="0056612B" w:rsidRPr="003C6FBE" w:rsidRDefault="002F6B5D" w:rsidP="003C6FBE">
      <w:pPr>
        <w:numPr>
          <w:ilvl w:val="0"/>
          <w:numId w:val="1"/>
        </w:numPr>
        <w:spacing w:after="0" w:line="240" w:lineRule="auto"/>
        <w:ind w:left="0" w:firstLine="709"/>
        <w:contextualSpacing/>
        <w:jc w:val="both"/>
        <w:rPr>
          <w:rFonts w:ascii="Times New Roman" w:hAnsi="Times New Roman"/>
        </w:rPr>
      </w:pPr>
      <w:r w:rsidRPr="003C6FBE">
        <w:rPr>
          <w:rFonts w:ascii="Times New Roman" w:hAnsi="Times New Roman"/>
        </w:rPr>
        <w:t>к</w:t>
      </w:r>
      <w:r w:rsidR="0056612B" w:rsidRPr="003C6FBE">
        <w:rPr>
          <w:rFonts w:ascii="Times New Roman" w:hAnsi="Times New Roman"/>
        </w:rPr>
        <w:t xml:space="preserve">ак давно ваша компания существует на рынке? </w:t>
      </w:r>
    </w:p>
    <w:p w14:paraId="72B582FF" w14:textId="0FEC606F" w:rsidR="0056612B" w:rsidRPr="003C6FBE" w:rsidRDefault="002F6B5D" w:rsidP="003C6FBE">
      <w:pPr>
        <w:numPr>
          <w:ilvl w:val="0"/>
          <w:numId w:val="1"/>
        </w:numPr>
        <w:spacing w:after="0" w:line="240" w:lineRule="auto"/>
        <w:ind w:left="0" w:firstLine="709"/>
        <w:contextualSpacing/>
        <w:jc w:val="both"/>
        <w:rPr>
          <w:rFonts w:ascii="Times New Roman" w:hAnsi="Times New Roman"/>
        </w:rPr>
      </w:pPr>
      <w:r w:rsidRPr="003C6FBE">
        <w:rPr>
          <w:rFonts w:ascii="Times New Roman" w:hAnsi="Times New Roman"/>
        </w:rPr>
        <w:t>к</w:t>
      </w:r>
      <w:r w:rsidR="0056612B" w:rsidRPr="003C6FBE">
        <w:rPr>
          <w:rFonts w:ascii="Times New Roman" w:hAnsi="Times New Roman"/>
        </w:rPr>
        <w:t>оличество сотрудников (согласно штатному расписанию).</w:t>
      </w:r>
    </w:p>
    <w:p w14:paraId="386F6839" w14:textId="714ADDC4" w:rsidR="0056612B" w:rsidRPr="003C6FBE" w:rsidRDefault="002F6B5D" w:rsidP="003C6FBE">
      <w:pPr>
        <w:numPr>
          <w:ilvl w:val="0"/>
          <w:numId w:val="1"/>
        </w:numPr>
        <w:spacing w:after="0" w:line="240" w:lineRule="auto"/>
        <w:ind w:left="0" w:firstLine="709"/>
        <w:contextualSpacing/>
        <w:jc w:val="both"/>
        <w:rPr>
          <w:rFonts w:ascii="Times New Roman" w:hAnsi="Times New Roman"/>
        </w:rPr>
      </w:pPr>
      <w:r w:rsidRPr="003C6FBE">
        <w:rPr>
          <w:rFonts w:ascii="Times New Roman" w:hAnsi="Times New Roman"/>
        </w:rPr>
        <w:t>и</w:t>
      </w:r>
      <w:r w:rsidR="0056612B" w:rsidRPr="003C6FBE">
        <w:rPr>
          <w:rFonts w:ascii="Times New Roman" w:hAnsi="Times New Roman"/>
        </w:rPr>
        <w:t>меются ли неудовлетворенные претензии со стороны государственных, налоговых и других органов, а также со стороны других лиц?</w:t>
      </w:r>
    </w:p>
    <w:p w14:paraId="24FE28A7" w14:textId="5C721338" w:rsidR="0056612B" w:rsidRPr="003C6FBE" w:rsidRDefault="0056612B" w:rsidP="003C6FBE">
      <w:pPr>
        <w:numPr>
          <w:ilvl w:val="0"/>
          <w:numId w:val="1"/>
        </w:numPr>
        <w:spacing w:after="0" w:line="240" w:lineRule="auto"/>
        <w:ind w:left="0" w:firstLine="709"/>
        <w:contextualSpacing/>
        <w:jc w:val="both"/>
        <w:rPr>
          <w:rFonts w:ascii="Times New Roman" w:hAnsi="Times New Roman"/>
        </w:rPr>
      </w:pPr>
      <w:r w:rsidRPr="003C6FBE">
        <w:rPr>
          <w:rFonts w:ascii="Times New Roman" w:hAnsi="Times New Roman"/>
        </w:rPr>
        <w:t xml:space="preserve"> </w:t>
      </w:r>
      <w:r w:rsidR="002F6B5D" w:rsidRPr="003C6FBE">
        <w:rPr>
          <w:rFonts w:ascii="Times New Roman" w:hAnsi="Times New Roman"/>
        </w:rPr>
        <w:t>и</w:t>
      </w:r>
      <w:r w:rsidRPr="003C6FBE">
        <w:rPr>
          <w:rFonts w:ascii="Times New Roman" w:hAnsi="Times New Roman"/>
        </w:rPr>
        <w:t xml:space="preserve">меется ли просроченная задолженность по налогам в бюджет и заработной плате? (если да, укажите суммы и сроки просрочки) </w:t>
      </w:r>
    </w:p>
    <w:p w14:paraId="456A4F42" w14:textId="184BB790" w:rsidR="0056612B" w:rsidRPr="003C6FBE" w:rsidRDefault="002F6B5D" w:rsidP="003C6FBE">
      <w:pPr>
        <w:numPr>
          <w:ilvl w:val="0"/>
          <w:numId w:val="1"/>
        </w:numPr>
        <w:spacing w:after="0" w:line="240" w:lineRule="auto"/>
        <w:ind w:left="0" w:firstLine="709"/>
        <w:contextualSpacing/>
        <w:jc w:val="both"/>
        <w:rPr>
          <w:rFonts w:ascii="Times New Roman" w:hAnsi="Times New Roman"/>
        </w:rPr>
      </w:pPr>
      <w:r w:rsidRPr="003C6FBE">
        <w:rPr>
          <w:rFonts w:ascii="Times New Roman" w:hAnsi="Times New Roman"/>
        </w:rPr>
        <w:t>и</w:t>
      </w:r>
      <w:r w:rsidR="0056612B" w:rsidRPr="003C6FBE">
        <w:rPr>
          <w:rFonts w:ascii="Times New Roman" w:hAnsi="Times New Roman"/>
        </w:rPr>
        <w:t xml:space="preserve">меется ли незаконченное судебное и/или арбитражное разбирательство, а также решение о выполнение действующих решений по отношению к организации и физическим лицам (руководству, собственникам)? </w:t>
      </w:r>
    </w:p>
    <w:p w14:paraId="1A6F607C" w14:textId="0F96F27B" w:rsidR="0056612B" w:rsidRPr="003C6FBE" w:rsidRDefault="002F6B5D" w:rsidP="003C6FBE">
      <w:pPr>
        <w:numPr>
          <w:ilvl w:val="0"/>
          <w:numId w:val="1"/>
        </w:numPr>
        <w:spacing w:after="0" w:line="240" w:lineRule="auto"/>
        <w:ind w:left="0" w:firstLine="709"/>
        <w:jc w:val="both"/>
        <w:rPr>
          <w:rFonts w:ascii="Times New Roman" w:hAnsi="Times New Roman"/>
        </w:rPr>
      </w:pPr>
      <w:r w:rsidRPr="003C6FBE">
        <w:rPr>
          <w:rFonts w:ascii="Times New Roman" w:hAnsi="Times New Roman"/>
        </w:rPr>
        <w:t>и</w:t>
      </w:r>
      <w:r w:rsidR="0056612B" w:rsidRPr="003C6FBE">
        <w:rPr>
          <w:rFonts w:ascii="Times New Roman" w:hAnsi="Times New Roman"/>
        </w:rPr>
        <w:t>меются ли арестованные счета в банках?</w:t>
      </w:r>
    </w:p>
    <w:p w14:paraId="3DD52FCB" w14:textId="51966750" w:rsidR="0056612B" w:rsidRPr="003C6FBE" w:rsidRDefault="002F6B5D" w:rsidP="003C6FBE">
      <w:pPr>
        <w:numPr>
          <w:ilvl w:val="0"/>
          <w:numId w:val="1"/>
        </w:numPr>
        <w:spacing w:after="0" w:line="240" w:lineRule="auto"/>
        <w:ind w:left="0" w:firstLine="709"/>
        <w:jc w:val="both"/>
        <w:rPr>
          <w:rFonts w:ascii="Times New Roman" w:hAnsi="Times New Roman"/>
        </w:rPr>
      </w:pPr>
      <w:r w:rsidRPr="003C6FBE">
        <w:rPr>
          <w:rFonts w:ascii="Times New Roman" w:hAnsi="Times New Roman"/>
        </w:rPr>
        <w:t>у</w:t>
      </w:r>
      <w:r w:rsidR="0056612B" w:rsidRPr="003C6FBE">
        <w:rPr>
          <w:rFonts w:ascii="Times New Roman" w:hAnsi="Times New Roman"/>
        </w:rPr>
        <w:t>кажите цель приобретения предмета лизинга.</w:t>
      </w:r>
    </w:p>
    <w:p w14:paraId="369741CF" w14:textId="18CCC20B" w:rsidR="0056612B" w:rsidRPr="003C6FBE" w:rsidRDefault="002F6B5D" w:rsidP="003C6FBE">
      <w:pPr>
        <w:numPr>
          <w:ilvl w:val="0"/>
          <w:numId w:val="1"/>
        </w:numPr>
        <w:spacing w:after="0" w:line="240" w:lineRule="auto"/>
        <w:ind w:left="0" w:firstLine="709"/>
        <w:jc w:val="both"/>
        <w:rPr>
          <w:rFonts w:ascii="Times New Roman" w:hAnsi="Times New Roman"/>
        </w:rPr>
      </w:pPr>
      <w:r w:rsidRPr="003C6FBE">
        <w:rPr>
          <w:rFonts w:ascii="Times New Roman" w:hAnsi="Times New Roman"/>
        </w:rPr>
        <w:t>п</w:t>
      </w:r>
      <w:r w:rsidR="0056612B" w:rsidRPr="003C6FBE">
        <w:rPr>
          <w:rFonts w:ascii="Times New Roman" w:hAnsi="Times New Roman"/>
        </w:rPr>
        <w:t>роисходило ли изменений состава собственников за последние 12 месяцев (перераспределение долей в размере более 5% уставного капитала)?</w:t>
      </w:r>
    </w:p>
    <w:p w14:paraId="63C46B7A"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Благодаря такому опросу, менеджеры смогут выявить такие недобросовестные компании как:</w:t>
      </w:r>
    </w:p>
    <w:p w14:paraId="015C19E4"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 компании-клоны, копирующие название, оформление документов и бланков, печати и сайты известных брендов; </w:t>
      </w:r>
    </w:p>
    <w:p w14:paraId="4559E8E4"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 компании-однодневки; </w:t>
      </w:r>
    </w:p>
    <w:p w14:paraId="25483AFD"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 </w:t>
      </w:r>
      <w:proofErr w:type="spellStart"/>
      <w:r w:rsidRPr="003C6FBE">
        <w:rPr>
          <w:rFonts w:ascii="Times New Roman" w:hAnsi="Times New Roman"/>
        </w:rPr>
        <w:t>сублизинговые</w:t>
      </w:r>
      <w:proofErr w:type="spellEnd"/>
      <w:r w:rsidRPr="003C6FBE">
        <w:rPr>
          <w:rFonts w:ascii="Times New Roman" w:hAnsi="Times New Roman"/>
        </w:rPr>
        <w:t xml:space="preserve"> компании - лизингополучатель по первоначальному договору лизинга выступает посредником. Он передает полученное им имущество третьему лицу — конечному пользователю, но уже по договору </w:t>
      </w:r>
      <w:proofErr w:type="spellStart"/>
      <w:r w:rsidRPr="003C6FBE">
        <w:rPr>
          <w:rFonts w:ascii="Times New Roman" w:hAnsi="Times New Roman"/>
        </w:rPr>
        <w:t>сублизинга</w:t>
      </w:r>
      <w:proofErr w:type="spellEnd"/>
      <w:r w:rsidRPr="003C6FBE">
        <w:rPr>
          <w:rFonts w:ascii="Times New Roman" w:hAnsi="Times New Roman"/>
        </w:rPr>
        <w:t xml:space="preserve">; </w:t>
      </w:r>
    </w:p>
    <w:p w14:paraId="5F0BB7C7" w14:textId="41466BC9"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организации на грани банкротства – приобретают товар в рассрочку или с отсрочкой платежа, далее объявляют себя банкротами [</w:t>
      </w:r>
      <w:r w:rsidR="00653B68" w:rsidRPr="00653B68">
        <w:rPr>
          <w:rFonts w:ascii="Times New Roman" w:hAnsi="Times New Roman"/>
        </w:rPr>
        <w:t>9</w:t>
      </w:r>
      <w:r w:rsidRPr="003C6FBE">
        <w:rPr>
          <w:rFonts w:ascii="Times New Roman" w:hAnsi="Times New Roman"/>
        </w:rPr>
        <w:t>].</w:t>
      </w:r>
    </w:p>
    <w:p w14:paraId="5F962C27" w14:textId="6EB799CD"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При положительном ответе на заявку потенциального лизингополучателя, начинается второй этап проверки службой экономической безопасности, который включает в себя полную проверку контрагента: его статус, фактический и юридический адрес регистрации, бухгалтерская, финансовая отчетности, проверка в системе ФНС, связанные организации, госконтракты, удостоверяющие документы, права подписи и многое другое. Также контрагент проверяется определенным сервисом для проверки контрагентов, которые в качестве информационной базы используют данные десятков источников, среди которых ФНС, ЕФРСБ, Роспатент, Росстат, ФССП, Казна, ВАС, и многие другие. Также некоторые сервисы способны предоставлять экспресс-отчеты по проверяемым контрагентам. Таким образом сервис сразу предупредит о банкротстве, стадии ликвидации, низкой активности в течение года, отрицательных финансовых результатах и других важных характеристиках контрагента [</w:t>
      </w:r>
      <w:r w:rsidR="00653B68" w:rsidRPr="00653B68">
        <w:rPr>
          <w:rFonts w:ascii="Times New Roman" w:hAnsi="Times New Roman"/>
        </w:rPr>
        <w:t>10</w:t>
      </w:r>
      <w:r w:rsidRPr="003C6FBE">
        <w:rPr>
          <w:rFonts w:ascii="Times New Roman" w:hAnsi="Times New Roman"/>
        </w:rPr>
        <w:t>].</w:t>
      </w:r>
    </w:p>
    <w:p w14:paraId="1F28AC5C"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На основе полученных документов проводится анализ надежности платежеспособности контрагента с присвоением ему определенного ранга платёжеспособности. На основе этого анализа делается заключение о возможности дальнейшего сотрудничества. </w:t>
      </w:r>
    </w:p>
    <w:p w14:paraId="7669173E"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Таким образом, проводя тщательную проверку каждого контрагента организация сможет обезопасить себя от финансовых потерь. </w:t>
      </w:r>
    </w:p>
    <w:p w14:paraId="38AD8CDA" w14:textId="7777777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После заключения сделки, основным связующим во взаимодействии с клиентами является сектор сопровождения лизинговых сделок, именно сотрудники этого отдела больше всего взаимодействуют с лизингополучателями и поставщиками, направляют им и получают необходимые документы (сканы договоров, актов приема-передачи предметов лизинга, акты сверок, счета фактуры, уведомления), часть из которых, в свою очередь, формирует бухгалтерский отдел и отдел бизнес планирования.</w:t>
      </w:r>
    </w:p>
    <w:p w14:paraId="75014D40" w14:textId="1FB33407" w:rsidR="0056612B"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 xml:space="preserve">После внесения Лизингополучателем всей суммы лизинговых платежей и выкупной стоимости, договор лизинга считается исполненным и право собственности на предмет лизинга переходит к Лизингополучателю, что оформляется соответствующими документами. </w:t>
      </w:r>
    </w:p>
    <w:p w14:paraId="2E6483EE" w14:textId="14E2A0B9" w:rsidR="00293EE6" w:rsidRPr="003C6FBE" w:rsidRDefault="0056612B" w:rsidP="003C6FBE">
      <w:pPr>
        <w:spacing w:after="0" w:line="240" w:lineRule="auto"/>
        <w:ind w:firstLine="709"/>
        <w:jc w:val="both"/>
        <w:rPr>
          <w:rFonts w:ascii="Times New Roman" w:hAnsi="Times New Roman"/>
        </w:rPr>
      </w:pPr>
      <w:r w:rsidRPr="003C6FBE">
        <w:rPr>
          <w:rFonts w:ascii="Times New Roman" w:hAnsi="Times New Roman"/>
        </w:rPr>
        <w:t>2 Совершенствовать метод ранжирования дебиторской и кредиторской задолженности, путем использования реестра старения дебиторской и кредиторской задолженности совместно с АВС-анализом</w:t>
      </w:r>
      <w:r w:rsidR="00492A05">
        <w:rPr>
          <w:rFonts w:ascii="Times New Roman" w:hAnsi="Times New Roman"/>
        </w:rPr>
        <w:t xml:space="preserve"> </w:t>
      </w:r>
      <w:r w:rsidR="00492A05" w:rsidRPr="00492A05">
        <w:rPr>
          <w:rFonts w:ascii="Times New Roman" w:hAnsi="Times New Roman"/>
        </w:rPr>
        <w:t>[</w:t>
      </w:r>
      <w:r w:rsidR="00653B68" w:rsidRPr="00653B68">
        <w:rPr>
          <w:rFonts w:ascii="Times New Roman" w:hAnsi="Times New Roman"/>
        </w:rPr>
        <w:t>8</w:t>
      </w:r>
      <w:r w:rsidR="00492A05" w:rsidRPr="00492A05">
        <w:rPr>
          <w:rFonts w:ascii="Times New Roman" w:hAnsi="Times New Roman"/>
        </w:rPr>
        <w:t>]</w:t>
      </w:r>
      <w:r w:rsidRPr="003C6FBE">
        <w:rPr>
          <w:rFonts w:ascii="Times New Roman" w:hAnsi="Times New Roman"/>
        </w:rPr>
        <w:t>.</w:t>
      </w:r>
    </w:p>
    <w:p w14:paraId="750CFA27" w14:textId="52C1F77F" w:rsidR="00D5773B" w:rsidRPr="003C6FBE" w:rsidRDefault="002F6B5D" w:rsidP="003C6FBE">
      <w:pPr>
        <w:spacing w:after="0" w:line="240" w:lineRule="auto"/>
        <w:ind w:firstLine="709"/>
        <w:jc w:val="both"/>
        <w:rPr>
          <w:rFonts w:ascii="Times New Roman" w:hAnsi="Times New Roman"/>
        </w:rPr>
      </w:pPr>
      <w:r w:rsidRPr="003C6FBE">
        <w:rPr>
          <w:rFonts w:ascii="Times New Roman" w:hAnsi="Times New Roman"/>
        </w:rPr>
        <w:t>Краткая характеристика моделирования</w:t>
      </w:r>
      <w:r w:rsidR="002A48F2" w:rsidRPr="003C6FBE">
        <w:rPr>
          <w:rFonts w:ascii="Times New Roman" w:hAnsi="Times New Roman"/>
        </w:rPr>
        <w:t>,</w:t>
      </w:r>
      <w:r w:rsidRPr="003C6FBE">
        <w:rPr>
          <w:rFonts w:ascii="Times New Roman" w:hAnsi="Times New Roman"/>
        </w:rPr>
        <w:t xml:space="preserve"> </w:t>
      </w:r>
      <w:r w:rsidR="002A48F2" w:rsidRPr="003C6FBE">
        <w:rPr>
          <w:rFonts w:ascii="Times New Roman" w:hAnsi="Times New Roman"/>
        </w:rPr>
        <w:t>и</w:t>
      </w:r>
      <w:r w:rsidRPr="003C6FBE">
        <w:rPr>
          <w:rFonts w:ascii="Times New Roman" w:hAnsi="Times New Roman"/>
        </w:rPr>
        <w:t>спользуя лизинговый портфель на 31.12.2021г.</w:t>
      </w:r>
      <w:r w:rsidR="00D5773B" w:rsidRPr="003C6FBE">
        <w:rPr>
          <w:rFonts w:ascii="Times New Roman" w:hAnsi="Times New Roman"/>
        </w:rPr>
        <w:t xml:space="preserve">, </w:t>
      </w:r>
      <w:r w:rsidRPr="003C6FBE">
        <w:rPr>
          <w:rFonts w:ascii="Times New Roman" w:hAnsi="Times New Roman"/>
        </w:rPr>
        <w:t>содерж</w:t>
      </w:r>
      <w:r w:rsidR="00D5773B" w:rsidRPr="003C6FBE">
        <w:rPr>
          <w:rFonts w:ascii="Times New Roman" w:hAnsi="Times New Roman"/>
        </w:rPr>
        <w:t>ащий</w:t>
      </w:r>
      <w:r w:rsidRPr="003C6FBE">
        <w:rPr>
          <w:rFonts w:ascii="Times New Roman" w:hAnsi="Times New Roman"/>
        </w:rPr>
        <w:t xml:space="preserve"> информацию по суммам лизинговых платежей к получению по действующим и незакрытым договорам лизинга</w:t>
      </w:r>
      <w:r w:rsidR="00D5773B" w:rsidRPr="003C6FBE">
        <w:rPr>
          <w:rFonts w:ascii="Times New Roman" w:hAnsi="Times New Roman"/>
        </w:rPr>
        <w:t>, определяем</w:t>
      </w:r>
      <w:r w:rsidRPr="003C6FBE">
        <w:rPr>
          <w:rFonts w:ascii="Times New Roman" w:hAnsi="Times New Roman"/>
        </w:rPr>
        <w:t xml:space="preserve"> количество дней просрочки и, </w:t>
      </w:r>
      <w:r w:rsidR="00D5773B" w:rsidRPr="003C6FBE">
        <w:rPr>
          <w:rFonts w:ascii="Times New Roman" w:hAnsi="Times New Roman"/>
        </w:rPr>
        <w:t>сопоставляем</w:t>
      </w:r>
      <w:r w:rsidRPr="003C6FBE">
        <w:rPr>
          <w:rFonts w:ascii="Times New Roman" w:hAnsi="Times New Roman"/>
        </w:rPr>
        <w:t xml:space="preserve"> с графиками лизинговых платежей</w:t>
      </w:r>
      <w:r w:rsidR="00D5773B" w:rsidRPr="003C6FBE">
        <w:rPr>
          <w:rFonts w:ascii="Times New Roman" w:hAnsi="Times New Roman"/>
        </w:rPr>
        <w:t>.</w:t>
      </w:r>
      <w:r w:rsidRPr="003C6FBE">
        <w:rPr>
          <w:rFonts w:ascii="Times New Roman" w:hAnsi="Times New Roman"/>
        </w:rPr>
        <w:t xml:space="preserve"> </w:t>
      </w:r>
      <w:r w:rsidR="00D5773B" w:rsidRPr="003C6FBE">
        <w:rPr>
          <w:rFonts w:ascii="Times New Roman" w:hAnsi="Times New Roman"/>
        </w:rPr>
        <w:t>Ф</w:t>
      </w:r>
      <w:r w:rsidRPr="003C6FBE">
        <w:rPr>
          <w:rFonts w:ascii="Times New Roman" w:hAnsi="Times New Roman"/>
        </w:rPr>
        <w:t>ормиру</w:t>
      </w:r>
      <w:r w:rsidR="00D5773B" w:rsidRPr="003C6FBE">
        <w:rPr>
          <w:rFonts w:ascii="Times New Roman" w:hAnsi="Times New Roman"/>
        </w:rPr>
        <w:t>ю</w:t>
      </w:r>
      <w:r w:rsidRPr="003C6FBE">
        <w:rPr>
          <w:rFonts w:ascii="Times New Roman" w:hAnsi="Times New Roman"/>
        </w:rPr>
        <w:t>тся интервалы «Срок просроченной дебиторской задолженности» в котор</w:t>
      </w:r>
      <w:r w:rsidR="00D5773B" w:rsidRPr="003C6FBE">
        <w:rPr>
          <w:rFonts w:ascii="Times New Roman" w:hAnsi="Times New Roman"/>
        </w:rPr>
        <w:t>ых</w:t>
      </w:r>
      <w:r w:rsidRPr="003C6FBE">
        <w:rPr>
          <w:rFonts w:ascii="Times New Roman" w:hAnsi="Times New Roman"/>
        </w:rPr>
        <w:t xml:space="preserve"> отображены суммы задолженностей, возникших за разные периоды. Далее находим удельный вес просроченной задолженности по каждому контрагенту от общей суммы и сортируем полученную таблицу в порядке убывания. Затем по удельному весу и сумме просроченной задолженности выделяем категории дебиторов.</w:t>
      </w:r>
    </w:p>
    <w:p w14:paraId="1B104895" w14:textId="4EB7CFFD" w:rsidR="00A724D2" w:rsidRPr="003C6FBE" w:rsidRDefault="00A724D2" w:rsidP="003C6FBE">
      <w:pPr>
        <w:spacing w:after="0" w:line="240" w:lineRule="auto"/>
        <w:ind w:firstLine="709"/>
        <w:jc w:val="both"/>
        <w:rPr>
          <w:rFonts w:ascii="Times New Roman" w:hAnsi="Times New Roman"/>
        </w:rPr>
      </w:pPr>
      <w:r w:rsidRPr="003C6FBE">
        <w:rPr>
          <w:rFonts w:ascii="Times New Roman" w:hAnsi="Times New Roman"/>
        </w:rPr>
        <w:t xml:space="preserve">Категория А – должники, имеющие наибольший удельный вес от общей суммы просроченной задолженности. Именно поэтому к ним приковано больше внимания и требуется постоянный контроль.  </w:t>
      </w:r>
    </w:p>
    <w:p w14:paraId="5ABD2A82" w14:textId="59165426" w:rsidR="00A724D2" w:rsidRPr="003C6FBE" w:rsidRDefault="00A724D2" w:rsidP="003C6FBE">
      <w:pPr>
        <w:spacing w:after="0" w:line="240" w:lineRule="auto"/>
        <w:ind w:firstLine="709"/>
        <w:jc w:val="both"/>
        <w:rPr>
          <w:rFonts w:ascii="Times New Roman" w:hAnsi="Times New Roman"/>
        </w:rPr>
      </w:pPr>
      <w:r w:rsidRPr="003C6FBE">
        <w:rPr>
          <w:rFonts w:ascii="Times New Roman" w:hAnsi="Times New Roman"/>
        </w:rPr>
        <w:t xml:space="preserve">Категория В – дебиторы, имеющие пророченную задолженность равную 1-3 процента от общего объема просрочки, проверяются также регулярно, как и должники из предыдущей категории, меры по взысканию зависят от срока просроченной задолженности. </w:t>
      </w:r>
    </w:p>
    <w:p w14:paraId="6BEE11E6" w14:textId="77777777" w:rsidR="0013699C" w:rsidRDefault="00A724D2" w:rsidP="0013699C">
      <w:pPr>
        <w:spacing w:after="0" w:line="240" w:lineRule="auto"/>
        <w:ind w:firstLine="709"/>
        <w:jc w:val="both"/>
        <w:rPr>
          <w:rFonts w:ascii="Times New Roman" w:hAnsi="Times New Roman"/>
        </w:rPr>
      </w:pPr>
      <w:r w:rsidRPr="003C6FBE">
        <w:rPr>
          <w:rFonts w:ascii="Times New Roman" w:hAnsi="Times New Roman"/>
        </w:rPr>
        <w:t>Категория С – представляет собой широкий круг должников, по которым заинтересованность меньше всего, в связи с небольшими суммами долга (менее 1 процента от общей суммы просроченной ДЗ).</w:t>
      </w:r>
    </w:p>
    <w:p w14:paraId="08CED600" w14:textId="4C8A2D06" w:rsidR="00F049C7" w:rsidRDefault="00F049C7" w:rsidP="0013699C">
      <w:pPr>
        <w:spacing w:after="0" w:line="240" w:lineRule="auto"/>
        <w:ind w:firstLine="709"/>
        <w:jc w:val="both"/>
        <w:rPr>
          <w:rFonts w:ascii="Times New Roman" w:hAnsi="Times New Roman"/>
        </w:rPr>
      </w:pPr>
      <w:r>
        <w:rPr>
          <w:rFonts w:ascii="Times New Roman" w:hAnsi="Times New Roman"/>
        </w:rPr>
        <w:t>В результате получаем таблицу 1, имеющую следующий вид.</w:t>
      </w:r>
    </w:p>
    <w:p w14:paraId="1B4C49D9" w14:textId="4E90AFF1" w:rsidR="0013699C" w:rsidRPr="0013699C" w:rsidRDefault="0013699C" w:rsidP="0013699C">
      <w:pPr>
        <w:spacing w:after="0" w:line="360" w:lineRule="auto"/>
        <w:ind w:firstLine="709"/>
        <w:jc w:val="right"/>
        <w:rPr>
          <w:rFonts w:ascii="Times New Roman" w:hAnsi="Times New Roman"/>
          <w:i/>
        </w:rPr>
      </w:pPr>
      <w:r w:rsidRPr="0013699C">
        <w:rPr>
          <w:rFonts w:ascii="Times New Roman" w:hAnsi="Times New Roman"/>
          <w:i/>
        </w:rPr>
        <w:t>Таблица 1</w:t>
      </w:r>
    </w:p>
    <w:p w14:paraId="1FBA963B" w14:textId="30ACDF12" w:rsidR="0013699C" w:rsidRPr="0043727D" w:rsidRDefault="0013699C" w:rsidP="0013699C">
      <w:pPr>
        <w:spacing w:after="0" w:line="360" w:lineRule="auto"/>
        <w:ind w:firstLine="709"/>
        <w:jc w:val="center"/>
        <w:rPr>
          <w:rFonts w:ascii="Times New Roman" w:hAnsi="Times New Roman"/>
          <w:b/>
        </w:rPr>
      </w:pPr>
      <w:r>
        <w:rPr>
          <w:rFonts w:ascii="Times New Roman" w:hAnsi="Times New Roman"/>
          <w:b/>
        </w:rPr>
        <w:t>Пример р</w:t>
      </w:r>
      <w:r w:rsidRPr="0013699C">
        <w:rPr>
          <w:rFonts w:ascii="Times New Roman" w:hAnsi="Times New Roman"/>
          <w:b/>
        </w:rPr>
        <w:t>еестр</w:t>
      </w:r>
      <w:r>
        <w:rPr>
          <w:rFonts w:ascii="Times New Roman" w:hAnsi="Times New Roman"/>
          <w:b/>
        </w:rPr>
        <w:t>а</w:t>
      </w:r>
      <w:r w:rsidRPr="0013699C">
        <w:rPr>
          <w:rFonts w:ascii="Times New Roman" w:hAnsi="Times New Roman"/>
          <w:b/>
        </w:rPr>
        <w:t xml:space="preserve"> старения дебиторской задолженности, совмещенн</w:t>
      </w:r>
      <w:r>
        <w:rPr>
          <w:rFonts w:ascii="Times New Roman" w:hAnsi="Times New Roman"/>
          <w:b/>
        </w:rPr>
        <w:t>ого</w:t>
      </w:r>
      <w:r w:rsidRPr="0013699C">
        <w:rPr>
          <w:rFonts w:ascii="Times New Roman" w:hAnsi="Times New Roman"/>
          <w:b/>
        </w:rPr>
        <w:t xml:space="preserve"> с АВС-анализом</w:t>
      </w:r>
      <w:r w:rsidR="00D51EA6">
        <w:rPr>
          <w:rFonts w:ascii="Times New Roman" w:hAnsi="Times New Roman"/>
          <w:b/>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73"/>
        <w:gridCol w:w="1371"/>
        <w:gridCol w:w="937"/>
        <w:gridCol w:w="862"/>
        <w:gridCol w:w="829"/>
        <w:gridCol w:w="978"/>
        <w:gridCol w:w="840"/>
        <w:gridCol w:w="801"/>
        <w:gridCol w:w="969"/>
        <w:gridCol w:w="968"/>
      </w:tblGrid>
      <w:tr w:rsidR="0013699C" w14:paraId="2A05B938" w14:textId="77777777" w:rsidTr="0043727D">
        <w:trPr>
          <w:trHeight w:val="283"/>
        </w:trPr>
        <w:tc>
          <w:tcPr>
            <w:tcW w:w="557" w:type="pct"/>
            <w:tcBorders>
              <w:top w:val="single" w:sz="4" w:space="0" w:color="auto"/>
              <w:left w:val="single" w:sz="4" w:space="0" w:color="auto"/>
              <w:bottom w:val="single" w:sz="4" w:space="0" w:color="auto"/>
              <w:right w:val="single" w:sz="4" w:space="0" w:color="auto"/>
            </w:tcBorders>
            <w:noWrap/>
            <w:vAlign w:val="center"/>
            <w:hideMark/>
          </w:tcPr>
          <w:p w14:paraId="10F2A55E"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Контрагент</w:t>
            </w:r>
          </w:p>
        </w:tc>
        <w:tc>
          <w:tcPr>
            <w:tcW w:w="712" w:type="pct"/>
            <w:tcBorders>
              <w:top w:val="single" w:sz="4" w:space="0" w:color="auto"/>
              <w:left w:val="single" w:sz="4" w:space="0" w:color="auto"/>
              <w:bottom w:val="single" w:sz="4" w:space="0" w:color="auto"/>
              <w:right w:val="single" w:sz="4" w:space="0" w:color="auto"/>
            </w:tcBorders>
            <w:vAlign w:val="center"/>
            <w:hideMark/>
          </w:tcPr>
          <w:p w14:paraId="47BEB3BB"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Общая сумма просроченной задолженности</w:t>
            </w:r>
          </w:p>
        </w:tc>
        <w:tc>
          <w:tcPr>
            <w:tcW w:w="487" w:type="pct"/>
            <w:tcBorders>
              <w:top w:val="single" w:sz="4" w:space="0" w:color="auto"/>
              <w:left w:val="single" w:sz="4" w:space="0" w:color="auto"/>
              <w:bottom w:val="single" w:sz="4" w:space="0" w:color="auto"/>
              <w:right w:val="single" w:sz="4" w:space="0" w:color="auto"/>
            </w:tcBorders>
            <w:vAlign w:val="center"/>
            <w:hideMark/>
          </w:tcPr>
          <w:p w14:paraId="7A01E9B1"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Менее 30 дней</w:t>
            </w:r>
          </w:p>
        </w:tc>
        <w:tc>
          <w:tcPr>
            <w:tcW w:w="448" w:type="pct"/>
            <w:tcBorders>
              <w:top w:val="single" w:sz="4" w:space="0" w:color="auto"/>
              <w:left w:val="single" w:sz="4" w:space="0" w:color="auto"/>
              <w:bottom w:val="single" w:sz="4" w:space="0" w:color="auto"/>
              <w:right w:val="single" w:sz="4" w:space="0" w:color="auto"/>
            </w:tcBorders>
            <w:vAlign w:val="center"/>
            <w:hideMark/>
          </w:tcPr>
          <w:p w14:paraId="366F268F"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30-60 дней</w:t>
            </w:r>
          </w:p>
        </w:tc>
        <w:tc>
          <w:tcPr>
            <w:tcW w:w="431" w:type="pct"/>
            <w:tcBorders>
              <w:top w:val="single" w:sz="4" w:space="0" w:color="auto"/>
              <w:left w:val="single" w:sz="4" w:space="0" w:color="auto"/>
              <w:bottom w:val="single" w:sz="4" w:space="0" w:color="auto"/>
              <w:right w:val="single" w:sz="4" w:space="0" w:color="auto"/>
            </w:tcBorders>
            <w:vAlign w:val="center"/>
            <w:hideMark/>
          </w:tcPr>
          <w:p w14:paraId="61270E25"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60-90 дней</w:t>
            </w:r>
          </w:p>
        </w:tc>
        <w:tc>
          <w:tcPr>
            <w:tcW w:w="508" w:type="pct"/>
            <w:tcBorders>
              <w:top w:val="single" w:sz="4" w:space="0" w:color="auto"/>
              <w:left w:val="single" w:sz="4" w:space="0" w:color="auto"/>
              <w:bottom w:val="single" w:sz="4" w:space="0" w:color="auto"/>
              <w:right w:val="single" w:sz="4" w:space="0" w:color="auto"/>
            </w:tcBorders>
            <w:vAlign w:val="center"/>
            <w:hideMark/>
          </w:tcPr>
          <w:p w14:paraId="3256853F"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90-180</w:t>
            </w:r>
          </w:p>
        </w:tc>
        <w:tc>
          <w:tcPr>
            <w:tcW w:w="436" w:type="pct"/>
            <w:tcBorders>
              <w:top w:val="single" w:sz="4" w:space="0" w:color="auto"/>
              <w:left w:val="single" w:sz="4" w:space="0" w:color="auto"/>
              <w:bottom w:val="single" w:sz="4" w:space="0" w:color="auto"/>
              <w:right w:val="single" w:sz="4" w:space="0" w:color="auto"/>
            </w:tcBorders>
            <w:vAlign w:val="center"/>
            <w:hideMark/>
          </w:tcPr>
          <w:p w14:paraId="3C4299A1"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180-360</w:t>
            </w:r>
          </w:p>
        </w:tc>
        <w:tc>
          <w:tcPr>
            <w:tcW w:w="416" w:type="pct"/>
            <w:tcBorders>
              <w:top w:val="single" w:sz="4" w:space="0" w:color="auto"/>
              <w:left w:val="single" w:sz="4" w:space="0" w:color="auto"/>
              <w:bottom w:val="single" w:sz="4" w:space="0" w:color="auto"/>
              <w:right w:val="single" w:sz="4" w:space="0" w:color="auto"/>
            </w:tcBorders>
            <w:vAlign w:val="center"/>
            <w:hideMark/>
          </w:tcPr>
          <w:p w14:paraId="620C83DD"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более 360</w:t>
            </w:r>
          </w:p>
        </w:tc>
        <w:tc>
          <w:tcPr>
            <w:tcW w:w="503" w:type="pct"/>
            <w:tcBorders>
              <w:top w:val="single" w:sz="4" w:space="0" w:color="auto"/>
              <w:left w:val="single" w:sz="4" w:space="0" w:color="auto"/>
              <w:bottom w:val="single" w:sz="4" w:space="0" w:color="auto"/>
              <w:right w:val="single" w:sz="4" w:space="0" w:color="auto"/>
            </w:tcBorders>
            <w:vAlign w:val="center"/>
            <w:hideMark/>
          </w:tcPr>
          <w:p w14:paraId="152B8EFA"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Удельный вес%</w:t>
            </w:r>
          </w:p>
        </w:tc>
        <w:tc>
          <w:tcPr>
            <w:tcW w:w="503" w:type="pct"/>
            <w:tcBorders>
              <w:top w:val="single" w:sz="4" w:space="0" w:color="auto"/>
              <w:left w:val="single" w:sz="4" w:space="0" w:color="auto"/>
              <w:bottom w:val="nil"/>
              <w:right w:val="single" w:sz="4" w:space="0" w:color="auto"/>
            </w:tcBorders>
            <w:noWrap/>
            <w:vAlign w:val="center"/>
            <w:hideMark/>
          </w:tcPr>
          <w:p w14:paraId="4318D08E" w14:textId="77777777" w:rsidR="00F049C7" w:rsidRPr="0013699C" w:rsidRDefault="00F049C7">
            <w:pPr>
              <w:suppressAutoHyphens/>
              <w:spacing w:after="0" w:line="240" w:lineRule="auto"/>
              <w:jc w:val="center"/>
              <w:rPr>
                <w:rFonts w:ascii="Times New Roman" w:eastAsia="Times New Roman" w:hAnsi="Times New Roman"/>
                <w:b/>
                <w:sz w:val="20"/>
                <w:szCs w:val="20"/>
                <w:lang w:eastAsia="ru-RU"/>
              </w:rPr>
            </w:pPr>
            <w:r w:rsidRPr="0013699C">
              <w:rPr>
                <w:rFonts w:ascii="Times New Roman" w:eastAsia="Times New Roman" w:hAnsi="Times New Roman"/>
                <w:b/>
                <w:sz w:val="20"/>
                <w:szCs w:val="20"/>
                <w:lang w:eastAsia="ru-RU"/>
              </w:rPr>
              <w:t>Категория</w:t>
            </w:r>
          </w:p>
        </w:tc>
      </w:tr>
      <w:tr w:rsidR="0061109D" w14:paraId="293487D8" w14:textId="77777777" w:rsidTr="0043727D">
        <w:trPr>
          <w:trHeight w:val="283"/>
        </w:trPr>
        <w:tc>
          <w:tcPr>
            <w:tcW w:w="557" w:type="pct"/>
            <w:tcBorders>
              <w:top w:val="single" w:sz="4" w:space="0" w:color="auto"/>
              <w:left w:val="single" w:sz="4" w:space="0" w:color="auto"/>
              <w:bottom w:val="nil"/>
              <w:right w:val="single" w:sz="4" w:space="0" w:color="auto"/>
            </w:tcBorders>
            <w:noWrap/>
            <w:vAlign w:val="bottom"/>
            <w:hideMark/>
          </w:tcPr>
          <w:p w14:paraId="389F66D2" w14:textId="1C24341D"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w:t>
            </w:r>
          </w:p>
        </w:tc>
        <w:tc>
          <w:tcPr>
            <w:tcW w:w="712" w:type="pct"/>
            <w:tcBorders>
              <w:top w:val="single" w:sz="4" w:space="0" w:color="auto"/>
              <w:left w:val="single" w:sz="4" w:space="0" w:color="auto"/>
              <w:bottom w:val="nil"/>
              <w:right w:val="single" w:sz="4" w:space="0" w:color="auto"/>
            </w:tcBorders>
            <w:noWrap/>
            <w:vAlign w:val="bottom"/>
            <w:hideMark/>
          </w:tcPr>
          <w:p w14:paraId="56385915"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4 182 208,10</w:t>
            </w:r>
          </w:p>
        </w:tc>
        <w:tc>
          <w:tcPr>
            <w:tcW w:w="487" w:type="pct"/>
            <w:tcBorders>
              <w:top w:val="single" w:sz="4" w:space="0" w:color="auto"/>
              <w:left w:val="single" w:sz="4" w:space="0" w:color="auto"/>
              <w:bottom w:val="nil"/>
              <w:right w:val="single" w:sz="4" w:space="0" w:color="auto"/>
            </w:tcBorders>
            <w:noWrap/>
            <w:vAlign w:val="bottom"/>
            <w:hideMark/>
          </w:tcPr>
          <w:p w14:paraId="4ABE6FD1"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4182208</w:t>
            </w:r>
          </w:p>
        </w:tc>
        <w:tc>
          <w:tcPr>
            <w:tcW w:w="448" w:type="pct"/>
            <w:tcBorders>
              <w:top w:val="single" w:sz="4" w:space="0" w:color="auto"/>
              <w:left w:val="single" w:sz="4" w:space="0" w:color="auto"/>
              <w:bottom w:val="nil"/>
              <w:right w:val="single" w:sz="4" w:space="0" w:color="auto"/>
            </w:tcBorders>
            <w:noWrap/>
            <w:vAlign w:val="bottom"/>
            <w:hideMark/>
          </w:tcPr>
          <w:p w14:paraId="06D48211"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1" w:type="pct"/>
            <w:tcBorders>
              <w:top w:val="single" w:sz="4" w:space="0" w:color="auto"/>
              <w:left w:val="single" w:sz="4" w:space="0" w:color="auto"/>
              <w:bottom w:val="nil"/>
              <w:right w:val="single" w:sz="4" w:space="0" w:color="auto"/>
            </w:tcBorders>
            <w:noWrap/>
            <w:vAlign w:val="bottom"/>
            <w:hideMark/>
          </w:tcPr>
          <w:p w14:paraId="218E7130"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8" w:type="pct"/>
            <w:tcBorders>
              <w:top w:val="single" w:sz="4" w:space="0" w:color="auto"/>
              <w:left w:val="single" w:sz="4" w:space="0" w:color="auto"/>
              <w:bottom w:val="nil"/>
              <w:right w:val="single" w:sz="4" w:space="0" w:color="auto"/>
            </w:tcBorders>
            <w:noWrap/>
            <w:vAlign w:val="bottom"/>
            <w:hideMark/>
          </w:tcPr>
          <w:p w14:paraId="7098FBF3"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6" w:type="pct"/>
            <w:tcBorders>
              <w:top w:val="single" w:sz="4" w:space="0" w:color="auto"/>
              <w:left w:val="single" w:sz="4" w:space="0" w:color="auto"/>
              <w:bottom w:val="nil"/>
              <w:right w:val="single" w:sz="4" w:space="0" w:color="auto"/>
            </w:tcBorders>
            <w:noWrap/>
            <w:vAlign w:val="bottom"/>
            <w:hideMark/>
          </w:tcPr>
          <w:p w14:paraId="38069E5A"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16" w:type="pct"/>
            <w:tcBorders>
              <w:top w:val="single" w:sz="4" w:space="0" w:color="auto"/>
              <w:left w:val="single" w:sz="4" w:space="0" w:color="auto"/>
              <w:bottom w:val="nil"/>
              <w:right w:val="single" w:sz="4" w:space="0" w:color="auto"/>
            </w:tcBorders>
            <w:noWrap/>
            <w:vAlign w:val="bottom"/>
            <w:hideMark/>
          </w:tcPr>
          <w:p w14:paraId="70F5ACF2"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3" w:type="pct"/>
            <w:tcBorders>
              <w:top w:val="single" w:sz="4" w:space="0" w:color="auto"/>
              <w:left w:val="single" w:sz="4" w:space="0" w:color="auto"/>
              <w:bottom w:val="nil"/>
              <w:right w:val="single" w:sz="4" w:space="0" w:color="auto"/>
            </w:tcBorders>
            <w:noWrap/>
            <w:vAlign w:val="bottom"/>
            <w:hideMark/>
          </w:tcPr>
          <w:p w14:paraId="1BF8C058"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4,85</w:t>
            </w:r>
          </w:p>
        </w:tc>
        <w:tc>
          <w:tcPr>
            <w:tcW w:w="503" w:type="pct"/>
            <w:vMerge w:val="restart"/>
            <w:tcBorders>
              <w:top w:val="single" w:sz="4" w:space="0" w:color="auto"/>
              <w:left w:val="single" w:sz="4" w:space="0" w:color="auto"/>
              <w:bottom w:val="nil"/>
              <w:right w:val="single" w:sz="4" w:space="0" w:color="auto"/>
            </w:tcBorders>
            <w:noWrap/>
            <w:vAlign w:val="center"/>
            <w:hideMark/>
          </w:tcPr>
          <w:p w14:paraId="30F7B055" w14:textId="77777777" w:rsidR="00F049C7" w:rsidRPr="00A83670" w:rsidRDefault="00F049C7">
            <w:pPr>
              <w:spacing w:after="0" w:line="240" w:lineRule="auto"/>
              <w:jc w:val="center"/>
              <w:rPr>
                <w:rFonts w:ascii="Times New Roman" w:eastAsia="Times New Roman" w:hAnsi="Times New Roman"/>
                <w:sz w:val="20"/>
                <w:szCs w:val="20"/>
                <w:lang w:eastAsia="ru-RU"/>
              </w:rPr>
            </w:pPr>
            <w:r w:rsidRPr="00A83670">
              <w:rPr>
                <w:rFonts w:ascii="Times New Roman" w:eastAsia="Times New Roman" w:hAnsi="Times New Roman"/>
                <w:sz w:val="20"/>
                <w:szCs w:val="20"/>
                <w:lang w:eastAsia="ru-RU"/>
              </w:rPr>
              <w:t>А</w:t>
            </w:r>
          </w:p>
        </w:tc>
      </w:tr>
      <w:tr w:rsidR="0061109D" w14:paraId="694DAEE5" w14:textId="77777777" w:rsidTr="0043727D">
        <w:trPr>
          <w:trHeight w:val="283"/>
        </w:trPr>
        <w:tc>
          <w:tcPr>
            <w:tcW w:w="557" w:type="pct"/>
            <w:tcBorders>
              <w:top w:val="nil"/>
              <w:left w:val="single" w:sz="4" w:space="0" w:color="auto"/>
              <w:bottom w:val="nil"/>
              <w:right w:val="single" w:sz="4" w:space="0" w:color="auto"/>
            </w:tcBorders>
            <w:noWrap/>
            <w:vAlign w:val="bottom"/>
            <w:hideMark/>
          </w:tcPr>
          <w:p w14:paraId="4E4B9E04" w14:textId="1744AFDA"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c>
          <w:tcPr>
            <w:tcW w:w="712" w:type="pct"/>
            <w:tcBorders>
              <w:top w:val="nil"/>
              <w:left w:val="single" w:sz="4" w:space="0" w:color="auto"/>
              <w:bottom w:val="nil"/>
              <w:right w:val="single" w:sz="4" w:space="0" w:color="auto"/>
            </w:tcBorders>
            <w:noWrap/>
            <w:vAlign w:val="bottom"/>
            <w:hideMark/>
          </w:tcPr>
          <w:p w14:paraId="45F9E38F"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3 609 169,65</w:t>
            </w:r>
          </w:p>
        </w:tc>
        <w:tc>
          <w:tcPr>
            <w:tcW w:w="487" w:type="pct"/>
            <w:tcBorders>
              <w:top w:val="nil"/>
              <w:left w:val="single" w:sz="4" w:space="0" w:color="auto"/>
              <w:bottom w:val="nil"/>
              <w:right w:val="single" w:sz="4" w:space="0" w:color="auto"/>
            </w:tcBorders>
            <w:noWrap/>
            <w:vAlign w:val="bottom"/>
            <w:hideMark/>
          </w:tcPr>
          <w:p w14:paraId="1E9BB234"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601528,3</w:t>
            </w:r>
          </w:p>
        </w:tc>
        <w:tc>
          <w:tcPr>
            <w:tcW w:w="448" w:type="pct"/>
            <w:tcBorders>
              <w:top w:val="nil"/>
              <w:left w:val="single" w:sz="4" w:space="0" w:color="auto"/>
              <w:bottom w:val="nil"/>
              <w:right w:val="single" w:sz="4" w:space="0" w:color="auto"/>
            </w:tcBorders>
            <w:noWrap/>
            <w:vAlign w:val="bottom"/>
            <w:hideMark/>
          </w:tcPr>
          <w:p w14:paraId="561032C8"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601528,3</w:t>
            </w:r>
          </w:p>
        </w:tc>
        <w:tc>
          <w:tcPr>
            <w:tcW w:w="431" w:type="pct"/>
            <w:tcBorders>
              <w:top w:val="nil"/>
              <w:left w:val="single" w:sz="4" w:space="0" w:color="auto"/>
              <w:bottom w:val="nil"/>
              <w:right w:val="single" w:sz="4" w:space="0" w:color="auto"/>
            </w:tcBorders>
            <w:noWrap/>
            <w:vAlign w:val="bottom"/>
            <w:hideMark/>
          </w:tcPr>
          <w:p w14:paraId="4678FDD8"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601528,3</w:t>
            </w:r>
          </w:p>
        </w:tc>
        <w:tc>
          <w:tcPr>
            <w:tcW w:w="508" w:type="pct"/>
            <w:tcBorders>
              <w:top w:val="nil"/>
              <w:left w:val="single" w:sz="4" w:space="0" w:color="auto"/>
              <w:bottom w:val="nil"/>
              <w:right w:val="single" w:sz="4" w:space="0" w:color="auto"/>
            </w:tcBorders>
            <w:noWrap/>
            <w:vAlign w:val="bottom"/>
            <w:hideMark/>
          </w:tcPr>
          <w:p w14:paraId="2AAF237B"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601528,3</w:t>
            </w:r>
          </w:p>
        </w:tc>
        <w:tc>
          <w:tcPr>
            <w:tcW w:w="436" w:type="pct"/>
            <w:tcBorders>
              <w:top w:val="nil"/>
              <w:left w:val="single" w:sz="4" w:space="0" w:color="auto"/>
              <w:bottom w:val="nil"/>
              <w:right w:val="single" w:sz="4" w:space="0" w:color="auto"/>
            </w:tcBorders>
            <w:noWrap/>
            <w:vAlign w:val="bottom"/>
            <w:hideMark/>
          </w:tcPr>
          <w:p w14:paraId="1BF101A0"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601528,3</w:t>
            </w:r>
          </w:p>
        </w:tc>
        <w:tc>
          <w:tcPr>
            <w:tcW w:w="416" w:type="pct"/>
            <w:tcBorders>
              <w:top w:val="nil"/>
              <w:left w:val="single" w:sz="4" w:space="0" w:color="auto"/>
              <w:bottom w:val="nil"/>
              <w:right w:val="single" w:sz="4" w:space="0" w:color="auto"/>
            </w:tcBorders>
            <w:noWrap/>
            <w:vAlign w:val="bottom"/>
            <w:hideMark/>
          </w:tcPr>
          <w:p w14:paraId="07D805BC"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601528,3</w:t>
            </w:r>
          </w:p>
        </w:tc>
        <w:tc>
          <w:tcPr>
            <w:tcW w:w="503" w:type="pct"/>
            <w:tcBorders>
              <w:top w:val="nil"/>
              <w:left w:val="single" w:sz="4" w:space="0" w:color="auto"/>
              <w:bottom w:val="nil"/>
              <w:right w:val="single" w:sz="4" w:space="0" w:color="auto"/>
            </w:tcBorders>
            <w:noWrap/>
            <w:vAlign w:val="bottom"/>
            <w:hideMark/>
          </w:tcPr>
          <w:p w14:paraId="5EEED89F" w14:textId="77777777" w:rsidR="00F049C7" w:rsidRDefault="00F049C7">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4,19</w:t>
            </w:r>
          </w:p>
        </w:tc>
        <w:tc>
          <w:tcPr>
            <w:tcW w:w="503" w:type="pct"/>
            <w:vMerge/>
            <w:tcBorders>
              <w:top w:val="nil"/>
              <w:left w:val="single" w:sz="4" w:space="0" w:color="auto"/>
              <w:bottom w:val="nil"/>
              <w:right w:val="single" w:sz="4" w:space="0" w:color="auto"/>
            </w:tcBorders>
            <w:vAlign w:val="bottom"/>
          </w:tcPr>
          <w:p w14:paraId="0560B007" w14:textId="5B296AB0" w:rsidR="00F049C7" w:rsidRPr="00A83670" w:rsidRDefault="00F049C7">
            <w:pPr>
              <w:spacing w:after="0" w:line="240" w:lineRule="auto"/>
              <w:jc w:val="center"/>
              <w:rPr>
                <w:rFonts w:ascii="Times New Roman" w:eastAsia="Times New Roman" w:hAnsi="Times New Roman"/>
                <w:sz w:val="20"/>
                <w:szCs w:val="20"/>
                <w:lang w:eastAsia="ru-RU"/>
              </w:rPr>
            </w:pPr>
          </w:p>
        </w:tc>
      </w:tr>
      <w:tr w:rsidR="0013699C" w14:paraId="07C8D3A9" w14:textId="77777777" w:rsidTr="0043727D">
        <w:trPr>
          <w:trHeight w:val="283"/>
        </w:trPr>
        <w:tc>
          <w:tcPr>
            <w:tcW w:w="557" w:type="pct"/>
            <w:tcBorders>
              <w:top w:val="nil"/>
              <w:left w:val="single" w:sz="4" w:space="0" w:color="auto"/>
              <w:bottom w:val="nil"/>
              <w:right w:val="single" w:sz="4" w:space="0" w:color="auto"/>
            </w:tcBorders>
            <w:noWrap/>
            <w:vAlign w:val="bottom"/>
            <w:hideMark/>
          </w:tcPr>
          <w:p w14:paraId="054F4B6B" w14:textId="278DF833"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c>
          <w:tcPr>
            <w:tcW w:w="712" w:type="pct"/>
            <w:tcBorders>
              <w:top w:val="nil"/>
              <w:left w:val="single" w:sz="4" w:space="0" w:color="auto"/>
              <w:bottom w:val="nil"/>
              <w:right w:val="single" w:sz="4" w:space="0" w:color="auto"/>
            </w:tcBorders>
            <w:noWrap/>
            <w:vAlign w:val="bottom"/>
            <w:hideMark/>
          </w:tcPr>
          <w:p w14:paraId="4E0CFFD8"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1 504 418,52</w:t>
            </w:r>
          </w:p>
        </w:tc>
        <w:tc>
          <w:tcPr>
            <w:tcW w:w="487" w:type="pct"/>
            <w:tcBorders>
              <w:top w:val="nil"/>
              <w:left w:val="single" w:sz="4" w:space="0" w:color="auto"/>
              <w:bottom w:val="nil"/>
              <w:right w:val="single" w:sz="4" w:space="0" w:color="auto"/>
            </w:tcBorders>
            <w:noWrap/>
            <w:vAlign w:val="bottom"/>
            <w:hideMark/>
          </w:tcPr>
          <w:p w14:paraId="63BFCF3E"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1504419</w:t>
            </w:r>
          </w:p>
        </w:tc>
        <w:tc>
          <w:tcPr>
            <w:tcW w:w="448" w:type="pct"/>
            <w:tcBorders>
              <w:top w:val="nil"/>
              <w:left w:val="single" w:sz="4" w:space="0" w:color="auto"/>
              <w:bottom w:val="nil"/>
              <w:right w:val="single" w:sz="4" w:space="0" w:color="auto"/>
            </w:tcBorders>
            <w:noWrap/>
            <w:vAlign w:val="bottom"/>
            <w:hideMark/>
          </w:tcPr>
          <w:p w14:paraId="507E6C31"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1" w:type="pct"/>
            <w:tcBorders>
              <w:top w:val="nil"/>
              <w:left w:val="single" w:sz="4" w:space="0" w:color="auto"/>
              <w:bottom w:val="nil"/>
              <w:right w:val="single" w:sz="4" w:space="0" w:color="auto"/>
            </w:tcBorders>
            <w:noWrap/>
            <w:vAlign w:val="bottom"/>
            <w:hideMark/>
          </w:tcPr>
          <w:p w14:paraId="1D097882"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8" w:type="pct"/>
            <w:tcBorders>
              <w:top w:val="nil"/>
              <w:left w:val="single" w:sz="4" w:space="0" w:color="auto"/>
              <w:bottom w:val="nil"/>
              <w:right w:val="single" w:sz="4" w:space="0" w:color="auto"/>
            </w:tcBorders>
            <w:noWrap/>
            <w:vAlign w:val="bottom"/>
            <w:hideMark/>
          </w:tcPr>
          <w:p w14:paraId="0F60CB80"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6" w:type="pct"/>
            <w:tcBorders>
              <w:top w:val="nil"/>
              <w:left w:val="single" w:sz="4" w:space="0" w:color="auto"/>
              <w:bottom w:val="nil"/>
              <w:right w:val="single" w:sz="4" w:space="0" w:color="auto"/>
            </w:tcBorders>
            <w:noWrap/>
            <w:vAlign w:val="bottom"/>
            <w:hideMark/>
          </w:tcPr>
          <w:p w14:paraId="0F6BB0CA"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16" w:type="pct"/>
            <w:tcBorders>
              <w:top w:val="nil"/>
              <w:left w:val="single" w:sz="4" w:space="0" w:color="auto"/>
              <w:bottom w:val="nil"/>
              <w:right w:val="single" w:sz="4" w:space="0" w:color="auto"/>
            </w:tcBorders>
            <w:noWrap/>
            <w:vAlign w:val="bottom"/>
            <w:hideMark/>
          </w:tcPr>
          <w:p w14:paraId="3169ED35"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3" w:type="pct"/>
            <w:tcBorders>
              <w:top w:val="nil"/>
              <w:left w:val="single" w:sz="4" w:space="0" w:color="auto"/>
              <w:bottom w:val="nil"/>
              <w:right w:val="single" w:sz="4" w:space="0" w:color="auto"/>
            </w:tcBorders>
            <w:noWrap/>
            <w:vAlign w:val="bottom"/>
            <w:hideMark/>
          </w:tcPr>
          <w:p w14:paraId="47BDCA18"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1,75</w:t>
            </w:r>
          </w:p>
        </w:tc>
        <w:tc>
          <w:tcPr>
            <w:tcW w:w="503" w:type="pct"/>
            <w:vMerge w:val="restart"/>
            <w:tcBorders>
              <w:top w:val="nil"/>
              <w:left w:val="single" w:sz="4" w:space="0" w:color="auto"/>
              <w:bottom w:val="nil"/>
              <w:right w:val="single" w:sz="4" w:space="0" w:color="auto"/>
            </w:tcBorders>
            <w:noWrap/>
            <w:vAlign w:val="center"/>
            <w:hideMark/>
          </w:tcPr>
          <w:p w14:paraId="56FECB44" w14:textId="77777777" w:rsidR="0013699C" w:rsidRPr="00A83670" w:rsidRDefault="0013699C">
            <w:pPr>
              <w:spacing w:after="0" w:line="240" w:lineRule="auto"/>
              <w:jc w:val="center"/>
              <w:rPr>
                <w:rFonts w:ascii="Times New Roman" w:eastAsia="Times New Roman" w:hAnsi="Times New Roman"/>
                <w:sz w:val="20"/>
                <w:szCs w:val="20"/>
                <w:lang w:eastAsia="ru-RU"/>
              </w:rPr>
            </w:pPr>
            <w:r w:rsidRPr="00A83670">
              <w:rPr>
                <w:rFonts w:ascii="Times New Roman" w:eastAsia="Times New Roman" w:hAnsi="Times New Roman"/>
                <w:sz w:val="20"/>
                <w:szCs w:val="20"/>
                <w:lang w:eastAsia="ru-RU"/>
              </w:rPr>
              <w:t>В</w:t>
            </w:r>
          </w:p>
        </w:tc>
      </w:tr>
      <w:tr w:rsidR="0061109D" w14:paraId="54E39926" w14:textId="77777777" w:rsidTr="0043727D">
        <w:trPr>
          <w:trHeight w:val="283"/>
        </w:trPr>
        <w:tc>
          <w:tcPr>
            <w:tcW w:w="557" w:type="pct"/>
            <w:tcBorders>
              <w:top w:val="nil"/>
              <w:left w:val="single" w:sz="4" w:space="0" w:color="auto"/>
              <w:bottom w:val="nil"/>
              <w:right w:val="single" w:sz="4" w:space="0" w:color="auto"/>
            </w:tcBorders>
            <w:noWrap/>
            <w:vAlign w:val="bottom"/>
            <w:hideMark/>
          </w:tcPr>
          <w:p w14:paraId="3FE871F8" w14:textId="5F1BD07F"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w:t>
            </w:r>
          </w:p>
        </w:tc>
        <w:tc>
          <w:tcPr>
            <w:tcW w:w="712" w:type="pct"/>
            <w:tcBorders>
              <w:top w:val="nil"/>
              <w:left w:val="single" w:sz="4" w:space="0" w:color="auto"/>
              <w:bottom w:val="nil"/>
              <w:right w:val="single" w:sz="4" w:space="0" w:color="auto"/>
            </w:tcBorders>
            <w:noWrap/>
            <w:vAlign w:val="bottom"/>
            <w:hideMark/>
          </w:tcPr>
          <w:p w14:paraId="5369101C"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988 334,77</w:t>
            </w:r>
          </w:p>
        </w:tc>
        <w:tc>
          <w:tcPr>
            <w:tcW w:w="487" w:type="pct"/>
            <w:tcBorders>
              <w:top w:val="nil"/>
              <w:left w:val="single" w:sz="4" w:space="0" w:color="auto"/>
              <w:bottom w:val="nil"/>
              <w:right w:val="single" w:sz="4" w:space="0" w:color="auto"/>
            </w:tcBorders>
            <w:noWrap/>
            <w:vAlign w:val="bottom"/>
            <w:hideMark/>
          </w:tcPr>
          <w:p w14:paraId="009BD3EC"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330740,9</w:t>
            </w:r>
          </w:p>
        </w:tc>
        <w:tc>
          <w:tcPr>
            <w:tcW w:w="448" w:type="pct"/>
            <w:tcBorders>
              <w:top w:val="nil"/>
              <w:left w:val="single" w:sz="4" w:space="0" w:color="auto"/>
              <w:bottom w:val="nil"/>
              <w:right w:val="single" w:sz="4" w:space="0" w:color="auto"/>
            </w:tcBorders>
            <w:noWrap/>
            <w:vAlign w:val="bottom"/>
            <w:hideMark/>
          </w:tcPr>
          <w:p w14:paraId="751DBEBA"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330740,9</w:t>
            </w:r>
          </w:p>
        </w:tc>
        <w:tc>
          <w:tcPr>
            <w:tcW w:w="431" w:type="pct"/>
            <w:tcBorders>
              <w:top w:val="nil"/>
              <w:left w:val="single" w:sz="4" w:space="0" w:color="auto"/>
              <w:bottom w:val="nil"/>
              <w:right w:val="single" w:sz="4" w:space="0" w:color="auto"/>
            </w:tcBorders>
            <w:noWrap/>
            <w:vAlign w:val="bottom"/>
            <w:hideMark/>
          </w:tcPr>
          <w:p w14:paraId="112AD60B"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326852,9</w:t>
            </w:r>
          </w:p>
        </w:tc>
        <w:tc>
          <w:tcPr>
            <w:tcW w:w="508" w:type="pct"/>
            <w:tcBorders>
              <w:top w:val="nil"/>
              <w:left w:val="single" w:sz="4" w:space="0" w:color="auto"/>
              <w:bottom w:val="nil"/>
              <w:right w:val="single" w:sz="4" w:space="0" w:color="auto"/>
            </w:tcBorders>
            <w:noWrap/>
            <w:vAlign w:val="bottom"/>
            <w:hideMark/>
          </w:tcPr>
          <w:p w14:paraId="33621560"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6" w:type="pct"/>
            <w:tcBorders>
              <w:top w:val="nil"/>
              <w:left w:val="single" w:sz="4" w:space="0" w:color="auto"/>
              <w:bottom w:val="nil"/>
              <w:right w:val="single" w:sz="4" w:space="0" w:color="auto"/>
            </w:tcBorders>
            <w:noWrap/>
            <w:vAlign w:val="bottom"/>
            <w:hideMark/>
          </w:tcPr>
          <w:p w14:paraId="54DAD240"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16" w:type="pct"/>
            <w:tcBorders>
              <w:top w:val="nil"/>
              <w:left w:val="single" w:sz="4" w:space="0" w:color="auto"/>
              <w:bottom w:val="nil"/>
              <w:right w:val="single" w:sz="4" w:space="0" w:color="auto"/>
            </w:tcBorders>
            <w:noWrap/>
            <w:vAlign w:val="bottom"/>
            <w:hideMark/>
          </w:tcPr>
          <w:p w14:paraId="69C0BAF0"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3" w:type="pct"/>
            <w:tcBorders>
              <w:top w:val="nil"/>
              <w:left w:val="single" w:sz="4" w:space="0" w:color="auto"/>
              <w:bottom w:val="nil"/>
              <w:right w:val="single" w:sz="4" w:space="0" w:color="auto"/>
            </w:tcBorders>
            <w:noWrap/>
            <w:vAlign w:val="bottom"/>
            <w:hideMark/>
          </w:tcPr>
          <w:p w14:paraId="2B17BE5F"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1,15</w:t>
            </w:r>
          </w:p>
        </w:tc>
        <w:tc>
          <w:tcPr>
            <w:tcW w:w="503" w:type="pct"/>
            <w:vMerge/>
            <w:tcBorders>
              <w:top w:val="nil"/>
              <w:left w:val="single" w:sz="4" w:space="0" w:color="auto"/>
              <w:bottom w:val="nil"/>
              <w:right w:val="single" w:sz="4" w:space="0" w:color="auto"/>
            </w:tcBorders>
            <w:vAlign w:val="bottom"/>
          </w:tcPr>
          <w:p w14:paraId="21D0734A" w14:textId="31447A62" w:rsidR="0013699C" w:rsidRPr="00A83670" w:rsidRDefault="0013699C">
            <w:pPr>
              <w:spacing w:after="0" w:line="240" w:lineRule="auto"/>
              <w:jc w:val="center"/>
              <w:rPr>
                <w:rFonts w:ascii="Times New Roman" w:eastAsia="Times New Roman" w:hAnsi="Times New Roman"/>
                <w:sz w:val="20"/>
                <w:szCs w:val="20"/>
                <w:lang w:eastAsia="ru-RU"/>
              </w:rPr>
            </w:pPr>
          </w:p>
        </w:tc>
      </w:tr>
      <w:tr w:rsidR="0013699C" w14:paraId="18BA9AFA" w14:textId="77777777" w:rsidTr="0043727D">
        <w:trPr>
          <w:trHeight w:val="283"/>
        </w:trPr>
        <w:tc>
          <w:tcPr>
            <w:tcW w:w="557" w:type="pct"/>
            <w:tcBorders>
              <w:top w:val="nil"/>
              <w:left w:val="single" w:sz="4" w:space="0" w:color="auto"/>
              <w:bottom w:val="nil"/>
              <w:right w:val="single" w:sz="4" w:space="0" w:color="auto"/>
            </w:tcBorders>
            <w:noWrap/>
            <w:vAlign w:val="bottom"/>
            <w:hideMark/>
          </w:tcPr>
          <w:p w14:paraId="11049DD1" w14:textId="1917388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c>
          <w:tcPr>
            <w:tcW w:w="712" w:type="pct"/>
            <w:tcBorders>
              <w:top w:val="nil"/>
              <w:left w:val="single" w:sz="4" w:space="0" w:color="auto"/>
              <w:bottom w:val="nil"/>
              <w:right w:val="single" w:sz="4" w:space="0" w:color="auto"/>
            </w:tcBorders>
            <w:noWrap/>
            <w:vAlign w:val="bottom"/>
            <w:hideMark/>
          </w:tcPr>
          <w:p w14:paraId="792718D0"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846 019,89</w:t>
            </w:r>
          </w:p>
        </w:tc>
        <w:tc>
          <w:tcPr>
            <w:tcW w:w="487" w:type="pct"/>
            <w:tcBorders>
              <w:top w:val="nil"/>
              <w:left w:val="single" w:sz="4" w:space="0" w:color="auto"/>
              <w:bottom w:val="nil"/>
              <w:right w:val="single" w:sz="4" w:space="0" w:color="auto"/>
            </w:tcBorders>
            <w:noWrap/>
            <w:vAlign w:val="bottom"/>
            <w:hideMark/>
          </w:tcPr>
          <w:p w14:paraId="6BEFE51C"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846019,9</w:t>
            </w:r>
          </w:p>
        </w:tc>
        <w:tc>
          <w:tcPr>
            <w:tcW w:w="448" w:type="pct"/>
            <w:tcBorders>
              <w:top w:val="nil"/>
              <w:left w:val="single" w:sz="4" w:space="0" w:color="auto"/>
              <w:bottom w:val="nil"/>
              <w:right w:val="single" w:sz="4" w:space="0" w:color="auto"/>
            </w:tcBorders>
            <w:noWrap/>
            <w:vAlign w:val="bottom"/>
            <w:hideMark/>
          </w:tcPr>
          <w:p w14:paraId="6D35659F"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1" w:type="pct"/>
            <w:tcBorders>
              <w:top w:val="nil"/>
              <w:left w:val="single" w:sz="4" w:space="0" w:color="auto"/>
              <w:bottom w:val="nil"/>
              <w:right w:val="single" w:sz="4" w:space="0" w:color="auto"/>
            </w:tcBorders>
            <w:noWrap/>
            <w:vAlign w:val="bottom"/>
            <w:hideMark/>
          </w:tcPr>
          <w:p w14:paraId="348867BE"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8" w:type="pct"/>
            <w:tcBorders>
              <w:top w:val="nil"/>
              <w:left w:val="single" w:sz="4" w:space="0" w:color="auto"/>
              <w:bottom w:val="nil"/>
              <w:right w:val="single" w:sz="4" w:space="0" w:color="auto"/>
            </w:tcBorders>
            <w:noWrap/>
            <w:vAlign w:val="bottom"/>
            <w:hideMark/>
          </w:tcPr>
          <w:p w14:paraId="7000BBE9"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6" w:type="pct"/>
            <w:tcBorders>
              <w:top w:val="nil"/>
              <w:left w:val="single" w:sz="4" w:space="0" w:color="auto"/>
              <w:bottom w:val="nil"/>
              <w:right w:val="single" w:sz="4" w:space="0" w:color="auto"/>
            </w:tcBorders>
            <w:noWrap/>
            <w:vAlign w:val="bottom"/>
            <w:hideMark/>
          </w:tcPr>
          <w:p w14:paraId="6735DC51"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16" w:type="pct"/>
            <w:tcBorders>
              <w:top w:val="nil"/>
              <w:left w:val="single" w:sz="4" w:space="0" w:color="auto"/>
              <w:bottom w:val="nil"/>
              <w:right w:val="single" w:sz="4" w:space="0" w:color="auto"/>
            </w:tcBorders>
            <w:noWrap/>
            <w:vAlign w:val="bottom"/>
            <w:hideMark/>
          </w:tcPr>
          <w:p w14:paraId="1852073D"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3" w:type="pct"/>
            <w:tcBorders>
              <w:top w:val="nil"/>
              <w:left w:val="single" w:sz="4" w:space="0" w:color="auto"/>
              <w:bottom w:val="nil"/>
              <w:right w:val="single" w:sz="4" w:space="0" w:color="auto"/>
            </w:tcBorders>
            <w:noWrap/>
            <w:vAlign w:val="bottom"/>
            <w:hideMark/>
          </w:tcPr>
          <w:p w14:paraId="1DEC73A6"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0,98</w:t>
            </w:r>
          </w:p>
        </w:tc>
        <w:tc>
          <w:tcPr>
            <w:tcW w:w="503" w:type="pct"/>
            <w:vMerge w:val="restart"/>
            <w:tcBorders>
              <w:top w:val="nil"/>
              <w:left w:val="single" w:sz="4" w:space="0" w:color="auto"/>
              <w:bottom w:val="nil"/>
              <w:right w:val="single" w:sz="4" w:space="0" w:color="auto"/>
            </w:tcBorders>
            <w:noWrap/>
            <w:vAlign w:val="center"/>
          </w:tcPr>
          <w:p w14:paraId="6E283D0A" w14:textId="49D8237D" w:rsidR="0013699C" w:rsidRPr="00A83670" w:rsidRDefault="0013699C" w:rsidP="0013699C">
            <w:pPr>
              <w:spacing w:after="0" w:line="240" w:lineRule="auto"/>
              <w:jc w:val="center"/>
              <w:rPr>
                <w:rFonts w:ascii="Times New Roman" w:eastAsia="Times New Roman" w:hAnsi="Times New Roman"/>
                <w:sz w:val="20"/>
                <w:szCs w:val="20"/>
                <w:lang w:eastAsia="ru-RU"/>
              </w:rPr>
            </w:pPr>
            <w:r w:rsidRPr="00A83670">
              <w:rPr>
                <w:rFonts w:ascii="Times New Roman" w:eastAsia="Times New Roman" w:hAnsi="Times New Roman"/>
                <w:sz w:val="20"/>
                <w:szCs w:val="20"/>
                <w:lang w:eastAsia="ru-RU"/>
              </w:rPr>
              <w:t>С</w:t>
            </w:r>
          </w:p>
        </w:tc>
      </w:tr>
      <w:tr w:rsidR="0013699C" w14:paraId="4F53B827" w14:textId="77777777" w:rsidTr="0043727D">
        <w:trPr>
          <w:trHeight w:val="283"/>
        </w:trPr>
        <w:tc>
          <w:tcPr>
            <w:tcW w:w="557" w:type="pct"/>
            <w:tcBorders>
              <w:top w:val="nil"/>
              <w:left w:val="single" w:sz="4" w:space="0" w:color="auto"/>
              <w:bottom w:val="single" w:sz="4" w:space="0" w:color="auto"/>
              <w:right w:val="single" w:sz="4" w:space="0" w:color="auto"/>
            </w:tcBorders>
            <w:noWrap/>
            <w:vAlign w:val="bottom"/>
            <w:hideMark/>
          </w:tcPr>
          <w:p w14:paraId="7BF24985" w14:textId="7890F2E6"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6</w:t>
            </w:r>
          </w:p>
        </w:tc>
        <w:tc>
          <w:tcPr>
            <w:tcW w:w="712" w:type="pct"/>
            <w:tcBorders>
              <w:top w:val="nil"/>
              <w:left w:val="single" w:sz="4" w:space="0" w:color="auto"/>
              <w:bottom w:val="single" w:sz="4" w:space="0" w:color="auto"/>
              <w:right w:val="single" w:sz="4" w:space="0" w:color="auto"/>
            </w:tcBorders>
            <w:noWrap/>
            <w:vAlign w:val="bottom"/>
            <w:hideMark/>
          </w:tcPr>
          <w:p w14:paraId="18FB6031"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746 559,50</w:t>
            </w:r>
          </w:p>
        </w:tc>
        <w:tc>
          <w:tcPr>
            <w:tcW w:w="487" w:type="pct"/>
            <w:tcBorders>
              <w:top w:val="nil"/>
              <w:left w:val="single" w:sz="4" w:space="0" w:color="auto"/>
              <w:bottom w:val="single" w:sz="4" w:space="0" w:color="auto"/>
              <w:right w:val="single" w:sz="4" w:space="0" w:color="auto"/>
            </w:tcBorders>
            <w:noWrap/>
            <w:vAlign w:val="bottom"/>
            <w:hideMark/>
          </w:tcPr>
          <w:p w14:paraId="7EA5E86D"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48" w:type="pct"/>
            <w:tcBorders>
              <w:top w:val="nil"/>
              <w:left w:val="single" w:sz="4" w:space="0" w:color="auto"/>
              <w:bottom w:val="single" w:sz="4" w:space="0" w:color="auto"/>
              <w:right w:val="single" w:sz="4" w:space="0" w:color="auto"/>
            </w:tcBorders>
            <w:noWrap/>
            <w:vAlign w:val="bottom"/>
            <w:hideMark/>
          </w:tcPr>
          <w:p w14:paraId="3DD29961"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1" w:type="pct"/>
            <w:tcBorders>
              <w:top w:val="nil"/>
              <w:left w:val="single" w:sz="4" w:space="0" w:color="auto"/>
              <w:bottom w:val="single" w:sz="4" w:space="0" w:color="auto"/>
              <w:right w:val="single" w:sz="4" w:space="0" w:color="auto"/>
            </w:tcBorders>
            <w:noWrap/>
            <w:vAlign w:val="bottom"/>
            <w:hideMark/>
          </w:tcPr>
          <w:p w14:paraId="5352FAC6"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508" w:type="pct"/>
            <w:tcBorders>
              <w:top w:val="nil"/>
              <w:left w:val="single" w:sz="4" w:space="0" w:color="auto"/>
              <w:bottom w:val="single" w:sz="4" w:space="0" w:color="auto"/>
              <w:right w:val="single" w:sz="4" w:space="0" w:color="auto"/>
            </w:tcBorders>
            <w:noWrap/>
            <w:vAlign w:val="bottom"/>
            <w:hideMark/>
          </w:tcPr>
          <w:p w14:paraId="316B6448"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36" w:type="pct"/>
            <w:tcBorders>
              <w:top w:val="nil"/>
              <w:left w:val="single" w:sz="4" w:space="0" w:color="auto"/>
              <w:bottom w:val="single" w:sz="4" w:space="0" w:color="auto"/>
              <w:right w:val="single" w:sz="4" w:space="0" w:color="auto"/>
            </w:tcBorders>
            <w:noWrap/>
            <w:vAlign w:val="bottom"/>
            <w:hideMark/>
          </w:tcPr>
          <w:p w14:paraId="7FF2FCA3"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416" w:type="pct"/>
            <w:tcBorders>
              <w:top w:val="nil"/>
              <w:left w:val="single" w:sz="4" w:space="0" w:color="auto"/>
              <w:bottom w:val="single" w:sz="4" w:space="0" w:color="auto"/>
              <w:right w:val="single" w:sz="4" w:space="0" w:color="auto"/>
            </w:tcBorders>
            <w:noWrap/>
            <w:vAlign w:val="bottom"/>
            <w:hideMark/>
          </w:tcPr>
          <w:p w14:paraId="27D2FB4B"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746559,5</w:t>
            </w:r>
          </w:p>
        </w:tc>
        <w:tc>
          <w:tcPr>
            <w:tcW w:w="503" w:type="pct"/>
            <w:tcBorders>
              <w:top w:val="nil"/>
              <w:left w:val="single" w:sz="4" w:space="0" w:color="auto"/>
              <w:bottom w:val="single" w:sz="4" w:space="0" w:color="auto"/>
              <w:right w:val="single" w:sz="4" w:space="0" w:color="auto"/>
            </w:tcBorders>
            <w:noWrap/>
            <w:vAlign w:val="bottom"/>
            <w:hideMark/>
          </w:tcPr>
          <w:p w14:paraId="5A357912" w14:textId="77777777" w:rsidR="0013699C" w:rsidRDefault="0013699C">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0,87</w:t>
            </w:r>
          </w:p>
        </w:tc>
        <w:tc>
          <w:tcPr>
            <w:tcW w:w="503" w:type="pct"/>
            <w:vMerge/>
            <w:tcBorders>
              <w:top w:val="nil"/>
              <w:left w:val="single" w:sz="4" w:space="0" w:color="auto"/>
              <w:bottom w:val="single" w:sz="4" w:space="0" w:color="auto"/>
              <w:right w:val="single" w:sz="4" w:space="0" w:color="auto"/>
            </w:tcBorders>
            <w:vAlign w:val="bottom"/>
          </w:tcPr>
          <w:p w14:paraId="63FF2C4F" w14:textId="09173413" w:rsidR="0013699C" w:rsidRDefault="0013699C">
            <w:pPr>
              <w:spacing w:after="0" w:line="240" w:lineRule="auto"/>
              <w:jc w:val="center"/>
              <w:rPr>
                <w:rFonts w:ascii="Times New Roman" w:eastAsia="Times New Roman" w:hAnsi="Times New Roman"/>
                <w:sz w:val="20"/>
                <w:szCs w:val="20"/>
                <w:lang w:eastAsia="ru-RU"/>
              </w:rPr>
            </w:pPr>
          </w:p>
        </w:tc>
      </w:tr>
    </w:tbl>
    <w:p w14:paraId="2DD2078E" w14:textId="577452B5" w:rsidR="0043727D" w:rsidRPr="0043727D" w:rsidRDefault="0043727D" w:rsidP="0043727D">
      <w:pPr>
        <w:spacing w:after="0" w:line="240" w:lineRule="auto"/>
        <w:jc w:val="both"/>
        <w:rPr>
          <w:rFonts w:ascii="Times New Roman" w:hAnsi="Times New Roman"/>
          <w:i/>
        </w:rPr>
      </w:pPr>
      <w:r w:rsidRPr="0043727D">
        <w:rPr>
          <w:rFonts w:ascii="Times New Roman" w:hAnsi="Times New Roman"/>
          <w:i/>
        </w:rPr>
        <w:t>Составлено авторами по материалам исследования</w:t>
      </w:r>
    </w:p>
    <w:p w14:paraId="5B6AA097" w14:textId="6A6B34B6" w:rsidR="00492A05" w:rsidRPr="003C6FBE" w:rsidRDefault="00D5773B" w:rsidP="0061109D">
      <w:pPr>
        <w:spacing w:before="120" w:after="0" w:line="240" w:lineRule="auto"/>
        <w:ind w:firstLine="709"/>
        <w:jc w:val="both"/>
        <w:rPr>
          <w:rFonts w:ascii="Times New Roman" w:hAnsi="Times New Roman"/>
        </w:rPr>
      </w:pPr>
      <w:r w:rsidRPr="003C6FBE">
        <w:rPr>
          <w:rFonts w:ascii="Times New Roman" w:hAnsi="Times New Roman"/>
        </w:rPr>
        <w:t xml:space="preserve">Стоит уточнить, что всего у компании на конец 2021 года числилось 2579 заключенных лизинговый сделок, из них 181 контрагент имеют просроченную дебиторскую задолженность. </w:t>
      </w:r>
    </w:p>
    <w:p w14:paraId="3A1DBC4F" w14:textId="247DB98E" w:rsidR="0061109D" w:rsidRDefault="000E3078" w:rsidP="0061109D">
      <w:pPr>
        <w:spacing w:after="0" w:line="240" w:lineRule="auto"/>
        <w:ind w:firstLine="709"/>
        <w:jc w:val="both"/>
        <w:rPr>
          <w:rFonts w:ascii="Times New Roman" w:hAnsi="Times New Roman"/>
        </w:rPr>
      </w:pPr>
      <w:r w:rsidRPr="003C6FBE">
        <w:rPr>
          <w:rFonts w:ascii="Times New Roman" w:hAnsi="Times New Roman"/>
        </w:rPr>
        <w:t xml:space="preserve">Результат для совмещения помещается в таблицу </w:t>
      </w:r>
      <w:r w:rsidR="00F049C7">
        <w:rPr>
          <w:rFonts w:ascii="Times New Roman" w:hAnsi="Times New Roman"/>
        </w:rPr>
        <w:t>2</w:t>
      </w:r>
      <w:r w:rsidRPr="003C6FBE">
        <w:rPr>
          <w:rFonts w:ascii="Times New Roman" w:hAnsi="Times New Roman"/>
        </w:rPr>
        <w:t xml:space="preserve"> по двум параметрам. Данное совмещение позволяет образоваться аналитической информации, которая систематизирует сведения об ее состоянии для управленческих целей. Исходя из совмещенной классификации дебиторской задолженности производятся выводы о выборе управленческих воздействий соответствующего характера.</w:t>
      </w:r>
    </w:p>
    <w:p w14:paraId="62E2DC32" w14:textId="624BB110" w:rsidR="000E3078" w:rsidRPr="00133F5A" w:rsidRDefault="000E3078" w:rsidP="00133F5A">
      <w:pPr>
        <w:suppressAutoHyphens/>
        <w:spacing w:after="0" w:line="360" w:lineRule="auto"/>
        <w:jc w:val="right"/>
        <w:rPr>
          <w:rFonts w:ascii="Times New Roman" w:hAnsi="Times New Roman"/>
          <w:i/>
          <w:szCs w:val="24"/>
        </w:rPr>
      </w:pPr>
      <w:bookmarkStart w:id="1" w:name="_Hlk106745085"/>
      <w:r w:rsidRPr="00133F5A">
        <w:rPr>
          <w:rFonts w:ascii="Times New Roman" w:hAnsi="Times New Roman"/>
          <w:i/>
          <w:szCs w:val="24"/>
        </w:rPr>
        <w:t xml:space="preserve">Таблица </w:t>
      </w:r>
      <w:r w:rsidR="00F049C7">
        <w:rPr>
          <w:rFonts w:ascii="Times New Roman" w:hAnsi="Times New Roman"/>
          <w:i/>
          <w:szCs w:val="24"/>
        </w:rPr>
        <w:t>2</w:t>
      </w:r>
    </w:p>
    <w:p w14:paraId="34906B52" w14:textId="6D1AE8AD" w:rsidR="000E3078" w:rsidRPr="00133F5A" w:rsidRDefault="000E3078" w:rsidP="00133F5A">
      <w:pPr>
        <w:suppressAutoHyphens/>
        <w:spacing w:after="0" w:line="360" w:lineRule="auto"/>
        <w:jc w:val="center"/>
        <w:rPr>
          <w:rFonts w:ascii="Times New Roman" w:hAnsi="Times New Roman"/>
          <w:b/>
          <w:szCs w:val="24"/>
        </w:rPr>
      </w:pPr>
      <w:r w:rsidRPr="00133F5A">
        <w:rPr>
          <w:rFonts w:ascii="Times New Roman" w:hAnsi="Times New Roman"/>
          <w:b/>
          <w:szCs w:val="24"/>
        </w:rPr>
        <w:t>Матрица совмещения АВС-анализа и реестра старения дебиторской задолженности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05"/>
        <w:gridCol w:w="1701"/>
        <w:gridCol w:w="1701"/>
        <w:gridCol w:w="1985"/>
        <w:gridCol w:w="1836"/>
      </w:tblGrid>
      <w:tr w:rsidR="000E3078" w:rsidRPr="00133F5A" w14:paraId="5EF032B2" w14:textId="77777777" w:rsidTr="0043727D">
        <w:trPr>
          <w:trHeight w:val="57"/>
        </w:trPr>
        <w:tc>
          <w:tcPr>
            <w:tcW w:w="2405" w:type="dxa"/>
          </w:tcPr>
          <w:p w14:paraId="2371EBB4" w14:textId="77777777" w:rsidR="000E3078" w:rsidRPr="00133F5A" w:rsidRDefault="000E3078" w:rsidP="000E3078">
            <w:pPr>
              <w:suppressAutoHyphens/>
              <w:spacing w:after="0" w:line="240" w:lineRule="auto"/>
              <w:ind w:firstLine="709"/>
              <w:jc w:val="center"/>
              <w:rPr>
                <w:rFonts w:ascii="Times New Roman" w:hAnsi="Times New Roman"/>
                <w:b/>
                <w:sz w:val="20"/>
                <w:szCs w:val="24"/>
              </w:rPr>
            </w:pPr>
          </w:p>
        </w:tc>
        <w:tc>
          <w:tcPr>
            <w:tcW w:w="5387" w:type="dxa"/>
            <w:gridSpan w:val="3"/>
            <w:vAlign w:val="center"/>
          </w:tcPr>
          <w:p w14:paraId="646C13BB" w14:textId="77777777" w:rsidR="000E3078" w:rsidRPr="00133F5A" w:rsidRDefault="000E3078" w:rsidP="0043727D">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Интервалы просроченной дебиторской задолженности</w:t>
            </w:r>
          </w:p>
        </w:tc>
        <w:tc>
          <w:tcPr>
            <w:tcW w:w="1836" w:type="dxa"/>
            <w:vMerge w:val="restart"/>
            <w:vAlign w:val="center"/>
          </w:tcPr>
          <w:p w14:paraId="213DE7BE" w14:textId="77777777" w:rsidR="000E3078" w:rsidRPr="00133F5A" w:rsidRDefault="000E3078" w:rsidP="000E3078">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Итого контрагентов</w:t>
            </w:r>
          </w:p>
        </w:tc>
      </w:tr>
      <w:tr w:rsidR="000E3078" w:rsidRPr="00133F5A" w14:paraId="4049CBD0" w14:textId="77777777" w:rsidTr="0043727D">
        <w:trPr>
          <w:trHeight w:val="57"/>
        </w:trPr>
        <w:tc>
          <w:tcPr>
            <w:tcW w:w="2405" w:type="dxa"/>
            <w:vAlign w:val="bottom"/>
          </w:tcPr>
          <w:p w14:paraId="3FD5CC3A" w14:textId="77777777" w:rsidR="000E3078" w:rsidRPr="00133F5A" w:rsidRDefault="000E3078" w:rsidP="0043727D">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Категории дебиторов по удельному весу ДЗ</w:t>
            </w:r>
          </w:p>
        </w:tc>
        <w:tc>
          <w:tcPr>
            <w:tcW w:w="1701" w:type="dxa"/>
            <w:vAlign w:val="center"/>
          </w:tcPr>
          <w:p w14:paraId="0808A6B0" w14:textId="77777777" w:rsidR="000E3078" w:rsidRPr="00133F5A" w:rsidRDefault="000E3078" w:rsidP="000E3078">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0-30 дней (С)</w:t>
            </w:r>
          </w:p>
        </w:tc>
        <w:tc>
          <w:tcPr>
            <w:tcW w:w="1701" w:type="dxa"/>
            <w:vAlign w:val="center"/>
          </w:tcPr>
          <w:p w14:paraId="4EEF6AB4" w14:textId="77777777" w:rsidR="000E3078" w:rsidRPr="00133F5A" w:rsidRDefault="000E3078" w:rsidP="000E3078">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30-90 (В)</w:t>
            </w:r>
          </w:p>
        </w:tc>
        <w:tc>
          <w:tcPr>
            <w:tcW w:w="1985" w:type="dxa"/>
            <w:vAlign w:val="center"/>
          </w:tcPr>
          <w:p w14:paraId="51DD6124" w14:textId="77777777" w:rsidR="000E3078" w:rsidRPr="00133F5A" w:rsidRDefault="000E3078" w:rsidP="000E3078">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90 – свыше (А)</w:t>
            </w:r>
          </w:p>
        </w:tc>
        <w:tc>
          <w:tcPr>
            <w:tcW w:w="1836" w:type="dxa"/>
            <w:vMerge/>
          </w:tcPr>
          <w:p w14:paraId="34E4958B" w14:textId="77777777" w:rsidR="000E3078" w:rsidRPr="00133F5A" w:rsidRDefault="000E3078" w:rsidP="000E3078">
            <w:pPr>
              <w:suppressAutoHyphens/>
              <w:spacing w:after="0" w:line="240" w:lineRule="auto"/>
              <w:ind w:firstLine="709"/>
              <w:jc w:val="both"/>
              <w:rPr>
                <w:rFonts w:ascii="Times New Roman" w:hAnsi="Times New Roman"/>
                <w:b/>
                <w:sz w:val="20"/>
                <w:szCs w:val="24"/>
              </w:rPr>
            </w:pPr>
          </w:p>
        </w:tc>
      </w:tr>
      <w:tr w:rsidR="000E3078" w:rsidRPr="00133F5A" w14:paraId="00A34A48" w14:textId="77777777" w:rsidTr="0043727D">
        <w:trPr>
          <w:trHeight w:val="57"/>
        </w:trPr>
        <w:tc>
          <w:tcPr>
            <w:tcW w:w="2405" w:type="dxa"/>
            <w:vAlign w:val="bottom"/>
          </w:tcPr>
          <w:p w14:paraId="6A1CCDFD" w14:textId="77777777" w:rsidR="000E3078" w:rsidRPr="00133F5A" w:rsidRDefault="000E3078" w:rsidP="00F049C7">
            <w:pPr>
              <w:suppressAutoHyphens/>
              <w:spacing w:after="0" w:line="240" w:lineRule="auto"/>
              <w:ind w:firstLine="22"/>
              <w:rPr>
                <w:rFonts w:ascii="Times New Roman" w:hAnsi="Times New Roman"/>
                <w:sz w:val="20"/>
                <w:szCs w:val="24"/>
              </w:rPr>
            </w:pPr>
            <w:r w:rsidRPr="00133F5A">
              <w:rPr>
                <w:rFonts w:ascii="Times New Roman" w:hAnsi="Times New Roman"/>
                <w:sz w:val="20"/>
                <w:szCs w:val="24"/>
              </w:rPr>
              <w:t>3-5% (А)</w:t>
            </w:r>
          </w:p>
        </w:tc>
        <w:tc>
          <w:tcPr>
            <w:tcW w:w="1701" w:type="dxa"/>
            <w:vAlign w:val="bottom"/>
          </w:tcPr>
          <w:p w14:paraId="6E176489" w14:textId="77777777" w:rsidR="000E3078" w:rsidRPr="00133F5A" w:rsidRDefault="000E3078" w:rsidP="00133F5A">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2</w:t>
            </w:r>
          </w:p>
        </w:tc>
        <w:tc>
          <w:tcPr>
            <w:tcW w:w="1701" w:type="dxa"/>
            <w:vAlign w:val="bottom"/>
          </w:tcPr>
          <w:p w14:paraId="1278BEC1" w14:textId="77777777" w:rsidR="000E3078" w:rsidRPr="00133F5A" w:rsidRDefault="000E3078" w:rsidP="00133F5A">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1</w:t>
            </w:r>
          </w:p>
        </w:tc>
        <w:tc>
          <w:tcPr>
            <w:tcW w:w="1985" w:type="dxa"/>
            <w:vAlign w:val="bottom"/>
          </w:tcPr>
          <w:p w14:paraId="3D3AA3A4" w14:textId="77777777" w:rsidR="000E3078" w:rsidRPr="00133F5A" w:rsidRDefault="000E3078" w:rsidP="00133F5A">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3</w:t>
            </w:r>
          </w:p>
        </w:tc>
        <w:tc>
          <w:tcPr>
            <w:tcW w:w="1836" w:type="dxa"/>
            <w:vAlign w:val="bottom"/>
          </w:tcPr>
          <w:p w14:paraId="0DA4A6E5" w14:textId="77777777" w:rsidR="000E3078" w:rsidRPr="00133F5A" w:rsidRDefault="000E3078" w:rsidP="00133F5A">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6</w:t>
            </w:r>
          </w:p>
        </w:tc>
      </w:tr>
    </w:tbl>
    <w:p w14:paraId="025D1B46" w14:textId="2260D645" w:rsidR="0061109D" w:rsidRPr="0061109D" w:rsidRDefault="0061109D" w:rsidP="00F7211E">
      <w:pPr>
        <w:spacing w:after="120" w:line="240" w:lineRule="auto"/>
        <w:rPr>
          <w:rFonts w:ascii="Times New Roman" w:hAnsi="Times New Roman"/>
          <w:i/>
        </w:rPr>
      </w:pPr>
      <w:r w:rsidRPr="0061109D">
        <w:rPr>
          <w:rFonts w:ascii="Times New Roman" w:hAnsi="Times New Roman"/>
          <w:i/>
        </w:rPr>
        <w:t>Продолжение таблицы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8"/>
        <w:gridCol w:w="1691"/>
        <w:gridCol w:w="1644"/>
        <w:gridCol w:w="2001"/>
        <w:gridCol w:w="1814"/>
      </w:tblGrid>
      <w:tr w:rsidR="00E001F3" w:rsidRPr="00133F5A" w14:paraId="60D8C40C" w14:textId="610B2166" w:rsidTr="00F7211E">
        <w:trPr>
          <w:trHeight w:val="57"/>
        </w:trPr>
        <w:tc>
          <w:tcPr>
            <w:tcW w:w="1287" w:type="pct"/>
          </w:tcPr>
          <w:p w14:paraId="3D6E6B41" w14:textId="77777777" w:rsidR="00E001F3" w:rsidRPr="00133F5A" w:rsidRDefault="00E001F3" w:rsidP="0043727D">
            <w:pPr>
              <w:suppressAutoHyphens/>
              <w:spacing w:after="0" w:line="240" w:lineRule="auto"/>
              <w:ind w:firstLine="709"/>
              <w:jc w:val="center"/>
              <w:rPr>
                <w:rFonts w:ascii="Times New Roman" w:hAnsi="Times New Roman"/>
                <w:b/>
                <w:sz w:val="20"/>
                <w:szCs w:val="24"/>
              </w:rPr>
            </w:pPr>
          </w:p>
        </w:tc>
        <w:tc>
          <w:tcPr>
            <w:tcW w:w="2771" w:type="pct"/>
            <w:gridSpan w:val="3"/>
            <w:vAlign w:val="center"/>
          </w:tcPr>
          <w:p w14:paraId="50156BE3" w14:textId="77777777" w:rsidR="00E001F3" w:rsidRPr="00133F5A" w:rsidRDefault="00E001F3" w:rsidP="0043727D">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Интервалы просроченной дебиторской задолженности</w:t>
            </w:r>
          </w:p>
        </w:tc>
        <w:tc>
          <w:tcPr>
            <w:tcW w:w="942" w:type="pct"/>
            <w:vMerge w:val="restart"/>
            <w:vAlign w:val="center"/>
          </w:tcPr>
          <w:p w14:paraId="030D27C4" w14:textId="3515E9B5" w:rsidR="00E001F3" w:rsidRPr="00133F5A" w:rsidRDefault="00E001F3" w:rsidP="0043727D">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Итого контрагентов</w:t>
            </w:r>
          </w:p>
        </w:tc>
      </w:tr>
      <w:tr w:rsidR="00E001F3" w:rsidRPr="00133F5A" w14:paraId="0C494D8F" w14:textId="2ABB3849" w:rsidTr="00F7211E">
        <w:trPr>
          <w:trHeight w:val="57"/>
        </w:trPr>
        <w:tc>
          <w:tcPr>
            <w:tcW w:w="1287" w:type="pct"/>
            <w:vAlign w:val="bottom"/>
          </w:tcPr>
          <w:p w14:paraId="76E5DF5E" w14:textId="77777777" w:rsidR="00E001F3" w:rsidRPr="00133F5A" w:rsidRDefault="00E001F3" w:rsidP="0043727D">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Категории дебиторов по удельному весу ДЗ</w:t>
            </w:r>
          </w:p>
        </w:tc>
        <w:tc>
          <w:tcPr>
            <w:tcW w:w="878" w:type="pct"/>
            <w:vAlign w:val="center"/>
          </w:tcPr>
          <w:p w14:paraId="6BB6FF46" w14:textId="77777777" w:rsidR="00E001F3" w:rsidRPr="00133F5A" w:rsidRDefault="00E001F3" w:rsidP="00C85A5A">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0-30 дней (С)</w:t>
            </w:r>
          </w:p>
        </w:tc>
        <w:tc>
          <w:tcPr>
            <w:tcW w:w="854" w:type="pct"/>
            <w:vAlign w:val="center"/>
          </w:tcPr>
          <w:p w14:paraId="666C1072" w14:textId="77777777" w:rsidR="00E001F3" w:rsidRPr="00133F5A" w:rsidRDefault="00E001F3" w:rsidP="00C85A5A">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30-90 (В)</w:t>
            </w:r>
          </w:p>
        </w:tc>
        <w:tc>
          <w:tcPr>
            <w:tcW w:w="1039" w:type="pct"/>
            <w:vAlign w:val="center"/>
          </w:tcPr>
          <w:p w14:paraId="5ABFD488" w14:textId="77777777" w:rsidR="00E001F3" w:rsidRPr="00133F5A" w:rsidRDefault="00E001F3" w:rsidP="00C85A5A">
            <w:pPr>
              <w:suppressAutoHyphens/>
              <w:spacing w:after="0" w:line="240" w:lineRule="auto"/>
              <w:jc w:val="center"/>
              <w:rPr>
                <w:rFonts w:ascii="Times New Roman" w:hAnsi="Times New Roman"/>
                <w:b/>
                <w:sz w:val="20"/>
                <w:szCs w:val="24"/>
              </w:rPr>
            </w:pPr>
            <w:r w:rsidRPr="00133F5A">
              <w:rPr>
                <w:rFonts w:ascii="Times New Roman" w:hAnsi="Times New Roman"/>
                <w:b/>
                <w:sz w:val="20"/>
                <w:szCs w:val="24"/>
              </w:rPr>
              <w:t>90 – свыше (А)</w:t>
            </w:r>
          </w:p>
        </w:tc>
        <w:tc>
          <w:tcPr>
            <w:tcW w:w="942" w:type="pct"/>
            <w:vMerge/>
          </w:tcPr>
          <w:p w14:paraId="6B6B1732" w14:textId="77777777" w:rsidR="00E001F3" w:rsidRPr="00133F5A" w:rsidRDefault="00E001F3" w:rsidP="00C85A5A">
            <w:pPr>
              <w:suppressAutoHyphens/>
              <w:spacing w:after="0" w:line="240" w:lineRule="auto"/>
              <w:jc w:val="center"/>
              <w:rPr>
                <w:rFonts w:ascii="Times New Roman" w:hAnsi="Times New Roman"/>
                <w:b/>
                <w:sz w:val="20"/>
                <w:szCs w:val="24"/>
              </w:rPr>
            </w:pPr>
          </w:p>
        </w:tc>
      </w:tr>
      <w:tr w:rsidR="00A24BBF" w:rsidRPr="00133F5A" w14:paraId="78B053AC" w14:textId="77777777" w:rsidTr="00F7211E">
        <w:trPr>
          <w:trHeight w:val="57"/>
        </w:trPr>
        <w:tc>
          <w:tcPr>
            <w:tcW w:w="1287" w:type="pct"/>
            <w:vAlign w:val="bottom"/>
          </w:tcPr>
          <w:p w14:paraId="1280ACAA" w14:textId="1A46931F" w:rsidR="00A24BBF" w:rsidRPr="00133F5A" w:rsidRDefault="00A24BBF" w:rsidP="00A24BBF">
            <w:pPr>
              <w:suppressAutoHyphens/>
              <w:spacing w:after="0" w:line="240" w:lineRule="auto"/>
              <w:rPr>
                <w:rFonts w:ascii="Times New Roman" w:hAnsi="Times New Roman"/>
                <w:b/>
                <w:sz w:val="20"/>
                <w:szCs w:val="24"/>
              </w:rPr>
            </w:pPr>
            <w:r w:rsidRPr="00133F5A">
              <w:rPr>
                <w:rFonts w:ascii="Times New Roman" w:hAnsi="Times New Roman"/>
                <w:sz w:val="20"/>
                <w:szCs w:val="24"/>
              </w:rPr>
              <w:t>1-3% (В)</w:t>
            </w:r>
          </w:p>
        </w:tc>
        <w:tc>
          <w:tcPr>
            <w:tcW w:w="878" w:type="pct"/>
            <w:vAlign w:val="bottom"/>
          </w:tcPr>
          <w:p w14:paraId="6D6CA496" w14:textId="6C9EC585" w:rsidR="00A24BBF" w:rsidRPr="00133F5A" w:rsidRDefault="00A24BBF" w:rsidP="00A24BBF">
            <w:pPr>
              <w:suppressAutoHyphens/>
              <w:spacing w:after="0" w:line="240" w:lineRule="auto"/>
              <w:jc w:val="center"/>
              <w:rPr>
                <w:rFonts w:ascii="Times New Roman" w:hAnsi="Times New Roman"/>
                <w:b/>
                <w:sz w:val="20"/>
                <w:szCs w:val="24"/>
              </w:rPr>
            </w:pPr>
            <w:r w:rsidRPr="00133F5A">
              <w:rPr>
                <w:rFonts w:ascii="Times New Roman" w:hAnsi="Times New Roman"/>
                <w:sz w:val="20"/>
                <w:szCs w:val="24"/>
              </w:rPr>
              <w:t>10</w:t>
            </w:r>
          </w:p>
        </w:tc>
        <w:tc>
          <w:tcPr>
            <w:tcW w:w="854" w:type="pct"/>
            <w:vAlign w:val="bottom"/>
          </w:tcPr>
          <w:p w14:paraId="7BF2FC7C" w14:textId="518E0534" w:rsidR="00A24BBF" w:rsidRPr="00133F5A" w:rsidRDefault="00A24BBF" w:rsidP="00A24BBF">
            <w:pPr>
              <w:suppressAutoHyphens/>
              <w:spacing w:after="0" w:line="240" w:lineRule="auto"/>
              <w:jc w:val="center"/>
              <w:rPr>
                <w:rFonts w:ascii="Times New Roman" w:hAnsi="Times New Roman"/>
                <w:b/>
                <w:sz w:val="20"/>
                <w:szCs w:val="24"/>
              </w:rPr>
            </w:pPr>
            <w:r w:rsidRPr="00133F5A">
              <w:rPr>
                <w:rFonts w:ascii="Times New Roman" w:hAnsi="Times New Roman"/>
                <w:sz w:val="20"/>
                <w:szCs w:val="24"/>
              </w:rPr>
              <w:t>3</w:t>
            </w:r>
          </w:p>
        </w:tc>
        <w:tc>
          <w:tcPr>
            <w:tcW w:w="1039" w:type="pct"/>
            <w:vAlign w:val="bottom"/>
          </w:tcPr>
          <w:p w14:paraId="33CD13C3" w14:textId="223E558F" w:rsidR="00A24BBF" w:rsidRPr="00133F5A" w:rsidRDefault="00A24BBF" w:rsidP="00A24BBF">
            <w:pPr>
              <w:suppressAutoHyphens/>
              <w:spacing w:after="0" w:line="240" w:lineRule="auto"/>
              <w:jc w:val="center"/>
              <w:rPr>
                <w:rFonts w:ascii="Times New Roman" w:hAnsi="Times New Roman"/>
                <w:b/>
                <w:sz w:val="20"/>
                <w:szCs w:val="24"/>
              </w:rPr>
            </w:pPr>
            <w:r w:rsidRPr="00133F5A">
              <w:rPr>
                <w:rFonts w:ascii="Times New Roman" w:hAnsi="Times New Roman"/>
                <w:sz w:val="20"/>
                <w:szCs w:val="24"/>
              </w:rPr>
              <w:t>5</w:t>
            </w:r>
          </w:p>
        </w:tc>
        <w:tc>
          <w:tcPr>
            <w:tcW w:w="942" w:type="pct"/>
            <w:vAlign w:val="bottom"/>
          </w:tcPr>
          <w:p w14:paraId="5D7BFD46" w14:textId="5F258733" w:rsidR="00A24BBF" w:rsidRPr="00133F5A" w:rsidRDefault="00A24BBF" w:rsidP="00A24BBF">
            <w:pPr>
              <w:suppressAutoHyphens/>
              <w:spacing w:after="0" w:line="240" w:lineRule="auto"/>
              <w:jc w:val="center"/>
              <w:rPr>
                <w:rFonts w:ascii="Times New Roman" w:hAnsi="Times New Roman"/>
                <w:b/>
                <w:sz w:val="20"/>
                <w:szCs w:val="24"/>
              </w:rPr>
            </w:pPr>
            <w:r w:rsidRPr="00133F5A">
              <w:rPr>
                <w:rFonts w:ascii="Times New Roman" w:hAnsi="Times New Roman"/>
                <w:sz w:val="20"/>
                <w:szCs w:val="24"/>
              </w:rPr>
              <w:t>18</w:t>
            </w:r>
          </w:p>
        </w:tc>
      </w:tr>
      <w:tr w:rsidR="00F7211E" w:rsidRPr="00133F5A" w14:paraId="521E43AD" w14:textId="77777777" w:rsidTr="00F7211E">
        <w:trPr>
          <w:trHeight w:val="57"/>
        </w:trPr>
        <w:tc>
          <w:tcPr>
            <w:tcW w:w="1287" w:type="pct"/>
            <w:vAlign w:val="bottom"/>
          </w:tcPr>
          <w:p w14:paraId="28EE364D" w14:textId="77777777" w:rsidR="00F7211E" w:rsidRPr="00133F5A" w:rsidRDefault="00F7211E" w:rsidP="00F7211E">
            <w:pPr>
              <w:suppressAutoHyphens/>
              <w:spacing w:after="0" w:line="240" w:lineRule="auto"/>
              <w:ind w:firstLine="22"/>
              <w:rPr>
                <w:rFonts w:ascii="Times New Roman" w:hAnsi="Times New Roman"/>
                <w:sz w:val="20"/>
                <w:szCs w:val="24"/>
              </w:rPr>
            </w:pPr>
            <w:r w:rsidRPr="00133F5A">
              <w:rPr>
                <w:rFonts w:ascii="Times New Roman" w:hAnsi="Times New Roman"/>
                <w:sz w:val="20"/>
                <w:szCs w:val="24"/>
              </w:rPr>
              <w:t>0-1% (С)</w:t>
            </w:r>
          </w:p>
        </w:tc>
        <w:tc>
          <w:tcPr>
            <w:tcW w:w="878" w:type="pct"/>
            <w:vAlign w:val="bottom"/>
          </w:tcPr>
          <w:p w14:paraId="55A5EE8E" w14:textId="77777777"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138</w:t>
            </w:r>
          </w:p>
        </w:tc>
        <w:tc>
          <w:tcPr>
            <w:tcW w:w="854" w:type="pct"/>
            <w:vAlign w:val="bottom"/>
          </w:tcPr>
          <w:p w14:paraId="59BD9B78" w14:textId="77777777"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6</w:t>
            </w:r>
          </w:p>
        </w:tc>
        <w:tc>
          <w:tcPr>
            <w:tcW w:w="1039" w:type="pct"/>
            <w:vAlign w:val="bottom"/>
          </w:tcPr>
          <w:p w14:paraId="5A023B49" w14:textId="77777777"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13</w:t>
            </w:r>
          </w:p>
        </w:tc>
        <w:tc>
          <w:tcPr>
            <w:tcW w:w="942" w:type="pct"/>
            <w:vAlign w:val="bottom"/>
          </w:tcPr>
          <w:p w14:paraId="086B49B3" w14:textId="4CA86AB0"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157</w:t>
            </w:r>
          </w:p>
        </w:tc>
      </w:tr>
      <w:tr w:rsidR="00F7211E" w:rsidRPr="00133F5A" w14:paraId="7A6BDE4F" w14:textId="77777777" w:rsidTr="00F7211E">
        <w:trPr>
          <w:trHeight w:val="57"/>
        </w:trPr>
        <w:tc>
          <w:tcPr>
            <w:tcW w:w="1287" w:type="pct"/>
            <w:vAlign w:val="bottom"/>
          </w:tcPr>
          <w:p w14:paraId="6E17379C" w14:textId="77777777" w:rsidR="00F7211E" w:rsidRPr="00133F5A" w:rsidRDefault="00F7211E" w:rsidP="00F7211E">
            <w:pPr>
              <w:suppressAutoHyphens/>
              <w:spacing w:after="0" w:line="240" w:lineRule="auto"/>
              <w:ind w:firstLine="22"/>
              <w:rPr>
                <w:rFonts w:ascii="Times New Roman" w:hAnsi="Times New Roman"/>
                <w:sz w:val="20"/>
                <w:szCs w:val="24"/>
              </w:rPr>
            </w:pPr>
            <w:r w:rsidRPr="00133F5A">
              <w:rPr>
                <w:rFonts w:ascii="Times New Roman" w:hAnsi="Times New Roman"/>
                <w:sz w:val="20"/>
                <w:szCs w:val="24"/>
              </w:rPr>
              <w:t>Итого</w:t>
            </w:r>
          </w:p>
        </w:tc>
        <w:tc>
          <w:tcPr>
            <w:tcW w:w="878" w:type="pct"/>
            <w:vAlign w:val="bottom"/>
          </w:tcPr>
          <w:p w14:paraId="0BBD4DDE" w14:textId="77777777"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150</w:t>
            </w:r>
          </w:p>
        </w:tc>
        <w:tc>
          <w:tcPr>
            <w:tcW w:w="854" w:type="pct"/>
            <w:vAlign w:val="bottom"/>
          </w:tcPr>
          <w:p w14:paraId="7860EA3A" w14:textId="77777777"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10</w:t>
            </w:r>
          </w:p>
        </w:tc>
        <w:tc>
          <w:tcPr>
            <w:tcW w:w="1039" w:type="pct"/>
            <w:vAlign w:val="bottom"/>
          </w:tcPr>
          <w:p w14:paraId="3906B632" w14:textId="77777777"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21</w:t>
            </w:r>
          </w:p>
        </w:tc>
        <w:tc>
          <w:tcPr>
            <w:tcW w:w="942" w:type="pct"/>
            <w:vAlign w:val="bottom"/>
          </w:tcPr>
          <w:p w14:paraId="20053414" w14:textId="7411C2BE" w:rsidR="00F7211E" w:rsidRPr="00133F5A" w:rsidRDefault="00F7211E" w:rsidP="00F7211E">
            <w:pPr>
              <w:suppressAutoHyphens/>
              <w:spacing w:after="0" w:line="240" w:lineRule="auto"/>
              <w:jc w:val="center"/>
              <w:rPr>
                <w:rFonts w:ascii="Times New Roman" w:hAnsi="Times New Roman"/>
                <w:sz w:val="20"/>
                <w:szCs w:val="24"/>
              </w:rPr>
            </w:pPr>
            <w:r w:rsidRPr="00133F5A">
              <w:rPr>
                <w:rFonts w:ascii="Times New Roman" w:hAnsi="Times New Roman"/>
                <w:sz w:val="20"/>
                <w:szCs w:val="24"/>
              </w:rPr>
              <w:t>181</w:t>
            </w:r>
          </w:p>
        </w:tc>
      </w:tr>
    </w:tbl>
    <w:bookmarkEnd w:id="1"/>
    <w:p w14:paraId="51824C0F" w14:textId="311D6880" w:rsidR="00F7211E" w:rsidRDefault="00F7211E" w:rsidP="00F7211E">
      <w:pPr>
        <w:spacing w:after="0" w:line="240" w:lineRule="auto"/>
        <w:jc w:val="both"/>
        <w:rPr>
          <w:rFonts w:ascii="Times New Roman" w:hAnsi="Times New Roman"/>
          <w:szCs w:val="24"/>
        </w:rPr>
      </w:pPr>
      <w:r w:rsidRPr="0043727D">
        <w:rPr>
          <w:rFonts w:ascii="Times New Roman" w:hAnsi="Times New Roman"/>
          <w:i/>
        </w:rPr>
        <w:t>Составлено авторами по материалам исследования</w:t>
      </w:r>
    </w:p>
    <w:p w14:paraId="3A91F93F" w14:textId="75441FBB" w:rsidR="000E3078" w:rsidRPr="00B741CD" w:rsidRDefault="000E3078" w:rsidP="00B741CD">
      <w:pPr>
        <w:spacing w:before="120" w:after="0" w:line="240" w:lineRule="auto"/>
        <w:ind w:firstLine="709"/>
        <w:jc w:val="both"/>
        <w:rPr>
          <w:rFonts w:ascii="Times New Roman" w:hAnsi="Times New Roman"/>
          <w:szCs w:val="24"/>
        </w:rPr>
      </w:pPr>
      <w:r w:rsidRPr="00B741CD">
        <w:rPr>
          <w:rFonts w:ascii="Times New Roman" w:hAnsi="Times New Roman"/>
          <w:szCs w:val="24"/>
        </w:rPr>
        <w:t>Обобщая вышеизложенное, можно сделать вывод, что компания довольно эффективно следит за просроченной и сомнительной задолженностью, имея 2579 лизинговых договоров, 181 имеют просроченную дебиторскую задолженность из которых 150 клиентов имеют задолженность менее 30 дней, 10 контрагентов не платят 1-3 месяца и 21 лизингополучателей не рассчитываются по своим обязательства свыше 90 дней, из которых 7 имеют просрочку на протяжении нескольких лет.</w:t>
      </w:r>
    </w:p>
    <w:p w14:paraId="4DFD8A15" w14:textId="3A8C7C86" w:rsidR="0056612B" w:rsidRPr="00B741CD" w:rsidRDefault="0056612B" w:rsidP="00B741CD">
      <w:pPr>
        <w:spacing w:after="0" w:line="240" w:lineRule="auto"/>
        <w:ind w:firstLine="709"/>
        <w:jc w:val="both"/>
        <w:rPr>
          <w:rFonts w:ascii="Times New Roman" w:hAnsi="Times New Roman"/>
          <w:szCs w:val="24"/>
        </w:rPr>
      </w:pPr>
      <w:r w:rsidRPr="00B741CD">
        <w:rPr>
          <w:rFonts w:ascii="Times New Roman" w:hAnsi="Times New Roman"/>
          <w:szCs w:val="24"/>
        </w:rPr>
        <w:t>В результате получается более четкая картина и понимание положения дел как у лизингополучателей, так и у организации по своим обязательством. В части лизингополучателей методика позволяет определить наиболее серьезных дебиторов по разным параметрам просрочки, тем самым повышается оперативность в принятии решений по ее взысканию. В части кредиторской задолженности преимуществом методики является определение поставщиков, которым компания должна выполнить наибольшую сумму кредиторской задолженности.</w:t>
      </w:r>
    </w:p>
    <w:p w14:paraId="32C132FD" w14:textId="41B36574" w:rsidR="0056612B" w:rsidRPr="00B741CD" w:rsidRDefault="0056612B" w:rsidP="00B741CD">
      <w:pPr>
        <w:spacing w:after="0" w:line="240" w:lineRule="auto"/>
        <w:ind w:firstLine="709"/>
        <w:jc w:val="both"/>
        <w:rPr>
          <w:rFonts w:ascii="Times New Roman" w:hAnsi="Times New Roman"/>
          <w:szCs w:val="24"/>
        </w:rPr>
      </w:pPr>
      <w:r w:rsidRPr="00B741CD">
        <w:rPr>
          <w:rFonts w:ascii="Times New Roman" w:hAnsi="Times New Roman"/>
          <w:szCs w:val="24"/>
        </w:rPr>
        <w:t xml:space="preserve">3 Разработать процесс по взысканию просроченной дебиторской задолженности. В таблице </w:t>
      </w:r>
      <w:r w:rsidR="00F049C7">
        <w:rPr>
          <w:rFonts w:ascii="Times New Roman" w:hAnsi="Times New Roman"/>
          <w:szCs w:val="24"/>
        </w:rPr>
        <w:t>3</w:t>
      </w:r>
      <w:r w:rsidRPr="00B741CD">
        <w:rPr>
          <w:rFonts w:ascii="Times New Roman" w:hAnsi="Times New Roman"/>
          <w:szCs w:val="24"/>
        </w:rPr>
        <w:t xml:space="preserve"> составлен пример подобного процесса</w:t>
      </w:r>
      <w:r w:rsidR="00A80354" w:rsidRPr="00B741CD">
        <w:rPr>
          <w:rFonts w:ascii="Times New Roman" w:hAnsi="Times New Roman"/>
          <w:szCs w:val="24"/>
        </w:rPr>
        <w:t>.</w:t>
      </w:r>
    </w:p>
    <w:p w14:paraId="77EBE1D5" w14:textId="73F6B229" w:rsidR="00A80354" w:rsidRPr="00133F5A" w:rsidRDefault="0056612B" w:rsidP="00133F5A">
      <w:pPr>
        <w:suppressAutoHyphens/>
        <w:spacing w:after="0" w:line="360" w:lineRule="auto"/>
        <w:ind w:left="1985" w:hanging="1985"/>
        <w:jc w:val="right"/>
        <w:rPr>
          <w:rFonts w:ascii="Times New Roman" w:hAnsi="Times New Roman"/>
          <w:i/>
          <w:szCs w:val="24"/>
        </w:rPr>
      </w:pPr>
      <w:r w:rsidRPr="00133F5A">
        <w:rPr>
          <w:rFonts w:ascii="Times New Roman" w:hAnsi="Times New Roman"/>
          <w:i/>
          <w:szCs w:val="24"/>
        </w:rPr>
        <w:t>Таблица</w:t>
      </w:r>
      <w:r w:rsidR="00A80354" w:rsidRPr="00133F5A">
        <w:rPr>
          <w:rFonts w:ascii="Times New Roman" w:hAnsi="Times New Roman"/>
          <w:i/>
          <w:szCs w:val="24"/>
        </w:rPr>
        <w:t xml:space="preserve"> </w:t>
      </w:r>
      <w:r w:rsidR="00F049C7">
        <w:rPr>
          <w:rFonts w:ascii="Times New Roman" w:hAnsi="Times New Roman"/>
          <w:i/>
          <w:szCs w:val="24"/>
        </w:rPr>
        <w:t>3</w:t>
      </w:r>
    </w:p>
    <w:p w14:paraId="38CDE06A" w14:textId="4E62E96D" w:rsidR="0056612B" w:rsidRPr="00133F5A" w:rsidRDefault="0056612B" w:rsidP="00133F5A">
      <w:pPr>
        <w:suppressAutoHyphens/>
        <w:spacing w:after="0" w:line="360" w:lineRule="auto"/>
        <w:ind w:left="1985" w:hanging="1985"/>
        <w:jc w:val="center"/>
        <w:rPr>
          <w:rFonts w:ascii="Times New Roman" w:hAnsi="Times New Roman"/>
          <w:b/>
          <w:szCs w:val="24"/>
        </w:rPr>
      </w:pPr>
      <w:r w:rsidRPr="00133F5A">
        <w:rPr>
          <w:rFonts w:ascii="Times New Roman" w:hAnsi="Times New Roman"/>
          <w:b/>
          <w:szCs w:val="24"/>
        </w:rPr>
        <w:t>Процедуры по взысканию дебиторской задолженности с разной степенью просрочки</w:t>
      </w:r>
    </w:p>
    <w:tbl>
      <w:tblPr>
        <w:tblStyle w:val="4"/>
        <w:tblW w:w="5000" w:type="pct"/>
        <w:tblInd w:w="0" w:type="dxa"/>
        <w:tblLook w:val="04A0" w:firstRow="1" w:lastRow="0" w:firstColumn="1" w:lastColumn="0" w:noHBand="0" w:noVBand="1"/>
      </w:tblPr>
      <w:tblGrid>
        <w:gridCol w:w="1229"/>
        <w:gridCol w:w="5873"/>
        <w:gridCol w:w="2526"/>
      </w:tblGrid>
      <w:tr w:rsidR="0056612B" w:rsidRPr="00133F5A" w14:paraId="5745E8EA" w14:textId="77777777" w:rsidTr="0061109D">
        <w:trPr>
          <w:trHeight w:val="510"/>
        </w:trPr>
        <w:tc>
          <w:tcPr>
            <w:tcW w:w="638" w:type="pct"/>
            <w:tcBorders>
              <w:top w:val="single" w:sz="4" w:space="0" w:color="auto"/>
              <w:left w:val="single" w:sz="4" w:space="0" w:color="auto"/>
              <w:bottom w:val="single" w:sz="4" w:space="0" w:color="auto"/>
              <w:right w:val="single" w:sz="4" w:space="0" w:color="auto"/>
            </w:tcBorders>
            <w:vAlign w:val="center"/>
            <w:hideMark/>
          </w:tcPr>
          <w:p w14:paraId="4D270771" w14:textId="77777777" w:rsidR="0056612B" w:rsidRPr="0013699C" w:rsidRDefault="0056612B">
            <w:pPr>
              <w:suppressAutoHyphens/>
              <w:spacing w:line="240" w:lineRule="auto"/>
              <w:jc w:val="center"/>
              <w:rPr>
                <w:rFonts w:ascii="Times New Roman" w:hAnsi="Times New Roman"/>
                <w:b/>
                <w:sz w:val="20"/>
                <w:szCs w:val="24"/>
              </w:rPr>
            </w:pPr>
            <w:r w:rsidRPr="0013699C">
              <w:rPr>
                <w:rFonts w:ascii="Times New Roman" w:hAnsi="Times New Roman"/>
                <w:b/>
                <w:sz w:val="20"/>
                <w:szCs w:val="24"/>
              </w:rPr>
              <w:t>Срок просрочки</w:t>
            </w:r>
          </w:p>
        </w:tc>
        <w:tc>
          <w:tcPr>
            <w:tcW w:w="3050" w:type="pct"/>
            <w:tcBorders>
              <w:top w:val="single" w:sz="4" w:space="0" w:color="auto"/>
              <w:left w:val="single" w:sz="4" w:space="0" w:color="auto"/>
              <w:bottom w:val="single" w:sz="4" w:space="0" w:color="auto"/>
              <w:right w:val="single" w:sz="4" w:space="0" w:color="auto"/>
            </w:tcBorders>
            <w:vAlign w:val="center"/>
            <w:hideMark/>
          </w:tcPr>
          <w:p w14:paraId="6D555815" w14:textId="77777777" w:rsidR="0056612B" w:rsidRPr="0013699C" w:rsidRDefault="0056612B">
            <w:pPr>
              <w:suppressAutoHyphens/>
              <w:spacing w:line="240" w:lineRule="auto"/>
              <w:jc w:val="center"/>
              <w:rPr>
                <w:rFonts w:ascii="Times New Roman" w:hAnsi="Times New Roman"/>
                <w:b/>
                <w:sz w:val="20"/>
                <w:szCs w:val="24"/>
              </w:rPr>
            </w:pPr>
            <w:r w:rsidRPr="0013699C">
              <w:rPr>
                <w:rFonts w:ascii="Times New Roman" w:hAnsi="Times New Roman"/>
                <w:b/>
                <w:sz w:val="20"/>
                <w:szCs w:val="24"/>
              </w:rPr>
              <w:t>Мероприятие</w:t>
            </w:r>
          </w:p>
        </w:tc>
        <w:tc>
          <w:tcPr>
            <w:tcW w:w="1312" w:type="pct"/>
            <w:tcBorders>
              <w:top w:val="single" w:sz="4" w:space="0" w:color="auto"/>
              <w:left w:val="single" w:sz="4" w:space="0" w:color="auto"/>
              <w:bottom w:val="single" w:sz="4" w:space="0" w:color="auto"/>
              <w:right w:val="single" w:sz="4" w:space="0" w:color="auto"/>
            </w:tcBorders>
            <w:vAlign w:val="center"/>
            <w:hideMark/>
          </w:tcPr>
          <w:p w14:paraId="7E211C41" w14:textId="77777777" w:rsidR="0056612B" w:rsidRPr="0013699C" w:rsidRDefault="0056612B">
            <w:pPr>
              <w:suppressAutoHyphens/>
              <w:spacing w:line="240" w:lineRule="auto"/>
              <w:jc w:val="center"/>
              <w:rPr>
                <w:rFonts w:ascii="Times New Roman" w:hAnsi="Times New Roman"/>
                <w:b/>
                <w:sz w:val="20"/>
                <w:szCs w:val="24"/>
              </w:rPr>
            </w:pPr>
            <w:r w:rsidRPr="0013699C">
              <w:rPr>
                <w:rFonts w:ascii="Times New Roman" w:hAnsi="Times New Roman"/>
                <w:b/>
                <w:sz w:val="20"/>
                <w:szCs w:val="24"/>
              </w:rPr>
              <w:t>Ответственное лицо</w:t>
            </w:r>
          </w:p>
        </w:tc>
      </w:tr>
      <w:tr w:rsidR="0056612B" w:rsidRPr="00133F5A" w14:paraId="6FDD8119" w14:textId="77777777" w:rsidTr="0061109D">
        <w:trPr>
          <w:trHeight w:val="510"/>
        </w:trPr>
        <w:tc>
          <w:tcPr>
            <w:tcW w:w="638" w:type="pct"/>
            <w:vMerge w:val="restart"/>
            <w:tcBorders>
              <w:top w:val="single" w:sz="4" w:space="0" w:color="auto"/>
              <w:left w:val="single" w:sz="4" w:space="0" w:color="auto"/>
              <w:bottom w:val="single" w:sz="4" w:space="0" w:color="auto"/>
              <w:right w:val="single" w:sz="4" w:space="0" w:color="auto"/>
            </w:tcBorders>
            <w:hideMark/>
          </w:tcPr>
          <w:p w14:paraId="30054A3A" w14:textId="77777777" w:rsidR="0056612B" w:rsidRPr="00133F5A" w:rsidRDefault="0056612B">
            <w:pPr>
              <w:suppressAutoHyphens/>
              <w:spacing w:line="240" w:lineRule="auto"/>
              <w:jc w:val="center"/>
              <w:rPr>
                <w:rFonts w:ascii="Times New Roman" w:hAnsi="Times New Roman"/>
                <w:sz w:val="20"/>
                <w:szCs w:val="24"/>
              </w:rPr>
            </w:pPr>
            <w:r w:rsidRPr="00133F5A">
              <w:rPr>
                <w:rFonts w:ascii="Times New Roman" w:hAnsi="Times New Roman"/>
                <w:sz w:val="20"/>
                <w:szCs w:val="24"/>
              </w:rPr>
              <w:t>Срок оплаты еще не наступил</w:t>
            </w:r>
          </w:p>
        </w:tc>
        <w:tc>
          <w:tcPr>
            <w:tcW w:w="3050" w:type="pct"/>
            <w:tcBorders>
              <w:top w:val="single" w:sz="4" w:space="0" w:color="auto"/>
              <w:left w:val="single" w:sz="4" w:space="0" w:color="auto"/>
              <w:bottom w:val="single" w:sz="4" w:space="0" w:color="auto"/>
              <w:right w:val="single" w:sz="4" w:space="0" w:color="auto"/>
            </w:tcBorders>
            <w:hideMark/>
          </w:tcPr>
          <w:p w14:paraId="55FD5827"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Выставление бухгалтерских документов (счета, счет-фактуры);</w:t>
            </w:r>
          </w:p>
        </w:tc>
        <w:tc>
          <w:tcPr>
            <w:tcW w:w="1312" w:type="pct"/>
            <w:tcBorders>
              <w:top w:val="single" w:sz="4" w:space="0" w:color="auto"/>
              <w:left w:val="single" w:sz="4" w:space="0" w:color="auto"/>
              <w:bottom w:val="single" w:sz="4" w:space="0" w:color="auto"/>
              <w:right w:val="single" w:sz="4" w:space="0" w:color="auto"/>
            </w:tcBorders>
            <w:vAlign w:val="center"/>
            <w:hideMark/>
          </w:tcPr>
          <w:p w14:paraId="732BBC23"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Бухгалтерский отдел;</w:t>
            </w:r>
          </w:p>
        </w:tc>
      </w:tr>
      <w:tr w:rsidR="0056612B" w:rsidRPr="00133F5A" w14:paraId="7BEF7A1A" w14:textId="77777777" w:rsidTr="0061109D">
        <w:trPr>
          <w:trHeight w:val="510"/>
        </w:trPr>
        <w:tc>
          <w:tcPr>
            <w:tcW w:w="638" w:type="pct"/>
            <w:vMerge/>
            <w:tcBorders>
              <w:top w:val="single" w:sz="4" w:space="0" w:color="auto"/>
              <w:left w:val="single" w:sz="4" w:space="0" w:color="auto"/>
              <w:bottom w:val="single" w:sz="4" w:space="0" w:color="auto"/>
              <w:right w:val="single" w:sz="4" w:space="0" w:color="auto"/>
            </w:tcBorders>
            <w:vAlign w:val="center"/>
            <w:hideMark/>
          </w:tcPr>
          <w:p w14:paraId="1FAE9BFD" w14:textId="77777777" w:rsidR="0056612B" w:rsidRPr="00133F5A" w:rsidRDefault="0056612B">
            <w:pPr>
              <w:spacing w:line="240" w:lineRule="auto"/>
              <w:rPr>
                <w:rFonts w:ascii="Times New Roman" w:hAnsi="Times New Roman"/>
                <w:sz w:val="20"/>
                <w:szCs w:val="24"/>
              </w:rPr>
            </w:pPr>
          </w:p>
        </w:tc>
        <w:tc>
          <w:tcPr>
            <w:tcW w:w="3050" w:type="pct"/>
            <w:tcBorders>
              <w:top w:val="single" w:sz="4" w:space="0" w:color="auto"/>
              <w:left w:val="single" w:sz="4" w:space="0" w:color="auto"/>
              <w:bottom w:val="single" w:sz="4" w:space="0" w:color="auto"/>
              <w:right w:val="single" w:sz="4" w:space="0" w:color="auto"/>
            </w:tcBorders>
            <w:hideMark/>
          </w:tcPr>
          <w:p w14:paraId="08A2EECA"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Уведомление о необходимости оплаты (напоминающий звонок)</w:t>
            </w:r>
          </w:p>
        </w:tc>
        <w:tc>
          <w:tcPr>
            <w:tcW w:w="1312" w:type="pct"/>
            <w:tcBorders>
              <w:top w:val="single" w:sz="4" w:space="0" w:color="auto"/>
              <w:left w:val="single" w:sz="4" w:space="0" w:color="auto"/>
              <w:bottom w:val="single" w:sz="4" w:space="0" w:color="auto"/>
              <w:right w:val="single" w:sz="4" w:space="0" w:color="auto"/>
            </w:tcBorders>
            <w:vAlign w:val="center"/>
            <w:hideMark/>
          </w:tcPr>
          <w:p w14:paraId="6DAF5F7F"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Менеджеры лизинговых сделок</w:t>
            </w:r>
          </w:p>
        </w:tc>
      </w:tr>
      <w:tr w:rsidR="0056612B" w:rsidRPr="00133F5A" w14:paraId="4EA2E3A3" w14:textId="77777777" w:rsidTr="0061109D">
        <w:trPr>
          <w:trHeight w:val="510"/>
        </w:trPr>
        <w:tc>
          <w:tcPr>
            <w:tcW w:w="638" w:type="pct"/>
            <w:vMerge w:val="restart"/>
            <w:tcBorders>
              <w:top w:val="single" w:sz="4" w:space="0" w:color="auto"/>
              <w:left w:val="single" w:sz="4" w:space="0" w:color="auto"/>
              <w:bottom w:val="single" w:sz="4" w:space="0" w:color="auto"/>
              <w:right w:val="single" w:sz="4" w:space="0" w:color="auto"/>
            </w:tcBorders>
            <w:vAlign w:val="center"/>
            <w:hideMark/>
          </w:tcPr>
          <w:p w14:paraId="2D2C3819" w14:textId="77777777" w:rsidR="0056612B" w:rsidRPr="00133F5A" w:rsidRDefault="0056612B" w:rsidP="00D5773B">
            <w:pPr>
              <w:suppressAutoHyphens/>
              <w:spacing w:line="240" w:lineRule="auto"/>
              <w:jc w:val="center"/>
              <w:rPr>
                <w:rFonts w:ascii="Times New Roman" w:hAnsi="Times New Roman"/>
                <w:sz w:val="20"/>
                <w:szCs w:val="24"/>
              </w:rPr>
            </w:pPr>
            <w:r w:rsidRPr="00133F5A">
              <w:rPr>
                <w:rFonts w:ascii="Times New Roman" w:hAnsi="Times New Roman"/>
                <w:sz w:val="20"/>
                <w:szCs w:val="24"/>
              </w:rPr>
              <w:t>Просрочка 1-60 дней</w:t>
            </w:r>
          </w:p>
        </w:tc>
        <w:tc>
          <w:tcPr>
            <w:tcW w:w="3050" w:type="pct"/>
            <w:tcBorders>
              <w:top w:val="single" w:sz="4" w:space="0" w:color="auto"/>
              <w:left w:val="single" w:sz="4" w:space="0" w:color="auto"/>
              <w:bottom w:val="single" w:sz="4" w:space="0" w:color="auto"/>
              <w:right w:val="single" w:sz="4" w:space="0" w:color="auto"/>
            </w:tcBorders>
            <w:hideMark/>
          </w:tcPr>
          <w:p w14:paraId="1470EC47"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Звонок контрагенту с выяснением причин задержки оплаты;</w:t>
            </w:r>
          </w:p>
          <w:p w14:paraId="4B25276D"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Разъяснение последствий нарушения лизингового договора;</w:t>
            </w:r>
          </w:p>
        </w:tc>
        <w:tc>
          <w:tcPr>
            <w:tcW w:w="1312" w:type="pct"/>
            <w:tcBorders>
              <w:top w:val="single" w:sz="4" w:space="0" w:color="auto"/>
              <w:left w:val="single" w:sz="4" w:space="0" w:color="auto"/>
              <w:bottom w:val="single" w:sz="4" w:space="0" w:color="auto"/>
              <w:right w:val="single" w:sz="4" w:space="0" w:color="auto"/>
            </w:tcBorders>
            <w:vAlign w:val="center"/>
            <w:hideMark/>
          </w:tcPr>
          <w:p w14:paraId="6B664CF2"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Менеджеры лизинговых сделок;</w:t>
            </w:r>
          </w:p>
        </w:tc>
      </w:tr>
      <w:tr w:rsidR="0056612B" w:rsidRPr="00133F5A" w14:paraId="1127701F" w14:textId="77777777" w:rsidTr="0061109D">
        <w:trPr>
          <w:trHeight w:val="510"/>
        </w:trPr>
        <w:tc>
          <w:tcPr>
            <w:tcW w:w="638" w:type="pct"/>
            <w:vMerge/>
            <w:tcBorders>
              <w:top w:val="single" w:sz="4" w:space="0" w:color="auto"/>
              <w:left w:val="single" w:sz="4" w:space="0" w:color="auto"/>
              <w:bottom w:val="single" w:sz="4" w:space="0" w:color="auto"/>
              <w:right w:val="single" w:sz="4" w:space="0" w:color="auto"/>
            </w:tcBorders>
            <w:vAlign w:val="center"/>
            <w:hideMark/>
          </w:tcPr>
          <w:p w14:paraId="5A03CAA4" w14:textId="77777777" w:rsidR="0056612B" w:rsidRPr="00133F5A" w:rsidRDefault="0056612B">
            <w:pPr>
              <w:spacing w:line="240" w:lineRule="auto"/>
              <w:rPr>
                <w:rFonts w:ascii="Times New Roman" w:hAnsi="Times New Roman"/>
                <w:sz w:val="20"/>
                <w:szCs w:val="24"/>
              </w:rPr>
            </w:pPr>
          </w:p>
        </w:tc>
        <w:tc>
          <w:tcPr>
            <w:tcW w:w="3050" w:type="pct"/>
            <w:tcBorders>
              <w:top w:val="single" w:sz="4" w:space="0" w:color="auto"/>
              <w:left w:val="single" w:sz="4" w:space="0" w:color="auto"/>
              <w:bottom w:val="single" w:sz="4" w:space="0" w:color="auto"/>
              <w:right w:val="single" w:sz="4" w:space="0" w:color="auto"/>
            </w:tcBorders>
            <w:hideMark/>
          </w:tcPr>
          <w:p w14:paraId="5E81DB08"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Направление бухгалтерских актов сверок;</w:t>
            </w:r>
          </w:p>
          <w:p w14:paraId="36BC9980"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Консультирование контрагентов по бухгалтерским вопросам (выставление счет-фактур, оплаты счетов)</w:t>
            </w:r>
          </w:p>
        </w:tc>
        <w:tc>
          <w:tcPr>
            <w:tcW w:w="1312" w:type="pct"/>
            <w:tcBorders>
              <w:top w:val="single" w:sz="4" w:space="0" w:color="auto"/>
              <w:left w:val="single" w:sz="4" w:space="0" w:color="auto"/>
              <w:bottom w:val="single" w:sz="4" w:space="0" w:color="auto"/>
              <w:right w:val="single" w:sz="4" w:space="0" w:color="auto"/>
            </w:tcBorders>
            <w:vAlign w:val="center"/>
            <w:hideMark/>
          </w:tcPr>
          <w:p w14:paraId="7C5983EF"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Бухгалтерский отдел</w:t>
            </w:r>
          </w:p>
        </w:tc>
      </w:tr>
      <w:tr w:rsidR="0056612B" w:rsidRPr="00133F5A" w14:paraId="3CC378C0" w14:textId="77777777" w:rsidTr="0061109D">
        <w:trPr>
          <w:trHeight w:val="510"/>
        </w:trPr>
        <w:tc>
          <w:tcPr>
            <w:tcW w:w="638" w:type="pct"/>
            <w:vMerge w:val="restart"/>
            <w:tcBorders>
              <w:top w:val="single" w:sz="4" w:space="0" w:color="auto"/>
              <w:left w:val="single" w:sz="4" w:space="0" w:color="auto"/>
              <w:bottom w:val="single" w:sz="4" w:space="0" w:color="auto"/>
              <w:right w:val="single" w:sz="4" w:space="0" w:color="auto"/>
            </w:tcBorders>
            <w:vAlign w:val="center"/>
            <w:hideMark/>
          </w:tcPr>
          <w:p w14:paraId="31051853" w14:textId="77777777" w:rsidR="0056612B" w:rsidRPr="00133F5A" w:rsidRDefault="0056612B" w:rsidP="00D5773B">
            <w:pPr>
              <w:suppressAutoHyphens/>
              <w:spacing w:line="240" w:lineRule="auto"/>
              <w:jc w:val="center"/>
              <w:rPr>
                <w:rFonts w:ascii="Times New Roman" w:hAnsi="Times New Roman"/>
                <w:sz w:val="20"/>
                <w:szCs w:val="24"/>
              </w:rPr>
            </w:pPr>
            <w:r w:rsidRPr="00133F5A">
              <w:rPr>
                <w:rFonts w:ascii="Times New Roman" w:hAnsi="Times New Roman"/>
                <w:sz w:val="20"/>
                <w:szCs w:val="24"/>
              </w:rPr>
              <w:t>Просрочка 60-90 дней</w:t>
            </w:r>
          </w:p>
        </w:tc>
        <w:tc>
          <w:tcPr>
            <w:tcW w:w="3050" w:type="pct"/>
            <w:tcBorders>
              <w:top w:val="single" w:sz="4" w:space="0" w:color="auto"/>
              <w:left w:val="single" w:sz="4" w:space="0" w:color="auto"/>
              <w:bottom w:val="single" w:sz="4" w:space="0" w:color="auto"/>
              <w:right w:val="single" w:sz="4" w:space="0" w:color="auto"/>
            </w:tcBorders>
            <w:hideMark/>
          </w:tcPr>
          <w:p w14:paraId="2B82F16F"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Переговоры с ответственными лицами;</w:t>
            </w:r>
          </w:p>
          <w:p w14:paraId="5974FB86"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Претензионные письма;</w:t>
            </w:r>
          </w:p>
        </w:tc>
        <w:tc>
          <w:tcPr>
            <w:tcW w:w="1312" w:type="pct"/>
            <w:tcBorders>
              <w:top w:val="single" w:sz="4" w:space="0" w:color="auto"/>
              <w:left w:val="single" w:sz="4" w:space="0" w:color="auto"/>
              <w:bottom w:val="single" w:sz="4" w:space="0" w:color="auto"/>
              <w:right w:val="single" w:sz="4" w:space="0" w:color="auto"/>
            </w:tcBorders>
            <w:vAlign w:val="center"/>
            <w:hideMark/>
          </w:tcPr>
          <w:p w14:paraId="77E23977"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Менеджеры лизинговых сделок;</w:t>
            </w:r>
          </w:p>
        </w:tc>
      </w:tr>
      <w:tr w:rsidR="0056612B" w:rsidRPr="00133F5A" w14:paraId="3D10C170" w14:textId="77777777" w:rsidTr="0061109D">
        <w:trPr>
          <w:trHeight w:val="510"/>
        </w:trPr>
        <w:tc>
          <w:tcPr>
            <w:tcW w:w="638" w:type="pct"/>
            <w:vMerge/>
            <w:tcBorders>
              <w:top w:val="single" w:sz="4" w:space="0" w:color="auto"/>
              <w:left w:val="single" w:sz="4" w:space="0" w:color="auto"/>
              <w:bottom w:val="single" w:sz="4" w:space="0" w:color="auto"/>
              <w:right w:val="single" w:sz="4" w:space="0" w:color="auto"/>
            </w:tcBorders>
            <w:vAlign w:val="center"/>
            <w:hideMark/>
          </w:tcPr>
          <w:p w14:paraId="31FC3498" w14:textId="77777777" w:rsidR="0056612B" w:rsidRPr="00133F5A" w:rsidRDefault="0056612B">
            <w:pPr>
              <w:spacing w:line="240" w:lineRule="auto"/>
              <w:rPr>
                <w:rFonts w:ascii="Times New Roman" w:hAnsi="Times New Roman"/>
                <w:sz w:val="20"/>
                <w:szCs w:val="24"/>
              </w:rPr>
            </w:pPr>
          </w:p>
        </w:tc>
        <w:tc>
          <w:tcPr>
            <w:tcW w:w="3050" w:type="pct"/>
            <w:tcBorders>
              <w:top w:val="single" w:sz="4" w:space="0" w:color="auto"/>
              <w:left w:val="single" w:sz="4" w:space="0" w:color="auto"/>
              <w:bottom w:val="single" w:sz="4" w:space="0" w:color="auto"/>
              <w:right w:val="single" w:sz="4" w:space="0" w:color="auto"/>
            </w:tcBorders>
            <w:hideMark/>
          </w:tcPr>
          <w:p w14:paraId="337A72B4"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Начисления пеней и штрафов, направление управленческих актов сверок</w:t>
            </w:r>
          </w:p>
        </w:tc>
        <w:tc>
          <w:tcPr>
            <w:tcW w:w="1312" w:type="pct"/>
            <w:tcBorders>
              <w:top w:val="single" w:sz="4" w:space="0" w:color="auto"/>
              <w:left w:val="single" w:sz="4" w:space="0" w:color="auto"/>
              <w:bottom w:val="single" w:sz="4" w:space="0" w:color="auto"/>
              <w:right w:val="single" w:sz="4" w:space="0" w:color="auto"/>
            </w:tcBorders>
            <w:vAlign w:val="center"/>
            <w:hideMark/>
          </w:tcPr>
          <w:p w14:paraId="7B8F21CD" w14:textId="77777777" w:rsidR="0056612B" w:rsidRPr="00133F5A" w:rsidRDefault="0056612B">
            <w:pPr>
              <w:suppressAutoHyphens/>
              <w:spacing w:line="240" w:lineRule="auto"/>
              <w:jc w:val="both"/>
              <w:rPr>
                <w:rFonts w:ascii="Times New Roman" w:hAnsi="Times New Roman"/>
                <w:sz w:val="20"/>
                <w:szCs w:val="24"/>
              </w:rPr>
            </w:pPr>
            <w:r w:rsidRPr="00133F5A">
              <w:rPr>
                <w:rFonts w:ascii="Times New Roman" w:hAnsi="Times New Roman"/>
                <w:sz w:val="20"/>
                <w:szCs w:val="24"/>
              </w:rPr>
              <w:t>Сектор планирования</w:t>
            </w:r>
          </w:p>
        </w:tc>
      </w:tr>
      <w:tr w:rsidR="00F049C7" w:rsidRPr="00133F5A" w14:paraId="6FF4E701" w14:textId="77777777" w:rsidTr="0061109D">
        <w:trPr>
          <w:trHeight w:val="510"/>
        </w:trPr>
        <w:tc>
          <w:tcPr>
            <w:tcW w:w="638" w:type="pct"/>
            <w:vMerge w:val="restart"/>
            <w:tcBorders>
              <w:top w:val="single" w:sz="4" w:space="0" w:color="auto"/>
              <w:left w:val="single" w:sz="4" w:space="0" w:color="auto"/>
              <w:right w:val="single" w:sz="4" w:space="0" w:color="auto"/>
            </w:tcBorders>
            <w:vAlign w:val="center"/>
          </w:tcPr>
          <w:p w14:paraId="12ED5099" w14:textId="4FEDB517" w:rsidR="00F049C7" w:rsidRPr="00133F5A" w:rsidRDefault="00F049C7" w:rsidP="00F049C7">
            <w:pPr>
              <w:spacing w:line="240" w:lineRule="auto"/>
              <w:rPr>
                <w:rFonts w:ascii="Times New Roman" w:hAnsi="Times New Roman"/>
                <w:sz w:val="20"/>
                <w:szCs w:val="24"/>
              </w:rPr>
            </w:pPr>
            <w:r w:rsidRPr="00F049C7">
              <w:rPr>
                <w:rFonts w:ascii="Times New Roman" w:hAnsi="Times New Roman"/>
                <w:sz w:val="20"/>
                <w:szCs w:val="24"/>
              </w:rPr>
              <w:t>Просрочка свыше 90 дней</w:t>
            </w:r>
          </w:p>
        </w:tc>
        <w:tc>
          <w:tcPr>
            <w:tcW w:w="3050" w:type="pct"/>
            <w:tcBorders>
              <w:top w:val="single" w:sz="4" w:space="0" w:color="auto"/>
              <w:left w:val="single" w:sz="4" w:space="0" w:color="auto"/>
              <w:bottom w:val="single" w:sz="4" w:space="0" w:color="auto"/>
              <w:right w:val="single" w:sz="4" w:space="0" w:color="auto"/>
            </w:tcBorders>
          </w:tcPr>
          <w:p w14:paraId="3539A898" w14:textId="6D491715"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Переговоры с ответственными лицами;</w:t>
            </w:r>
          </w:p>
        </w:tc>
        <w:tc>
          <w:tcPr>
            <w:tcW w:w="1312" w:type="pct"/>
            <w:tcBorders>
              <w:top w:val="single" w:sz="4" w:space="0" w:color="auto"/>
              <w:left w:val="single" w:sz="4" w:space="0" w:color="auto"/>
              <w:bottom w:val="single" w:sz="4" w:space="0" w:color="auto"/>
              <w:right w:val="single" w:sz="4" w:space="0" w:color="auto"/>
            </w:tcBorders>
            <w:vAlign w:val="center"/>
          </w:tcPr>
          <w:p w14:paraId="00058CBD" w14:textId="280777C4"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Генеральный директор;</w:t>
            </w:r>
          </w:p>
        </w:tc>
      </w:tr>
      <w:tr w:rsidR="00F049C7" w:rsidRPr="00133F5A" w14:paraId="2EC96961" w14:textId="77777777" w:rsidTr="0061109D">
        <w:trPr>
          <w:trHeight w:val="510"/>
        </w:trPr>
        <w:tc>
          <w:tcPr>
            <w:tcW w:w="638" w:type="pct"/>
            <w:vMerge/>
            <w:tcBorders>
              <w:left w:val="single" w:sz="4" w:space="0" w:color="auto"/>
              <w:right w:val="single" w:sz="4" w:space="0" w:color="auto"/>
            </w:tcBorders>
            <w:vAlign w:val="center"/>
          </w:tcPr>
          <w:p w14:paraId="0BD6372F" w14:textId="77777777" w:rsidR="00F049C7" w:rsidRPr="00133F5A" w:rsidRDefault="00F049C7" w:rsidP="00F049C7">
            <w:pPr>
              <w:spacing w:line="240" w:lineRule="auto"/>
              <w:rPr>
                <w:rFonts w:ascii="Times New Roman" w:hAnsi="Times New Roman"/>
                <w:sz w:val="20"/>
                <w:szCs w:val="24"/>
              </w:rPr>
            </w:pPr>
          </w:p>
        </w:tc>
        <w:tc>
          <w:tcPr>
            <w:tcW w:w="3050" w:type="pct"/>
            <w:tcBorders>
              <w:top w:val="single" w:sz="4" w:space="0" w:color="auto"/>
              <w:left w:val="single" w:sz="4" w:space="0" w:color="auto"/>
              <w:bottom w:val="single" w:sz="4" w:space="0" w:color="auto"/>
              <w:right w:val="single" w:sz="4" w:space="0" w:color="auto"/>
            </w:tcBorders>
            <w:vAlign w:val="center"/>
          </w:tcPr>
          <w:p w14:paraId="340FB594" w14:textId="418A6CD9"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Подготовка документов для подачи иска в суд;</w:t>
            </w:r>
          </w:p>
        </w:tc>
        <w:tc>
          <w:tcPr>
            <w:tcW w:w="1312" w:type="pct"/>
            <w:tcBorders>
              <w:top w:val="single" w:sz="4" w:space="0" w:color="auto"/>
              <w:left w:val="single" w:sz="4" w:space="0" w:color="auto"/>
              <w:bottom w:val="single" w:sz="4" w:space="0" w:color="auto"/>
              <w:right w:val="single" w:sz="4" w:space="0" w:color="auto"/>
            </w:tcBorders>
            <w:vAlign w:val="center"/>
          </w:tcPr>
          <w:p w14:paraId="59B5CEBF" w14:textId="767EA815"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Служба экономической безопасности совместно с юр. отделом</w:t>
            </w:r>
          </w:p>
        </w:tc>
      </w:tr>
      <w:tr w:rsidR="00F049C7" w:rsidRPr="00133F5A" w14:paraId="18870011" w14:textId="77777777" w:rsidTr="0061109D">
        <w:trPr>
          <w:trHeight w:val="510"/>
        </w:trPr>
        <w:tc>
          <w:tcPr>
            <w:tcW w:w="638" w:type="pct"/>
            <w:vMerge/>
            <w:tcBorders>
              <w:left w:val="single" w:sz="4" w:space="0" w:color="auto"/>
              <w:right w:val="single" w:sz="4" w:space="0" w:color="auto"/>
            </w:tcBorders>
            <w:vAlign w:val="center"/>
          </w:tcPr>
          <w:p w14:paraId="4F19AE92" w14:textId="77777777" w:rsidR="00F049C7" w:rsidRPr="00133F5A" w:rsidRDefault="00F049C7" w:rsidP="00F049C7">
            <w:pPr>
              <w:spacing w:line="240" w:lineRule="auto"/>
              <w:rPr>
                <w:rFonts w:ascii="Times New Roman" w:hAnsi="Times New Roman"/>
                <w:sz w:val="20"/>
                <w:szCs w:val="24"/>
              </w:rPr>
            </w:pPr>
          </w:p>
        </w:tc>
        <w:tc>
          <w:tcPr>
            <w:tcW w:w="3050" w:type="pct"/>
            <w:tcBorders>
              <w:top w:val="single" w:sz="4" w:space="0" w:color="auto"/>
              <w:left w:val="single" w:sz="4" w:space="0" w:color="auto"/>
              <w:bottom w:val="single" w:sz="4" w:space="0" w:color="auto"/>
              <w:right w:val="single" w:sz="4" w:space="0" w:color="auto"/>
            </w:tcBorders>
          </w:tcPr>
          <w:p w14:paraId="74031301" w14:textId="77777777" w:rsidR="00F049C7" w:rsidRPr="00F049C7"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Изъятие предмета лизинга;</w:t>
            </w:r>
          </w:p>
          <w:p w14:paraId="34FD046D" w14:textId="77777777" w:rsidR="00F049C7" w:rsidRPr="00F049C7"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Проведение процедуры расторжения договора лизинга;</w:t>
            </w:r>
          </w:p>
          <w:p w14:paraId="274AEFD5" w14:textId="699F9533"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Оповещение контрагента о сумме, сроков просроченной задолженности, сумме пеней и о начале судебного процесса;</w:t>
            </w:r>
          </w:p>
        </w:tc>
        <w:tc>
          <w:tcPr>
            <w:tcW w:w="1312" w:type="pct"/>
            <w:tcBorders>
              <w:top w:val="single" w:sz="4" w:space="0" w:color="auto"/>
              <w:left w:val="single" w:sz="4" w:space="0" w:color="auto"/>
              <w:bottom w:val="single" w:sz="4" w:space="0" w:color="auto"/>
              <w:right w:val="single" w:sz="4" w:space="0" w:color="auto"/>
            </w:tcBorders>
            <w:vAlign w:val="center"/>
          </w:tcPr>
          <w:p w14:paraId="00DF7B3A" w14:textId="2A2BA9EF"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Менеджеры лизинговых сделок;</w:t>
            </w:r>
          </w:p>
        </w:tc>
      </w:tr>
      <w:tr w:rsidR="00F049C7" w:rsidRPr="00133F5A" w14:paraId="6B710A16" w14:textId="77777777" w:rsidTr="0061109D">
        <w:trPr>
          <w:trHeight w:val="510"/>
        </w:trPr>
        <w:tc>
          <w:tcPr>
            <w:tcW w:w="638" w:type="pct"/>
            <w:vMerge/>
            <w:tcBorders>
              <w:left w:val="single" w:sz="4" w:space="0" w:color="auto"/>
              <w:bottom w:val="single" w:sz="4" w:space="0" w:color="auto"/>
              <w:right w:val="single" w:sz="4" w:space="0" w:color="auto"/>
            </w:tcBorders>
            <w:vAlign w:val="center"/>
          </w:tcPr>
          <w:p w14:paraId="3AD65A46" w14:textId="77777777" w:rsidR="00F049C7" w:rsidRPr="00133F5A" w:rsidRDefault="00F049C7" w:rsidP="00F049C7">
            <w:pPr>
              <w:spacing w:line="240" w:lineRule="auto"/>
              <w:rPr>
                <w:rFonts w:ascii="Times New Roman" w:hAnsi="Times New Roman"/>
                <w:sz w:val="20"/>
                <w:szCs w:val="24"/>
              </w:rPr>
            </w:pPr>
          </w:p>
        </w:tc>
        <w:tc>
          <w:tcPr>
            <w:tcW w:w="3050" w:type="pct"/>
            <w:tcBorders>
              <w:top w:val="single" w:sz="4" w:space="0" w:color="auto"/>
              <w:left w:val="single" w:sz="4" w:space="0" w:color="auto"/>
              <w:bottom w:val="single" w:sz="4" w:space="0" w:color="auto"/>
              <w:right w:val="single" w:sz="4" w:space="0" w:color="auto"/>
            </w:tcBorders>
          </w:tcPr>
          <w:p w14:paraId="4C520110" w14:textId="6822F895"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Отслеживание погашения задолженности, поступления денежных средств на счет организации</w:t>
            </w:r>
          </w:p>
        </w:tc>
        <w:tc>
          <w:tcPr>
            <w:tcW w:w="1312" w:type="pct"/>
            <w:tcBorders>
              <w:top w:val="single" w:sz="4" w:space="0" w:color="auto"/>
              <w:left w:val="single" w:sz="4" w:space="0" w:color="auto"/>
              <w:bottom w:val="single" w:sz="4" w:space="0" w:color="auto"/>
              <w:right w:val="single" w:sz="4" w:space="0" w:color="auto"/>
            </w:tcBorders>
            <w:vAlign w:val="center"/>
          </w:tcPr>
          <w:p w14:paraId="00FFABDE" w14:textId="20A76644" w:rsidR="00F049C7" w:rsidRPr="00133F5A" w:rsidRDefault="00F049C7" w:rsidP="00F049C7">
            <w:pPr>
              <w:suppressAutoHyphens/>
              <w:spacing w:line="240" w:lineRule="auto"/>
              <w:jc w:val="both"/>
              <w:rPr>
                <w:rFonts w:ascii="Times New Roman" w:hAnsi="Times New Roman"/>
                <w:sz w:val="20"/>
                <w:szCs w:val="24"/>
              </w:rPr>
            </w:pPr>
            <w:r w:rsidRPr="00F049C7">
              <w:rPr>
                <w:rFonts w:ascii="Times New Roman" w:hAnsi="Times New Roman"/>
                <w:sz w:val="20"/>
                <w:szCs w:val="24"/>
              </w:rPr>
              <w:t>Бухгалтерский отдел</w:t>
            </w:r>
          </w:p>
        </w:tc>
      </w:tr>
    </w:tbl>
    <w:p w14:paraId="32A49B42" w14:textId="51C2BECA" w:rsidR="00F7211E" w:rsidRDefault="00F7211E" w:rsidP="00F7211E">
      <w:pPr>
        <w:spacing w:after="0" w:line="240" w:lineRule="auto"/>
        <w:jc w:val="both"/>
        <w:rPr>
          <w:rFonts w:ascii="Times New Roman" w:hAnsi="Times New Roman"/>
          <w:szCs w:val="24"/>
        </w:rPr>
      </w:pPr>
      <w:r w:rsidRPr="0043727D">
        <w:rPr>
          <w:rFonts w:ascii="Times New Roman" w:hAnsi="Times New Roman"/>
          <w:i/>
        </w:rPr>
        <w:t>Составлено авторами по материалам исследования</w:t>
      </w:r>
    </w:p>
    <w:p w14:paraId="35007D62" w14:textId="43A1D63C" w:rsidR="0056612B" w:rsidRPr="00B741CD" w:rsidRDefault="0056612B" w:rsidP="00F049C7">
      <w:pPr>
        <w:spacing w:before="120" w:after="0" w:line="240" w:lineRule="auto"/>
        <w:ind w:firstLine="709"/>
        <w:jc w:val="both"/>
        <w:rPr>
          <w:rFonts w:ascii="Times New Roman" w:hAnsi="Times New Roman"/>
          <w:szCs w:val="24"/>
        </w:rPr>
      </w:pPr>
      <w:r w:rsidRPr="00B741CD">
        <w:rPr>
          <w:rFonts w:ascii="Times New Roman" w:hAnsi="Times New Roman"/>
          <w:szCs w:val="24"/>
        </w:rPr>
        <w:t xml:space="preserve">Если сопоставить данные мероприятия с полученными результатами из проведенного ранжирования, то сразу становиться видно, что по контрагентам № </w:t>
      </w:r>
      <w:r w:rsidR="0013699C">
        <w:rPr>
          <w:rFonts w:ascii="Times New Roman" w:hAnsi="Times New Roman"/>
          <w:szCs w:val="24"/>
        </w:rPr>
        <w:t xml:space="preserve">2 и 6 </w:t>
      </w:r>
      <w:r w:rsidRPr="00B741CD">
        <w:rPr>
          <w:rFonts w:ascii="Times New Roman" w:hAnsi="Times New Roman"/>
          <w:szCs w:val="24"/>
        </w:rPr>
        <w:t>необходимо применить мероприятия, соответствующие строке «просрочка свыше 90 дней», контрагент</w:t>
      </w:r>
      <w:r w:rsidR="00D5773B" w:rsidRPr="00B741CD">
        <w:rPr>
          <w:rFonts w:ascii="Times New Roman" w:hAnsi="Times New Roman"/>
          <w:szCs w:val="24"/>
        </w:rPr>
        <w:t>у</w:t>
      </w:r>
      <w:r w:rsidRPr="00B741CD">
        <w:rPr>
          <w:rFonts w:ascii="Times New Roman" w:hAnsi="Times New Roman"/>
          <w:szCs w:val="24"/>
        </w:rPr>
        <w:t xml:space="preserve"> № </w:t>
      </w:r>
      <w:r w:rsidR="00D5773B" w:rsidRPr="00B741CD">
        <w:rPr>
          <w:rFonts w:ascii="Times New Roman" w:hAnsi="Times New Roman"/>
          <w:szCs w:val="24"/>
        </w:rPr>
        <w:t>4</w:t>
      </w:r>
      <w:r w:rsidRPr="00B741CD">
        <w:rPr>
          <w:rFonts w:ascii="Times New Roman" w:hAnsi="Times New Roman"/>
          <w:szCs w:val="24"/>
        </w:rPr>
        <w:t xml:space="preserve"> необходимо направить претензионное письмо</w:t>
      </w:r>
      <w:r w:rsidR="0013699C">
        <w:rPr>
          <w:rFonts w:ascii="Times New Roman" w:hAnsi="Times New Roman"/>
          <w:szCs w:val="24"/>
        </w:rPr>
        <w:t xml:space="preserve">, а контрагентам № 1 и 5 можно направить акт сверки, показывающий фактическую задолженность или напомнить о необходимости оплаты с помощью звонка. </w:t>
      </w:r>
    </w:p>
    <w:p w14:paraId="6ED6F62F" w14:textId="77777777" w:rsidR="0056612B" w:rsidRPr="00B741CD" w:rsidRDefault="0056612B" w:rsidP="00B741CD">
      <w:pPr>
        <w:spacing w:after="0" w:line="240" w:lineRule="auto"/>
        <w:ind w:firstLine="709"/>
        <w:jc w:val="both"/>
        <w:rPr>
          <w:rFonts w:ascii="Times New Roman" w:hAnsi="Times New Roman"/>
          <w:szCs w:val="24"/>
        </w:rPr>
      </w:pPr>
      <w:r w:rsidRPr="00B741CD">
        <w:rPr>
          <w:rFonts w:ascii="Times New Roman" w:hAnsi="Times New Roman"/>
          <w:szCs w:val="24"/>
        </w:rPr>
        <w:t>4 Составлять иерархию кредиторов, предполагающую создание уровней контрагентов. Первый уровень – организации, при расчетах с по которыми просрочка недопустима, примером может служить расчеты по налогам и сборам, с банками; второй уровень – «жизненно необходимые» поставщики, которых очень трудно заменить, просрочка допустима только на договорной основе, для лизинговой компании такими поставщиками являются продавцы предметов лизинга. Последний уровень - поставщики, которых можно быстро сменить с минимальными затратами, примером могут служить поставщики воды в офис, канцелярии и т.д. по ним можно претендовать на отсрочку платежа.</w:t>
      </w:r>
    </w:p>
    <w:p w14:paraId="09A9C9E1" w14:textId="77777777" w:rsidR="00D5773B" w:rsidRPr="00B741CD" w:rsidRDefault="0056612B" w:rsidP="00B741CD">
      <w:pPr>
        <w:spacing w:after="0" w:line="240" w:lineRule="auto"/>
        <w:ind w:firstLine="709"/>
        <w:jc w:val="both"/>
        <w:rPr>
          <w:rFonts w:ascii="Times New Roman" w:hAnsi="Times New Roman"/>
          <w:szCs w:val="24"/>
        </w:rPr>
      </w:pPr>
      <w:r w:rsidRPr="00B741CD">
        <w:rPr>
          <w:rFonts w:ascii="Times New Roman" w:hAnsi="Times New Roman"/>
          <w:szCs w:val="24"/>
        </w:rPr>
        <w:t>5 Разработать систему мотивации для сотрудников, преимущественно для отдела сопровождения лизинговых сделок. Примером премирования может служить не только выплата за выполнения плана по продажам, но и за своевременное исполнение обязательств контрагентами, все платежи клиентом выплачены вовремя, и дебиторская задолженность не имела стадии просроченной. Стоит отметить, что система премий должна быть уравновешена системой наказаний, путем выставления замечаний, предупреждений, лишение премии, штрафы. Однако штрафовать следует не за образовавшуюся просроченную дебиторскую задолженность, а за ошибки и нарушения регламента и процедур управления ДЗ. Примером ошибок могут служить неправильное оформление документов, несвоевременное предупреждение лизингополучателя о необходимости оплатить лизинговые платежи, предоставление клиенту неверной информации о сумме задолженности, пеней и штрафов. Таким образом сбалансированная система мотивации поможет сократить множество ошибок, допускаемых сотрудниками при управлении дебиторской задолженностью.</w:t>
      </w:r>
    </w:p>
    <w:p w14:paraId="2EA60322" w14:textId="42747B44" w:rsidR="0056612B" w:rsidRPr="00B741CD" w:rsidRDefault="0056612B" w:rsidP="00B741CD">
      <w:pPr>
        <w:spacing w:after="0" w:line="240" w:lineRule="auto"/>
        <w:ind w:firstLine="709"/>
        <w:jc w:val="both"/>
        <w:rPr>
          <w:rFonts w:ascii="Times New Roman" w:hAnsi="Times New Roman"/>
          <w:szCs w:val="24"/>
        </w:rPr>
      </w:pPr>
      <w:r w:rsidRPr="00B741CD">
        <w:rPr>
          <w:rFonts w:ascii="Times New Roman" w:hAnsi="Times New Roman"/>
          <w:szCs w:val="24"/>
        </w:rPr>
        <w:t xml:space="preserve">6 Усовершенствовать систему обучения по работе с клиентами для новых сотрудников, путем введения учебных программ для различных отделов: для отдела продаж – программа заключения и сопровождения лизинговых сделок, ведение переговоров, для бухгалтерского сектора – программа заполнения бухгалтерской документации, отправка отчетных и закрывающих документов, ведение переговоров с клиентами, также существует необходимость проведения периодической учебы для уже работающих сотрудников для ознакомления персонала с внесенными в законодательство поправок, для обсуждения ошибок, при работе с клиентами и улучшения производительности. </w:t>
      </w:r>
    </w:p>
    <w:p w14:paraId="31D2E9F2" w14:textId="77777777" w:rsidR="0056612B" w:rsidRPr="00B741CD" w:rsidRDefault="0056612B" w:rsidP="00B741CD">
      <w:pPr>
        <w:spacing w:after="0" w:line="240" w:lineRule="auto"/>
        <w:ind w:firstLine="709"/>
        <w:jc w:val="both"/>
        <w:rPr>
          <w:rFonts w:ascii="Times New Roman" w:hAnsi="Times New Roman"/>
          <w:szCs w:val="24"/>
        </w:rPr>
      </w:pPr>
      <w:r w:rsidRPr="00B741CD">
        <w:rPr>
          <w:rFonts w:ascii="Times New Roman" w:hAnsi="Times New Roman"/>
          <w:szCs w:val="24"/>
        </w:rPr>
        <w:t>7 Составить «Положение по работе с дебиторами и кредиторами», в котором будет закреплен весь функционал по работе с дебиторами и кредиторами, разбитый на соответствующие отделы, первоочередные мероприятия по взысканию дебиторской задолженности, обращение в суд, иерархия кредиторов, методики анализа и инструменты планирования. А также образцы заявлений по претензиям о наличии задолженности и шаблоны переговоров: напоминающий звонок; звонок по выяснению обстоятельств неплатежа; претензионный звонок.</w:t>
      </w:r>
    </w:p>
    <w:p w14:paraId="448AE454" w14:textId="77777777" w:rsidR="00CA3422" w:rsidRPr="00B741CD" w:rsidRDefault="00CA3422" w:rsidP="00B741CD">
      <w:pPr>
        <w:spacing w:after="0" w:line="240" w:lineRule="auto"/>
        <w:ind w:firstLine="709"/>
        <w:jc w:val="both"/>
        <w:rPr>
          <w:rFonts w:ascii="Times New Roman" w:hAnsi="Times New Roman"/>
          <w:szCs w:val="24"/>
        </w:rPr>
      </w:pPr>
      <w:r w:rsidRPr="00B741CD">
        <w:rPr>
          <w:rFonts w:ascii="Times New Roman" w:hAnsi="Times New Roman"/>
          <w:szCs w:val="24"/>
        </w:rPr>
        <w:t xml:space="preserve">При любых улучшениях важно понимать соотношение затрат и полученного эффекта от внедрения улучшения. Необходимо учитывать, как и на сколько эффективными будут внедренные решения. </w:t>
      </w:r>
    </w:p>
    <w:p w14:paraId="1F663AC4" w14:textId="77777777" w:rsidR="00CA3422" w:rsidRPr="00B741CD" w:rsidRDefault="00CA3422" w:rsidP="00B741CD">
      <w:pPr>
        <w:spacing w:after="0" w:line="240" w:lineRule="auto"/>
        <w:ind w:firstLine="709"/>
        <w:jc w:val="both"/>
        <w:rPr>
          <w:rFonts w:ascii="Times New Roman" w:hAnsi="Times New Roman"/>
          <w:szCs w:val="24"/>
        </w:rPr>
      </w:pPr>
      <w:r w:rsidRPr="00B741CD">
        <w:rPr>
          <w:rFonts w:ascii="Times New Roman" w:hAnsi="Times New Roman"/>
          <w:szCs w:val="24"/>
        </w:rPr>
        <w:t xml:space="preserve">Так, дополнительная анкета лизингополучателя, позволят на начальной стадии обезопасить компанию от недоброжелательных контрагентов, что в большей степени, повлияет на информационную составляющую экономической безопасности, которая помимо защиты конфиденциальной информации, основана на проведении деловой разведки внешних и внутренних субъектов. </w:t>
      </w:r>
    </w:p>
    <w:p w14:paraId="2FE93949" w14:textId="77777777" w:rsidR="00CA3422" w:rsidRPr="00B741CD" w:rsidRDefault="00CA3422" w:rsidP="00B741CD">
      <w:pPr>
        <w:spacing w:after="0" w:line="240" w:lineRule="auto"/>
        <w:ind w:firstLine="709"/>
        <w:jc w:val="both"/>
        <w:rPr>
          <w:rFonts w:ascii="Times New Roman" w:hAnsi="Times New Roman"/>
          <w:szCs w:val="24"/>
        </w:rPr>
      </w:pPr>
      <w:r w:rsidRPr="00B741CD">
        <w:rPr>
          <w:rFonts w:ascii="Times New Roman" w:hAnsi="Times New Roman"/>
          <w:szCs w:val="24"/>
        </w:rPr>
        <w:t xml:space="preserve">Проведение ранжирования путем совместного применения двух методик, улучшит финансовую составляющую ЭБП. Во-первых, благодаря оперативному выявлению контрагентов-нарушителей по договорам финансовой аренды. Во-вторых, за счет получения информативных данных по своим обязательства компании. </w:t>
      </w:r>
    </w:p>
    <w:p w14:paraId="21477552" w14:textId="77777777" w:rsidR="00CA3422" w:rsidRPr="00B741CD" w:rsidRDefault="00CA3422" w:rsidP="00B741CD">
      <w:pPr>
        <w:spacing w:after="0" w:line="240" w:lineRule="auto"/>
        <w:ind w:firstLine="709"/>
        <w:jc w:val="both"/>
        <w:rPr>
          <w:rFonts w:ascii="Times New Roman" w:hAnsi="Times New Roman"/>
          <w:szCs w:val="24"/>
        </w:rPr>
      </w:pPr>
      <w:r w:rsidRPr="00B741CD">
        <w:rPr>
          <w:rFonts w:ascii="Times New Roman" w:hAnsi="Times New Roman"/>
          <w:szCs w:val="24"/>
        </w:rPr>
        <w:t>Разработка процедур по взысканию дебиторской задолженности с разной степенью просрочки влияет сразу на две составляющих ЭБП, на финансовую за счет эффективного взыскания просрочки и улучшению финансовых показателей компании и правовую благодаря выстраивания грамотной правовой работы с контрагентами.</w:t>
      </w:r>
    </w:p>
    <w:p w14:paraId="4D6C8F6C" w14:textId="77777777" w:rsidR="00CA3422" w:rsidRPr="00B741CD" w:rsidRDefault="00CA3422" w:rsidP="00B741CD">
      <w:pPr>
        <w:spacing w:after="0" w:line="240" w:lineRule="auto"/>
        <w:ind w:firstLine="709"/>
        <w:jc w:val="both"/>
        <w:rPr>
          <w:rFonts w:ascii="Times New Roman" w:hAnsi="Times New Roman"/>
          <w:szCs w:val="24"/>
        </w:rPr>
      </w:pPr>
      <w:r w:rsidRPr="00B741CD">
        <w:rPr>
          <w:rFonts w:ascii="Times New Roman" w:hAnsi="Times New Roman"/>
          <w:szCs w:val="24"/>
        </w:rPr>
        <w:t>Преимуществом создания уровней кредиторов является выработка наиболее оптимальных вариантов работы с поставщиками товаров и услуг (контрагентами), что позволит существенно сэкономить средства предприятия, тем самым улучшив финансовую составляющую организации.</w:t>
      </w:r>
    </w:p>
    <w:p w14:paraId="58C70AC2" w14:textId="77777777" w:rsidR="00CA3422" w:rsidRPr="00B741CD" w:rsidRDefault="00CA3422" w:rsidP="00B741CD">
      <w:pPr>
        <w:spacing w:after="0" w:line="240" w:lineRule="auto"/>
        <w:ind w:firstLine="709"/>
        <w:jc w:val="both"/>
        <w:rPr>
          <w:rFonts w:ascii="Times New Roman" w:hAnsi="Times New Roman"/>
          <w:szCs w:val="24"/>
        </w:rPr>
      </w:pPr>
      <w:r w:rsidRPr="00B741CD">
        <w:rPr>
          <w:rFonts w:ascii="Times New Roman" w:hAnsi="Times New Roman"/>
          <w:szCs w:val="24"/>
        </w:rPr>
        <w:t>Система мотивации и обучения персонала преимущественно направлена на улучшение кадровой составляющей, так как персонал – основа в функционировании организации. Очень часто экономическую безопасность предприятия разрушают именно внутренние угрозы, исходящие, в первую очередь, от сотрудников предприятия. Устранить данные угрозы зачастую можно двумя путями: проведением целенаправленного обучения персонала организации и введения системы премирования-наказания за выполнение/невыполнения сотрудниками своей работы.</w:t>
      </w:r>
    </w:p>
    <w:p w14:paraId="66F49D39" w14:textId="1F601136" w:rsidR="00CA3422" w:rsidRPr="00B741CD" w:rsidRDefault="00CA3422" w:rsidP="00B741CD">
      <w:pPr>
        <w:spacing w:after="0" w:line="240" w:lineRule="auto"/>
        <w:ind w:firstLine="709"/>
        <w:jc w:val="both"/>
        <w:rPr>
          <w:rFonts w:ascii="Times New Roman" w:hAnsi="Times New Roman"/>
          <w:szCs w:val="24"/>
        </w:rPr>
      </w:pPr>
      <w:r w:rsidRPr="00B741CD">
        <w:rPr>
          <w:rFonts w:ascii="Times New Roman" w:hAnsi="Times New Roman"/>
          <w:szCs w:val="24"/>
        </w:rPr>
        <w:t xml:space="preserve">Введения в компании нормативного документа «Положение по работе с дебиторами и кредиторами» повлияет практически на все основные составляющие ЭБП: правовую и информационную, так как является обязательным к изучению, правовым, внутренним и конфиденциальным документом организации. Кадровую, поскольку поспособствует получению необходимой сотрудниками теоретической информации, по работе с дебиторами и кредиторами, и сокращению ошибок в практической работе. </w:t>
      </w:r>
    </w:p>
    <w:p w14:paraId="43810D73" w14:textId="7B3EDFE5" w:rsidR="00DE3860" w:rsidRPr="00B741CD" w:rsidRDefault="00DE3860" w:rsidP="00B741CD">
      <w:pPr>
        <w:spacing w:after="0" w:line="240" w:lineRule="auto"/>
        <w:ind w:firstLine="709"/>
        <w:jc w:val="both"/>
        <w:rPr>
          <w:rFonts w:ascii="Times New Roman" w:hAnsi="Times New Roman"/>
          <w:szCs w:val="24"/>
        </w:rPr>
      </w:pPr>
      <w:r w:rsidRPr="00B741CD">
        <w:rPr>
          <w:rFonts w:ascii="Times New Roman" w:hAnsi="Times New Roman"/>
          <w:b/>
        </w:rPr>
        <w:t>Заключение</w:t>
      </w:r>
    </w:p>
    <w:p w14:paraId="32096579" w14:textId="40EECFBA" w:rsidR="00862146" w:rsidRPr="00B741CD" w:rsidRDefault="00600051" w:rsidP="00B741CD">
      <w:pPr>
        <w:spacing w:after="0" w:line="240" w:lineRule="auto"/>
        <w:ind w:firstLine="709"/>
        <w:jc w:val="both"/>
        <w:rPr>
          <w:rFonts w:ascii="Times New Roman" w:hAnsi="Times New Roman"/>
          <w:szCs w:val="24"/>
        </w:rPr>
      </w:pPr>
      <w:r>
        <w:rPr>
          <w:rFonts w:ascii="Times New Roman" w:hAnsi="Times New Roman"/>
          <w:szCs w:val="24"/>
        </w:rPr>
        <w:t>В</w:t>
      </w:r>
      <w:r w:rsidRPr="00600051">
        <w:rPr>
          <w:rFonts w:ascii="Times New Roman" w:hAnsi="Times New Roman"/>
          <w:szCs w:val="24"/>
        </w:rPr>
        <w:t xml:space="preserve"> жизнедеятельности лизинговых организаций дебиторска</w:t>
      </w:r>
      <w:r>
        <w:rPr>
          <w:rFonts w:ascii="Times New Roman" w:hAnsi="Times New Roman"/>
          <w:szCs w:val="24"/>
        </w:rPr>
        <w:t>я</w:t>
      </w:r>
      <w:r w:rsidRPr="00600051">
        <w:rPr>
          <w:rFonts w:ascii="Times New Roman" w:hAnsi="Times New Roman"/>
          <w:szCs w:val="24"/>
        </w:rPr>
        <w:t xml:space="preserve"> и кредиторская задолженност</w:t>
      </w:r>
      <w:r>
        <w:rPr>
          <w:rFonts w:ascii="Times New Roman" w:hAnsi="Times New Roman"/>
          <w:szCs w:val="24"/>
        </w:rPr>
        <w:t>и</w:t>
      </w:r>
      <w:r w:rsidRPr="00600051">
        <w:rPr>
          <w:rFonts w:ascii="Times New Roman" w:hAnsi="Times New Roman"/>
          <w:szCs w:val="24"/>
        </w:rPr>
        <w:t xml:space="preserve"> занимают центральное место в обеспечении экономической безопасности на предприятии, что подтверждает актуальность</w:t>
      </w:r>
      <w:r>
        <w:rPr>
          <w:rFonts w:ascii="Times New Roman" w:hAnsi="Times New Roman"/>
          <w:szCs w:val="24"/>
        </w:rPr>
        <w:t xml:space="preserve"> выбранного исследования</w:t>
      </w:r>
      <w:r w:rsidRPr="00600051">
        <w:rPr>
          <w:rFonts w:ascii="Times New Roman" w:hAnsi="Times New Roman"/>
          <w:szCs w:val="24"/>
        </w:rPr>
        <w:t xml:space="preserve">, а полученные результаты исследования свидетельствуют о целесообразности проведения разработанных рекомендаций. </w:t>
      </w:r>
      <w:r>
        <w:rPr>
          <w:rFonts w:ascii="Times New Roman" w:hAnsi="Times New Roman"/>
          <w:szCs w:val="24"/>
        </w:rPr>
        <w:t xml:space="preserve">Важно понимать, </w:t>
      </w:r>
      <w:r w:rsidR="00CA3422" w:rsidRPr="00B741CD">
        <w:rPr>
          <w:rFonts w:ascii="Times New Roman" w:hAnsi="Times New Roman"/>
          <w:szCs w:val="24"/>
        </w:rPr>
        <w:t>любое внедрение корректировок в систему экономической безопасности влияет на основные ее составляющие, причем результат мероприятий может быть как положительным, увеличение производительности работников, отсеивание недоброкачественных потенциальных клиентов, так и отрицательным. Только грамотно используя и совершенствуя методику управления ДЗ и КЗ, возможно сформировать уникальную систему управления с дебиторами и кредиторами по взаиморасчётам, которая позволит обеспечить высокий уровень экономической безопасности на предприятии.</w:t>
      </w:r>
    </w:p>
    <w:p w14:paraId="5DE8E0DA" w14:textId="4FAD0B65" w:rsidR="00DE3860" w:rsidRPr="00B741CD" w:rsidRDefault="00DE3860" w:rsidP="00B741CD">
      <w:pPr>
        <w:spacing w:after="0" w:line="240" w:lineRule="auto"/>
        <w:ind w:firstLine="709"/>
        <w:jc w:val="both"/>
        <w:rPr>
          <w:rFonts w:ascii="Times New Roman" w:hAnsi="Times New Roman"/>
          <w:szCs w:val="24"/>
        </w:rPr>
      </w:pPr>
    </w:p>
    <w:p w14:paraId="5F5FD1D7" w14:textId="77777777" w:rsidR="00DE3860" w:rsidRPr="00DE3860" w:rsidRDefault="00DE3860" w:rsidP="00613377">
      <w:pPr>
        <w:spacing w:after="0" w:line="360" w:lineRule="auto"/>
        <w:jc w:val="center"/>
        <w:rPr>
          <w:rFonts w:ascii="Times New Roman" w:eastAsiaTheme="minorHAnsi" w:hAnsi="Times New Roman"/>
          <w:b/>
        </w:rPr>
      </w:pPr>
      <w:r w:rsidRPr="00C52515">
        <w:rPr>
          <w:rFonts w:ascii="Times New Roman" w:eastAsiaTheme="minorHAnsi" w:hAnsi="Times New Roman"/>
          <w:b/>
        </w:rPr>
        <w:t>СПИСОК ЛИТЕРАТУРЫ</w:t>
      </w:r>
    </w:p>
    <w:p w14:paraId="3DB1A0D6" w14:textId="1CCFC76B" w:rsidR="00600051" w:rsidRPr="00C52515" w:rsidRDefault="00600051"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rPr>
        <w:t>Азаренко А.Н. Совершенствование управления дебиторской и кредиторской задолженностью предприятия</w:t>
      </w:r>
      <w:r w:rsidR="005A5862" w:rsidRPr="00C52515">
        <w:rPr>
          <w:rFonts w:ascii="Times New Roman" w:eastAsiaTheme="minorHAnsi" w:hAnsi="Times New Roman"/>
        </w:rPr>
        <w:t>.</w:t>
      </w:r>
      <w:r w:rsidR="00A87DCC" w:rsidRPr="00C52515">
        <w:rPr>
          <w:rFonts w:ascii="Times New Roman" w:eastAsiaTheme="minorHAnsi" w:hAnsi="Times New Roman"/>
        </w:rPr>
        <w:t xml:space="preserve"> В сб.:</w:t>
      </w:r>
      <w:r w:rsidR="00A87DCC" w:rsidRPr="00C52515">
        <w:rPr>
          <w:rFonts w:ascii="Times New Roman" w:eastAsiaTheme="minorHAnsi" w:hAnsi="Times New Roman"/>
          <w:i/>
        </w:rPr>
        <w:t xml:space="preserve"> Будущее</w:t>
      </w:r>
      <w:r w:rsidR="005A5862" w:rsidRPr="00C52515">
        <w:rPr>
          <w:rFonts w:ascii="Times New Roman" w:eastAsiaTheme="minorHAnsi" w:hAnsi="Times New Roman"/>
          <w:i/>
        </w:rPr>
        <w:t xml:space="preserve"> науки – 2019:</w:t>
      </w:r>
      <w:r w:rsidR="00FA4989" w:rsidRPr="00C52515">
        <w:rPr>
          <w:rFonts w:ascii="Times New Roman" w:eastAsiaTheme="minorHAnsi" w:hAnsi="Times New Roman"/>
          <w:i/>
        </w:rPr>
        <w:t xml:space="preserve"> материалы </w:t>
      </w:r>
      <w:r w:rsidR="005A5862" w:rsidRPr="00C52515">
        <w:rPr>
          <w:rFonts w:ascii="Times New Roman" w:eastAsiaTheme="minorHAnsi" w:hAnsi="Times New Roman"/>
          <w:i/>
        </w:rPr>
        <w:t xml:space="preserve">7-й Международной молодежной научной конференции, Курск, 25-26 апреля 2019 </w:t>
      </w:r>
      <w:r w:rsidR="005A5862" w:rsidRPr="00C52515">
        <w:rPr>
          <w:rFonts w:ascii="Times New Roman" w:eastAsiaTheme="minorHAnsi" w:hAnsi="Times New Roman"/>
        </w:rPr>
        <w:t>г. Курск</w:t>
      </w:r>
      <w:r w:rsidR="005A5862" w:rsidRPr="00C52515">
        <w:rPr>
          <w:rFonts w:ascii="Times New Roman" w:eastAsiaTheme="minorHAnsi" w:hAnsi="Times New Roman"/>
          <w:i/>
        </w:rPr>
        <w:t xml:space="preserve">: </w:t>
      </w:r>
      <w:r w:rsidR="005A5862" w:rsidRPr="00C52515">
        <w:rPr>
          <w:rFonts w:ascii="Times New Roman" w:eastAsiaTheme="minorHAnsi" w:hAnsi="Times New Roman"/>
        </w:rPr>
        <w:t>Юго-Западный государственный университет; 2019. С. 14-17</w:t>
      </w:r>
      <w:r w:rsidR="00A87DCC" w:rsidRPr="00C52515">
        <w:rPr>
          <w:rFonts w:ascii="Times New Roman" w:eastAsiaTheme="minorHAnsi" w:hAnsi="Times New Roman"/>
        </w:rPr>
        <w:t>.</w:t>
      </w:r>
      <w:r w:rsidR="005A5862" w:rsidRPr="00C52515">
        <w:rPr>
          <w:rFonts w:ascii="Times New Roman" w:eastAsiaTheme="minorHAnsi" w:hAnsi="Times New Roman"/>
        </w:rPr>
        <w:t xml:space="preserve"> </w:t>
      </w:r>
      <w:hyperlink r:id="rId6" w:history="1">
        <w:r w:rsidR="005A5862" w:rsidRPr="00C52515">
          <w:rPr>
            <w:rStyle w:val="ad"/>
            <w:rFonts w:ascii="Times New Roman" w:eastAsiaTheme="minorHAnsi" w:hAnsi="Times New Roman"/>
            <w:color w:val="auto"/>
            <w:u w:val="none"/>
          </w:rPr>
          <w:t>https://www.elibrary.ru/download/elibrary_38094625_41340920.pdf</w:t>
        </w:r>
      </w:hyperlink>
    </w:p>
    <w:p w14:paraId="35F562ED" w14:textId="5A0A28A4" w:rsidR="005A5862" w:rsidRPr="00C52515" w:rsidRDefault="00FA4989"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rPr>
        <w:t xml:space="preserve">ООО «РАЭКС – Аналитика». </w:t>
      </w:r>
      <w:r w:rsidR="005A5862" w:rsidRPr="00C52515">
        <w:rPr>
          <w:rFonts w:ascii="Times New Roman" w:eastAsiaTheme="minorHAnsi" w:hAnsi="Times New Roman"/>
          <w:i/>
        </w:rPr>
        <w:t>Рейтинг лизинговых компаний по портфелю</w:t>
      </w:r>
      <w:r w:rsidRPr="00C52515">
        <w:rPr>
          <w:rFonts w:ascii="Times New Roman" w:eastAsiaTheme="minorHAnsi" w:hAnsi="Times New Roman"/>
        </w:rPr>
        <w:t xml:space="preserve">. </w:t>
      </w:r>
      <w:hyperlink r:id="rId7" w:history="1">
        <w:r w:rsidRPr="00C52515">
          <w:rPr>
            <w:rStyle w:val="ad"/>
            <w:rFonts w:ascii="Times New Roman" w:eastAsiaTheme="minorHAnsi" w:hAnsi="Times New Roman"/>
            <w:color w:val="auto"/>
            <w:u w:val="none"/>
          </w:rPr>
          <w:t>https://raex-rr.com/business/</w:t>
        </w:r>
        <w:r w:rsidRPr="00C52515">
          <w:rPr>
            <w:rStyle w:val="ad"/>
            <w:rFonts w:ascii="Times New Roman" w:eastAsiaTheme="minorHAnsi" w:hAnsi="Times New Roman"/>
            <w:color w:val="auto"/>
            <w:u w:val="none"/>
            <w:lang w:val="en-US"/>
          </w:rPr>
          <w:t>leasing</w:t>
        </w:r>
        <w:r w:rsidRPr="00C52515">
          <w:rPr>
            <w:rStyle w:val="ad"/>
            <w:rFonts w:ascii="Times New Roman" w:eastAsiaTheme="minorHAnsi" w:hAnsi="Times New Roman"/>
            <w:color w:val="auto"/>
            <w:u w:val="none"/>
          </w:rPr>
          <w:t>/</w:t>
        </w:r>
        <w:r w:rsidRPr="00C52515">
          <w:rPr>
            <w:rStyle w:val="ad"/>
            <w:rFonts w:ascii="Times New Roman" w:eastAsiaTheme="minorHAnsi" w:hAnsi="Times New Roman"/>
            <w:color w:val="auto"/>
            <w:u w:val="none"/>
            <w:lang w:val="en-US"/>
          </w:rPr>
          <w:t>rating</w:t>
        </w:r>
        <w:r w:rsidRPr="00C52515">
          <w:rPr>
            <w:rStyle w:val="ad"/>
            <w:rFonts w:ascii="Times New Roman" w:eastAsiaTheme="minorHAnsi" w:hAnsi="Times New Roman"/>
            <w:color w:val="auto"/>
            <w:u w:val="none"/>
          </w:rPr>
          <w:t>_</w:t>
        </w:r>
        <w:r w:rsidRPr="00C52515">
          <w:rPr>
            <w:rStyle w:val="ad"/>
            <w:rFonts w:ascii="Times New Roman" w:eastAsiaTheme="minorHAnsi" w:hAnsi="Times New Roman"/>
            <w:color w:val="auto"/>
            <w:u w:val="none"/>
            <w:lang w:val="en-US"/>
          </w:rPr>
          <w:t>of</w:t>
        </w:r>
        <w:r w:rsidRPr="00C52515">
          <w:rPr>
            <w:rStyle w:val="ad"/>
            <w:rFonts w:ascii="Times New Roman" w:eastAsiaTheme="minorHAnsi" w:hAnsi="Times New Roman"/>
            <w:color w:val="auto"/>
            <w:u w:val="none"/>
          </w:rPr>
          <w:t>_</w:t>
        </w:r>
        <w:r w:rsidRPr="00C52515">
          <w:rPr>
            <w:rStyle w:val="ad"/>
            <w:rFonts w:ascii="Times New Roman" w:eastAsiaTheme="minorHAnsi" w:hAnsi="Times New Roman"/>
            <w:color w:val="auto"/>
            <w:u w:val="none"/>
            <w:lang w:val="en-US"/>
          </w:rPr>
          <w:t>leasing</w:t>
        </w:r>
        <w:r w:rsidRPr="00C52515">
          <w:rPr>
            <w:rStyle w:val="ad"/>
            <w:rFonts w:ascii="Times New Roman" w:eastAsiaTheme="minorHAnsi" w:hAnsi="Times New Roman"/>
            <w:color w:val="auto"/>
            <w:u w:val="none"/>
          </w:rPr>
          <w:t>_</w:t>
        </w:r>
        <w:r w:rsidRPr="00C52515">
          <w:rPr>
            <w:rStyle w:val="ad"/>
            <w:rFonts w:ascii="Times New Roman" w:eastAsiaTheme="minorHAnsi" w:hAnsi="Times New Roman"/>
            <w:color w:val="auto"/>
            <w:u w:val="none"/>
            <w:lang w:val="en-US"/>
          </w:rPr>
          <w:t>companies</w:t>
        </w:r>
        <w:r w:rsidRPr="00C52515">
          <w:rPr>
            <w:rStyle w:val="ad"/>
            <w:rFonts w:ascii="Times New Roman" w:eastAsiaTheme="minorHAnsi" w:hAnsi="Times New Roman"/>
            <w:color w:val="auto"/>
            <w:u w:val="none"/>
          </w:rPr>
          <w:t>_</w:t>
        </w:r>
        <w:r w:rsidRPr="00C52515">
          <w:rPr>
            <w:rStyle w:val="ad"/>
            <w:rFonts w:ascii="Times New Roman" w:eastAsiaTheme="minorHAnsi" w:hAnsi="Times New Roman"/>
            <w:color w:val="auto"/>
            <w:u w:val="none"/>
            <w:lang w:val="en-US"/>
          </w:rPr>
          <w:t>by</w:t>
        </w:r>
        <w:r w:rsidRPr="00C52515">
          <w:rPr>
            <w:rStyle w:val="ad"/>
            <w:rFonts w:ascii="Times New Roman" w:eastAsiaTheme="minorHAnsi" w:hAnsi="Times New Roman"/>
            <w:color w:val="auto"/>
            <w:u w:val="none"/>
          </w:rPr>
          <w:t>_</w:t>
        </w:r>
        <w:r w:rsidRPr="00C52515">
          <w:rPr>
            <w:rStyle w:val="ad"/>
            <w:rFonts w:ascii="Times New Roman" w:eastAsiaTheme="minorHAnsi" w:hAnsi="Times New Roman"/>
            <w:color w:val="auto"/>
            <w:u w:val="none"/>
            <w:lang w:val="en-US"/>
          </w:rPr>
          <w:t>portfolio</w:t>
        </w:r>
      </w:hyperlink>
      <w:r w:rsidRPr="00C52515">
        <w:rPr>
          <w:rFonts w:ascii="Times New Roman" w:eastAsiaTheme="minorHAnsi" w:hAnsi="Times New Roman"/>
        </w:rPr>
        <w:t xml:space="preserve"> (дата обращения 30.06.2022)</w:t>
      </w:r>
      <w:r w:rsidR="00A10DBD" w:rsidRPr="00C52515">
        <w:rPr>
          <w:rFonts w:ascii="Times New Roman" w:eastAsiaTheme="minorHAnsi" w:hAnsi="Times New Roman"/>
        </w:rPr>
        <w:t>.</w:t>
      </w:r>
    </w:p>
    <w:p w14:paraId="2DDE5E19" w14:textId="5C978663" w:rsidR="000155BF" w:rsidRPr="00C52515" w:rsidRDefault="00DE3860" w:rsidP="0077359A">
      <w:pPr>
        <w:pStyle w:val="a3"/>
        <w:numPr>
          <w:ilvl w:val="0"/>
          <w:numId w:val="5"/>
        </w:numPr>
        <w:spacing w:after="0" w:line="240" w:lineRule="auto"/>
        <w:ind w:left="709" w:hanging="709"/>
        <w:jc w:val="both"/>
        <w:rPr>
          <w:rFonts w:ascii="Times New Roman" w:eastAsiaTheme="minorHAnsi" w:hAnsi="Times New Roman"/>
        </w:rPr>
      </w:pPr>
      <w:proofErr w:type="spellStart"/>
      <w:r w:rsidRPr="00C52515">
        <w:rPr>
          <w:rFonts w:ascii="Times New Roman" w:eastAsiaTheme="minorHAnsi" w:hAnsi="Times New Roman"/>
        </w:rPr>
        <w:t>Крейнина</w:t>
      </w:r>
      <w:proofErr w:type="spellEnd"/>
      <w:r w:rsidRPr="00C52515">
        <w:rPr>
          <w:rFonts w:ascii="Times New Roman" w:eastAsiaTheme="minorHAnsi" w:hAnsi="Times New Roman"/>
        </w:rPr>
        <w:t xml:space="preserve"> М.Н. Управление дебиторской задолженностью и кредиторской задолженностью предприятия. </w:t>
      </w:r>
      <w:r w:rsidRPr="00C52515">
        <w:rPr>
          <w:rFonts w:ascii="Times New Roman" w:eastAsiaTheme="minorHAnsi" w:hAnsi="Times New Roman"/>
          <w:i/>
        </w:rPr>
        <w:t>Финансовый менеджмент</w:t>
      </w:r>
      <w:r w:rsidRPr="00C52515">
        <w:rPr>
          <w:rFonts w:ascii="Times New Roman" w:eastAsiaTheme="minorHAnsi" w:hAnsi="Times New Roman"/>
        </w:rPr>
        <w:t>. 201</w:t>
      </w:r>
      <w:r w:rsidR="0077359A" w:rsidRPr="00C52515">
        <w:rPr>
          <w:rFonts w:ascii="Times New Roman" w:eastAsiaTheme="minorHAnsi" w:hAnsi="Times New Roman"/>
          <w:lang w:val="en-US"/>
        </w:rPr>
        <w:t>6</w:t>
      </w:r>
      <w:r w:rsidR="00E438B5" w:rsidRPr="00C52515">
        <w:rPr>
          <w:rFonts w:ascii="Times New Roman" w:eastAsiaTheme="minorHAnsi" w:hAnsi="Times New Roman"/>
        </w:rPr>
        <w:t>;</w:t>
      </w:r>
      <w:r w:rsidR="00A10DBD" w:rsidRPr="00C52515">
        <w:rPr>
          <w:rFonts w:ascii="Times New Roman" w:eastAsiaTheme="minorHAnsi" w:hAnsi="Times New Roman"/>
        </w:rPr>
        <w:t xml:space="preserve"> (3): </w:t>
      </w:r>
      <w:r w:rsidR="00E438B5" w:rsidRPr="00C52515">
        <w:rPr>
          <w:rFonts w:ascii="Times New Roman" w:eastAsiaTheme="minorHAnsi" w:hAnsi="Times New Roman"/>
        </w:rPr>
        <w:t>49-58.</w:t>
      </w:r>
      <w:r w:rsidR="00A10DBD" w:rsidRPr="00C52515">
        <w:rPr>
          <w:rFonts w:ascii="Times New Roman" w:eastAsiaTheme="minorHAnsi" w:hAnsi="Times New Roman"/>
        </w:rPr>
        <w:t xml:space="preserve"> </w:t>
      </w:r>
      <w:hyperlink r:id="rId8" w:history="1">
        <w:r w:rsidR="00A10DBD" w:rsidRPr="00C52515">
          <w:rPr>
            <w:rStyle w:val="ad"/>
            <w:rFonts w:ascii="Times New Roman" w:eastAsiaTheme="minorHAnsi" w:hAnsi="Times New Roman"/>
            <w:color w:val="auto"/>
            <w:u w:val="none"/>
          </w:rPr>
          <w:t>https://www.finman.ru/annotations/2001/3/</w:t>
        </w:r>
      </w:hyperlink>
      <w:r w:rsidR="00E438B5" w:rsidRPr="00C52515">
        <w:rPr>
          <w:rFonts w:ascii="Times New Roman" w:eastAsiaTheme="minorHAnsi" w:hAnsi="Times New Roman"/>
        </w:rPr>
        <w:t xml:space="preserve"> (дата обращения 28.06.2022)</w:t>
      </w:r>
      <w:r w:rsidR="00A10DBD" w:rsidRPr="00C52515">
        <w:rPr>
          <w:rFonts w:ascii="Times New Roman" w:eastAsiaTheme="minorHAnsi" w:hAnsi="Times New Roman"/>
        </w:rPr>
        <w:t>.</w:t>
      </w:r>
    </w:p>
    <w:p w14:paraId="23337374" w14:textId="071A31BE" w:rsidR="000155BF" w:rsidRPr="00C52515" w:rsidRDefault="0018199D"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rPr>
        <w:t xml:space="preserve">Терентьева Т.В., Тарасова Е.Ю., Малышева В.В. </w:t>
      </w:r>
      <w:r w:rsidRPr="00C52515">
        <w:rPr>
          <w:rFonts w:ascii="Times New Roman" w:eastAsiaTheme="minorHAnsi" w:hAnsi="Times New Roman"/>
          <w:i/>
        </w:rPr>
        <w:t>Бухгалтерский учет: в двух модулях учебное пособие. Владивосток</w:t>
      </w:r>
      <w:r w:rsidRPr="00C52515">
        <w:rPr>
          <w:rFonts w:ascii="Times New Roman" w:eastAsiaTheme="minorHAnsi" w:hAnsi="Times New Roman"/>
        </w:rPr>
        <w:t xml:space="preserve">: </w:t>
      </w:r>
      <w:r w:rsidR="00E438B5" w:rsidRPr="00C52515">
        <w:rPr>
          <w:rFonts w:ascii="Times New Roman" w:eastAsiaTheme="minorHAnsi" w:hAnsi="Times New Roman"/>
        </w:rPr>
        <w:t xml:space="preserve">Изд-во </w:t>
      </w:r>
      <w:r w:rsidRPr="00C52515">
        <w:rPr>
          <w:rFonts w:ascii="Times New Roman" w:eastAsiaTheme="minorHAnsi" w:hAnsi="Times New Roman"/>
        </w:rPr>
        <w:t>ВГУЭС</w:t>
      </w:r>
      <w:r w:rsidR="0045388D" w:rsidRPr="00C52515">
        <w:rPr>
          <w:rFonts w:ascii="Times New Roman" w:eastAsiaTheme="minorHAnsi" w:hAnsi="Times New Roman"/>
        </w:rPr>
        <w:t>;</w:t>
      </w:r>
      <w:r w:rsidRPr="00C52515">
        <w:rPr>
          <w:rFonts w:ascii="Times New Roman" w:eastAsiaTheme="minorHAnsi" w:hAnsi="Times New Roman"/>
        </w:rPr>
        <w:t xml:space="preserve"> 2017. 284</w:t>
      </w:r>
      <w:r w:rsidR="00A10DBD" w:rsidRPr="00C52515">
        <w:rPr>
          <w:rFonts w:ascii="Times New Roman" w:eastAsiaTheme="minorHAnsi" w:hAnsi="Times New Roman"/>
        </w:rPr>
        <w:t xml:space="preserve"> </w:t>
      </w:r>
      <w:r w:rsidR="0045388D" w:rsidRPr="00C52515">
        <w:rPr>
          <w:rFonts w:ascii="Times New Roman" w:eastAsiaTheme="minorHAnsi" w:hAnsi="Times New Roman"/>
        </w:rPr>
        <w:t>с.</w:t>
      </w:r>
    </w:p>
    <w:p w14:paraId="6B1B189A" w14:textId="12F2F349" w:rsidR="005A5862" w:rsidRPr="00C52515" w:rsidRDefault="0018199D"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rPr>
        <w:t xml:space="preserve">Сергеев А. А. </w:t>
      </w:r>
      <w:r w:rsidRPr="00C52515">
        <w:rPr>
          <w:rFonts w:ascii="Times New Roman" w:eastAsiaTheme="minorHAnsi" w:hAnsi="Times New Roman"/>
          <w:i/>
        </w:rPr>
        <w:t>Экономическая безопасность предприятия: учебник и практикум дл</w:t>
      </w:r>
      <w:r w:rsidR="00492A05" w:rsidRPr="00C52515">
        <w:rPr>
          <w:rFonts w:ascii="Times New Roman" w:eastAsiaTheme="minorHAnsi" w:hAnsi="Times New Roman"/>
          <w:i/>
        </w:rPr>
        <w:t>я ву</w:t>
      </w:r>
      <w:r w:rsidRPr="00C52515">
        <w:rPr>
          <w:rFonts w:ascii="Times New Roman" w:eastAsiaTheme="minorHAnsi" w:hAnsi="Times New Roman"/>
          <w:i/>
        </w:rPr>
        <w:t>зов. Москва</w:t>
      </w:r>
      <w:r w:rsidRPr="00C52515">
        <w:rPr>
          <w:rFonts w:ascii="Times New Roman" w:eastAsiaTheme="minorHAnsi" w:hAnsi="Times New Roman"/>
        </w:rPr>
        <w:t xml:space="preserve">: </w:t>
      </w:r>
      <w:r w:rsidR="00E438B5" w:rsidRPr="00C52515">
        <w:rPr>
          <w:rFonts w:ascii="Times New Roman" w:eastAsiaTheme="minorHAnsi" w:hAnsi="Times New Roman"/>
        </w:rPr>
        <w:t xml:space="preserve">Изд-во </w:t>
      </w:r>
      <w:proofErr w:type="spellStart"/>
      <w:r w:rsidRPr="00C52515">
        <w:rPr>
          <w:rFonts w:ascii="Times New Roman" w:eastAsiaTheme="minorHAnsi" w:hAnsi="Times New Roman"/>
        </w:rPr>
        <w:t>Юрайт</w:t>
      </w:r>
      <w:proofErr w:type="spellEnd"/>
      <w:r w:rsidR="0045388D" w:rsidRPr="00C52515">
        <w:rPr>
          <w:rFonts w:ascii="Times New Roman" w:eastAsiaTheme="minorHAnsi" w:hAnsi="Times New Roman"/>
        </w:rPr>
        <w:t>;</w:t>
      </w:r>
      <w:r w:rsidRPr="00C52515">
        <w:rPr>
          <w:rFonts w:ascii="Times New Roman" w:eastAsiaTheme="minorHAnsi" w:hAnsi="Times New Roman"/>
        </w:rPr>
        <w:t xml:space="preserve"> 2019. 273</w:t>
      </w:r>
      <w:r w:rsidR="00A10DBD" w:rsidRPr="00C52515">
        <w:rPr>
          <w:rFonts w:ascii="Times New Roman" w:eastAsiaTheme="minorHAnsi" w:hAnsi="Times New Roman"/>
        </w:rPr>
        <w:t xml:space="preserve"> </w:t>
      </w:r>
      <w:r w:rsidR="0045388D" w:rsidRPr="00C52515">
        <w:rPr>
          <w:rFonts w:ascii="Times New Roman" w:eastAsiaTheme="minorHAnsi" w:hAnsi="Times New Roman"/>
        </w:rPr>
        <w:t>с.</w:t>
      </w:r>
    </w:p>
    <w:p w14:paraId="212EA1EB" w14:textId="4ED5BE30" w:rsidR="00A10DBD" w:rsidRPr="00C52515" w:rsidRDefault="00DE7F19"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rPr>
        <w:t xml:space="preserve">Меркушева М.В. </w:t>
      </w:r>
      <w:proofErr w:type="spellStart"/>
      <w:r w:rsidRPr="00C52515">
        <w:rPr>
          <w:rFonts w:ascii="Times New Roman" w:eastAsiaTheme="minorHAnsi" w:hAnsi="Times New Roman"/>
        </w:rPr>
        <w:t>Товстоноженко</w:t>
      </w:r>
      <w:proofErr w:type="spellEnd"/>
      <w:r w:rsidRPr="00C52515">
        <w:rPr>
          <w:rFonts w:ascii="Times New Roman" w:eastAsiaTheme="minorHAnsi" w:hAnsi="Times New Roman"/>
        </w:rPr>
        <w:t xml:space="preserve"> Н.А. Теоретические основы экономической безопасности предприятия. </w:t>
      </w:r>
      <w:r w:rsidRPr="00C52515">
        <w:rPr>
          <w:rFonts w:ascii="Times New Roman" w:eastAsiaTheme="minorHAnsi" w:hAnsi="Times New Roman"/>
          <w:i/>
        </w:rPr>
        <w:t>Международный журнал гуманитарных и естественных наук</w:t>
      </w:r>
      <w:r w:rsidRPr="00C52515">
        <w:rPr>
          <w:rFonts w:ascii="Times New Roman" w:eastAsiaTheme="minorHAnsi" w:hAnsi="Times New Roman"/>
        </w:rPr>
        <w:t>. 2017</w:t>
      </w:r>
      <w:r w:rsidR="00A10DBD" w:rsidRPr="00C52515">
        <w:rPr>
          <w:rFonts w:ascii="Times New Roman" w:eastAsiaTheme="minorHAnsi" w:hAnsi="Times New Roman"/>
        </w:rPr>
        <w:t>; (10):</w:t>
      </w:r>
      <w:r w:rsidR="00A10DBD" w:rsidRPr="00C52515">
        <w:rPr>
          <w:rFonts w:ascii="Times New Roman" w:hAnsi="Times New Roman"/>
          <w:shd w:val="clear" w:color="auto" w:fill="FFFFFF"/>
        </w:rPr>
        <w:t>163-165</w:t>
      </w:r>
      <w:r w:rsidRPr="00C52515">
        <w:rPr>
          <w:rFonts w:ascii="Times New Roman" w:eastAsiaTheme="minorHAnsi" w:hAnsi="Times New Roman"/>
        </w:rPr>
        <w:t xml:space="preserve">. </w:t>
      </w:r>
      <w:hyperlink r:id="rId9" w:history="1">
        <w:r w:rsidR="00A10DBD" w:rsidRPr="00C52515">
          <w:rPr>
            <w:rStyle w:val="ad"/>
            <w:rFonts w:ascii="Times New Roman" w:eastAsiaTheme="minorHAnsi" w:hAnsi="Times New Roman"/>
            <w:color w:val="auto"/>
            <w:u w:val="none"/>
            <w:lang w:val="en-US"/>
          </w:rPr>
          <w:t>http</w:t>
        </w:r>
        <w:r w:rsidR="00A10DBD" w:rsidRPr="00C52515">
          <w:rPr>
            <w:rStyle w:val="ad"/>
            <w:rFonts w:ascii="Times New Roman" w:eastAsiaTheme="minorHAnsi" w:hAnsi="Times New Roman"/>
            <w:color w:val="auto"/>
            <w:u w:val="none"/>
          </w:rPr>
          <w:t>://</w:t>
        </w:r>
        <w:proofErr w:type="spellStart"/>
        <w:r w:rsidR="00A10DBD" w:rsidRPr="00C52515">
          <w:rPr>
            <w:rStyle w:val="ad"/>
            <w:rFonts w:ascii="Times New Roman" w:eastAsiaTheme="minorHAnsi" w:hAnsi="Times New Roman"/>
            <w:color w:val="auto"/>
            <w:u w:val="none"/>
            <w:lang w:val="en-US"/>
          </w:rPr>
          <w:t>intjournal</w:t>
        </w:r>
        <w:proofErr w:type="spellEnd"/>
        <w:r w:rsidR="00A10DBD" w:rsidRPr="00C52515">
          <w:rPr>
            <w:rStyle w:val="ad"/>
            <w:rFonts w:ascii="Times New Roman" w:eastAsiaTheme="minorHAnsi" w:hAnsi="Times New Roman"/>
            <w:color w:val="auto"/>
            <w:u w:val="none"/>
          </w:rPr>
          <w:t>.</w:t>
        </w:r>
        <w:proofErr w:type="spellStart"/>
        <w:r w:rsidR="00A10DBD" w:rsidRPr="00C52515">
          <w:rPr>
            <w:rStyle w:val="ad"/>
            <w:rFonts w:ascii="Times New Roman" w:eastAsiaTheme="minorHAnsi" w:hAnsi="Times New Roman"/>
            <w:color w:val="auto"/>
            <w:u w:val="none"/>
            <w:lang w:val="en-US"/>
          </w:rPr>
          <w:t>ru</w:t>
        </w:r>
        <w:proofErr w:type="spellEnd"/>
        <w:r w:rsidR="00A10DBD" w:rsidRPr="00C52515">
          <w:rPr>
            <w:rStyle w:val="ad"/>
            <w:rFonts w:ascii="Times New Roman" w:eastAsiaTheme="minorHAnsi" w:hAnsi="Times New Roman"/>
            <w:color w:val="auto"/>
            <w:u w:val="none"/>
          </w:rPr>
          <w:t>/</w:t>
        </w:r>
        <w:proofErr w:type="spellStart"/>
        <w:r w:rsidR="00A10DBD" w:rsidRPr="00C52515">
          <w:rPr>
            <w:rStyle w:val="ad"/>
            <w:rFonts w:ascii="Times New Roman" w:eastAsiaTheme="minorHAnsi" w:hAnsi="Times New Roman"/>
            <w:color w:val="auto"/>
            <w:u w:val="none"/>
            <w:lang w:val="en-US"/>
          </w:rPr>
          <w:t>teoreticheskie</w:t>
        </w:r>
        <w:proofErr w:type="spellEnd"/>
        <w:r w:rsidR="00A10DBD" w:rsidRPr="00C52515">
          <w:rPr>
            <w:rStyle w:val="ad"/>
            <w:rFonts w:ascii="Times New Roman" w:eastAsiaTheme="minorHAnsi" w:hAnsi="Times New Roman"/>
            <w:color w:val="auto"/>
            <w:u w:val="none"/>
          </w:rPr>
          <w:t>-</w:t>
        </w:r>
        <w:proofErr w:type="spellStart"/>
        <w:r w:rsidR="00A10DBD" w:rsidRPr="00C52515">
          <w:rPr>
            <w:rStyle w:val="ad"/>
            <w:rFonts w:ascii="Times New Roman" w:eastAsiaTheme="minorHAnsi" w:hAnsi="Times New Roman"/>
            <w:color w:val="auto"/>
            <w:u w:val="none"/>
            <w:lang w:val="en-US"/>
          </w:rPr>
          <w:t>osnovy</w:t>
        </w:r>
        <w:proofErr w:type="spellEnd"/>
        <w:r w:rsidR="00A10DBD" w:rsidRPr="00C52515">
          <w:rPr>
            <w:rStyle w:val="ad"/>
            <w:rFonts w:ascii="Times New Roman" w:eastAsiaTheme="minorHAnsi" w:hAnsi="Times New Roman"/>
            <w:color w:val="auto"/>
            <w:u w:val="none"/>
          </w:rPr>
          <w:t>-</w:t>
        </w:r>
        <w:proofErr w:type="spellStart"/>
        <w:r w:rsidR="00A10DBD" w:rsidRPr="00C52515">
          <w:rPr>
            <w:rStyle w:val="ad"/>
            <w:rFonts w:ascii="Times New Roman" w:eastAsiaTheme="minorHAnsi" w:hAnsi="Times New Roman"/>
            <w:color w:val="auto"/>
            <w:u w:val="none"/>
            <w:lang w:val="en-US"/>
          </w:rPr>
          <w:t>ekonomicheskoj</w:t>
        </w:r>
        <w:proofErr w:type="spellEnd"/>
        <w:r w:rsidR="00A10DBD" w:rsidRPr="00C52515">
          <w:rPr>
            <w:rStyle w:val="ad"/>
            <w:rFonts w:ascii="Times New Roman" w:eastAsiaTheme="minorHAnsi" w:hAnsi="Times New Roman"/>
            <w:color w:val="auto"/>
            <w:u w:val="none"/>
          </w:rPr>
          <w:t>-</w:t>
        </w:r>
        <w:proofErr w:type="spellStart"/>
        <w:r w:rsidR="00A10DBD" w:rsidRPr="00C52515">
          <w:rPr>
            <w:rStyle w:val="ad"/>
            <w:rFonts w:ascii="Times New Roman" w:eastAsiaTheme="minorHAnsi" w:hAnsi="Times New Roman"/>
            <w:color w:val="auto"/>
            <w:u w:val="none"/>
            <w:lang w:val="en-US"/>
          </w:rPr>
          <w:t>bezopasnosti</w:t>
        </w:r>
        <w:proofErr w:type="spellEnd"/>
        <w:r w:rsidR="00A10DBD" w:rsidRPr="00C52515">
          <w:rPr>
            <w:rStyle w:val="ad"/>
            <w:rFonts w:ascii="Times New Roman" w:eastAsiaTheme="minorHAnsi" w:hAnsi="Times New Roman"/>
            <w:color w:val="auto"/>
            <w:u w:val="none"/>
          </w:rPr>
          <w:t>-</w:t>
        </w:r>
        <w:proofErr w:type="spellStart"/>
        <w:r w:rsidR="00A10DBD" w:rsidRPr="00C52515">
          <w:rPr>
            <w:rStyle w:val="ad"/>
            <w:rFonts w:ascii="Times New Roman" w:eastAsiaTheme="minorHAnsi" w:hAnsi="Times New Roman"/>
            <w:color w:val="auto"/>
            <w:u w:val="none"/>
            <w:lang w:val="en-US"/>
          </w:rPr>
          <w:t>predpriyatiya</w:t>
        </w:r>
        <w:proofErr w:type="spellEnd"/>
        <w:r w:rsidR="00A10DBD" w:rsidRPr="00C52515">
          <w:rPr>
            <w:rStyle w:val="ad"/>
            <w:rFonts w:ascii="Times New Roman" w:eastAsiaTheme="minorHAnsi" w:hAnsi="Times New Roman"/>
            <w:color w:val="auto"/>
            <w:u w:val="none"/>
          </w:rPr>
          <w:t>/</w:t>
        </w:r>
      </w:hyperlink>
      <w:r w:rsidR="00A10DBD" w:rsidRPr="00C52515">
        <w:rPr>
          <w:rFonts w:ascii="Times New Roman" w:eastAsiaTheme="minorHAnsi" w:hAnsi="Times New Roman"/>
        </w:rPr>
        <w:t xml:space="preserve"> </w:t>
      </w:r>
    </w:p>
    <w:p w14:paraId="52D0E70E" w14:textId="530F2563" w:rsidR="005A5862" w:rsidRPr="00C52515" w:rsidRDefault="00DE7F19"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rPr>
        <w:t xml:space="preserve">Гончаренко Л.П. </w:t>
      </w:r>
      <w:r w:rsidRPr="00C52515">
        <w:rPr>
          <w:rFonts w:ascii="Times New Roman" w:eastAsiaTheme="minorHAnsi" w:hAnsi="Times New Roman"/>
          <w:i/>
        </w:rPr>
        <w:t>Экономическая безопасность: учебник для вузов. Москва</w:t>
      </w:r>
      <w:r w:rsidRPr="00C52515">
        <w:rPr>
          <w:rFonts w:ascii="Times New Roman" w:eastAsiaTheme="minorHAnsi" w:hAnsi="Times New Roman"/>
        </w:rPr>
        <w:t xml:space="preserve">: </w:t>
      </w:r>
      <w:r w:rsidR="00A10DBD" w:rsidRPr="00C52515">
        <w:rPr>
          <w:rFonts w:ascii="Times New Roman" w:eastAsiaTheme="minorHAnsi" w:hAnsi="Times New Roman"/>
        </w:rPr>
        <w:t xml:space="preserve">Изд-во </w:t>
      </w:r>
      <w:proofErr w:type="spellStart"/>
      <w:r w:rsidRPr="00C52515">
        <w:rPr>
          <w:rFonts w:ascii="Times New Roman" w:eastAsiaTheme="minorHAnsi" w:hAnsi="Times New Roman"/>
        </w:rPr>
        <w:t>Юрайт</w:t>
      </w:r>
      <w:proofErr w:type="spellEnd"/>
      <w:r w:rsidRPr="00C52515">
        <w:rPr>
          <w:rFonts w:ascii="Times New Roman" w:eastAsiaTheme="minorHAnsi" w:hAnsi="Times New Roman"/>
        </w:rPr>
        <w:t>, 2017. 478</w:t>
      </w:r>
      <w:r w:rsidR="00A10DBD" w:rsidRPr="00C52515">
        <w:rPr>
          <w:rFonts w:ascii="Times New Roman" w:eastAsiaTheme="minorHAnsi" w:hAnsi="Times New Roman"/>
        </w:rPr>
        <w:t xml:space="preserve"> с.</w:t>
      </w:r>
    </w:p>
    <w:p w14:paraId="5E9D5AC0" w14:textId="2B66366E" w:rsidR="005A5862" w:rsidRPr="00C52515" w:rsidRDefault="005A5862"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rPr>
        <w:t>Пугач А.А., Бубновская Т.В. Обеспечение экономической безопасности в условиях управления дебиторской и кредиторской задолженностью</w:t>
      </w:r>
      <w:r w:rsidR="00DE7F19" w:rsidRPr="00C52515">
        <w:rPr>
          <w:rFonts w:ascii="Times New Roman" w:eastAsiaTheme="minorHAnsi" w:hAnsi="Times New Roman"/>
        </w:rPr>
        <w:t>.</w:t>
      </w:r>
      <w:r w:rsidRPr="00C52515">
        <w:rPr>
          <w:rFonts w:ascii="Times New Roman" w:eastAsiaTheme="minorHAnsi" w:hAnsi="Times New Roman"/>
        </w:rPr>
        <w:t xml:space="preserve"> </w:t>
      </w:r>
      <w:r w:rsidRPr="00C52515">
        <w:rPr>
          <w:rFonts w:ascii="Times New Roman" w:eastAsiaTheme="minorHAnsi" w:hAnsi="Times New Roman"/>
          <w:i/>
        </w:rPr>
        <w:t>Фундаментальные исследования</w:t>
      </w:r>
      <w:r w:rsidRPr="00C52515">
        <w:rPr>
          <w:rFonts w:ascii="Times New Roman" w:eastAsiaTheme="minorHAnsi" w:hAnsi="Times New Roman"/>
        </w:rPr>
        <w:t>. 2022</w:t>
      </w:r>
      <w:r w:rsidR="00A10DBD" w:rsidRPr="00C52515">
        <w:rPr>
          <w:rFonts w:ascii="Times New Roman" w:eastAsiaTheme="minorHAnsi" w:hAnsi="Times New Roman"/>
        </w:rPr>
        <w:t>; (</w:t>
      </w:r>
      <w:r w:rsidRPr="00C52515">
        <w:rPr>
          <w:rFonts w:ascii="Times New Roman" w:eastAsiaTheme="minorHAnsi" w:hAnsi="Times New Roman"/>
        </w:rPr>
        <w:t>4</w:t>
      </w:r>
      <w:r w:rsidR="00A10DBD" w:rsidRPr="00C52515">
        <w:rPr>
          <w:rFonts w:ascii="Times New Roman" w:eastAsiaTheme="minorHAnsi" w:hAnsi="Times New Roman"/>
        </w:rPr>
        <w:t>):</w:t>
      </w:r>
      <w:r w:rsidRPr="00C52515">
        <w:rPr>
          <w:rFonts w:ascii="Times New Roman" w:eastAsiaTheme="minorHAnsi" w:hAnsi="Times New Roman"/>
        </w:rPr>
        <w:t>58-63</w:t>
      </w:r>
      <w:r w:rsidR="00A10DBD" w:rsidRPr="00C52515">
        <w:rPr>
          <w:rFonts w:ascii="Times New Roman" w:eastAsiaTheme="minorHAnsi" w:hAnsi="Times New Roman"/>
        </w:rPr>
        <w:t>.</w:t>
      </w:r>
      <w:r w:rsidR="00DE7F19" w:rsidRPr="00C52515">
        <w:rPr>
          <w:rFonts w:ascii="Times New Roman" w:eastAsiaTheme="minorHAnsi" w:hAnsi="Times New Roman"/>
        </w:rPr>
        <w:t xml:space="preserve"> </w:t>
      </w:r>
      <w:r w:rsidR="00EE7361" w:rsidRPr="00C52515">
        <w:rPr>
          <w:rFonts w:ascii="Times New Roman" w:eastAsiaTheme="minorHAnsi" w:hAnsi="Times New Roman"/>
        </w:rPr>
        <w:t>https://doi.org/</w:t>
      </w:r>
      <w:r w:rsidR="00EE7361" w:rsidRPr="00C52515">
        <w:rPr>
          <w:rFonts w:ascii="Times New Roman" w:hAnsi="Times New Roman"/>
          <w:shd w:val="clear" w:color="auto" w:fill="FFFFFF"/>
        </w:rPr>
        <w:t>10.17513/fr.43239</w:t>
      </w:r>
    </w:p>
    <w:p w14:paraId="0A618DCE" w14:textId="7727F573" w:rsidR="0018199D" w:rsidRPr="00C52515" w:rsidRDefault="0018199D" w:rsidP="0077359A">
      <w:pPr>
        <w:pStyle w:val="a3"/>
        <w:numPr>
          <w:ilvl w:val="0"/>
          <w:numId w:val="5"/>
        </w:numPr>
        <w:spacing w:after="0" w:line="240" w:lineRule="auto"/>
        <w:ind w:left="709" w:hanging="709"/>
        <w:jc w:val="both"/>
        <w:rPr>
          <w:rFonts w:ascii="Times New Roman" w:eastAsiaTheme="minorHAnsi" w:hAnsi="Times New Roman"/>
        </w:rPr>
      </w:pPr>
      <w:r w:rsidRPr="00C52515">
        <w:rPr>
          <w:rFonts w:ascii="Times New Roman" w:eastAsiaTheme="minorHAnsi" w:hAnsi="Times New Roman"/>
          <w:sz w:val="20"/>
        </w:rPr>
        <w:t>Самарина Н.С., Киселева Е.Д. Проблема недобросовестных контрагентов на предприятии</w:t>
      </w:r>
      <w:r w:rsidR="003219A7" w:rsidRPr="00C52515">
        <w:rPr>
          <w:rFonts w:ascii="Times New Roman" w:eastAsiaTheme="minorHAnsi" w:hAnsi="Times New Roman"/>
          <w:sz w:val="20"/>
        </w:rPr>
        <w:t>.</w:t>
      </w:r>
      <w:r w:rsidRPr="00C52515">
        <w:rPr>
          <w:rFonts w:ascii="Times New Roman" w:eastAsiaTheme="minorHAnsi" w:hAnsi="Times New Roman"/>
          <w:sz w:val="20"/>
        </w:rPr>
        <w:t xml:space="preserve"> </w:t>
      </w:r>
      <w:r w:rsidRPr="00C52515">
        <w:rPr>
          <w:rFonts w:ascii="Times New Roman" w:eastAsiaTheme="minorHAnsi" w:hAnsi="Times New Roman"/>
          <w:i/>
          <w:sz w:val="20"/>
        </w:rPr>
        <w:t>Актуальные вопросы современной экономики</w:t>
      </w:r>
      <w:r w:rsidRPr="00C52515">
        <w:rPr>
          <w:rFonts w:ascii="Times New Roman" w:eastAsiaTheme="minorHAnsi" w:hAnsi="Times New Roman"/>
          <w:sz w:val="20"/>
        </w:rPr>
        <w:t>. 2021</w:t>
      </w:r>
      <w:r w:rsidR="00EE7361" w:rsidRPr="00C52515">
        <w:rPr>
          <w:rFonts w:ascii="Times New Roman" w:eastAsiaTheme="minorHAnsi" w:hAnsi="Times New Roman"/>
          <w:sz w:val="20"/>
        </w:rPr>
        <w:t>;(</w:t>
      </w:r>
      <w:r w:rsidRPr="00C52515">
        <w:rPr>
          <w:rFonts w:ascii="Times New Roman" w:eastAsiaTheme="minorHAnsi" w:hAnsi="Times New Roman"/>
          <w:sz w:val="20"/>
        </w:rPr>
        <w:t>7</w:t>
      </w:r>
      <w:r w:rsidR="00EE7361" w:rsidRPr="00C52515">
        <w:rPr>
          <w:rFonts w:ascii="Times New Roman" w:eastAsiaTheme="minorHAnsi" w:hAnsi="Times New Roman"/>
          <w:sz w:val="20"/>
        </w:rPr>
        <w:t>):</w:t>
      </w:r>
      <w:r w:rsidRPr="00C52515">
        <w:rPr>
          <w:rFonts w:ascii="Times New Roman" w:eastAsiaTheme="minorHAnsi" w:hAnsi="Times New Roman"/>
          <w:sz w:val="20"/>
        </w:rPr>
        <w:t>130 – 134.</w:t>
      </w:r>
      <w:r w:rsidR="003219A7" w:rsidRPr="00C52515">
        <w:rPr>
          <w:rFonts w:ascii="Times New Roman" w:eastAsiaTheme="minorHAnsi" w:hAnsi="Times New Roman"/>
          <w:sz w:val="20"/>
        </w:rPr>
        <w:t xml:space="preserve"> </w:t>
      </w:r>
      <w:hyperlink r:id="rId10" w:history="1">
        <w:r w:rsidR="00EE7361" w:rsidRPr="00C52515">
          <w:rPr>
            <w:rStyle w:val="ad"/>
            <w:rFonts w:ascii="Times New Roman" w:eastAsiaTheme="minorHAnsi" w:hAnsi="Times New Roman"/>
            <w:color w:val="auto"/>
            <w:sz w:val="20"/>
            <w:u w:val="none"/>
          </w:rPr>
          <w:t>https://www.xn--80ae9b7b.xn--p1ai/</w:t>
        </w:r>
        <w:proofErr w:type="spellStart"/>
        <w:r w:rsidR="00EE7361" w:rsidRPr="00C52515">
          <w:rPr>
            <w:rStyle w:val="ad"/>
            <w:rFonts w:ascii="Times New Roman" w:eastAsiaTheme="minorHAnsi" w:hAnsi="Times New Roman"/>
            <w:color w:val="auto"/>
            <w:sz w:val="20"/>
            <w:u w:val="none"/>
          </w:rPr>
          <w:t>MetaData</w:t>
        </w:r>
        <w:proofErr w:type="spellEnd"/>
        <w:r w:rsidR="00EE7361" w:rsidRPr="00C52515">
          <w:rPr>
            <w:rStyle w:val="ad"/>
            <w:rFonts w:ascii="Times New Roman" w:eastAsiaTheme="minorHAnsi" w:hAnsi="Times New Roman"/>
            <w:color w:val="auto"/>
            <w:sz w:val="20"/>
            <w:u w:val="none"/>
          </w:rPr>
          <w:t>#</w:t>
        </w:r>
      </w:hyperlink>
      <w:r w:rsidR="00EE7361" w:rsidRPr="00C52515">
        <w:rPr>
          <w:rStyle w:val="ad"/>
          <w:rFonts w:ascii="Times New Roman" w:eastAsiaTheme="minorHAnsi" w:hAnsi="Times New Roman"/>
          <w:color w:val="auto"/>
          <w:sz w:val="20"/>
          <w:u w:val="none"/>
        </w:rPr>
        <w:t xml:space="preserve"> (дата обращения 21.06.2022).</w:t>
      </w:r>
    </w:p>
    <w:p w14:paraId="159B7AD6" w14:textId="0ECA70CD" w:rsidR="003219A7" w:rsidRPr="00C52515" w:rsidRDefault="003219A7" w:rsidP="0077359A">
      <w:pPr>
        <w:pStyle w:val="a3"/>
        <w:numPr>
          <w:ilvl w:val="0"/>
          <w:numId w:val="5"/>
        </w:numPr>
        <w:spacing w:after="0" w:line="240" w:lineRule="auto"/>
        <w:ind w:left="709" w:hanging="709"/>
        <w:jc w:val="both"/>
        <w:rPr>
          <w:rFonts w:ascii="Times New Roman" w:eastAsiaTheme="minorHAnsi" w:hAnsi="Times New Roman"/>
        </w:rPr>
      </w:pPr>
      <w:proofErr w:type="spellStart"/>
      <w:r w:rsidRPr="00C52515">
        <w:rPr>
          <w:rFonts w:ascii="Times New Roman" w:eastAsiaTheme="minorHAnsi" w:hAnsi="Times New Roman"/>
        </w:rPr>
        <w:t>Гуреева</w:t>
      </w:r>
      <w:proofErr w:type="spellEnd"/>
      <w:r w:rsidRPr="00C52515">
        <w:rPr>
          <w:rFonts w:ascii="Times New Roman" w:eastAsiaTheme="minorHAnsi" w:hAnsi="Times New Roman"/>
        </w:rPr>
        <w:t xml:space="preserve"> М.А. Угрозы экономической безопасности предприятия в условиях цифровой экономики. </w:t>
      </w:r>
      <w:r w:rsidRPr="00C52515">
        <w:rPr>
          <w:rFonts w:ascii="Times New Roman" w:eastAsiaTheme="minorHAnsi" w:hAnsi="Times New Roman"/>
          <w:i/>
        </w:rPr>
        <w:t>Экономические системы</w:t>
      </w:r>
      <w:r w:rsidRPr="00C52515">
        <w:rPr>
          <w:rFonts w:ascii="Times New Roman" w:eastAsiaTheme="minorHAnsi" w:hAnsi="Times New Roman"/>
        </w:rPr>
        <w:t>. 2018;11(3):70–79.</w:t>
      </w:r>
      <w:r w:rsidR="008F575C" w:rsidRPr="00C52515">
        <w:rPr>
          <w:rFonts w:ascii="Times New Roman" w:eastAsiaTheme="minorHAnsi" w:hAnsi="Times New Roman"/>
        </w:rPr>
        <w:t xml:space="preserve"> https://doi.org/</w:t>
      </w:r>
      <w:r w:rsidR="008F575C" w:rsidRPr="00C52515">
        <w:t xml:space="preserve"> </w:t>
      </w:r>
      <w:r w:rsidR="008F575C" w:rsidRPr="00C52515">
        <w:rPr>
          <w:rFonts w:ascii="Times New Roman" w:eastAsiaTheme="minorHAnsi" w:hAnsi="Times New Roman"/>
        </w:rPr>
        <w:t>10.29030/2309-2076-2018-11-3-70-79</w:t>
      </w:r>
    </w:p>
    <w:p w14:paraId="29983CBA" w14:textId="77777777" w:rsidR="00DE3860" w:rsidRPr="00C52515" w:rsidRDefault="00DE3860" w:rsidP="00613377">
      <w:pPr>
        <w:tabs>
          <w:tab w:val="left" w:pos="3195"/>
        </w:tabs>
        <w:suppressAutoHyphens/>
        <w:spacing w:after="0" w:line="240" w:lineRule="auto"/>
        <w:ind w:left="709" w:hanging="709"/>
        <w:jc w:val="center"/>
        <w:rPr>
          <w:rFonts w:ascii="Times New Roman" w:eastAsiaTheme="minorHAnsi" w:hAnsi="Times New Roman"/>
          <w:i/>
        </w:rPr>
      </w:pPr>
    </w:p>
    <w:p w14:paraId="5F814376" w14:textId="71D9BBA7" w:rsidR="00613377" w:rsidRPr="00C52515" w:rsidRDefault="00613377" w:rsidP="00613377">
      <w:pPr>
        <w:spacing w:after="0" w:line="360" w:lineRule="auto"/>
        <w:ind w:firstLine="709"/>
        <w:jc w:val="center"/>
        <w:rPr>
          <w:rFonts w:ascii="Times New Roman" w:hAnsi="Times New Roman"/>
          <w:b/>
          <w:szCs w:val="24"/>
        </w:rPr>
      </w:pPr>
      <w:proofErr w:type="spellStart"/>
      <w:r w:rsidRPr="00C52515">
        <w:rPr>
          <w:rFonts w:ascii="Times New Roman" w:hAnsi="Times New Roman"/>
          <w:b/>
          <w:szCs w:val="24"/>
        </w:rPr>
        <w:t>References</w:t>
      </w:r>
      <w:proofErr w:type="spellEnd"/>
    </w:p>
    <w:p w14:paraId="7D05EACB" w14:textId="4B4A2CBE" w:rsidR="00613377" w:rsidRPr="00C52515" w:rsidRDefault="00BE12A8" w:rsidP="00C52515">
      <w:pPr>
        <w:pStyle w:val="a3"/>
        <w:numPr>
          <w:ilvl w:val="0"/>
          <w:numId w:val="7"/>
        </w:numPr>
        <w:spacing w:after="0" w:line="240" w:lineRule="auto"/>
        <w:ind w:hanging="720"/>
        <w:jc w:val="both"/>
        <w:rPr>
          <w:rFonts w:ascii="Times New Roman" w:hAnsi="Times New Roman"/>
          <w:szCs w:val="24"/>
          <w:lang w:val="en-US"/>
        </w:rPr>
      </w:pPr>
      <w:r w:rsidRPr="00C52515">
        <w:rPr>
          <w:rFonts w:ascii="Times New Roman" w:hAnsi="Times New Roman"/>
          <w:szCs w:val="24"/>
          <w:lang w:val="en-US"/>
        </w:rPr>
        <w:t xml:space="preserve">Azarenka A.N. Improving the management of accounts receivable and accounts payable of the enterprise. In: </w:t>
      </w:r>
      <w:r w:rsidRPr="00C52515">
        <w:rPr>
          <w:rFonts w:ascii="Times New Roman" w:hAnsi="Times New Roman"/>
          <w:i/>
          <w:szCs w:val="24"/>
          <w:lang w:val="en-US"/>
        </w:rPr>
        <w:t>The Future of Science - 2019: Proceedings of the 7th International Youth Scientific Conference, Kursk, April 25-26, 2019</w:t>
      </w:r>
      <w:r w:rsidRPr="00C52515">
        <w:rPr>
          <w:rFonts w:ascii="Times New Roman" w:hAnsi="Times New Roman"/>
          <w:szCs w:val="24"/>
          <w:lang w:val="en-US"/>
        </w:rPr>
        <w:t xml:space="preserve"> Kursk: Southwestern State University; 2019. </w:t>
      </w:r>
      <w:r w:rsidR="00FC31F1" w:rsidRPr="00C52515">
        <w:rPr>
          <w:rFonts w:ascii="Times New Roman" w:hAnsi="Times New Roman"/>
          <w:szCs w:val="24"/>
          <w:lang w:val="en-US"/>
        </w:rPr>
        <w:t>P</w:t>
      </w:r>
      <w:r w:rsidRPr="00C52515">
        <w:rPr>
          <w:rFonts w:ascii="Times New Roman" w:hAnsi="Times New Roman"/>
          <w:szCs w:val="24"/>
          <w:lang w:val="en-US"/>
        </w:rPr>
        <w:t>. 14-17.</w:t>
      </w:r>
      <w:r w:rsidR="00613377" w:rsidRPr="00C52515">
        <w:rPr>
          <w:rFonts w:ascii="Times New Roman" w:hAnsi="Times New Roman"/>
          <w:szCs w:val="24"/>
          <w:lang w:val="en-US"/>
        </w:rPr>
        <w:t xml:space="preserve"> https://www.elibrary.ru/download/elibrary_38094625_41340920.pdf</w:t>
      </w:r>
    </w:p>
    <w:p w14:paraId="670D6149" w14:textId="608F6259" w:rsidR="00613377" w:rsidRPr="00C52515" w:rsidRDefault="00FC31F1" w:rsidP="00C52515">
      <w:pPr>
        <w:pStyle w:val="a3"/>
        <w:numPr>
          <w:ilvl w:val="0"/>
          <w:numId w:val="7"/>
        </w:numPr>
        <w:spacing w:after="0" w:line="240" w:lineRule="auto"/>
        <w:ind w:hanging="720"/>
        <w:jc w:val="both"/>
        <w:rPr>
          <w:rFonts w:ascii="Times New Roman" w:hAnsi="Times New Roman"/>
          <w:szCs w:val="24"/>
          <w:lang w:val="en-US"/>
        </w:rPr>
      </w:pPr>
      <w:r w:rsidRPr="00C52515">
        <w:rPr>
          <w:rFonts w:ascii="Times New Roman" w:hAnsi="Times New Roman"/>
          <w:szCs w:val="24"/>
          <w:lang w:val="en-US"/>
        </w:rPr>
        <w:t>LLC "RAEKS - Analytics".</w:t>
      </w:r>
      <w:r w:rsidRPr="00C52515">
        <w:rPr>
          <w:rFonts w:ascii="Times New Roman" w:hAnsi="Times New Roman"/>
          <w:i/>
          <w:szCs w:val="24"/>
          <w:lang w:val="en-US"/>
        </w:rPr>
        <w:t xml:space="preserve"> Rating of leasing companies by portfolio</w:t>
      </w:r>
      <w:r w:rsidRPr="00C52515">
        <w:rPr>
          <w:rFonts w:ascii="Times New Roman" w:hAnsi="Times New Roman"/>
          <w:szCs w:val="24"/>
          <w:lang w:val="en-US"/>
        </w:rPr>
        <w:t xml:space="preserve"> </w:t>
      </w:r>
      <w:hyperlink r:id="rId11" w:history="1">
        <w:r w:rsidRPr="00C52515">
          <w:rPr>
            <w:rStyle w:val="ad"/>
            <w:rFonts w:ascii="Times New Roman" w:hAnsi="Times New Roman"/>
            <w:color w:val="auto"/>
            <w:szCs w:val="24"/>
            <w:u w:val="none"/>
            <w:lang w:val="en-US"/>
          </w:rPr>
          <w:t>https://raex-rr.com/business/leasing/rating_of_leasing_companies_by_portfolio</w:t>
        </w:r>
      </w:hyperlink>
      <w:r w:rsidRPr="00C52515">
        <w:rPr>
          <w:rFonts w:ascii="Times New Roman" w:hAnsi="Times New Roman"/>
          <w:szCs w:val="24"/>
          <w:lang w:val="en-US"/>
        </w:rPr>
        <w:t xml:space="preserve"> (accessed 30.06.2022).</w:t>
      </w:r>
    </w:p>
    <w:p w14:paraId="075A0AF5" w14:textId="2244DE25" w:rsidR="00613377" w:rsidRPr="00C52515" w:rsidRDefault="00FC31F1" w:rsidP="00C52515">
      <w:pPr>
        <w:pStyle w:val="a3"/>
        <w:numPr>
          <w:ilvl w:val="0"/>
          <w:numId w:val="7"/>
        </w:numPr>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Kreinina</w:t>
      </w:r>
      <w:proofErr w:type="spellEnd"/>
      <w:r w:rsidRPr="00C52515">
        <w:rPr>
          <w:rFonts w:ascii="Times New Roman" w:hAnsi="Times New Roman"/>
          <w:szCs w:val="24"/>
          <w:lang w:val="en-US"/>
        </w:rPr>
        <w:t xml:space="preserve"> M.N. Management of receivables and accounts payable of the enterprise. Financial management. 2018; (3): 49-58. https://www.finman.ru/annotations/2001/3/ (</w:t>
      </w:r>
      <w:r w:rsidR="00C154A6" w:rsidRPr="00C52515">
        <w:rPr>
          <w:rFonts w:ascii="Times New Roman" w:hAnsi="Times New Roman"/>
          <w:szCs w:val="24"/>
          <w:lang w:val="en-US"/>
        </w:rPr>
        <w:t>a</w:t>
      </w:r>
      <w:r w:rsidRPr="00C52515">
        <w:rPr>
          <w:rFonts w:ascii="Times New Roman" w:hAnsi="Times New Roman"/>
          <w:szCs w:val="24"/>
          <w:lang w:val="en-US"/>
        </w:rPr>
        <w:t>ccessed 28.06.2022).</w:t>
      </w:r>
    </w:p>
    <w:p w14:paraId="24631FE3" w14:textId="212E1ECA" w:rsidR="00613377" w:rsidRPr="00C52515" w:rsidRDefault="00C154A6" w:rsidP="00C52515">
      <w:pPr>
        <w:pStyle w:val="a3"/>
        <w:numPr>
          <w:ilvl w:val="0"/>
          <w:numId w:val="7"/>
        </w:numPr>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Terent'eva</w:t>
      </w:r>
      <w:proofErr w:type="spellEnd"/>
      <w:r w:rsidRPr="00C52515">
        <w:rPr>
          <w:rFonts w:ascii="Times New Roman" w:hAnsi="Times New Roman"/>
          <w:szCs w:val="24"/>
          <w:lang w:val="en-US"/>
        </w:rPr>
        <w:t xml:space="preserve"> T.V., </w:t>
      </w:r>
      <w:proofErr w:type="spellStart"/>
      <w:r w:rsidRPr="00C52515">
        <w:rPr>
          <w:rFonts w:ascii="Times New Roman" w:hAnsi="Times New Roman"/>
          <w:szCs w:val="24"/>
          <w:lang w:val="en-US"/>
        </w:rPr>
        <w:t>Tarasova</w:t>
      </w:r>
      <w:proofErr w:type="spellEnd"/>
      <w:r w:rsidRPr="00C52515">
        <w:rPr>
          <w:rFonts w:ascii="Times New Roman" w:hAnsi="Times New Roman"/>
          <w:szCs w:val="24"/>
          <w:lang w:val="en-US"/>
        </w:rPr>
        <w:t xml:space="preserve"> </w:t>
      </w:r>
      <w:proofErr w:type="spellStart"/>
      <w:r w:rsidRPr="00C52515">
        <w:rPr>
          <w:rFonts w:ascii="Times New Roman" w:hAnsi="Times New Roman"/>
          <w:szCs w:val="24"/>
          <w:lang w:val="en-US"/>
        </w:rPr>
        <w:t>E.Yu</w:t>
      </w:r>
      <w:proofErr w:type="spellEnd"/>
      <w:r w:rsidRPr="00C52515">
        <w:rPr>
          <w:rFonts w:ascii="Times New Roman" w:hAnsi="Times New Roman"/>
          <w:szCs w:val="24"/>
          <w:lang w:val="en-US"/>
        </w:rPr>
        <w:t xml:space="preserve">., </w:t>
      </w:r>
      <w:proofErr w:type="spellStart"/>
      <w:r w:rsidRPr="00C52515">
        <w:rPr>
          <w:rFonts w:ascii="Times New Roman" w:hAnsi="Times New Roman"/>
          <w:szCs w:val="24"/>
          <w:lang w:val="en-US"/>
        </w:rPr>
        <w:t>Malysheva</w:t>
      </w:r>
      <w:proofErr w:type="spellEnd"/>
      <w:r w:rsidRPr="00C52515">
        <w:rPr>
          <w:rFonts w:ascii="Times New Roman" w:hAnsi="Times New Roman"/>
          <w:szCs w:val="24"/>
          <w:lang w:val="en-US"/>
        </w:rPr>
        <w:t xml:space="preserve"> V.V</w:t>
      </w:r>
      <w:r w:rsidRPr="00C52515">
        <w:rPr>
          <w:rFonts w:ascii="Times New Roman" w:hAnsi="Times New Roman"/>
          <w:i/>
          <w:szCs w:val="24"/>
          <w:lang w:val="en-US"/>
        </w:rPr>
        <w:t>. Accounting: in two modules a study guide.</w:t>
      </w:r>
      <w:r w:rsidRPr="00C52515">
        <w:rPr>
          <w:rFonts w:ascii="Times New Roman" w:hAnsi="Times New Roman"/>
          <w:szCs w:val="24"/>
          <w:lang w:val="en-US"/>
        </w:rPr>
        <w:t xml:space="preserve"> Vladivostok: VGUES Publ. House; 2017. (In Russian).</w:t>
      </w:r>
    </w:p>
    <w:p w14:paraId="09CB1ADD" w14:textId="06ACADBE" w:rsidR="00613377" w:rsidRPr="00C52515" w:rsidRDefault="00C154A6" w:rsidP="00C52515">
      <w:pPr>
        <w:pStyle w:val="a3"/>
        <w:numPr>
          <w:ilvl w:val="0"/>
          <w:numId w:val="7"/>
        </w:numPr>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Sergeev</w:t>
      </w:r>
      <w:proofErr w:type="spellEnd"/>
      <w:r w:rsidRPr="00C52515">
        <w:rPr>
          <w:rFonts w:ascii="Times New Roman" w:hAnsi="Times New Roman"/>
          <w:szCs w:val="24"/>
          <w:lang w:val="en-US"/>
        </w:rPr>
        <w:t xml:space="preserve"> A. A. </w:t>
      </w:r>
      <w:r w:rsidRPr="00C52515">
        <w:rPr>
          <w:rFonts w:ascii="Times New Roman" w:hAnsi="Times New Roman"/>
          <w:i/>
          <w:szCs w:val="24"/>
          <w:lang w:val="en-US"/>
        </w:rPr>
        <w:t>Economic security of the enterprise: textbook and workshop for universities</w:t>
      </w:r>
      <w:r w:rsidRPr="00C52515">
        <w:rPr>
          <w:rFonts w:ascii="Times New Roman" w:hAnsi="Times New Roman"/>
          <w:szCs w:val="24"/>
          <w:lang w:val="en-US"/>
        </w:rPr>
        <w:t xml:space="preserve">. Moscow: </w:t>
      </w:r>
      <w:proofErr w:type="spellStart"/>
      <w:r w:rsidRPr="00C52515">
        <w:rPr>
          <w:rFonts w:ascii="Times New Roman" w:hAnsi="Times New Roman"/>
          <w:szCs w:val="24"/>
          <w:lang w:val="en-US"/>
        </w:rPr>
        <w:t>Yurayt</w:t>
      </w:r>
      <w:proofErr w:type="spellEnd"/>
      <w:r w:rsidRPr="00C52515">
        <w:rPr>
          <w:rFonts w:ascii="Times New Roman" w:hAnsi="Times New Roman"/>
          <w:szCs w:val="24"/>
          <w:lang w:val="en-US"/>
        </w:rPr>
        <w:t xml:space="preserve"> Publ. House, 2019. (In Russian).</w:t>
      </w:r>
    </w:p>
    <w:p w14:paraId="4FD24A21" w14:textId="65C19803" w:rsidR="00613377" w:rsidRPr="00C52515" w:rsidRDefault="00C154A6" w:rsidP="00C52515">
      <w:pPr>
        <w:pStyle w:val="a3"/>
        <w:numPr>
          <w:ilvl w:val="0"/>
          <w:numId w:val="7"/>
        </w:numPr>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Merkusheva</w:t>
      </w:r>
      <w:proofErr w:type="spellEnd"/>
      <w:r w:rsidRPr="00C52515">
        <w:rPr>
          <w:rFonts w:ascii="Times New Roman" w:hAnsi="Times New Roman"/>
          <w:szCs w:val="24"/>
          <w:lang w:val="en-US"/>
        </w:rPr>
        <w:t xml:space="preserve"> M.V. </w:t>
      </w:r>
      <w:proofErr w:type="spellStart"/>
      <w:r w:rsidRPr="00C52515">
        <w:rPr>
          <w:rFonts w:ascii="Times New Roman" w:hAnsi="Times New Roman"/>
          <w:szCs w:val="24"/>
          <w:lang w:val="en-US"/>
        </w:rPr>
        <w:t>Tovstonozhenko</w:t>
      </w:r>
      <w:proofErr w:type="spellEnd"/>
      <w:r w:rsidRPr="00C52515">
        <w:rPr>
          <w:rFonts w:ascii="Times New Roman" w:hAnsi="Times New Roman"/>
          <w:szCs w:val="24"/>
          <w:lang w:val="en-US"/>
        </w:rPr>
        <w:t xml:space="preserve"> N.A. Theoretical foundations of the economic security of the enterprise. </w:t>
      </w:r>
      <w:r w:rsidRPr="00C52515">
        <w:rPr>
          <w:rFonts w:ascii="Times New Roman" w:hAnsi="Times New Roman"/>
          <w:i/>
          <w:szCs w:val="24"/>
          <w:lang w:val="en-US"/>
        </w:rPr>
        <w:t>International Journal of the Humanities and Natural Sciences</w:t>
      </w:r>
      <w:r w:rsidRPr="00C52515">
        <w:rPr>
          <w:rFonts w:ascii="Times New Roman" w:hAnsi="Times New Roman"/>
          <w:szCs w:val="24"/>
          <w:lang w:val="en-US"/>
        </w:rPr>
        <w:t>. 2017; (10):163-165. http://intjournal.ru/teoreticheskie-osnovy-ekonomicheskoj-bezopasnosti-predpriyatiya/</w:t>
      </w:r>
    </w:p>
    <w:p w14:paraId="5172B685" w14:textId="04FDE3E5" w:rsidR="00613377" w:rsidRPr="00C52515" w:rsidRDefault="00C154A6" w:rsidP="00C52515">
      <w:pPr>
        <w:pStyle w:val="a3"/>
        <w:numPr>
          <w:ilvl w:val="0"/>
          <w:numId w:val="7"/>
        </w:numPr>
        <w:suppressAutoHyphens/>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Goncharenko</w:t>
      </w:r>
      <w:proofErr w:type="spellEnd"/>
      <w:r w:rsidRPr="00C52515">
        <w:rPr>
          <w:rFonts w:ascii="Times New Roman" w:hAnsi="Times New Roman"/>
          <w:szCs w:val="24"/>
          <w:lang w:val="en-US"/>
        </w:rPr>
        <w:t xml:space="preserve"> L.P. </w:t>
      </w:r>
      <w:r w:rsidRPr="00C52515">
        <w:rPr>
          <w:rFonts w:ascii="Times New Roman" w:hAnsi="Times New Roman"/>
          <w:i/>
          <w:szCs w:val="24"/>
          <w:lang w:val="en-US"/>
        </w:rPr>
        <w:t>Economic security: a textbook for universities.</w:t>
      </w:r>
      <w:r w:rsidRPr="00C52515">
        <w:rPr>
          <w:rFonts w:ascii="Times New Roman" w:hAnsi="Times New Roman"/>
          <w:szCs w:val="24"/>
          <w:lang w:val="en-US"/>
        </w:rPr>
        <w:t xml:space="preserve"> Moscow: </w:t>
      </w:r>
      <w:proofErr w:type="spellStart"/>
      <w:r w:rsidRPr="00C52515">
        <w:rPr>
          <w:rFonts w:ascii="Times New Roman" w:hAnsi="Times New Roman"/>
          <w:szCs w:val="24"/>
          <w:lang w:val="en-US"/>
        </w:rPr>
        <w:t>Yurait</w:t>
      </w:r>
      <w:proofErr w:type="spellEnd"/>
      <w:r w:rsidRPr="00C52515">
        <w:rPr>
          <w:rFonts w:ascii="Times New Roman" w:hAnsi="Times New Roman"/>
          <w:szCs w:val="24"/>
          <w:lang w:val="en-US"/>
        </w:rPr>
        <w:t xml:space="preserve"> Publ. House, 2017. (In Russian).</w:t>
      </w:r>
    </w:p>
    <w:p w14:paraId="38D0E0B0" w14:textId="29D83A0C" w:rsidR="00613377" w:rsidRPr="00C52515" w:rsidRDefault="0077359A" w:rsidP="00C52515">
      <w:pPr>
        <w:pStyle w:val="a3"/>
        <w:numPr>
          <w:ilvl w:val="0"/>
          <w:numId w:val="7"/>
        </w:numPr>
        <w:suppressAutoHyphens/>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Pugach</w:t>
      </w:r>
      <w:proofErr w:type="spellEnd"/>
      <w:r w:rsidRPr="00C52515">
        <w:rPr>
          <w:rFonts w:ascii="Times New Roman" w:hAnsi="Times New Roman"/>
          <w:szCs w:val="24"/>
          <w:lang w:val="en-US"/>
        </w:rPr>
        <w:t xml:space="preserve"> A.A., </w:t>
      </w:r>
      <w:proofErr w:type="spellStart"/>
      <w:r w:rsidRPr="00C52515">
        <w:rPr>
          <w:rFonts w:ascii="Times New Roman" w:hAnsi="Times New Roman"/>
          <w:szCs w:val="24"/>
          <w:lang w:val="en-US"/>
        </w:rPr>
        <w:t>Bubnovskaya</w:t>
      </w:r>
      <w:proofErr w:type="spellEnd"/>
      <w:r w:rsidRPr="00C52515">
        <w:rPr>
          <w:rFonts w:ascii="Times New Roman" w:hAnsi="Times New Roman"/>
          <w:szCs w:val="24"/>
          <w:lang w:val="en-US"/>
        </w:rPr>
        <w:t xml:space="preserve"> T.V. Ensuring economic security in the conditions of managing accounts receivable and payable. </w:t>
      </w:r>
      <w:r w:rsidRPr="00C52515">
        <w:rPr>
          <w:rFonts w:ascii="Times New Roman" w:hAnsi="Times New Roman"/>
          <w:i/>
          <w:szCs w:val="24"/>
          <w:lang w:val="en-US"/>
        </w:rPr>
        <w:t>Basic research</w:t>
      </w:r>
      <w:r w:rsidRPr="00C52515">
        <w:rPr>
          <w:rFonts w:ascii="Times New Roman" w:hAnsi="Times New Roman"/>
          <w:szCs w:val="24"/>
          <w:lang w:val="en-US"/>
        </w:rPr>
        <w:t>. 2022; (4):58-63. https://doi.org/10.17513/fr.43239</w:t>
      </w:r>
    </w:p>
    <w:p w14:paraId="404887A5" w14:textId="34EECD94" w:rsidR="00613377" w:rsidRPr="00C52515" w:rsidRDefault="0077359A" w:rsidP="00C52515">
      <w:pPr>
        <w:pStyle w:val="a3"/>
        <w:numPr>
          <w:ilvl w:val="0"/>
          <w:numId w:val="7"/>
        </w:numPr>
        <w:suppressAutoHyphens/>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Samarina</w:t>
      </w:r>
      <w:proofErr w:type="spellEnd"/>
      <w:r w:rsidRPr="00C52515">
        <w:rPr>
          <w:rFonts w:ascii="Times New Roman" w:hAnsi="Times New Roman"/>
          <w:szCs w:val="24"/>
          <w:lang w:val="en-US"/>
        </w:rPr>
        <w:t xml:space="preserve"> N.S., </w:t>
      </w:r>
      <w:proofErr w:type="spellStart"/>
      <w:r w:rsidRPr="00C52515">
        <w:rPr>
          <w:rFonts w:ascii="Times New Roman" w:hAnsi="Times New Roman"/>
          <w:szCs w:val="24"/>
          <w:lang w:val="en-US"/>
        </w:rPr>
        <w:t>Kiseleva</w:t>
      </w:r>
      <w:proofErr w:type="spellEnd"/>
      <w:r w:rsidRPr="00C52515">
        <w:rPr>
          <w:rFonts w:ascii="Times New Roman" w:hAnsi="Times New Roman"/>
          <w:szCs w:val="24"/>
          <w:lang w:val="en-US"/>
        </w:rPr>
        <w:t xml:space="preserve"> E.D. The problem of unscrupulous contractors in the enterprise. Topical issues of modern economics. 2021;(7):130 – 134. https://www.xn--80ae9b7b.xn--p1ai/</w:t>
      </w:r>
      <w:proofErr w:type="spellStart"/>
      <w:r w:rsidRPr="00C52515">
        <w:rPr>
          <w:rFonts w:ascii="Times New Roman" w:hAnsi="Times New Roman"/>
          <w:szCs w:val="24"/>
          <w:lang w:val="en-US"/>
        </w:rPr>
        <w:t>MetaData</w:t>
      </w:r>
      <w:proofErr w:type="spellEnd"/>
      <w:r w:rsidRPr="00C52515">
        <w:rPr>
          <w:rFonts w:ascii="Times New Roman" w:hAnsi="Times New Roman"/>
          <w:szCs w:val="24"/>
          <w:lang w:val="en-US"/>
        </w:rPr>
        <w:t># (accessed 21.06.2022).</w:t>
      </w:r>
    </w:p>
    <w:p w14:paraId="7764060F" w14:textId="1EE0B1E3" w:rsidR="00510E2A" w:rsidRPr="00C52515" w:rsidRDefault="0077359A" w:rsidP="00C52515">
      <w:pPr>
        <w:pStyle w:val="a3"/>
        <w:numPr>
          <w:ilvl w:val="0"/>
          <w:numId w:val="7"/>
        </w:numPr>
        <w:suppressAutoHyphens/>
        <w:spacing w:after="0" w:line="240" w:lineRule="auto"/>
        <w:ind w:hanging="720"/>
        <w:jc w:val="both"/>
        <w:rPr>
          <w:rFonts w:ascii="Times New Roman" w:hAnsi="Times New Roman"/>
          <w:szCs w:val="24"/>
          <w:lang w:val="en-US"/>
        </w:rPr>
      </w:pPr>
      <w:proofErr w:type="spellStart"/>
      <w:r w:rsidRPr="00C52515">
        <w:rPr>
          <w:rFonts w:ascii="Times New Roman" w:hAnsi="Times New Roman"/>
          <w:szCs w:val="24"/>
          <w:lang w:val="en-US"/>
        </w:rPr>
        <w:t>Gureeva</w:t>
      </w:r>
      <w:proofErr w:type="spellEnd"/>
      <w:r w:rsidRPr="00C52515">
        <w:rPr>
          <w:rFonts w:ascii="Times New Roman" w:hAnsi="Times New Roman"/>
          <w:szCs w:val="24"/>
          <w:lang w:val="en-US"/>
        </w:rPr>
        <w:t xml:space="preserve"> M.A. Threats to the economic security of an enterprise in a digital economy</w:t>
      </w:r>
      <w:r w:rsidRPr="00C52515">
        <w:rPr>
          <w:rFonts w:ascii="Times New Roman" w:hAnsi="Times New Roman"/>
          <w:i/>
          <w:szCs w:val="24"/>
          <w:lang w:val="en-US"/>
        </w:rPr>
        <w:t>. Economic systems</w:t>
      </w:r>
      <w:r w:rsidRPr="00C52515">
        <w:rPr>
          <w:rFonts w:ascii="Times New Roman" w:hAnsi="Times New Roman"/>
          <w:szCs w:val="24"/>
          <w:lang w:val="en-US"/>
        </w:rPr>
        <w:t>. 2018;11(3):70–79. https://doi.org/ 10.29030/2309-2076-2018-11-3-70-79</w:t>
      </w:r>
    </w:p>
    <w:sectPr w:rsidR="00510E2A" w:rsidRPr="00C52515" w:rsidSect="003C6FB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D67612"/>
    <w:multiLevelType w:val="hybridMultilevel"/>
    <w:tmpl w:val="4F98F028"/>
    <w:lvl w:ilvl="0" w:tplc="C4127B3E">
      <w:start w:val="1"/>
      <w:numFmt w:val="decimal"/>
      <w:lvlText w:val="%1)"/>
      <w:lvlJc w:val="left"/>
      <w:pPr>
        <w:ind w:left="720" w:hanging="36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40E1493A"/>
    <w:multiLevelType w:val="hybridMultilevel"/>
    <w:tmpl w:val="1A5ED6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03C5673"/>
    <w:multiLevelType w:val="hybridMultilevel"/>
    <w:tmpl w:val="C3067A68"/>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768B7864"/>
    <w:multiLevelType w:val="hybridMultilevel"/>
    <w:tmpl w:val="B7C468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78C0559"/>
    <w:multiLevelType w:val="hybridMultilevel"/>
    <w:tmpl w:val="37CE59F2"/>
    <w:lvl w:ilvl="0" w:tplc="8788DC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77A24F81"/>
    <w:multiLevelType w:val="hybridMultilevel"/>
    <w:tmpl w:val="FEC207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0"/>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146"/>
    <w:rsid w:val="000155BF"/>
    <w:rsid w:val="000A0828"/>
    <w:rsid w:val="000B79CD"/>
    <w:rsid w:val="000E3078"/>
    <w:rsid w:val="000E5474"/>
    <w:rsid w:val="00133F5A"/>
    <w:rsid w:val="0013699C"/>
    <w:rsid w:val="0018199D"/>
    <w:rsid w:val="00182860"/>
    <w:rsid w:val="00197390"/>
    <w:rsid w:val="001A272B"/>
    <w:rsid w:val="001D190E"/>
    <w:rsid w:val="00293083"/>
    <w:rsid w:val="002938BB"/>
    <w:rsid w:val="00293EE6"/>
    <w:rsid w:val="002958F2"/>
    <w:rsid w:val="002A48F2"/>
    <w:rsid w:val="002B71B3"/>
    <w:rsid w:val="002F0B9A"/>
    <w:rsid w:val="002F6B5D"/>
    <w:rsid w:val="003219A7"/>
    <w:rsid w:val="003B37D6"/>
    <w:rsid w:val="003B6D38"/>
    <w:rsid w:val="003C6FBE"/>
    <w:rsid w:val="0043727D"/>
    <w:rsid w:val="0045388D"/>
    <w:rsid w:val="00492A05"/>
    <w:rsid w:val="004D3315"/>
    <w:rsid w:val="00510E2A"/>
    <w:rsid w:val="0056612B"/>
    <w:rsid w:val="005A5862"/>
    <w:rsid w:val="005E0BD0"/>
    <w:rsid w:val="00600051"/>
    <w:rsid w:val="006062EF"/>
    <w:rsid w:val="0061109D"/>
    <w:rsid w:val="00613377"/>
    <w:rsid w:val="00653B68"/>
    <w:rsid w:val="00670501"/>
    <w:rsid w:val="00680868"/>
    <w:rsid w:val="00740B92"/>
    <w:rsid w:val="0077359A"/>
    <w:rsid w:val="00862146"/>
    <w:rsid w:val="008973E6"/>
    <w:rsid w:val="008D4BE5"/>
    <w:rsid w:val="008F575C"/>
    <w:rsid w:val="00964E8D"/>
    <w:rsid w:val="00980121"/>
    <w:rsid w:val="009B5312"/>
    <w:rsid w:val="009D68C8"/>
    <w:rsid w:val="00A10DBD"/>
    <w:rsid w:val="00A24BBF"/>
    <w:rsid w:val="00A2502B"/>
    <w:rsid w:val="00A724D2"/>
    <w:rsid w:val="00A80354"/>
    <w:rsid w:val="00A83670"/>
    <w:rsid w:val="00A87DCC"/>
    <w:rsid w:val="00B741CD"/>
    <w:rsid w:val="00BA220A"/>
    <w:rsid w:val="00BE12A8"/>
    <w:rsid w:val="00C154A6"/>
    <w:rsid w:val="00C52515"/>
    <w:rsid w:val="00CA3422"/>
    <w:rsid w:val="00D51EA6"/>
    <w:rsid w:val="00D5773B"/>
    <w:rsid w:val="00DB4BFC"/>
    <w:rsid w:val="00DE3860"/>
    <w:rsid w:val="00DE7F19"/>
    <w:rsid w:val="00E001F3"/>
    <w:rsid w:val="00E438B5"/>
    <w:rsid w:val="00E470BC"/>
    <w:rsid w:val="00EB1BF7"/>
    <w:rsid w:val="00EE7361"/>
    <w:rsid w:val="00F049C7"/>
    <w:rsid w:val="00F13A4E"/>
    <w:rsid w:val="00F478A0"/>
    <w:rsid w:val="00F53447"/>
    <w:rsid w:val="00F7211E"/>
    <w:rsid w:val="00F81D0B"/>
    <w:rsid w:val="00F846CA"/>
    <w:rsid w:val="00FA4989"/>
    <w:rsid w:val="00FC31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2830B"/>
  <w15:chartTrackingRefBased/>
  <w15:docId w15:val="{AB0DC91B-6CC1-4A63-9058-E6E42943A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38BB"/>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4">
    <w:name w:val="Сетка таблицы4"/>
    <w:basedOn w:val="a1"/>
    <w:uiPriority w:val="39"/>
    <w:rsid w:val="0056612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List Paragraph"/>
    <w:basedOn w:val="a"/>
    <w:uiPriority w:val="34"/>
    <w:qFormat/>
    <w:rsid w:val="00DE3860"/>
    <w:pPr>
      <w:ind w:left="720"/>
      <w:contextualSpacing/>
    </w:pPr>
  </w:style>
  <w:style w:type="character" w:styleId="a4">
    <w:name w:val="annotation reference"/>
    <w:basedOn w:val="a0"/>
    <w:uiPriority w:val="99"/>
    <w:semiHidden/>
    <w:unhideWhenUsed/>
    <w:rsid w:val="004D3315"/>
    <w:rPr>
      <w:sz w:val="16"/>
      <w:szCs w:val="16"/>
    </w:rPr>
  </w:style>
  <w:style w:type="paragraph" w:styleId="a5">
    <w:name w:val="annotation text"/>
    <w:basedOn w:val="a"/>
    <w:link w:val="a6"/>
    <w:uiPriority w:val="99"/>
    <w:semiHidden/>
    <w:unhideWhenUsed/>
    <w:rsid w:val="004D3315"/>
    <w:pPr>
      <w:spacing w:line="240" w:lineRule="auto"/>
    </w:pPr>
    <w:rPr>
      <w:sz w:val="20"/>
      <w:szCs w:val="20"/>
    </w:rPr>
  </w:style>
  <w:style w:type="character" w:customStyle="1" w:styleId="a6">
    <w:name w:val="Текст примечания Знак"/>
    <w:basedOn w:val="a0"/>
    <w:link w:val="a5"/>
    <w:uiPriority w:val="99"/>
    <w:semiHidden/>
    <w:rsid w:val="004D3315"/>
    <w:rPr>
      <w:rFonts w:ascii="Calibri" w:eastAsia="Calibri" w:hAnsi="Calibri" w:cs="Times New Roman"/>
      <w:sz w:val="20"/>
      <w:szCs w:val="20"/>
    </w:rPr>
  </w:style>
  <w:style w:type="paragraph" w:styleId="a7">
    <w:name w:val="annotation subject"/>
    <w:basedOn w:val="a5"/>
    <w:next w:val="a5"/>
    <w:link w:val="a8"/>
    <w:uiPriority w:val="99"/>
    <w:semiHidden/>
    <w:unhideWhenUsed/>
    <w:rsid w:val="004D3315"/>
    <w:rPr>
      <w:b/>
      <w:bCs/>
    </w:rPr>
  </w:style>
  <w:style w:type="character" w:customStyle="1" w:styleId="a8">
    <w:name w:val="Тема примечания Знак"/>
    <w:basedOn w:val="a6"/>
    <w:link w:val="a7"/>
    <w:uiPriority w:val="99"/>
    <w:semiHidden/>
    <w:rsid w:val="004D3315"/>
    <w:rPr>
      <w:rFonts w:ascii="Calibri" w:eastAsia="Calibri" w:hAnsi="Calibri" w:cs="Times New Roman"/>
      <w:b/>
      <w:bCs/>
      <w:sz w:val="20"/>
      <w:szCs w:val="20"/>
    </w:rPr>
  </w:style>
  <w:style w:type="paragraph" w:styleId="a9">
    <w:name w:val="Balloon Text"/>
    <w:basedOn w:val="a"/>
    <w:link w:val="aa"/>
    <w:uiPriority w:val="99"/>
    <w:semiHidden/>
    <w:unhideWhenUsed/>
    <w:rsid w:val="004D3315"/>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4D3315"/>
    <w:rPr>
      <w:rFonts w:ascii="Segoe UI" w:eastAsia="Calibri" w:hAnsi="Segoe UI" w:cs="Segoe UI"/>
      <w:sz w:val="18"/>
      <w:szCs w:val="18"/>
    </w:rPr>
  </w:style>
  <w:style w:type="character" w:styleId="ab">
    <w:name w:val="Strong"/>
    <w:basedOn w:val="a0"/>
    <w:uiPriority w:val="22"/>
    <w:qFormat/>
    <w:rsid w:val="008D4BE5"/>
    <w:rPr>
      <w:b/>
      <w:bCs/>
    </w:rPr>
  </w:style>
  <w:style w:type="table" w:styleId="ac">
    <w:name w:val="Table Grid"/>
    <w:basedOn w:val="a1"/>
    <w:uiPriority w:val="39"/>
    <w:rsid w:val="00F049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5A5862"/>
    <w:rPr>
      <w:color w:val="0563C1" w:themeColor="hyperlink"/>
      <w:u w:val="single"/>
    </w:rPr>
  </w:style>
  <w:style w:type="character" w:customStyle="1" w:styleId="UnresolvedMention">
    <w:name w:val="Unresolved Mention"/>
    <w:basedOn w:val="a0"/>
    <w:uiPriority w:val="99"/>
    <w:semiHidden/>
    <w:unhideWhenUsed/>
    <w:rsid w:val="005A5862"/>
    <w:rPr>
      <w:color w:val="605E5C"/>
      <w:shd w:val="clear" w:color="auto" w:fill="E1DFDD"/>
    </w:rPr>
  </w:style>
  <w:style w:type="character" w:styleId="ae">
    <w:name w:val="FollowedHyperlink"/>
    <w:basedOn w:val="a0"/>
    <w:uiPriority w:val="99"/>
    <w:semiHidden/>
    <w:unhideWhenUsed/>
    <w:rsid w:val="00A24BB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370798">
      <w:bodyDiv w:val="1"/>
      <w:marLeft w:val="0"/>
      <w:marRight w:val="0"/>
      <w:marTop w:val="0"/>
      <w:marBottom w:val="0"/>
      <w:divBdr>
        <w:top w:val="none" w:sz="0" w:space="0" w:color="auto"/>
        <w:left w:val="none" w:sz="0" w:space="0" w:color="auto"/>
        <w:bottom w:val="none" w:sz="0" w:space="0" w:color="auto"/>
        <w:right w:val="none" w:sz="0" w:space="0" w:color="auto"/>
      </w:divBdr>
    </w:div>
    <w:div w:id="353462729">
      <w:bodyDiv w:val="1"/>
      <w:marLeft w:val="0"/>
      <w:marRight w:val="0"/>
      <w:marTop w:val="0"/>
      <w:marBottom w:val="0"/>
      <w:divBdr>
        <w:top w:val="none" w:sz="0" w:space="0" w:color="auto"/>
        <w:left w:val="none" w:sz="0" w:space="0" w:color="auto"/>
        <w:bottom w:val="none" w:sz="0" w:space="0" w:color="auto"/>
        <w:right w:val="none" w:sz="0" w:space="0" w:color="auto"/>
      </w:divBdr>
    </w:div>
    <w:div w:id="526604118">
      <w:bodyDiv w:val="1"/>
      <w:marLeft w:val="0"/>
      <w:marRight w:val="0"/>
      <w:marTop w:val="0"/>
      <w:marBottom w:val="0"/>
      <w:divBdr>
        <w:top w:val="none" w:sz="0" w:space="0" w:color="auto"/>
        <w:left w:val="none" w:sz="0" w:space="0" w:color="auto"/>
        <w:bottom w:val="none" w:sz="0" w:space="0" w:color="auto"/>
        <w:right w:val="none" w:sz="0" w:space="0" w:color="auto"/>
      </w:divBdr>
    </w:div>
    <w:div w:id="682630309">
      <w:bodyDiv w:val="1"/>
      <w:marLeft w:val="0"/>
      <w:marRight w:val="0"/>
      <w:marTop w:val="0"/>
      <w:marBottom w:val="0"/>
      <w:divBdr>
        <w:top w:val="none" w:sz="0" w:space="0" w:color="auto"/>
        <w:left w:val="none" w:sz="0" w:space="0" w:color="auto"/>
        <w:bottom w:val="none" w:sz="0" w:space="0" w:color="auto"/>
        <w:right w:val="none" w:sz="0" w:space="0" w:color="auto"/>
      </w:divBdr>
    </w:div>
    <w:div w:id="725450267">
      <w:bodyDiv w:val="1"/>
      <w:marLeft w:val="0"/>
      <w:marRight w:val="0"/>
      <w:marTop w:val="0"/>
      <w:marBottom w:val="0"/>
      <w:divBdr>
        <w:top w:val="none" w:sz="0" w:space="0" w:color="auto"/>
        <w:left w:val="none" w:sz="0" w:space="0" w:color="auto"/>
        <w:bottom w:val="none" w:sz="0" w:space="0" w:color="auto"/>
        <w:right w:val="none" w:sz="0" w:space="0" w:color="auto"/>
      </w:divBdr>
    </w:div>
    <w:div w:id="965355149">
      <w:bodyDiv w:val="1"/>
      <w:marLeft w:val="0"/>
      <w:marRight w:val="0"/>
      <w:marTop w:val="0"/>
      <w:marBottom w:val="0"/>
      <w:divBdr>
        <w:top w:val="none" w:sz="0" w:space="0" w:color="auto"/>
        <w:left w:val="none" w:sz="0" w:space="0" w:color="auto"/>
        <w:bottom w:val="none" w:sz="0" w:space="0" w:color="auto"/>
        <w:right w:val="none" w:sz="0" w:space="0" w:color="auto"/>
      </w:divBdr>
    </w:div>
    <w:div w:id="978653370">
      <w:bodyDiv w:val="1"/>
      <w:marLeft w:val="0"/>
      <w:marRight w:val="0"/>
      <w:marTop w:val="0"/>
      <w:marBottom w:val="0"/>
      <w:divBdr>
        <w:top w:val="none" w:sz="0" w:space="0" w:color="auto"/>
        <w:left w:val="none" w:sz="0" w:space="0" w:color="auto"/>
        <w:bottom w:val="none" w:sz="0" w:space="0" w:color="auto"/>
        <w:right w:val="none" w:sz="0" w:space="0" w:color="auto"/>
      </w:divBdr>
    </w:div>
    <w:div w:id="1257638888">
      <w:bodyDiv w:val="1"/>
      <w:marLeft w:val="0"/>
      <w:marRight w:val="0"/>
      <w:marTop w:val="0"/>
      <w:marBottom w:val="0"/>
      <w:divBdr>
        <w:top w:val="none" w:sz="0" w:space="0" w:color="auto"/>
        <w:left w:val="none" w:sz="0" w:space="0" w:color="auto"/>
        <w:bottom w:val="none" w:sz="0" w:space="0" w:color="auto"/>
        <w:right w:val="none" w:sz="0" w:space="0" w:color="auto"/>
      </w:divBdr>
    </w:div>
    <w:div w:id="1340231430">
      <w:bodyDiv w:val="1"/>
      <w:marLeft w:val="0"/>
      <w:marRight w:val="0"/>
      <w:marTop w:val="0"/>
      <w:marBottom w:val="0"/>
      <w:divBdr>
        <w:top w:val="none" w:sz="0" w:space="0" w:color="auto"/>
        <w:left w:val="none" w:sz="0" w:space="0" w:color="auto"/>
        <w:bottom w:val="none" w:sz="0" w:space="0" w:color="auto"/>
        <w:right w:val="none" w:sz="0" w:space="0" w:color="auto"/>
      </w:divBdr>
    </w:div>
    <w:div w:id="1348600763">
      <w:bodyDiv w:val="1"/>
      <w:marLeft w:val="0"/>
      <w:marRight w:val="0"/>
      <w:marTop w:val="0"/>
      <w:marBottom w:val="0"/>
      <w:divBdr>
        <w:top w:val="none" w:sz="0" w:space="0" w:color="auto"/>
        <w:left w:val="none" w:sz="0" w:space="0" w:color="auto"/>
        <w:bottom w:val="none" w:sz="0" w:space="0" w:color="auto"/>
        <w:right w:val="none" w:sz="0" w:space="0" w:color="auto"/>
      </w:divBdr>
    </w:div>
    <w:div w:id="1782872642">
      <w:bodyDiv w:val="1"/>
      <w:marLeft w:val="0"/>
      <w:marRight w:val="0"/>
      <w:marTop w:val="0"/>
      <w:marBottom w:val="0"/>
      <w:divBdr>
        <w:top w:val="none" w:sz="0" w:space="0" w:color="auto"/>
        <w:left w:val="none" w:sz="0" w:space="0" w:color="auto"/>
        <w:bottom w:val="none" w:sz="0" w:space="0" w:color="auto"/>
        <w:right w:val="none" w:sz="0" w:space="0" w:color="auto"/>
      </w:divBdr>
    </w:div>
    <w:div w:id="1848858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nman.ru/annotations/2001/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raex-rr.com/business/leasing/rating_of_leasing_companies_by_portfolio"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elibrary.ru/download/elibrary_38094625_41340920.pdf" TargetMode="External"/><Relationship Id="rId11" Type="http://schemas.openxmlformats.org/officeDocument/2006/relationships/hyperlink" Target="https://raex-rr.com/business/leasing/rating_of_leasing_companies_by_portfolio" TargetMode="External"/><Relationship Id="rId5" Type="http://schemas.openxmlformats.org/officeDocument/2006/relationships/webSettings" Target="webSettings.xml"/><Relationship Id="rId10" Type="http://schemas.openxmlformats.org/officeDocument/2006/relationships/hyperlink" Target="https://www.xn--80ae9b7b.xn--p1ai/MetaData" TargetMode="External"/><Relationship Id="rId4" Type="http://schemas.openxmlformats.org/officeDocument/2006/relationships/settings" Target="settings.xml"/><Relationship Id="rId9" Type="http://schemas.openxmlformats.org/officeDocument/2006/relationships/hyperlink" Target="http://intjournal.ru/teoreticheskie-osnovy-ekonomicheskoj-bezopasnosti-predpriyati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883E6-6480-4AE1-B066-A8F396060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4470</Words>
  <Characters>25479</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Анастасия Пугач</dc:creator>
  <cp:keywords/>
  <dc:description/>
  <cp:lastModifiedBy>Бубновская Татьяна</cp:lastModifiedBy>
  <cp:revision>2</cp:revision>
  <dcterms:created xsi:type="dcterms:W3CDTF">2022-10-13T07:05:00Z</dcterms:created>
  <dcterms:modified xsi:type="dcterms:W3CDTF">2022-10-13T07:05:00Z</dcterms:modified>
</cp:coreProperties>
</file>