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09F" w:rsidRDefault="00CC40A0" w:rsidP="00643F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Рубрика: Бухгалтерский учёт, статистика</w:t>
      </w:r>
    </w:p>
    <w:p w:rsidR="00CC40A0" w:rsidRDefault="00CC40A0" w:rsidP="00643F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УДК 657.62</w:t>
      </w:r>
    </w:p>
    <w:p w:rsidR="00F058A6" w:rsidRDefault="00F058A6" w:rsidP="00643F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58A6" w:rsidRPr="00F058A6" w:rsidRDefault="00F058A6" w:rsidP="00643F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Оценка финансовой устойчивости и платёжеспособности организации на основе </w:t>
      </w:r>
      <w:r w:rsidR="00643F27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вертикального анализа бухгалтерского баланса на примере </w:t>
      </w:r>
      <w:r w:rsidR="00643F27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АО «ННК-Приморнефтепродукт»</w:t>
      </w:r>
    </w:p>
    <w:p w:rsidR="00F058A6" w:rsidRDefault="00F058A6" w:rsidP="00643F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BEB" w:rsidRDefault="00741BEB" w:rsidP="00643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Верхотурова Анастасия Алексеевна</w:t>
      </w:r>
    </w:p>
    <w:p w:rsidR="00741BEB" w:rsidRDefault="00741BEB" w:rsidP="00643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бакалавр 4 курса, институт заочного и дистанционного обучения, кафедра экономики</w:t>
      </w:r>
    </w:p>
    <w:p w:rsidR="00741BEB" w:rsidRDefault="00741BEB" w:rsidP="00643F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741BEB" w:rsidRPr="00741BEB" w:rsidRDefault="00741BEB" w:rsidP="00643F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Россия</w:t>
      </w:r>
      <w:r w:rsidR="00A80DB9" w:rsidRPr="00A80DB9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Владивосток</w:t>
      </w:r>
    </w:p>
    <w:p w:rsidR="00741BEB" w:rsidRPr="005F3ADA" w:rsidRDefault="00741BEB" w:rsidP="00643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F3ADA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F3AD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741BEB">
        <w:rPr>
          <w:rFonts w:ascii="Times New Roman" w:hAnsi="Times New Roman" w:cs="Times New Roman"/>
          <w:sz w:val="24"/>
          <w:szCs w:val="24"/>
          <w:lang w:val="en-US"/>
        </w:rPr>
        <w:t>SavinaAnastasya</w:t>
      </w:r>
      <w:r w:rsidRPr="005F3ADA">
        <w:rPr>
          <w:rFonts w:ascii="Times New Roman" w:hAnsi="Times New Roman" w:cs="Times New Roman"/>
          <w:sz w:val="24"/>
          <w:szCs w:val="24"/>
          <w:lang w:val="en-US"/>
        </w:rPr>
        <w:t>@</w:t>
      </w:r>
      <w:r w:rsidRPr="00741BEB">
        <w:rPr>
          <w:rFonts w:ascii="Times New Roman" w:hAnsi="Times New Roman" w:cs="Times New Roman"/>
          <w:sz w:val="24"/>
          <w:szCs w:val="24"/>
          <w:lang w:val="en-US"/>
        </w:rPr>
        <w:t>gmail</w:t>
      </w:r>
      <w:r w:rsidRPr="005F3AD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41BEB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5F3ADA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тел</w:t>
      </w:r>
      <w:r w:rsidRPr="005F3ADA">
        <w:rPr>
          <w:rFonts w:ascii="Times New Roman" w:hAnsi="Times New Roman" w:cs="Times New Roman"/>
          <w:sz w:val="24"/>
          <w:szCs w:val="24"/>
          <w:lang w:val="en-US"/>
        </w:rPr>
        <w:t>.: +79242614092</w:t>
      </w:r>
    </w:p>
    <w:p w:rsidR="00741BEB" w:rsidRPr="00741BEB" w:rsidRDefault="00741BEB" w:rsidP="00643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Гоголя, 41, г. Владивосток, Приморский край, Россия, 690014</w:t>
      </w:r>
    </w:p>
    <w:p w:rsidR="00741BEB" w:rsidRDefault="00741BEB" w:rsidP="00643F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F27" w:rsidRDefault="00643F27" w:rsidP="00643F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F27" w:rsidRDefault="00643F27" w:rsidP="00643F27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статье представлен вертикальный анализ аналитического бухгалтерского баланса организации, построенного по данным бухгалтерской (финансовой) отчётности. Дана качественная оценка положительных и отрицательных факторов, оказывающих влияние на формирование финансовой устойчивости и платёжеспособности предприятия.</w:t>
      </w:r>
    </w:p>
    <w:p w:rsidR="00643F27" w:rsidRDefault="00643F27" w:rsidP="00643F27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643F27" w:rsidRPr="00643F27" w:rsidRDefault="00643F27" w:rsidP="00643F27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Ключевые слова и словосочетания:</w:t>
      </w:r>
      <w:r>
        <w:rPr>
          <w:rFonts w:ascii="Times New Roman" w:hAnsi="Times New Roman" w:cs="Times New Roman"/>
          <w:i/>
          <w:sz w:val="24"/>
          <w:szCs w:val="24"/>
        </w:rPr>
        <w:t xml:space="preserve"> бухгалтерский баланс, аналитический баланс, вертикальный анализ, финансовая устойчивость, платёжеспособность.</w:t>
      </w:r>
    </w:p>
    <w:p w:rsidR="00643F27" w:rsidRDefault="00643F27" w:rsidP="00643F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1384" w:rsidRDefault="00390671" w:rsidP="004B36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906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Assessment of the financial stability and solvency of the organization </w:t>
      </w:r>
      <w:r w:rsidR="004B362E" w:rsidRPr="00390671">
        <w:rPr>
          <w:rFonts w:ascii="Times New Roman" w:hAnsi="Times New Roman" w:cs="Times New Roman"/>
          <w:b/>
          <w:sz w:val="24"/>
          <w:szCs w:val="24"/>
          <w:lang w:val="en-US"/>
        </w:rPr>
        <w:t>based on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90671">
        <w:rPr>
          <w:rFonts w:ascii="Times New Roman" w:hAnsi="Times New Roman" w:cs="Times New Roman"/>
          <w:b/>
          <w:sz w:val="24"/>
          <w:szCs w:val="24"/>
          <w:lang w:val="en-US"/>
        </w:rPr>
        <w:t>vertical analysis of the balance sheet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90671">
        <w:rPr>
          <w:rFonts w:ascii="Times New Roman" w:hAnsi="Times New Roman" w:cs="Times New Roman"/>
          <w:b/>
          <w:sz w:val="24"/>
          <w:szCs w:val="24"/>
          <w:lang w:val="en-US"/>
        </w:rPr>
        <w:t>by example</w:t>
      </w:r>
      <w:r w:rsidR="004B36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JSC </w:t>
      </w:r>
      <w:r w:rsidR="004B362E" w:rsidRPr="004B362E">
        <w:rPr>
          <w:rFonts w:ascii="Times New Roman" w:hAnsi="Times New Roman" w:cs="Times New Roman"/>
          <w:b/>
          <w:sz w:val="24"/>
          <w:szCs w:val="24"/>
          <w:lang w:val="en-US"/>
        </w:rPr>
        <w:t>«</w:t>
      </w:r>
      <w:r w:rsidR="004B362E">
        <w:rPr>
          <w:rFonts w:ascii="Times New Roman" w:hAnsi="Times New Roman" w:cs="Times New Roman"/>
          <w:b/>
          <w:sz w:val="24"/>
          <w:szCs w:val="24"/>
          <w:lang w:val="en-US"/>
        </w:rPr>
        <w:t>NNK-</w:t>
      </w:r>
      <w:proofErr w:type="spellStart"/>
      <w:r w:rsidR="004B362E">
        <w:rPr>
          <w:rFonts w:ascii="Times New Roman" w:hAnsi="Times New Roman" w:cs="Times New Roman"/>
          <w:b/>
          <w:sz w:val="24"/>
          <w:szCs w:val="24"/>
          <w:lang w:val="en-US"/>
        </w:rPr>
        <w:t>Primornefteprodukt</w:t>
      </w:r>
      <w:proofErr w:type="spellEnd"/>
      <w:r w:rsidR="004B362E" w:rsidRPr="004B362E">
        <w:rPr>
          <w:rFonts w:ascii="Times New Roman" w:hAnsi="Times New Roman" w:cs="Times New Roman"/>
          <w:b/>
          <w:sz w:val="24"/>
          <w:szCs w:val="24"/>
          <w:lang w:val="en-US"/>
        </w:rPr>
        <w:t>»</w:t>
      </w:r>
    </w:p>
    <w:p w:rsidR="004B362E" w:rsidRDefault="004B362E" w:rsidP="004B3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362E" w:rsidRDefault="004B362E" w:rsidP="004B3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Verkhoturova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Anastasyia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Alekseevna</w:t>
      </w:r>
      <w:proofErr w:type="spellEnd"/>
    </w:p>
    <w:p w:rsidR="004B362E" w:rsidRDefault="004B362E" w:rsidP="004B3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bachelor, 4</w:t>
      </w:r>
      <w:r w:rsidRPr="004B362E">
        <w:rPr>
          <w:rFonts w:ascii="Times New Roman" w:hAnsi="Times New Roman" w:cs="Times New Roman"/>
          <w:sz w:val="24"/>
          <w:szCs w:val="24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year</w:t>
      </w:r>
    </w:p>
    <w:p w:rsidR="004B362E" w:rsidRPr="00A80DB9" w:rsidRDefault="00A80DB9" w:rsidP="004B362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80DB9">
        <w:rPr>
          <w:rFonts w:ascii="Times New Roman" w:hAnsi="Times New Roman" w:cs="Times New Roman"/>
          <w:i/>
          <w:sz w:val="24"/>
          <w:szCs w:val="24"/>
          <w:lang w:val="en-US"/>
        </w:rPr>
        <w:t>Vladivostok State University of Economics and Service</w:t>
      </w:r>
    </w:p>
    <w:p w:rsidR="00A80DB9" w:rsidRPr="004B362E" w:rsidRDefault="00A80DB9" w:rsidP="004B3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80DB9">
        <w:rPr>
          <w:rFonts w:ascii="Times New Roman" w:hAnsi="Times New Roman" w:cs="Times New Roman"/>
          <w:i/>
          <w:sz w:val="24"/>
          <w:szCs w:val="24"/>
          <w:lang w:val="en-US"/>
        </w:rPr>
        <w:t>Russia. Vladivostok</w:t>
      </w:r>
    </w:p>
    <w:p w:rsidR="00390671" w:rsidRDefault="00390671" w:rsidP="00643F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80DB9" w:rsidRPr="00A80DB9" w:rsidRDefault="00A80DB9" w:rsidP="00643F2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80DB9">
        <w:rPr>
          <w:rFonts w:ascii="Times New Roman" w:hAnsi="Times New Roman" w:cs="Times New Roman"/>
          <w:i/>
          <w:sz w:val="24"/>
          <w:szCs w:val="24"/>
          <w:lang w:val="en-US"/>
        </w:rPr>
        <w:t>The article presents a vertical analysis of the organization's analytical balance sheet, built based on accounting (financial) statements. There is a qualitative assessment of the positive and negative factors that affect the formation of financial stability and solvency of the enterprise.</w:t>
      </w:r>
    </w:p>
    <w:p w:rsidR="00A80DB9" w:rsidRDefault="00A80DB9" w:rsidP="00643F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80DB9" w:rsidRPr="00A80DB9" w:rsidRDefault="00A80DB9" w:rsidP="00643F2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80DB9">
        <w:rPr>
          <w:rFonts w:ascii="Times New Roman" w:hAnsi="Times New Roman" w:cs="Times New Roman"/>
          <w:b/>
          <w:i/>
          <w:sz w:val="24"/>
          <w:szCs w:val="24"/>
          <w:lang w:val="en-US"/>
        </w:rPr>
        <w:t>Keywords:</w:t>
      </w:r>
      <w:r w:rsidRPr="00A80DB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balance sheet, analytical balance, vertical analysis, financial stability, solvency.</w:t>
      </w:r>
    </w:p>
    <w:p w:rsidR="00A80DB9" w:rsidRDefault="00A80DB9" w:rsidP="00643F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74103" w:rsidRDefault="005F3ADA" w:rsidP="00643F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ADA">
        <w:rPr>
          <w:rFonts w:ascii="Times New Roman" w:hAnsi="Times New Roman" w:cs="Times New Roman"/>
          <w:sz w:val="24"/>
          <w:szCs w:val="24"/>
        </w:rPr>
        <w:t>Современная российская экономика является открытой и рыночной, а это означает, что для успешного существования в ней коммерческая о</w:t>
      </w:r>
      <w:r>
        <w:rPr>
          <w:rFonts w:ascii="Times New Roman" w:hAnsi="Times New Roman" w:cs="Times New Roman"/>
          <w:sz w:val="24"/>
          <w:szCs w:val="24"/>
        </w:rPr>
        <w:t>рганизация должна быть привлека</w:t>
      </w:r>
      <w:r w:rsidRPr="005F3ADA">
        <w:rPr>
          <w:rFonts w:ascii="Times New Roman" w:hAnsi="Times New Roman" w:cs="Times New Roman"/>
          <w:sz w:val="24"/>
          <w:szCs w:val="24"/>
        </w:rPr>
        <w:t>тельной для внешних инвесторов. Привлечение капиталов невозможно без предоставления всем заинтересованным пользователям правдивой и п</w:t>
      </w:r>
      <w:r>
        <w:rPr>
          <w:rFonts w:ascii="Times New Roman" w:hAnsi="Times New Roman" w:cs="Times New Roman"/>
          <w:sz w:val="24"/>
          <w:szCs w:val="24"/>
        </w:rPr>
        <w:t>онятной информации об экономиче</w:t>
      </w:r>
      <w:r w:rsidRPr="005F3ADA">
        <w:rPr>
          <w:rFonts w:ascii="Times New Roman" w:hAnsi="Times New Roman" w:cs="Times New Roman"/>
          <w:sz w:val="24"/>
          <w:szCs w:val="24"/>
        </w:rPr>
        <w:t>ском субъекте, его текущем финансовом положении, динамике и перспективах финансово-хозяйственной деятельности. Такую информацию ежегодно аккумулирует бухгалтерская (финансовая) отчётность, наиболее ёмким элементом ко</w:t>
      </w:r>
      <w:r>
        <w:rPr>
          <w:rFonts w:ascii="Times New Roman" w:hAnsi="Times New Roman" w:cs="Times New Roman"/>
          <w:sz w:val="24"/>
          <w:szCs w:val="24"/>
        </w:rPr>
        <w:t>торой является бухгалтерский ба</w:t>
      </w:r>
      <w:r w:rsidRPr="005F3ADA">
        <w:rPr>
          <w:rFonts w:ascii="Times New Roman" w:hAnsi="Times New Roman" w:cs="Times New Roman"/>
          <w:sz w:val="24"/>
          <w:szCs w:val="24"/>
        </w:rPr>
        <w:t>ланс. Часть данных можно получить непосредственно из б</w:t>
      </w:r>
      <w:r>
        <w:rPr>
          <w:rFonts w:ascii="Times New Roman" w:hAnsi="Times New Roman" w:cs="Times New Roman"/>
          <w:sz w:val="24"/>
          <w:szCs w:val="24"/>
        </w:rPr>
        <w:t>аланса, не производя над ним ни</w:t>
      </w:r>
      <w:r w:rsidRPr="005F3ADA">
        <w:rPr>
          <w:rFonts w:ascii="Times New Roman" w:hAnsi="Times New Roman" w:cs="Times New Roman"/>
          <w:sz w:val="24"/>
          <w:szCs w:val="24"/>
        </w:rPr>
        <w:t>каких действий и расчётов, но намного больше полезной финансовой информации можно получить из его экономического анализа.</w:t>
      </w:r>
    </w:p>
    <w:p w:rsidR="00AE36A0" w:rsidRPr="00AE36A0" w:rsidRDefault="00AE36A0" w:rsidP="00AE36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6A0">
        <w:rPr>
          <w:rFonts w:ascii="Times New Roman" w:hAnsi="Times New Roman" w:cs="Times New Roman"/>
          <w:sz w:val="24"/>
          <w:szCs w:val="24"/>
        </w:rPr>
        <w:t xml:space="preserve">Вопросы горизонтального и вертикального анализа бухгалтерского баланса изучались </w:t>
      </w:r>
      <w:proofErr w:type="spellStart"/>
      <w:r w:rsidRPr="00AE36A0">
        <w:rPr>
          <w:rFonts w:ascii="Times New Roman" w:hAnsi="Times New Roman" w:cs="Times New Roman"/>
          <w:sz w:val="24"/>
          <w:szCs w:val="24"/>
        </w:rPr>
        <w:t>Адамайтис</w:t>
      </w:r>
      <w:proofErr w:type="spellEnd"/>
      <w:r w:rsidRPr="00AE36A0">
        <w:rPr>
          <w:rFonts w:ascii="Times New Roman" w:hAnsi="Times New Roman" w:cs="Times New Roman"/>
          <w:sz w:val="24"/>
          <w:szCs w:val="24"/>
        </w:rPr>
        <w:t xml:space="preserve"> Л.А., Вахрушиной М.А., </w:t>
      </w:r>
      <w:proofErr w:type="spellStart"/>
      <w:r w:rsidRPr="00AE36A0">
        <w:rPr>
          <w:rFonts w:ascii="Times New Roman" w:hAnsi="Times New Roman" w:cs="Times New Roman"/>
          <w:sz w:val="24"/>
          <w:szCs w:val="24"/>
        </w:rPr>
        <w:t>Илышевой</w:t>
      </w:r>
      <w:proofErr w:type="spellEnd"/>
      <w:r w:rsidRPr="00AE36A0">
        <w:rPr>
          <w:rFonts w:ascii="Times New Roman" w:hAnsi="Times New Roman" w:cs="Times New Roman"/>
          <w:sz w:val="24"/>
          <w:szCs w:val="24"/>
        </w:rPr>
        <w:t xml:space="preserve"> Н.Н., Крыловым С.И., Мелиховой Н.А., </w:t>
      </w:r>
      <w:proofErr w:type="spellStart"/>
      <w:r w:rsidRPr="00AE36A0">
        <w:rPr>
          <w:rFonts w:ascii="Times New Roman" w:hAnsi="Times New Roman" w:cs="Times New Roman"/>
          <w:sz w:val="24"/>
          <w:szCs w:val="24"/>
        </w:rPr>
        <w:t>Нега</w:t>
      </w:r>
      <w:r>
        <w:rPr>
          <w:rFonts w:ascii="Times New Roman" w:hAnsi="Times New Roman" w:cs="Times New Roman"/>
          <w:sz w:val="24"/>
          <w:szCs w:val="24"/>
        </w:rPr>
        <w:t>ш</w:t>
      </w:r>
      <w:r w:rsidRPr="00AE36A0">
        <w:rPr>
          <w:rFonts w:ascii="Times New Roman" w:hAnsi="Times New Roman" w:cs="Times New Roman"/>
          <w:sz w:val="24"/>
          <w:szCs w:val="24"/>
        </w:rPr>
        <w:t>евым</w:t>
      </w:r>
      <w:proofErr w:type="spellEnd"/>
      <w:r w:rsidRPr="00AE36A0">
        <w:rPr>
          <w:rFonts w:ascii="Times New Roman" w:hAnsi="Times New Roman" w:cs="Times New Roman"/>
          <w:sz w:val="24"/>
          <w:szCs w:val="24"/>
        </w:rPr>
        <w:t xml:space="preserve"> Е.В., </w:t>
      </w:r>
      <w:proofErr w:type="spellStart"/>
      <w:r w:rsidRPr="00AE36A0">
        <w:rPr>
          <w:rFonts w:ascii="Times New Roman" w:hAnsi="Times New Roman" w:cs="Times New Roman"/>
          <w:sz w:val="24"/>
          <w:szCs w:val="24"/>
        </w:rPr>
        <w:t>Шереметом</w:t>
      </w:r>
      <w:proofErr w:type="spellEnd"/>
      <w:r w:rsidRPr="00AE36A0">
        <w:rPr>
          <w:rFonts w:ascii="Times New Roman" w:hAnsi="Times New Roman" w:cs="Times New Roman"/>
          <w:sz w:val="24"/>
          <w:szCs w:val="24"/>
        </w:rPr>
        <w:t xml:space="preserve"> А.Д.</w:t>
      </w:r>
    </w:p>
    <w:p w:rsidR="00AE36A0" w:rsidRPr="00AE36A0" w:rsidRDefault="00AE36A0" w:rsidP="00AE36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6A0">
        <w:rPr>
          <w:rFonts w:ascii="Times New Roman" w:hAnsi="Times New Roman" w:cs="Times New Roman"/>
          <w:sz w:val="24"/>
          <w:szCs w:val="24"/>
        </w:rPr>
        <w:lastRenderedPageBreak/>
        <w:t xml:space="preserve">К примеру, </w:t>
      </w:r>
      <w:proofErr w:type="spellStart"/>
      <w:r w:rsidRPr="00AE36A0">
        <w:rPr>
          <w:rFonts w:ascii="Times New Roman" w:hAnsi="Times New Roman" w:cs="Times New Roman"/>
          <w:sz w:val="24"/>
          <w:szCs w:val="24"/>
        </w:rPr>
        <w:t>Негашев</w:t>
      </w:r>
      <w:proofErr w:type="spellEnd"/>
      <w:r w:rsidRPr="00AE36A0">
        <w:rPr>
          <w:rFonts w:ascii="Times New Roman" w:hAnsi="Times New Roman" w:cs="Times New Roman"/>
          <w:sz w:val="24"/>
          <w:szCs w:val="24"/>
        </w:rPr>
        <w:t xml:space="preserve"> Е.В. в монографии «Аналитическое моделирование финансового состояния компании» (201</w:t>
      </w:r>
      <w:r w:rsidR="00F94724">
        <w:rPr>
          <w:rFonts w:ascii="Times New Roman" w:hAnsi="Times New Roman" w:cs="Times New Roman"/>
          <w:sz w:val="24"/>
          <w:szCs w:val="24"/>
        </w:rPr>
        <w:t>8</w:t>
      </w:r>
      <w:r w:rsidRPr="00AE36A0">
        <w:rPr>
          <w:rFonts w:ascii="Times New Roman" w:hAnsi="Times New Roman" w:cs="Times New Roman"/>
          <w:sz w:val="24"/>
          <w:szCs w:val="24"/>
        </w:rPr>
        <w:t>) предлагает собственную аналитическую модель бухгалтерского баланса, основанную на использовании математического аппарата</w:t>
      </w:r>
      <w:r w:rsidR="00FE66DD">
        <w:rPr>
          <w:rFonts w:ascii="Times New Roman" w:hAnsi="Times New Roman" w:cs="Times New Roman"/>
          <w:sz w:val="24"/>
          <w:szCs w:val="24"/>
        </w:rPr>
        <w:t xml:space="preserve"> </w:t>
      </w:r>
      <w:r w:rsidR="00FE66DD" w:rsidRPr="00FE66DD">
        <w:rPr>
          <w:rFonts w:ascii="Times New Roman" w:hAnsi="Times New Roman" w:cs="Times New Roman"/>
          <w:sz w:val="24"/>
          <w:szCs w:val="24"/>
        </w:rPr>
        <w:t>[1]</w:t>
      </w:r>
      <w:r w:rsidRPr="00AE36A0">
        <w:rPr>
          <w:rFonts w:ascii="Times New Roman" w:hAnsi="Times New Roman" w:cs="Times New Roman"/>
          <w:sz w:val="24"/>
          <w:szCs w:val="24"/>
        </w:rPr>
        <w:t>.</w:t>
      </w:r>
    </w:p>
    <w:p w:rsidR="00AE36A0" w:rsidRPr="00AE36A0" w:rsidRDefault="00AE36A0" w:rsidP="00AE36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E36A0">
        <w:rPr>
          <w:rFonts w:ascii="Times New Roman" w:hAnsi="Times New Roman" w:cs="Times New Roman"/>
          <w:sz w:val="24"/>
          <w:szCs w:val="24"/>
        </w:rPr>
        <w:t>Адамайтис</w:t>
      </w:r>
      <w:proofErr w:type="spellEnd"/>
      <w:r w:rsidRPr="00AE36A0">
        <w:rPr>
          <w:rFonts w:ascii="Times New Roman" w:hAnsi="Times New Roman" w:cs="Times New Roman"/>
          <w:sz w:val="24"/>
          <w:szCs w:val="24"/>
        </w:rPr>
        <w:t xml:space="preserve"> Л.А. в статье «Построение аналитического баланса и расчёт чистых активов по новым формам бухгалтерской отчётности» (2013) сравнивает методики построения аналитического баланса по старым и новым формам бухгалтерской отчётности и представляет порядок расчёта чистых активов применительно к новой форме баланса</w:t>
      </w:r>
      <w:r w:rsidR="00FE66DD" w:rsidRPr="00FE66DD">
        <w:rPr>
          <w:rFonts w:ascii="Times New Roman" w:hAnsi="Times New Roman" w:cs="Times New Roman"/>
          <w:sz w:val="24"/>
          <w:szCs w:val="24"/>
        </w:rPr>
        <w:t xml:space="preserve"> [2]</w:t>
      </w:r>
      <w:r w:rsidRPr="00AE36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36A0" w:rsidRPr="00AE36A0" w:rsidRDefault="00AE36A0" w:rsidP="00AE36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6A0">
        <w:rPr>
          <w:rFonts w:ascii="Times New Roman" w:hAnsi="Times New Roman" w:cs="Times New Roman"/>
          <w:sz w:val="24"/>
          <w:szCs w:val="24"/>
        </w:rPr>
        <w:t>Вахрушина М.А. в учебном пособии «Анализ финансовой отчётности» (2016) рассматривает методику проведения анализа ликвидности, финансовой устойчивости и платёжеспособности организации</w:t>
      </w:r>
      <w:r w:rsidR="00FE66DD" w:rsidRPr="00FE66DD">
        <w:rPr>
          <w:rFonts w:ascii="Times New Roman" w:hAnsi="Times New Roman" w:cs="Times New Roman"/>
          <w:sz w:val="24"/>
          <w:szCs w:val="24"/>
        </w:rPr>
        <w:t xml:space="preserve"> [3]</w:t>
      </w:r>
      <w:r w:rsidRPr="00AE36A0">
        <w:rPr>
          <w:rFonts w:ascii="Times New Roman" w:hAnsi="Times New Roman" w:cs="Times New Roman"/>
          <w:sz w:val="24"/>
          <w:szCs w:val="24"/>
        </w:rPr>
        <w:t>.</w:t>
      </w:r>
    </w:p>
    <w:p w:rsidR="00AE36A0" w:rsidRDefault="00AE36A0" w:rsidP="00AE36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6A0">
        <w:rPr>
          <w:rFonts w:ascii="Times New Roman" w:hAnsi="Times New Roman" w:cs="Times New Roman"/>
          <w:sz w:val="24"/>
          <w:szCs w:val="24"/>
        </w:rPr>
        <w:t>Однако в свете постоянных изменений законодательства, регулирующего требования к формированию отчётности в Российской Федерации, вопрос изучения методики горизонтального и вертикального анализа бухгалтерского баланса организации остаётся по-прежнему актуальным.</w:t>
      </w:r>
    </w:p>
    <w:p w:rsidR="002517AC" w:rsidRDefault="002517AC" w:rsidP="00AE36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17AC">
        <w:rPr>
          <w:rFonts w:ascii="Times New Roman" w:hAnsi="Times New Roman" w:cs="Times New Roman"/>
          <w:sz w:val="24"/>
          <w:szCs w:val="24"/>
        </w:rPr>
        <w:t xml:space="preserve">Целью </w:t>
      </w:r>
      <w:r>
        <w:rPr>
          <w:rFonts w:ascii="Times New Roman" w:hAnsi="Times New Roman" w:cs="Times New Roman"/>
          <w:sz w:val="24"/>
          <w:szCs w:val="24"/>
        </w:rPr>
        <w:t>данного исследования</w:t>
      </w:r>
      <w:r w:rsidRPr="002517AC">
        <w:rPr>
          <w:rFonts w:ascii="Times New Roman" w:hAnsi="Times New Roman" w:cs="Times New Roman"/>
          <w:sz w:val="24"/>
          <w:szCs w:val="24"/>
        </w:rPr>
        <w:t xml:space="preserve"> является проведение вертикального анализа бухгалтерского баланса организации на прим</w:t>
      </w:r>
      <w:r w:rsidR="00171F93">
        <w:rPr>
          <w:rFonts w:ascii="Times New Roman" w:hAnsi="Times New Roman" w:cs="Times New Roman"/>
          <w:sz w:val="24"/>
          <w:szCs w:val="24"/>
        </w:rPr>
        <w:t>ере АО «ННК-Приморнефтепродукт» и оценка финансовой устойчивости и платёжеспособности на основе полученных данных</w:t>
      </w:r>
      <w:r w:rsidRPr="002517AC">
        <w:rPr>
          <w:rFonts w:ascii="Times New Roman" w:hAnsi="Times New Roman" w:cs="Times New Roman"/>
          <w:sz w:val="24"/>
          <w:szCs w:val="24"/>
        </w:rPr>
        <w:t>.</w:t>
      </w:r>
    </w:p>
    <w:p w:rsidR="00171F93" w:rsidRDefault="00171F93" w:rsidP="00AE36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проведения вертикального анализа определяется удельный вес отдельных статей в валюте баланса, изучается структура показателей и структурная динамика. </w:t>
      </w:r>
    </w:p>
    <w:p w:rsidR="008E57CB" w:rsidRDefault="00F64F68" w:rsidP="00AE36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46CA">
        <w:rPr>
          <w:rFonts w:ascii="Times New Roman" w:hAnsi="Times New Roman" w:cs="Times New Roman"/>
          <w:sz w:val="24"/>
          <w:szCs w:val="24"/>
        </w:rPr>
        <w:t xml:space="preserve">Согласно </w:t>
      </w:r>
      <w:r>
        <w:rPr>
          <w:rFonts w:ascii="Times New Roman" w:hAnsi="Times New Roman" w:cs="Times New Roman"/>
          <w:sz w:val="24"/>
          <w:szCs w:val="24"/>
        </w:rPr>
        <w:t xml:space="preserve">Федеральному закону </w:t>
      </w:r>
      <w:r w:rsidRPr="00A37F1C">
        <w:rPr>
          <w:rFonts w:ascii="Times New Roman" w:hAnsi="Times New Roman" w:cs="Times New Roman"/>
          <w:sz w:val="24"/>
          <w:szCs w:val="24"/>
        </w:rPr>
        <w:t xml:space="preserve">от 06.12.2011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A37F1C">
        <w:rPr>
          <w:rFonts w:ascii="Times New Roman" w:hAnsi="Times New Roman" w:cs="Times New Roman"/>
          <w:sz w:val="24"/>
          <w:szCs w:val="24"/>
        </w:rPr>
        <w:t xml:space="preserve"> 402-ФЗ (ред. от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A37F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37F1C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37F1C">
        <w:rPr>
          <w:rFonts w:ascii="Times New Roman" w:hAnsi="Times New Roman" w:cs="Times New Roman"/>
          <w:sz w:val="24"/>
          <w:szCs w:val="24"/>
        </w:rPr>
        <w:t xml:space="preserve">) </w:t>
      </w:r>
      <w:r w:rsidRPr="001D46CA">
        <w:rPr>
          <w:rFonts w:ascii="Times New Roman" w:hAnsi="Times New Roman" w:cs="Times New Roman"/>
          <w:sz w:val="24"/>
          <w:szCs w:val="24"/>
        </w:rPr>
        <w:t>«О бухгалтерском учете»</w:t>
      </w:r>
      <w:r>
        <w:rPr>
          <w:rFonts w:ascii="Times New Roman" w:hAnsi="Times New Roman" w:cs="Times New Roman"/>
          <w:sz w:val="24"/>
          <w:szCs w:val="24"/>
        </w:rPr>
        <w:t xml:space="preserve">, Федеральному закону </w:t>
      </w:r>
      <w:r w:rsidRPr="00F33989">
        <w:rPr>
          <w:rFonts w:ascii="Times New Roman" w:hAnsi="Times New Roman" w:cs="Times New Roman"/>
          <w:sz w:val="24"/>
          <w:szCs w:val="24"/>
        </w:rPr>
        <w:t xml:space="preserve">от 22.04.1996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F33989">
        <w:rPr>
          <w:rFonts w:ascii="Times New Roman" w:hAnsi="Times New Roman" w:cs="Times New Roman"/>
          <w:sz w:val="24"/>
          <w:szCs w:val="24"/>
        </w:rPr>
        <w:t xml:space="preserve">39-ФЗ (ред. от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F3398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F33989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33989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33989">
        <w:rPr>
          <w:rFonts w:ascii="Times New Roman" w:hAnsi="Times New Roman" w:cs="Times New Roman"/>
          <w:sz w:val="24"/>
          <w:szCs w:val="24"/>
        </w:rPr>
        <w:t>О рынке ценных бумаг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1D46CA">
        <w:rPr>
          <w:rFonts w:ascii="Times New Roman" w:hAnsi="Times New Roman" w:cs="Times New Roman"/>
          <w:sz w:val="24"/>
          <w:szCs w:val="24"/>
        </w:rPr>
        <w:t xml:space="preserve"> </w:t>
      </w:r>
      <w:r w:rsidRPr="00114EA6">
        <w:rPr>
          <w:rFonts w:ascii="Times New Roman" w:hAnsi="Times New Roman" w:cs="Times New Roman"/>
          <w:sz w:val="24"/>
          <w:szCs w:val="24"/>
        </w:rPr>
        <w:t xml:space="preserve">Федеральный закон от 26.12.1995 № 208-ФЗ (ред. от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114E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114EA6">
        <w:rPr>
          <w:rFonts w:ascii="Times New Roman" w:hAnsi="Times New Roman" w:cs="Times New Roman"/>
          <w:sz w:val="24"/>
          <w:szCs w:val="24"/>
        </w:rPr>
        <w:t xml:space="preserve">.2017)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14EA6">
        <w:rPr>
          <w:rFonts w:ascii="Times New Roman" w:hAnsi="Times New Roman" w:cs="Times New Roman"/>
          <w:sz w:val="24"/>
          <w:szCs w:val="24"/>
        </w:rPr>
        <w:t>Об акционерных обществах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Pr="00114EA6">
        <w:rPr>
          <w:rFonts w:ascii="Times New Roman" w:hAnsi="Times New Roman" w:cs="Times New Roman"/>
          <w:sz w:val="24"/>
          <w:szCs w:val="24"/>
        </w:rPr>
        <w:t>Положени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14EA6">
        <w:rPr>
          <w:rFonts w:ascii="Times New Roman" w:hAnsi="Times New Roman" w:cs="Times New Roman"/>
          <w:sz w:val="24"/>
          <w:szCs w:val="24"/>
        </w:rPr>
        <w:t xml:space="preserve"> о раскрытии информации эмитентами эмиссионных ценных бумаг</w:t>
      </w:r>
      <w:r>
        <w:rPr>
          <w:rFonts w:ascii="Times New Roman" w:hAnsi="Times New Roman" w:cs="Times New Roman"/>
          <w:sz w:val="24"/>
          <w:szCs w:val="24"/>
        </w:rPr>
        <w:t>, утверждённому</w:t>
      </w:r>
      <w:r w:rsidRPr="00114EA6">
        <w:rPr>
          <w:rFonts w:ascii="Times New Roman" w:hAnsi="Times New Roman" w:cs="Times New Roman"/>
          <w:sz w:val="24"/>
          <w:szCs w:val="24"/>
        </w:rPr>
        <w:t xml:space="preserve"> Банком России 30.12.2014 № 454-П (ред. от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114EA6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14EA6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14EA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E57CB">
        <w:rPr>
          <w:rFonts w:ascii="Times New Roman" w:hAnsi="Times New Roman" w:cs="Times New Roman"/>
          <w:sz w:val="24"/>
          <w:szCs w:val="24"/>
        </w:rPr>
        <w:t>АО «ННК-Приморнефтепродукт»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8E57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будучи непубличным акционерным обществом с числом акционеров более 50, </w:t>
      </w:r>
      <w:r w:rsidR="008E57CB">
        <w:rPr>
          <w:rFonts w:ascii="Times New Roman" w:hAnsi="Times New Roman" w:cs="Times New Roman"/>
          <w:sz w:val="24"/>
          <w:szCs w:val="24"/>
        </w:rPr>
        <w:t>обязано публиковать годовую бухгалтерскую отчётность</w:t>
      </w:r>
      <w:r>
        <w:rPr>
          <w:rFonts w:ascii="Times New Roman" w:hAnsi="Times New Roman" w:cs="Times New Roman"/>
          <w:sz w:val="24"/>
          <w:szCs w:val="24"/>
        </w:rPr>
        <w:t>;</w:t>
      </w:r>
      <w:r w:rsidR="008E57CB">
        <w:rPr>
          <w:rFonts w:ascii="Times New Roman" w:hAnsi="Times New Roman" w:cs="Times New Roman"/>
          <w:sz w:val="24"/>
          <w:szCs w:val="24"/>
        </w:rPr>
        <w:t xml:space="preserve"> познакомиться с ней можно на официальной странице системы раскрытия информации на рынке ценных бумаг информационного агентства </w:t>
      </w:r>
      <w:r w:rsidR="008E57CB">
        <w:rPr>
          <w:rFonts w:ascii="Times New Roman" w:hAnsi="Times New Roman" w:cs="Times New Roman"/>
          <w:sz w:val="24"/>
          <w:szCs w:val="24"/>
          <w:lang w:val="en-US"/>
        </w:rPr>
        <w:t>AK</w:t>
      </w:r>
      <w:r w:rsidR="008E57CB" w:rsidRPr="008E57CB">
        <w:rPr>
          <w:rFonts w:ascii="Times New Roman" w:hAnsi="Times New Roman" w:cs="Times New Roman"/>
          <w:sz w:val="24"/>
          <w:szCs w:val="24"/>
        </w:rPr>
        <w:t>&amp;</w:t>
      </w:r>
      <w:r w:rsidR="008E57CB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8E57CB">
        <w:rPr>
          <w:rFonts w:ascii="Times New Roman" w:hAnsi="Times New Roman" w:cs="Times New Roman"/>
          <w:sz w:val="24"/>
          <w:szCs w:val="24"/>
        </w:rPr>
        <w:t xml:space="preserve"> в сети Интернет по адресу: </w:t>
      </w:r>
      <w:r w:rsidR="00470D24" w:rsidRPr="00470D24">
        <w:rPr>
          <w:rFonts w:ascii="Times New Roman" w:hAnsi="Times New Roman" w:cs="Times New Roman"/>
          <w:sz w:val="24"/>
          <w:szCs w:val="24"/>
        </w:rPr>
        <w:t>http://www.disclosure.ru/issuer/2504000532/</w:t>
      </w:r>
      <w:r w:rsidR="00470D24">
        <w:rPr>
          <w:rFonts w:ascii="Times New Roman" w:hAnsi="Times New Roman" w:cs="Times New Roman"/>
          <w:sz w:val="24"/>
          <w:szCs w:val="24"/>
        </w:rPr>
        <w:t xml:space="preserve"> </w:t>
      </w:r>
      <w:r w:rsidR="00470D24" w:rsidRPr="00470D24">
        <w:rPr>
          <w:rFonts w:ascii="Times New Roman" w:hAnsi="Times New Roman" w:cs="Times New Roman"/>
          <w:sz w:val="24"/>
          <w:szCs w:val="24"/>
        </w:rPr>
        <w:t>[4, 5, 6, 7]</w:t>
      </w:r>
      <w:r w:rsidR="008E57CB">
        <w:rPr>
          <w:rFonts w:ascii="Times New Roman" w:hAnsi="Times New Roman" w:cs="Times New Roman"/>
          <w:sz w:val="24"/>
          <w:szCs w:val="24"/>
        </w:rPr>
        <w:t>.</w:t>
      </w:r>
    </w:p>
    <w:p w:rsidR="007C73BD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Вертикальный анализ </w:t>
      </w:r>
      <w:r w:rsidR="00FB114D">
        <w:rPr>
          <w:rFonts w:ascii="Times New Roman" w:hAnsi="Times New Roman" w:cs="Times New Roman"/>
          <w:sz w:val="24"/>
          <w:szCs w:val="24"/>
        </w:rPr>
        <w:t xml:space="preserve">агрегированных показателей </w:t>
      </w:r>
      <w:r w:rsidRPr="00944904">
        <w:rPr>
          <w:rFonts w:ascii="Times New Roman" w:hAnsi="Times New Roman" w:cs="Times New Roman"/>
          <w:sz w:val="24"/>
          <w:szCs w:val="24"/>
        </w:rPr>
        <w:t xml:space="preserve">аналитического баланса АО «ННК-Приморнефтепродукт» </w:t>
      </w:r>
      <w:r w:rsidR="00FB114D">
        <w:rPr>
          <w:rFonts w:ascii="Times New Roman" w:hAnsi="Times New Roman" w:cs="Times New Roman"/>
          <w:sz w:val="24"/>
          <w:szCs w:val="24"/>
        </w:rPr>
        <w:t xml:space="preserve">за 2014-2016 годы </w:t>
      </w:r>
      <w:r w:rsidRPr="00944904">
        <w:rPr>
          <w:rFonts w:ascii="Times New Roman" w:hAnsi="Times New Roman" w:cs="Times New Roman"/>
          <w:sz w:val="24"/>
          <w:szCs w:val="24"/>
        </w:rPr>
        <w:t xml:space="preserve">представлен в таблице </w:t>
      </w:r>
      <w:r w:rsidR="00C65E33">
        <w:rPr>
          <w:rFonts w:ascii="Times New Roman" w:hAnsi="Times New Roman" w:cs="Times New Roman"/>
          <w:sz w:val="24"/>
          <w:szCs w:val="24"/>
        </w:rPr>
        <w:t>1</w:t>
      </w:r>
      <w:r w:rsidRPr="009449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Порядок формирования строк </w:t>
      </w:r>
      <w:r>
        <w:rPr>
          <w:rFonts w:ascii="Times New Roman" w:hAnsi="Times New Roman" w:cs="Times New Roman"/>
          <w:sz w:val="24"/>
          <w:szCs w:val="24"/>
        </w:rPr>
        <w:t>аналитического баланса в соответствии с</w:t>
      </w:r>
      <w:r w:rsidRPr="00944904">
        <w:rPr>
          <w:rFonts w:ascii="Times New Roman" w:hAnsi="Times New Roman" w:cs="Times New Roman"/>
          <w:sz w:val="24"/>
          <w:szCs w:val="24"/>
        </w:rPr>
        <w:t xml:space="preserve"> форм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44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«Бухгалтерский баланс» (форма </w:t>
      </w:r>
      <w:r w:rsidRPr="00944904">
        <w:rPr>
          <w:rFonts w:ascii="Times New Roman" w:hAnsi="Times New Roman" w:cs="Times New Roman"/>
          <w:sz w:val="24"/>
          <w:szCs w:val="24"/>
        </w:rPr>
        <w:t>ОКУД 0710001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44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следующий</w:t>
      </w:r>
      <w:r w:rsidR="00F94724">
        <w:rPr>
          <w:rFonts w:ascii="Times New Roman" w:hAnsi="Times New Roman" w:cs="Times New Roman"/>
          <w:sz w:val="24"/>
          <w:szCs w:val="24"/>
        </w:rPr>
        <w:t xml:space="preserve"> </w:t>
      </w:r>
      <w:r w:rsidR="00F94724" w:rsidRPr="00F94724">
        <w:rPr>
          <w:rFonts w:ascii="Times New Roman" w:hAnsi="Times New Roman" w:cs="Times New Roman"/>
          <w:sz w:val="24"/>
          <w:szCs w:val="24"/>
        </w:rPr>
        <w:t>[2, 3]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А1 = стр. 1240 + стр. 1250;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А2 = стр. 1230 + стр. 1260;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А3 = стр. 1210 + стр. 1220;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стр. 1200;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А4 = стр. 1100;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стр. 1600;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П1 = стр. 1520;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П2 = стр. 1510 + стр. 1540 + стр. 1550;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стр. 1500 – стр. 1530;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П3 = стр. 1400;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стр. 1400 + стр. 1500 – стр. 1530;</w:t>
      </w:r>
    </w:p>
    <w:p w:rsidR="00202E59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П4 = стр. 1300 + стр. 1530;</w:t>
      </w:r>
    </w:p>
    <w:p w:rsidR="00202E59" w:rsidRPr="00944904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стр. 1700.</w:t>
      </w:r>
    </w:p>
    <w:p w:rsidR="00202E59" w:rsidRPr="00E22008" w:rsidRDefault="00202E59" w:rsidP="00202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008">
        <w:rPr>
          <w:rFonts w:ascii="Times New Roman" w:hAnsi="Times New Roman" w:cs="Times New Roman"/>
          <w:sz w:val="24"/>
          <w:szCs w:val="24"/>
        </w:rPr>
        <w:t>В соответствии с таблицей 1, в структуре активов АО «ННК-Приморнефтепродукт» в 2014-2016 годах удельный вес внеоборотных активов превышал удельный вес оборотных активов: так, в 2014 году внеоборотные активы занимали 64,17 % всего имущества, в 2015 году – 74,34 %, в 2016 – 65,92 %. Соответственно, доля оборотных средств в 2014 году составляла 35,83 %, в 2015 году – 25,66 %, в 2016 – 34,08 %. Такое соотношение свидетельствует о достаточной обеспеченности основными фондами хозяйственной деятельности общества.</w:t>
      </w:r>
    </w:p>
    <w:p w:rsidR="00C65E33" w:rsidRPr="00E22008" w:rsidRDefault="00944904" w:rsidP="00171F9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2200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Таблица </w:t>
      </w:r>
      <w:r w:rsidR="00C65E33" w:rsidRPr="00E22008">
        <w:rPr>
          <w:rFonts w:ascii="Times New Roman" w:hAnsi="Times New Roman" w:cs="Times New Roman"/>
          <w:i/>
          <w:sz w:val="24"/>
          <w:szCs w:val="24"/>
        </w:rPr>
        <w:t>1</w:t>
      </w:r>
    </w:p>
    <w:p w:rsidR="00944904" w:rsidRPr="00E22008" w:rsidRDefault="00944904" w:rsidP="00C65E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008">
        <w:rPr>
          <w:rFonts w:ascii="Times New Roman" w:hAnsi="Times New Roman" w:cs="Times New Roman"/>
          <w:b/>
          <w:sz w:val="24"/>
          <w:szCs w:val="24"/>
        </w:rPr>
        <w:t xml:space="preserve">Вертикальный анализ аналитического баланса АО «Приморнефтепродукт» </w:t>
      </w:r>
      <w:r w:rsidR="00C65E33" w:rsidRPr="00E22008">
        <w:rPr>
          <w:rFonts w:ascii="Times New Roman" w:hAnsi="Times New Roman" w:cs="Times New Roman"/>
          <w:b/>
          <w:sz w:val="24"/>
          <w:szCs w:val="24"/>
        </w:rPr>
        <w:br/>
      </w:r>
      <w:r w:rsidRPr="00E22008">
        <w:rPr>
          <w:rFonts w:ascii="Times New Roman" w:hAnsi="Times New Roman" w:cs="Times New Roman"/>
          <w:b/>
          <w:sz w:val="24"/>
          <w:szCs w:val="24"/>
        </w:rPr>
        <w:t>за 201</w:t>
      </w:r>
      <w:r w:rsidR="00171F93" w:rsidRPr="00E22008">
        <w:rPr>
          <w:rFonts w:ascii="Times New Roman" w:hAnsi="Times New Roman" w:cs="Times New Roman"/>
          <w:b/>
          <w:sz w:val="24"/>
          <w:szCs w:val="24"/>
        </w:rPr>
        <w:t>4</w:t>
      </w:r>
      <w:r w:rsidRPr="00E22008">
        <w:rPr>
          <w:rFonts w:ascii="Times New Roman" w:hAnsi="Times New Roman" w:cs="Times New Roman"/>
          <w:b/>
          <w:sz w:val="24"/>
          <w:szCs w:val="24"/>
        </w:rPr>
        <w:t>-2016 годы</w:t>
      </w:r>
    </w:p>
    <w:tbl>
      <w:tblPr>
        <w:tblStyle w:val="a4"/>
        <w:tblW w:w="9634" w:type="dxa"/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709"/>
        <w:gridCol w:w="850"/>
        <w:gridCol w:w="709"/>
        <w:gridCol w:w="851"/>
        <w:gridCol w:w="708"/>
        <w:gridCol w:w="709"/>
        <w:gridCol w:w="992"/>
        <w:gridCol w:w="709"/>
        <w:gridCol w:w="992"/>
      </w:tblGrid>
      <w:tr w:rsidR="00A53188" w:rsidRPr="00E22008" w:rsidTr="007C73BD">
        <w:trPr>
          <w:trHeight w:val="724"/>
        </w:trPr>
        <w:tc>
          <w:tcPr>
            <w:tcW w:w="1555" w:type="dxa"/>
            <w:vMerge w:val="restart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Вид имущества и капитала</w:t>
            </w:r>
          </w:p>
        </w:tc>
        <w:tc>
          <w:tcPr>
            <w:tcW w:w="1559" w:type="dxa"/>
            <w:gridSpan w:val="2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На 31.12.2016</w:t>
            </w:r>
          </w:p>
        </w:tc>
        <w:tc>
          <w:tcPr>
            <w:tcW w:w="1559" w:type="dxa"/>
            <w:gridSpan w:val="2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На 31.12.2015</w:t>
            </w:r>
          </w:p>
        </w:tc>
        <w:tc>
          <w:tcPr>
            <w:tcW w:w="1559" w:type="dxa"/>
            <w:gridSpan w:val="2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На 31.12.2014</w:t>
            </w:r>
          </w:p>
        </w:tc>
        <w:tc>
          <w:tcPr>
            <w:tcW w:w="1701" w:type="dxa"/>
            <w:gridSpan w:val="2"/>
            <w:vAlign w:val="center"/>
          </w:tcPr>
          <w:p w:rsidR="00944904" w:rsidRPr="00E22008" w:rsidRDefault="00944904" w:rsidP="00171F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Изменение 2016/2015 гг.</w:t>
            </w:r>
          </w:p>
        </w:tc>
        <w:tc>
          <w:tcPr>
            <w:tcW w:w="1701" w:type="dxa"/>
            <w:gridSpan w:val="2"/>
            <w:vAlign w:val="center"/>
          </w:tcPr>
          <w:p w:rsidR="00944904" w:rsidRPr="00E22008" w:rsidRDefault="00944904" w:rsidP="00171F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Изменение 2015/2014 гг.</w:t>
            </w:r>
          </w:p>
        </w:tc>
      </w:tr>
      <w:tr w:rsidR="00C65E33" w:rsidRPr="00E22008" w:rsidTr="007C73BD">
        <w:trPr>
          <w:trHeight w:val="986"/>
        </w:trPr>
        <w:tc>
          <w:tcPr>
            <w:tcW w:w="1555" w:type="dxa"/>
            <w:vMerge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709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уд. вес, %</w:t>
            </w:r>
          </w:p>
        </w:tc>
        <w:tc>
          <w:tcPr>
            <w:tcW w:w="850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709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уд. вес, %</w:t>
            </w:r>
          </w:p>
        </w:tc>
        <w:tc>
          <w:tcPr>
            <w:tcW w:w="851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708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уд. вес, %</w:t>
            </w:r>
          </w:p>
        </w:tc>
        <w:tc>
          <w:tcPr>
            <w:tcW w:w="709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 структуре</w:t>
            </w:r>
          </w:p>
        </w:tc>
        <w:tc>
          <w:tcPr>
            <w:tcW w:w="992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 % к изменению итога баланса</w:t>
            </w:r>
          </w:p>
        </w:tc>
        <w:tc>
          <w:tcPr>
            <w:tcW w:w="709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 структуре</w:t>
            </w:r>
          </w:p>
        </w:tc>
        <w:tc>
          <w:tcPr>
            <w:tcW w:w="992" w:type="dxa"/>
            <w:vAlign w:val="center"/>
          </w:tcPr>
          <w:p w:rsidR="00944904" w:rsidRPr="00E22008" w:rsidRDefault="00944904" w:rsidP="00A531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 % к изменению итога баланса</w:t>
            </w:r>
          </w:p>
        </w:tc>
      </w:tr>
      <w:tr w:rsidR="00944904" w:rsidRPr="00E22008" w:rsidTr="00C65E33">
        <w:trPr>
          <w:trHeight w:val="454"/>
        </w:trPr>
        <w:tc>
          <w:tcPr>
            <w:tcW w:w="9634" w:type="dxa"/>
            <w:gridSpan w:val="11"/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Имущество организации (актив)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 Денежные средства и краткосрочные финансовые вложения (А1)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227 971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5,44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313 679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8,09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298 179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6,23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-2,66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-26,94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1,86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-1,71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Дебиторская задолженность и прочие оборотные активы (А2)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601 629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14,34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160 185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4,13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380 386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7,95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10,21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138,78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-3,82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24,26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 Запасы, в том числе НДС (А3)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599 675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14,30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520 932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13,44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1 035 553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21,65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24,75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-8,21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56,70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Всего оборотных средств (текущих активов) (</w:t>
            </w:r>
            <w:r w:rsidRPr="00E2200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т)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1 429 275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34,08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994 796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25,66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1 714 118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35,83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8,41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136,59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-10,17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79,25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 Внеоборотные активы (иммобилизованные средства) (А4)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2 765 152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65,92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2 881 541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74,34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3 069 855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64,17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-8,41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-36,59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20,75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Итого имущества (</w:t>
            </w:r>
            <w:r w:rsidRPr="00E2200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4 194 427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3 876 337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4 783 973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A53188" w:rsidRPr="00E220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44904" w:rsidRPr="00E22008" w:rsidTr="00C65E33">
        <w:trPr>
          <w:trHeight w:val="454"/>
        </w:trPr>
        <w:tc>
          <w:tcPr>
            <w:tcW w:w="9634" w:type="dxa"/>
            <w:gridSpan w:val="11"/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Капитал организации (пассив)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 Кредиторская задолженность (П1)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623 590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14,87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1 032 815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26,64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2 258 011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47,20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-11,78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-128,65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-20,56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134,99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Краткосрочные заёмные средства, оценочные и прочие обязательства (П2)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53 055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1,26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41 945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47 106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0,98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3,49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Всего краткосрочные обязательства (</w:t>
            </w:r>
            <w:proofErr w:type="spellStart"/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Пт</w:t>
            </w:r>
            <w:proofErr w:type="spellEnd"/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676 645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16,13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1 074 760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27,73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2 305 117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48,18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-11,59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-125,16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-20,46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135,56</w:t>
            </w:r>
          </w:p>
        </w:tc>
      </w:tr>
      <w:tr w:rsidR="00C65E33" w:rsidRPr="00E22008" w:rsidTr="00C65E33">
        <w:trPr>
          <w:trHeight w:val="454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 Долгосрочные обязательства (П3)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42 578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1,02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38 665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26 700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-1,32</w:t>
            </w:r>
          </w:p>
        </w:tc>
      </w:tr>
      <w:tr w:rsidR="00C65E33" w:rsidRPr="00E22008" w:rsidTr="00136281">
        <w:trPr>
          <w:trHeight w:val="617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Всего заёмный капитал (</w:t>
            </w:r>
            <w:proofErr w:type="spellStart"/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Пз</w:t>
            </w:r>
            <w:proofErr w:type="spellEnd"/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719 223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17,15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1 113 425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28,72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2 331 817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48,74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-11,58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-123,93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-20,02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134,24</w:t>
            </w:r>
          </w:p>
        </w:tc>
      </w:tr>
      <w:tr w:rsidR="00C65E33" w:rsidRPr="00E22008" w:rsidTr="00136281">
        <w:trPr>
          <w:trHeight w:val="567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 Собственный капитал (П4)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3 475 204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82,85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2 762 912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71,28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2 452 156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51,26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11,58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223,93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20,02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-34,24</w:t>
            </w:r>
          </w:p>
        </w:tc>
      </w:tr>
      <w:tr w:rsidR="00C65E33" w:rsidRPr="00E22008" w:rsidTr="00136281">
        <w:trPr>
          <w:trHeight w:val="531"/>
        </w:trPr>
        <w:tc>
          <w:tcPr>
            <w:tcW w:w="1555" w:type="dxa"/>
            <w:vAlign w:val="center"/>
          </w:tcPr>
          <w:p w:rsidR="00944904" w:rsidRPr="00E22008" w:rsidRDefault="00944904" w:rsidP="00A531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Итого пассивов (капитал) (</w:t>
            </w:r>
            <w:proofErr w:type="spellStart"/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Вп</w:t>
            </w:r>
            <w:proofErr w:type="spellEnd"/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4 194 427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3 876 337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4 783 973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E22008" w:rsidRDefault="00944904" w:rsidP="00C65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200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5032C4" w:rsidRPr="00E2200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</w:tbl>
    <w:p w:rsidR="00944904" w:rsidRPr="00E22008" w:rsidRDefault="00944904" w:rsidP="001362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008">
        <w:rPr>
          <w:rFonts w:ascii="Times New Roman" w:hAnsi="Times New Roman" w:cs="Times New Roman"/>
          <w:sz w:val="24"/>
          <w:szCs w:val="24"/>
        </w:rPr>
        <w:lastRenderedPageBreak/>
        <w:t xml:space="preserve">Рассчитаем удельные веса групп активов А1, А2 и А3 в сумме оборотных активов </w:t>
      </w:r>
      <w:proofErr w:type="spellStart"/>
      <w:r w:rsidRPr="00E22008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E22008">
        <w:rPr>
          <w:rFonts w:ascii="Times New Roman" w:hAnsi="Times New Roman" w:cs="Times New Roman"/>
          <w:sz w:val="24"/>
          <w:szCs w:val="24"/>
        </w:rPr>
        <w:t xml:space="preserve"> в таблице </w:t>
      </w:r>
      <w:r w:rsidR="005032C4" w:rsidRPr="00E22008">
        <w:rPr>
          <w:rFonts w:ascii="Times New Roman" w:hAnsi="Times New Roman" w:cs="Times New Roman"/>
          <w:sz w:val="24"/>
          <w:szCs w:val="24"/>
        </w:rPr>
        <w:t>2</w:t>
      </w:r>
      <w:r w:rsidRPr="00E22008">
        <w:rPr>
          <w:rFonts w:ascii="Times New Roman" w:hAnsi="Times New Roman" w:cs="Times New Roman"/>
          <w:sz w:val="24"/>
          <w:szCs w:val="24"/>
        </w:rPr>
        <w:t>.</w:t>
      </w:r>
    </w:p>
    <w:p w:rsidR="005032C4" w:rsidRPr="005032C4" w:rsidRDefault="00944904" w:rsidP="005032C4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032C4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5032C4" w:rsidRPr="005032C4">
        <w:rPr>
          <w:rFonts w:ascii="Times New Roman" w:hAnsi="Times New Roman" w:cs="Times New Roman"/>
          <w:i/>
          <w:sz w:val="24"/>
          <w:szCs w:val="24"/>
        </w:rPr>
        <w:t>2</w:t>
      </w:r>
    </w:p>
    <w:p w:rsidR="00944904" w:rsidRPr="005032C4" w:rsidRDefault="00944904" w:rsidP="005032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2C4">
        <w:rPr>
          <w:rFonts w:ascii="Times New Roman" w:hAnsi="Times New Roman" w:cs="Times New Roman"/>
          <w:b/>
          <w:sz w:val="24"/>
          <w:szCs w:val="24"/>
        </w:rPr>
        <w:t>Анализ структуры оборотных активов</w:t>
      </w:r>
      <w:r w:rsidR="002E03F5">
        <w:rPr>
          <w:rFonts w:ascii="Times New Roman" w:hAnsi="Times New Roman" w:cs="Times New Roman"/>
          <w:b/>
          <w:sz w:val="24"/>
          <w:szCs w:val="24"/>
        </w:rPr>
        <w:t xml:space="preserve"> АО «Приморнефтепродукт» </w:t>
      </w:r>
      <w:r w:rsidR="002E03F5">
        <w:rPr>
          <w:rFonts w:ascii="Times New Roman" w:hAnsi="Times New Roman" w:cs="Times New Roman"/>
          <w:b/>
          <w:sz w:val="24"/>
          <w:szCs w:val="24"/>
        </w:rPr>
        <w:br/>
      </w:r>
      <w:r w:rsidRPr="005032C4">
        <w:rPr>
          <w:rFonts w:ascii="Times New Roman" w:hAnsi="Times New Roman" w:cs="Times New Roman"/>
          <w:b/>
          <w:sz w:val="24"/>
          <w:szCs w:val="24"/>
        </w:rPr>
        <w:t>за 2014-2016 годы</w:t>
      </w:r>
    </w:p>
    <w:tbl>
      <w:tblPr>
        <w:tblStyle w:val="a4"/>
        <w:tblW w:w="9634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708"/>
        <w:gridCol w:w="993"/>
        <w:gridCol w:w="708"/>
        <w:gridCol w:w="993"/>
        <w:gridCol w:w="708"/>
        <w:gridCol w:w="851"/>
        <w:gridCol w:w="850"/>
        <w:gridCol w:w="709"/>
        <w:gridCol w:w="851"/>
      </w:tblGrid>
      <w:tr w:rsidR="00E00810" w:rsidRPr="005032C4" w:rsidTr="00E00810">
        <w:trPr>
          <w:trHeight w:val="454"/>
        </w:trPr>
        <w:tc>
          <w:tcPr>
            <w:tcW w:w="1271" w:type="dxa"/>
            <w:vMerge w:val="restart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 xml:space="preserve">Вид имущества и </w:t>
            </w:r>
            <w:r w:rsidRPr="005032C4">
              <w:rPr>
                <w:rFonts w:ascii="Times New Roman" w:hAnsi="Times New Roman" w:cs="Times New Roman"/>
                <w:sz w:val="20"/>
                <w:szCs w:val="20"/>
              </w:rPr>
              <w:br/>
              <w:t>капитала</w:t>
            </w:r>
          </w:p>
        </w:tc>
        <w:tc>
          <w:tcPr>
            <w:tcW w:w="1700" w:type="dxa"/>
            <w:gridSpan w:val="2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На 31.12.2016</w:t>
            </w:r>
          </w:p>
        </w:tc>
        <w:tc>
          <w:tcPr>
            <w:tcW w:w="1701" w:type="dxa"/>
            <w:gridSpan w:val="2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На 31.12.2015</w:t>
            </w:r>
          </w:p>
        </w:tc>
        <w:tc>
          <w:tcPr>
            <w:tcW w:w="1701" w:type="dxa"/>
            <w:gridSpan w:val="2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На 31.12.2014</w:t>
            </w:r>
          </w:p>
        </w:tc>
        <w:tc>
          <w:tcPr>
            <w:tcW w:w="1701" w:type="dxa"/>
            <w:gridSpan w:val="2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Изменение 2016/2015 гг.</w:t>
            </w:r>
          </w:p>
        </w:tc>
        <w:tc>
          <w:tcPr>
            <w:tcW w:w="1560" w:type="dxa"/>
            <w:gridSpan w:val="2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Изменение 2015/2014 гг.</w:t>
            </w:r>
          </w:p>
        </w:tc>
      </w:tr>
      <w:tr w:rsidR="00E00810" w:rsidRPr="005032C4" w:rsidTr="00E00810">
        <w:trPr>
          <w:trHeight w:val="1285"/>
        </w:trPr>
        <w:tc>
          <w:tcPr>
            <w:tcW w:w="1271" w:type="dxa"/>
            <w:vMerge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708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уд. вес, %</w:t>
            </w:r>
          </w:p>
        </w:tc>
        <w:tc>
          <w:tcPr>
            <w:tcW w:w="993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708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уд. вес, %</w:t>
            </w:r>
          </w:p>
        </w:tc>
        <w:tc>
          <w:tcPr>
            <w:tcW w:w="993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708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уд. вес, %</w:t>
            </w:r>
          </w:p>
        </w:tc>
        <w:tc>
          <w:tcPr>
            <w:tcW w:w="851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в структуре</w:t>
            </w:r>
          </w:p>
        </w:tc>
        <w:tc>
          <w:tcPr>
            <w:tcW w:w="850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в % к изменению итога баланса</w:t>
            </w:r>
          </w:p>
        </w:tc>
        <w:tc>
          <w:tcPr>
            <w:tcW w:w="709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в структуре</w:t>
            </w:r>
          </w:p>
        </w:tc>
        <w:tc>
          <w:tcPr>
            <w:tcW w:w="851" w:type="dxa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в % к изменению итога баланса</w:t>
            </w:r>
          </w:p>
        </w:tc>
      </w:tr>
      <w:tr w:rsidR="00944904" w:rsidRPr="005032C4" w:rsidTr="00E00810">
        <w:trPr>
          <w:trHeight w:val="454"/>
        </w:trPr>
        <w:tc>
          <w:tcPr>
            <w:tcW w:w="9634" w:type="dxa"/>
            <w:gridSpan w:val="11"/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Имущество организации (актив)</w:t>
            </w:r>
          </w:p>
        </w:tc>
      </w:tr>
      <w:tr w:rsidR="00E00810" w:rsidRPr="005032C4" w:rsidTr="00E00810">
        <w:trPr>
          <w:trHeight w:val="1262"/>
        </w:trPr>
        <w:tc>
          <w:tcPr>
            <w:tcW w:w="1271" w:type="dxa"/>
            <w:vAlign w:val="center"/>
          </w:tcPr>
          <w:p w:rsidR="00944904" w:rsidRPr="005032C4" w:rsidRDefault="00944904" w:rsidP="005032C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 Денежные средства и краткосрочные финансовые вложения (А1)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227 971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15,95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313 679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298 179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17,40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-15,58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-19,73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14,14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-2,15</w:t>
            </w:r>
          </w:p>
        </w:tc>
      </w:tr>
      <w:tr w:rsidR="00E00810" w:rsidRPr="005032C4" w:rsidTr="00E00810">
        <w:trPr>
          <w:trHeight w:val="1275"/>
        </w:trPr>
        <w:tc>
          <w:tcPr>
            <w:tcW w:w="1271" w:type="dxa"/>
            <w:vAlign w:val="center"/>
          </w:tcPr>
          <w:p w:rsidR="00944904" w:rsidRPr="005032C4" w:rsidRDefault="00944904" w:rsidP="005032C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2 Дебиторская задолженность и прочие оборотные активы (А2)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601 629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42,09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160 185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16,10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380 386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22,19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25,99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101,60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-6,09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30,61</w:t>
            </w:r>
          </w:p>
        </w:tc>
      </w:tr>
      <w:tr w:rsidR="00E00810" w:rsidRPr="005032C4" w:rsidTr="00E00810">
        <w:trPr>
          <w:trHeight w:val="1220"/>
        </w:trPr>
        <w:tc>
          <w:tcPr>
            <w:tcW w:w="1271" w:type="dxa"/>
            <w:vAlign w:val="center"/>
          </w:tcPr>
          <w:p w:rsidR="00944904" w:rsidRPr="005032C4" w:rsidRDefault="00944904" w:rsidP="005032C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3 Запасы, в том числе НДС (А3)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599 675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41,96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520 932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52,37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1 035 553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60,41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-10,41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18,12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-8,05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71,54</w:t>
            </w:r>
          </w:p>
        </w:tc>
      </w:tr>
      <w:tr w:rsidR="00E00810" w:rsidRPr="005032C4" w:rsidTr="00E00810">
        <w:trPr>
          <w:trHeight w:val="1609"/>
        </w:trPr>
        <w:tc>
          <w:tcPr>
            <w:tcW w:w="1271" w:type="dxa"/>
            <w:vAlign w:val="center"/>
          </w:tcPr>
          <w:p w:rsidR="00944904" w:rsidRPr="005032C4" w:rsidRDefault="00944904" w:rsidP="005032C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Всего оборотных средств (текущих активов) (</w:t>
            </w:r>
            <w:r w:rsidRPr="005032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т)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1 429 275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994 796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1 714 118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944904" w:rsidRPr="005032C4" w:rsidRDefault="00944904" w:rsidP="005032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2C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</w:tbl>
    <w:p w:rsidR="000D565B" w:rsidRPr="00944904" w:rsidRDefault="000D565B" w:rsidP="000D56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008">
        <w:rPr>
          <w:rFonts w:ascii="Times New Roman" w:hAnsi="Times New Roman" w:cs="Times New Roman"/>
          <w:sz w:val="24"/>
          <w:szCs w:val="24"/>
        </w:rPr>
        <w:t>В соответствии с таблицей 2, наиболее значимой статьёй оборотных средств выступают запасы. Их доля в структуре текущих активов составляла 60,41 % в 2014 году, 52,37 % в 2015 году, 41,96 % в 2016 году. Высокий удельный вес запасов в составе оборотных активов связан со спецификой хозяйственной деятельности АО «ННК-Приморнефтепродукт», требующей создания значительных оборотных фондов, и длинным производственным циклом. Отрицательная динамика удельного веса запасов в составе оборотных активов вкупе с положительной динамикой их оборачиваемости (рост с 14,21 оборота в 2014 году до 26,50 оборота в 2016 году) свидетельствует о том, что используются они эффективно.</w:t>
      </w:r>
    </w:p>
    <w:p w:rsidR="00944904" w:rsidRPr="00944904" w:rsidRDefault="00944904" w:rsidP="00171F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Повышение удельного веса дебиторской задолженности и прочих оборотных активов в общей стоимости текущих активов в 2016 году на 30,16 % указывают на отрицательные тенденции в финансовой стабильности. По состоянию на 31.12.2016 дебиторская задолженность и прочие оборотные активы оказались самой крупной статьёй в составе оборотных активов, их доля занимала 42,09 %.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Уменьшение удельного веса денежных средств в сумме оборотных активов с 31,53 % в 2015 году до 15,95 % в 2016 году негативно влияет на платёжеспособность организации.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Удельный вес собственного капитала в стоимости имущества организации используется в экономическом анализе в качестве коэффициента автономии (финансовой независимости). Данный коэффициент показывает, какая доля активов покрывается за счёт собственного </w:t>
      </w:r>
      <w:r w:rsidRPr="00944904">
        <w:rPr>
          <w:rFonts w:ascii="Times New Roman" w:hAnsi="Times New Roman" w:cs="Times New Roman"/>
          <w:sz w:val="24"/>
          <w:szCs w:val="24"/>
        </w:rPr>
        <w:lastRenderedPageBreak/>
        <w:t>капитала, то есть обеспечивается собственными источниками. Рекомендуемый интервал значений коэффициента автономии – от 0,5 до 1</w:t>
      </w:r>
      <w:r w:rsidR="00F94724">
        <w:rPr>
          <w:rFonts w:ascii="Times New Roman" w:hAnsi="Times New Roman" w:cs="Times New Roman"/>
          <w:sz w:val="24"/>
          <w:szCs w:val="24"/>
        </w:rPr>
        <w:t xml:space="preserve"> </w:t>
      </w:r>
      <w:r w:rsidR="00F94724" w:rsidRPr="00F94724">
        <w:rPr>
          <w:rFonts w:ascii="Times New Roman" w:hAnsi="Times New Roman" w:cs="Times New Roman"/>
          <w:sz w:val="24"/>
          <w:szCs w:val="24"/>
        </w:rPr>
        <w:t xml:space="preserve">[3, </w:t>
      </w:r>
      <w:r w:rsidR="00470D24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F94724" w:rsidRPr="00F94724">
        <w:rPr>
          <w:rFonts w:ascii="Times New Roman" w:hAnsi="Times New Roman" w:cs="Times New Roman"/>
          <w:sz w:val="24"/>
          <w:szCs w:val="24"/>
        </w:rPr>
        <w:t>]</w:t>
      </w:r>
      <w:r w:rsidRPr="00944904">
        <w:rPr>
          <w:rFonts w:ascii="Times New Roman" w:hAnsi="Times New Roman" w:cs="Times New Roman"/>
          <w:sz w:val="24"/>
          <w:szCs w:val="24"/>
        </w:rPr>
        <w:t>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Доля собственного капитала АО «ННК-Приморнефтепродукт» в течение всего рассматриваемого периода превышает 50 %, к тому же наблюдается устойчивая положительная динамика данного показателя. Так, в 2014 году удельный вес собственного капитала составлял 51,26 %, в 2015 году – 71,28 %, в 2016 году – 82,85 %. Это свидетельствует в пользу того, что по критерию покрытия необходимых ресурсов собственными средствами финансово-хозяйственное положение АО «ННК-Приморнефтепродукт» можно считать благоприятным, а в 2016 году финансирование деятельности общества производилось в основном за счёт собственного капитала. Основным фактором приращения собственного капитала в 2015-2016 годах стало увеличение нераспределённой прибыли (строка 1370 баланса).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Вложения собственного капитала в оборотные активы определяются разницей между удельным весом собственного капитала в валюте баланса и удельным весом внеоборотных активов. Вложения собственного капитала в оборотные активы в АО «ННК-Приморнефтепродукт» составили: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– на 31.12.2014: </w:t>
      </w:r>
      <w:r w:rsidR="00CA41D5">
        <w:rPr>
          <w:rFonts w:ascii="Times New Roman" w:hAnsi="Times New Roman" w:cs="Times New Roman"/>
          <w:sz w:val="24"/>
          <w:szCs w:val="24"/>
        </w:rPr>
        <w:tab/>
      </w:r>
      <w:r w:rsidRPr="00944904">
        <w:rPr>
          <w:rFonts w:ascii="Times New Roman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0"/>
            <w:szCs w:val="24"/>
          </w:rPr>
          <m:t>51,26-64,17=-12,91%</m:t>
        </m:r>
      </m:oMath>
      <w:r w:rsidR="00866BBD">
        <w:rPr>
          <w:rFonts w:ascii="Times New Roman" w:hAnsi="Times New Roman" w:cs="Times New Roman"/>
          <w:sz w:val="24"/>
          <w:szCs w:val="24"/>
        </w:rPr>
        <w:t>;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– на 31.12.2015: </w:t>
      </w:r>
      <w:r w:rsidR="00CA41D5">
        <w:rPr>
          <w:rFonts w:ascii="Times New Roman" w:hAnsi="Times New Roman" w:cs="Times New Roman"/>
          <w:sz w:val="24"/>
          <w:szCs w:val="24"/>
        </w:rPr>
        <w:tab/>
      </w:r>
      <w:r w:rsidRPr="00944904">
        <w:rPr>
          <w:rFonts w:ascii="Times New Roman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0"/>
            <w:szCs w:val="24"/>
          </w:rPr>
          <m:t>71,28-74,34=-3,06%</m:t>
        </m:r>
      </m:oMath>
      <w:r w:rsidR="00866BBD">
        <w:rPr>
          <w:rFonts w:ascii="Times New Roman" w:hAnsi="Times New Roman" w:cs="Times New Roman"/>
          <w:sz w:val="24"/>
          <w:szCs w:val="24"/>
        </w:rPr>
        <w:t>;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– на 31.12.2016: </w:t>
      </w:r>
      <w:r w:rsidR="00CA41D5">
        <w:rPr>
          <w:rFonts w:ascii="Times New Roman" w:hAnsi="Times New Roman" w:cs="Times New Roman"/>
          <w:sz w:val="24"/>
          <w:szCs w:val="24"/>
        </w:rPr>
        <w:tab/>
      </w:r>
      <w:r w:rsidRPr="00944904">
        <w:rPr>
          <w:rFonts w:ascii="Times New Roman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0"/>
            <w:szCs w:val="24"/>
          </w:rPr>
          <m:t>82,85-65,92=16,93%</m:t>
        </m:r>
      </m:oMath>
      <w:r w:rsidRPr="00944904">
        <w:rPr>
          <w:rFonts w:ascii="Times New Roman" w:hAnsi="Times New Roman" w:cs="Times New Roman"/>
          <w:sz w:val="24"/>
          <w:szCs w:val="24"/>
        </w:rPr>
        <w:t>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Как видно из расчётов, в 2014-2015 годах вложения собственного капитала в оборотные активы были величинами отрицательными. Это указывает на формирование источников материально-производственных запасов за счёт заёмного капитала. Для инвесторов АО «ННК-Приморнефтепродукт» такая ситуация была опасна финансовыми рисками, однако для самого предприятия большие вложения собственного капитала в оборотные активы нежелательны [</w:t>
      </w:r>
      <w:r w:rsidR="00FE66DD">
        <w:rPr>
          <w:rFonts w:ascii="Times New Roman" w:hAnsi="Times New Roman" w:cs="Times New Roman"/>
          <w:sz w:val="24"/>
          <w:szCs w:val="24"/>
        </w:rPr>
        <w:t>3</w:t>
      </w:r>
      <w:r w:rsidRPr="00944904">
        <w:rPr>
          <w:rFonts w:ascii="Times New Roman" w:hAnsi="Times New Roman" w:cs="Times New Roman"/>
          <w:sz w:val="24"/>
          <w:szCs w:val="24"/>
        </w:rPr>
        <w:t xml:space="preserve">]. В 2016 году вложения собственного капитала в оборотные активы составили 16,93 %, но рост произошёл преимущественно за счёт увеличения доли дебиторской задолженности в структуре имущества, а не за счёт дополнительного покрытия материальных запасов собственными средствами. 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Рассчитаем коэффициент финансовой устойчивости как отношение суммы собственного капитала и долгосрочных обязательств к валюте баланса: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– на 31.12.2014:</w:t>
      </w:r>
    </w:p>
    <w:p w:rsidR="00944904" w:rsidRPr="00944904" w:rsidRDefault="007D7421" w:rsidP="00CA41D5">
      <w:pPr>
        <w:spacing w:after="0" w:line="24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фин.уст.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2 452 156+26 700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4 783 973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=0,52;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– на 31.12.2015:</w:t>
      </w:r>
    </w:p>
    <w:p w:rsidR="00944904" w:rsidRPr="00944904" w:rsidRDefault="007D7421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фин. уст.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2 762 912+38 665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3 876 337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=0,72;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– на 31.12.2016:</w:t>
      </w:r>
    </w:p>
    <w:p w:rsidR="00944904" w:rsidRPr="00944904" w:rsidRDefault="007D7421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фин. уст.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3 475 204+42 578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4 194 427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=0,84.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Данный коэффициент показывает удельный вес источников финансирования, которые могут использоваться в деятельности организации в течение длительного времени. Его оптимальное значение – более 0,7 (или 70 %)</w:t>
      </w:r>
      <w:r w:rsidR="00F94724">
        <w:rPr>
          <w:rFonts w:ascii="Times New Roman" w:hAnsi="Times New Roman" w:cs="Times New Roman"/>
          <w:sz w:val="24"/>
          <w:szCs w:val="24"/>
        </w:rPr>
        <w:t xml:space="preserve"> </w:t>
      </w:r>
      <w:r w:rsidR="00F94724">
        <w:rPr>
          <w:rFonts w:ascii="Times New Roman" w:hAnsi="Times New Roman" w:cs="Times New Roman"/>
          <w:sz w:val="24"/>
          <w:szCs w:val="24"/>
          <w:lang w:val="en-US"/>
        </w:rPr>
        <w:t>[3]</w:t>
      </w:r>
      <w:r w:rsidRPr="00944904">
        <w:rPr>
          <w:rFonts w:ascii="Times New Roman" w:hAnsi="Times New Roman" w:cs="Times New Roman"/>
          <w:sz w:val="24"/>
          <w:szCs w:val="24"/>
        </w:rPr>
        <w:t>. В АО «ННК-Приморнефтепродукт» в 2014 году коэффициент финансовой устойчивости был ниже оптимального значения, что свидетельствовало о недостаточности обеспечения деятельности компании долгосрочными источниками финансирования. В 2015-2016 годах ситуация в данном отношении стабилизировалась.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Удельный вес заёмного капитала в валюте баланса используется в качестве коэффициента финансовой зависимости, отражающего зависимость экономического субъекта от внешних инвесторов. Оптимальным для данного коэффициента считается значение менее 50 % [</w:t>
      </w:r>
      <w:r w:rsidR="00FE66DD">
        <w:rPr>
          <w:rFonts w:ascii="Times New Roman" w:hAnsi="Times New Roman" w:cs="Times New Roman"/>
          <w:sz w:val="24"/>
          <w:szCs w:val="24"/>
        </w:rPr>
        <w:t>3</w:t>
      </w:r>
      <w:r w:rsidRPr="00944904">
        <w:rPr>
          <w:rFonts w:ascii="Times New Roman" w:hAnsi="Times New Roman" w:cs="Times New Roman"/>
          <w:sz w:val="24"/>
          <w:szCs w:val="24"/>
        </w:rPr>
        <w:t xml:space="preserve">]. В АО «ННК-Приморнефтепродукт» значения коэффициента финансовой зависимости в 2014-2016 годах не превышали 100 %, то есть, являлись оптимальными, кроме того, удельный вес заёмного капитала в 2014-2016 годах характеризовался отрицательной динамикой. Так, если в 2014 году его доля в валюте баланса составляла примерно половину (48,74 %), то в 2016 году она уменьшилась почти в три раза и занимала всего лишь 17,15 % от общей суммы имущества, причём 14,87 % приходилось на кредиторскую задолженность. 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lastRenderedPageBreak/>
        <w:t>Отношение заёмного капитала к собственному, рассчитанное в абсолютных величинах или удельных весах, представляет собой коэффициент финансовой активности (плечо финансового рычага, финансовый леверидж). Он характеризует степень риска инвестирования в данную компанию. Для изучаемой организации значения коэффициента финансовой активности будут равны:</w:t>
      </w:r>
    </w:p>
    <w:p w:rsidR="00CA41D5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– на 31.12.2014: </w:t>
      </w:r>
    </w:p>
    <w:p w:rsidR="00CA41D5" w:rsidRDefault="007D7421" w:rsidP="00CA4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фин.акт.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48,74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51,26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=0,95;</m:t>
          </m:r>
        </m:oMath>
      </m:oMathPara>
    </w:p>
    <w:p w:rsidR="00CA41D5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– на 31.12.2015: </w:t>
      </w:r>
    </w:p>
    <w:p w:rsidR="00CA41D5" w:rsidRDefault="007D7421" w:rsidP="00CA4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фин.акт.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28,72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71,28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=0,40;</m:t>
          </m:r>
        </m:oMath>
      </m:oMathPara>
    </w:p>
    <w:p w:rsidR="00866BBD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– на 31.12.2016: </w:t>
      </w:r>
    </w:p>
    <w:p w:rsidR="00866BBD" w:rsidRDefault="007D7421" w:rsidP="00866B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фин.акт.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17,15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82,85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=0,21.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Рекомендуемый интервал значений финансового левериджа – менее единицы. Как показали расчёты, в АО «ННК-Приморнефтепродукт» в 2014 году финансовый леверидж, как и предыдущий коэффициент, был близок к критическому, однако в 2015-2016 годах его значение значительно понизилось, а условия для инвесторов – улучшились.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Рассчитаем коэффициент финансирования, обратный предыдущему и равный отношению собственного капитала к общей сумме заёмных средств: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 xml:space="preserve">- на 31.12.2014: </w:t>
      </w:r>
    </w:p>
    <w:p w:rsidR="00944904" w:rsidRPr="00944904" w:rsidRDefault="007D7421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2 452 156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2 331 817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=1,05;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- на 31.12.2015:</w:t>
      </w:r>
    </w:p>
    <w:p w:rsidR="00944904" w:rsidRPr="00944904" w:rsidRDefault="007D7421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2 762 912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1 113 425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=2,48;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- на 31.12.2016:</w:t>
      </w:r>
    </w:p>
    <w:p w:rsidR="00944904" w:rsidRPr="00944904" w:rsidRDefault="007D7421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фин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3 475 204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719 223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=4,83.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Рекомендуемое значение данного показателя больше или равно единице. Чем он выше, тем надёжнее для инвесторов финансирование организации. В АО «ННК-Приморнефтепродукт» коэффициент финансирования в 2014-2016 годах превышает единицу, к тому же имеет выраженную положительную динамику. Уменьшение заёмного капитала сопровождается одновременным ростом собственного капитала, что свидетельствует об имеющемся у предприятия потенциале для расширения хозяйственной деятельности.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Для оценки покрытия собственными средствами внеоборотных активов рассчитаем коэффициент инвестирования, равный отношению собственного капитала к внеоборотным активам: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- на 31.12.2014:</w:t>
      </w:r>
    </w:p>
    <w:p w:rsidR="00944904" w:rsidRPr="00944904" w:rsidRDefault="007D7421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инв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2 452 156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3 069 855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=0,80;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- на 31.12.2015:</w:t>
      </w:r>
    </w:p>
    <w:p w:rsidR="00944904" w:rsidRPr="00944904" w:rsidRDefault="007D7421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инв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2 762 912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2 881 541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=0,96;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- на 31.12.2016:</w:t>
      </w:r>
    </w:p>
    <w:p w:rsidR="00944904" w:rsidRPr="00944904" w:rsidRDefault="007D7421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4"/>
                </w:rPr>
                <m:t>инв</m:t>
              </m:r>
            </m:sub>
          </m:sSub>
          <m:r>
            <w:rPr>
              <w:rFonts w:ascii="Cambria Math" w:hAnsi="Cambria Math" w:cs="Times New Roman"/>
              <w:sz w:val="20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0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0"/>
                  <w:szCs w:val="24"/>
                </w:rPr>
                <m:t>3 475 204</m:t>
              </m:r>
            </m:num>
            <m:den>
              <m:r>
                <w:rPr>
                  <w:rFonts w:ascii="Cambria Math" w:hAnsi="Cambria Math" w:cs="Times New Roman"/>
                  <w:sz w:val="20"/>
                  <w:szCs w:val="24"/>
                </w:rPr>
                <m:t>2 765 152</m:t>
              </m:r>
            </m:den>
          </m:f>
          <m:r>
            <w:rPr>
              <w:rFonts w:ascii="Cambria Math" w:hAnsi="Cambria Math" w:cs="Times New Roman"/>
              <w:sz w:val="20"/>
              <w:szCs w:val="24"/>
            </w:rPr>
            <m:t>=1,26.</m:t>
          </m:r>
        </m:oMath>
      </m:oMathPara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Благоприятной финансовой ситуацией считается, когда коэффициент инвестирования больше единицы. При этом собственными средствами обеспечиваются все иммобилизованные средства и часть оборотных средств [</w:t>
      </w:r>
      <w:r w:rsidR="00FE66DD">
        <w:rPr>
          <w:rFonts w:ascii="Times New Roman" w:hAnsi="Times New Roman" w:cs="Times New Roman"/>
          <w:sz w:val="24"/>
          <w:szCs w:val="24"/>
        </w:rPr>
        <w:t>3</w:t>
      </w:r>
      <w:r w:rsidRPr="00944904">
        <w:rPr>
          <w:rFonts w:ascii="Times New Roman" w:hAnsi="Times New Roman" w:cs="Times New Roman"/>
          <w:sz w:val="24"/>
          <w:szCs w:val="24"/>
        </w:rPr>
        <w:t xml:space="preserve">]. В АО «ННК-Приморнефтепродукт» в 2014-2015 годах коэффициент инвестирования собственного капитала во </w:t>
      </w:r>
      <w:proofErr w:type="spellStart"/>
      <w:r w:rsidRPr="00944904">
        <w:rPr>
          <w:rFonts w:ascii="Times New Roman" w:hAnsi="Times New Roman" w:cs="Times New Roman"/>
          <w:sz w:val="24"/>
          <w:szCs w:val="24"/>
        </w:rPr>
        <w:t>внеобротные</w:t>
      </w:r>
      <w:proofErr w:type="spellEnd"/>
      <w:r w:rsidRPr="00944904">
        <w:rPr>
          <w:rFonts w:ascii="Times New Roman" w:hAnsi="Times New Roman" w:cs="Times New Roman"/>
          <w:sz w:val="24"/>
          <w:szCs w:val="24"/>
        </w:rPr>
        <w:t xml:space="preserve"> средства не превышал единицу, тем не менее, его динамика на протяжении всего периода была положительной, и в 2016 году значение данного показателя достигло рекомендуемого (1,26).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В результате вертикального анализа аналитического баланса АО «ННК-Приморнефтепродукт» за 2014-2016 годы получены следующие выводы и обобщения.</w:t>
      </w:r>
    </w:p>
    <w:p w:rsidR="00944904" w:rsidRPr="00944904" w:rsidRDefault="00944904" w:rsidP="00944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lastRenderedPageBreak/>
        <w:t>В 2014-2016 годах удельный вес внеоборотных активов превышал удельный вес оборотных активов, что свидетельствует о достаточной обеспеченности основными фондами хозяйственной деятельности общества. Динамика соотношения внеоборотных и оборотных средств отражает сужение объёма хозяйственной деятельности в 2015 году и расширение в 2016 году. Повышение деловой активности в 2016 году привело к тому, что удельный вес дебиторской задолженности и прочих оборотных активов в валюте баланса (14,34 %) превысил долю запасов (14,30 %), а доля свободных денежных средств (5,44 %) оказалась ниже, чем в 2014 году (6,23 %). Такая ситуация породила риск неплатёжеспособности и угрозу финансовой нестабильности АО «ННК-Приморнефтепродукт» в конце 2016 отчётного года.</w:t>
      </w:r>
    </w:p>
    <w:p w:rsidR="00FC4C01" w:rsidRPr="00944904" w:rsidRDefault="00944904" w:rsidP="00944904">
      <w:pPr>
        <w:pBdr>
          <w:bottom w:val="single" w:sz="6" w:space="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904">
        <w:rPr>
          <w:rFonts w:ascii="Times New Roman" w:hAnsi="Times New Roman" w:cs="Times New Roman"/>
          <w:sz w:val="24"/>
          <w:szCs w:val="24"/>
        </w:rPr>
        <w:t>Расчётные значения коэффициентов финансовой устойчивости, финансовой зависимости, финансовой активности, финансирования, инвестирования в 2014-2016 годах имели благоприятную динамику и к 2016 году соответствовали общепринятым критериям оптимальности.</w:t>
      </w:r>
      <w:r w:rsidR="002E568B">
        <w:rPr>
          <w:rFonts w:ascii="Times New Roman" w:hAnsi="Times New Roman" w:cs="Times New Roman"/>
          <w:sz w:val="24"/>
          <w:szCs w:val="24"/>
        </w:rPr>
        <w:t xml:space="preserve"> </w:t>
      </w:r>
      <w:r w:rsidR="00FC4C01">
        <w:rPr>
          <w:rFonts w:ascii="Times New Roman" w:hAnsi="Times New Roman" w:cs="Times New Roman"/>
          <w:sz w:val="24"/>
          <w:szCs w:val="24"/>
        </w:rPr>
        <w:t xml:space="preserve">Полученные результаты могут быть использованы на практике при планировании экономической политики и в процессе управления ресурсами предприятия. </w:t>
      </w:r>
    </w:p>
    <w:p w:rsidR="00F94724" w:rsidRDefault="00F94724" w:rsidP="00FE66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Негашев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</w:t>
      </w:r>
      <w:r w:rsidRPr="00F94724">
        <w:rPr>
          <w:rFonts w:ascii="Times New Roman" w:hAnsi="Times New Roman" w:cs="Times New Roman"/>
          <w:sz w:val="24"/>
          <w:szCs w:val="24"/>
        </w:rPr>
        <w:t xml:space="preserve">Аналитическое моделирование финансового состояния компании: монография / Е.В. </w:t>
      </w:r>
      <w:proofErr w:type="spellStart"/>
      <w:r w:rsidRPr="00F94724">
        <w:rPr>
          <w:rFonts w:ascii="Times New Roman" w:hAnsi="Times New Roman" w:cs="Times New Roman"/>
          <w:sz w:val="24"/>
          <w:szCs w:val="24"/>
        </w:rPr>
        <w:t>Негашев</w:t>
      </w:r>
      <w:proofErr w:type="spellEnd"/>
      <w:r w:rsidRPr="00F94724">
        <w:rPr>
          <w:rFonts w:ascii="Times New Roman" w:hAnsi="Times New Roman" w:cs="Times New Roman"/>
          <w:sz w:val="24"/>
          <w:szCs w:val="24"/>
        </w:rPr>
        <w:t>. — М.: ИНФРА-М, 2018. — 186 с.</w:t>
      </w:r>
    </w:p>
    <w:p w:rsidR="00FE66DD" w:rsidRDefault="00F94724" w:rsidP="00FE66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E66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E66DD" w:rsidRPr="005F5C38">
        <w:rPr>
          <w:rFonts w:ascii="Times New Roman" w:hAnsi="Times New Roman" w:cs="Times New Roman"/>
          <w:sz w:val="24"/>
          <w:szCs w:val="24"/>
        </w:rPr>
        <w:t>Адамайтис</w:t>
      </w:r>
      <w:proofErr w:type="spellEnd"/>
      <w:r w:rsidR="00FE66DD" w:rsidRPr="005F5C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E66DD" w:rsidRPr="005F5C38">
        <w:rPr>
          <w:rFonts w:ascii="Times New Roman" w:hAnsi="Times New Roman" w:cs="Times New Roman"/>
          <w:sz w:val="24"/>
          <w:szCs w:val="24"/>
        </w:rPr>
        <w:t>Л.А..</w:t>
      </w:r>
      <w:proofErr w:type="gramEnd"/>
      <w:r w:rsidR="00FE66DD" w:rsidRPr="005F5C38">
        <w:rPr>
          <w:rFonts w:ascii="Times New Roman" w:hAnsi="Times New Roman" w:cs="Times New Roman"/>
          <w:sz w:val="24"/>
          <w:szCs w:val="24"/>
        </w:rPr>
        <w:t xml:space="preserve"> Построение аналитического баланса и расчёт чистых активов по новым формам бухгалтерской отчётности // Международный бухгалтерский учёт. – 4 (250) – 2013. – С. 23-30.</w:t>
      </w:r>
    </w:p>
    <w:p w:rsidR="00FE66DD" w:rsidRDefault="00F94724" w:rsidP="00FE66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E66DD">
        <w:rPr>
          <w:rFonts w:ascii="Times New Roman" w:hAnsi="Times New Roman" w:cs="Times New Roman"/>
          <w:sz w:val="24"/>
          <w:szCs w:val="24"/>
        </w:rPr>
        <w:t xml:space="preserve">. Вахрушина М.А. Анализ финансовой отчётности: учебник / </w:t>
      </w:r>
      <w:r>
        <w:rPr>
          <w:rFonts w:ascii="Times New Roman" w:hAnsi="Times New Roman" w:cs="Times New Roman"/>
          <w:sz w:val="24"/>
          <w:szCs w:val="24"/>
        </w:rPr>
        <w:t xml:space="preserve">М.А. </w:t>
      </w:r>
      <w:r w:rsidR="00FE66DD">
        <w:rPr>
          <w:rFonts w:ascii="Times New Roman" w:hAnsi="Times New Roman" w:cs="Times New Roman"/>
          <w:sz w:val="24"/>
          <w:szCs w:val="24"/>
        </w:rPr>
        <w:t xml:space="preserve">Вахрушина, 3-е изд., </w:t>
      </w:r>
      <w:proofErr w:type="spellStart"/>
      <w:r w:rsidR="00FE66DD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proofErr w:type="gramStart"/>
      <w:r w:rsidR="00FE66D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E66DD">
        <w:rPr>
          <w:rFonts w:ascii="Times New Roman" w:hAnsi="Times New Roman" w:cs="Times New Roman"/>
          <w:sz w:val="24"/>
          <w:szCs w:val="24"/>
        </w:rPr>
        <w:t xml:space="preserve"> и доп. – М.: Вузовский учебник, НИЦ ИНФРА-М, 2015. – 432 с.</w:t>
      </w:r>
    </w:p>
    <w:p w:rsidR="00470D24" w:rsidRDefault="00470D24" w:rsidP="00FE6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0D2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F52E4">
        <w:rPr>
          <w:rFonts w:ascii="Times New Roman" w:hAnsi="Times New Roman" w:cs="Times New Roman"/>
          <w:color w:val="000000"/>
          <w:sz w:val="24"/>
          <w:szCs w:val="24"/>
        </w:rPr>
        <w:t>О бухгалтерском учете: Федеральный закон от 06.12.2011 № 402-ФЗ (ред.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F52E4">
        <w:rPr>
          <w:rFonts w:ascii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hAnsi="Times New Roman" w:cs="Times New Roman"/>
          <w:color w:val="000000"/>
          <w:sz w:val="24"/>
          <w:szCs w:val="24"/>
        </w:rPr>
        <w:t> 31</w:t>
      </w:r>
      <w:r w:rsidRPr="00AF52E4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AF52E4">
        <w:rPr>
          <w:rFonts w:ascii="Times New Roman" w:hAnsi="Times New Roman" w:cs="Times New Roman"/>
          <w:color w:val="000000"/>
          <w:sz w:val="24"/>
          <w:szCs w:val="24"/>
        </w:rPr>
        <w:t>.201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AF52E4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AF52E4">
        <w:rPr>
          <w:rFonts w:ascii="Times New Roman" w:hAnsi="Times New Roman" w:cs="Times New Roman"/>
          <w:sz w:val="24"/>
          <w:szCs w:val="24"/>
        </w:rPr>
        <w:t xml:space="preserve">[Электронный ресурс] // СПС «КонсультантПлюс». – Режим доступа: </w:t>
      </w:r>
      <w:r w:rsidRPr="00470D24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470D24">
        <w:rPr>
          <w:rFonts w:ascii="Times New Roman" w:hAnsi="Times New Roman" w:cs="Times New Roman"/>
          <w:color w:val="000000"/>
          <w:sz w:val="24"/>
          <w:szCs w:val="24"/>
        </w:rPr>
        <w:t>.consultant.ru/</w:t>
      </w:r>
      <w:proofErr w:type="spellStart"/>
      <w:r w:rsidRPr="00470D24">
        <w:rPr>
          <w:rFonts w:ascii="Times New Roman" w:hAnsi="Times New Roman" w:cs="Times New Roman"/>
          <w:color w:val="000000"/>
          <w:sz w:val="24"/>
          <w:szCs w:val="24"/>
        </w:rPr>
        <w:t>cons</w:t>
      </w:r>
      <w:proofErr w:type="spellEnd"/>
      <w:r w:rsidRPr="00470D24">
        <w:rPr>
          <w:rFonts w:ascii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470D24">
        <w:rPr>
          <w:rFonts w:ascii="Times New Roman" w:hAnsi="Times New Roman" w:cs="Times New Roman"/>
          <w:color w:val="000000"/>
          <w:sz w:val="24"/>
          <w:szCs w:val="24"/>
        </w:rPr>
        <w:t>cgi</w:t>
      </w:r>
      <w:proofErr w:type="spellEnd"/>
      <w:r w:rsidRPr="00470D24">
        <w:rPr>
          <w:rFonts w:ascii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470D24">
        <w:rPr>
          <w:rFonts w:ascii="Times New Roman" w:hAnsi="Times New Roman" w:cs="Times New Roman"/>
          <w:color w:val="000000"/>
          <w:sz w:val="24"/>
          <w:szCs w:val="24"/>
        </w:rPr>
        <w:t>online.cgi?req</w:t>
      </w:r>
      <w:proofErr w:type="spellEnd"/>
      <w:r w:rsidRPr="00470D24">
        <w:rPr>
          <w:rFonts w:ascii="Times New Roman" w:hAnsi="Times New Roman" w:cs="Times New Roman"/>
          <w:color w:val="000000"/>
          <w:sz w:val="24"/>
          <w:szCs w:val="24"/>
        </w:rPr>
        <w:t>=</w:t>
      </w:r>
      <w:proofErr w:type="spellStart"/>
      <w:r w:rsidRPr="00470D24">
        <w:rPr>
          <w:rFonts w:ascii="Times New Roman" w:hAnsi="Times New Roman" w:cs="Times New Roman"/>
          <w:color w:val="000000"/>
          <w:sz w:val="24"/>
          <w:szCs w:val="24"/>
        </w:rPr>
        <w:t>doc&amp;base</w:t>
      </w:r>
      <w:proofErr w:type="spellEnd"/>
      <w:r w:rsidRPr="00470D24">
        <w:rPr>
          <w:rFonts w:ascii="Times New Roman" w:hAnsi="Times New Roman" w:cs="Times New Roman"/>
          <w:color w:val="000000"/>
          <w:sz w:val="24"/>
          <w:szCs w:val="24"/>
        </w:rPr>
        <w:t>=</w:t>
      </w:r>
      <w:proofErr w:type="spellStart"/>
      <w:r w:rsidRPr="00470D24">
        <w:rPr>
          <w:rFonts w:ascii="Times New Roman" w:hAnsi="Times New Roman" w:cs="Times New Roman"/>
          <w:color w:val="000000"/>
          <w:sz w:val="24"/>
          <w:szCs w:val="24"/>
        </w:rPr>
        <w:t>LAW&amp;n</w:t>
      </w:r>
      <w:proofErr w:type="spellEnd"/>
      <w:r w:rsidRPr="00470D24">
        <w:rPr>
          <w:rFonts w:ascii="Times New Roman" w:hAnsi="Times New Roman" w:cs="Times New Roman"/>
          <w:color w:val="000000"/>
          <w:sz w:val="24"/>
          <w:szCs w:val="24"/>
        </w:rPr>
        <w:t>=198265#0</w:t>
      </w:r>
      <w:r w:rsidRPr="00AF52E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0D24" w:rsidRPr="00470D24" w:rsidRDefault="00470D24" w:rsidP="0047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470D24">
        <w:rPr>
          <w:rFonts w:ascii="Times New Roman" w:hAnsi="Times New Roman" w:cs="Times New Roman"/>
          <w:sz w:val="24"/>
          <w:szCs w:val="24"/>
        </w:rPr>
        <w:t xml:space="preserve">О рынке ценных бумаг: Федеральный закон от 22.04.1996 № 39-ФЗ (ред. от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470D2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470D24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D24">
        <w:rPr>
          <w:rFonts w:ascii="Times New Roman" w:hAnsi="Times New Roman" w:cs="Times New Roman"/>
          <w:sz w:val="24"/>
          <w:szCs w:val="24"/>
        </w:rPr>
        <w:t>) [Электронный ресурс] // СПС «КонсультантПлюс». – Режим доступа: www.consultant.ru/cons/cgi/online.cgi?req=doc&amp;base=LAW&amp;n=200969#0.</w:t>
      </w:r>
    </w:p>
    <w:p w:rsidR="00470D24" w:rsidRDefault="00470D24" w:rsidP="0047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470D24">
        <w:rPr>
          <w:rFonts w:ascii="Times New Roman" w:hAnsi="Times New Roman" w:cs="Times New Roman"/>
          <w:sz w:val="24"/>
          <w:szCs w:val="24"/>
        </w:rPr>
        <w:t xml:space="preserve">Об акционерных обществах: Федеральный закон от 26.12.1995 № 208-ФЗ (ред. от </w:t>
      </w:r>
      <w:r>
        <w:rPr>
          <w:rFonts w:ascii="Times New Roman" w:hAnsi="Times New Roman" w:cs="Times New Roman"/>
          <w:sz w:val="24"/>
          <w:szCs w:val="24"/>
        </w:rPr>
        <w:t>31.12.2017</w:t>
      </w:r>
      <w:r w:rsidRPr="00470D24">
        <w:rPr>
          <w:rFonts w:ascii="Times New Roman" w:hAnsi="Times New Roman" w:cs="Times New Roman"/>
          <w:sz w:val="24"/>
          <w:szCs w:val="24"/>
        </w:rPr>
        <w:t>) [Электронный ресурс] // СПС «КонсультантПлюс». – Режим доступа: www.consultant.ru/cons/cgi/online.cgi?req=doc&amp;base=LAW&amp;n=201184#0.</w:t>
      </w:r>
    </w:p>
    <w:p w:rsidR="00470D24" w:rsidRPr="00470D24" w:rsidRDefault="00470D24" w:rsidP="0047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470D24">
        <w:rPr>
          <w:rFonts w:ascii="Times New Roman" w:hAnsi="Times New Roman" w:cs="Times New Roman"/>
          <w:sz w:val="24"/>
          <w:szCs w:val="24"/>
        </w:rPr>
        <w:t xml:space="preserve">Положение о раскрытии информации эмитентами эмиссионных ценных бумаг: утв. Банком России 30.12.2014 № 454-П (ред. от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470D24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70D24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D24">
        <w:rPr>
          <w:rFonts w:ascii="Times New Roman" w:hAnsi="Times New Roman" w:cs="Times New Roman"/>
          <w:sz w:val="24"/>
          <w:szCs w:val="24"/>
        </w:rPr>
        <w:t>) [Электронный ресурс] // СПС «КонсультантПлюс». – Режим доступа: www.consultant.ru/cons/cgi/online.cgi?req=doc&amp;base=LAW&amp;n=199484#0.</w:t>
      </w:r>
    </w:p>
    <w:p w:rsidR="00FE66DD" w:rsidRPr="008E57CB" w:rsidRDefault="00470D24" w:rsidP="00FE66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D24">
        <w:rPr>
          <w:rFonts w:ascii="Times New Roman" w:hAnsi="Times New Roman" w:cs="Times New Roman"/>
          <w:sz w:val="24"/>
          <w:szCs w:val="24"/>
        </w:rPr>
        <w:t>8</w:t>
      </w:r>
      <w:r w:rsidR="00FE66DD">
        <w:rPr>
          <w:rFonts w:ascii="Times New Roman" w:hAnsi="Times New Roman" w:cs="Times New Roman"/>
          <w:sz w:val="24"/>
          <w:szCs w:val="24"/>
        </w:rPr>
        <w:t xml:space="preserve">. </w:t>
      </w:r>
      <w:r w:rsidR="00FE66DD" w:rsidRPr="00FE66DD">
        <w:rPr>
          <w:rFonts w:ascii="Times New Roman" w:hAnsi="Times New Roman" w:cs="Times New Roman"/>
          <w:sz w:val="24"/>
          <w:szCs w:val="24"/>
        </w:rPr>
        <w:t>Методологические рекомендации по проведению анализа финансово-хозяйственной деятельности организаций: утв. Госкомстатом России 28.11.2002 [Электронный ресурс] // СПС «КонсультантПлюс». – Режим доступа: http://www.consultant.ru/cons/cgi/online.cgi?req=doc&amp;base=LAW&amp;n=142116#0.</w:t>
      </w:r>
    </w:p>
    <w:sectPr w:rsidR="00FE66DD" w:rsidRPr="008E57CB" w:rsidSect="00E00810">
      <w:headerReference w:type="default" r:id="rId6"/>
      <w:pgSz w:w="11906" w:h="16838" w:code="9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421" w:rsidRDefault="007D7421">
      <w:pPr>
        <w:spacing w:after="0" w:line="240" w:lineRule="auto"/>
      </w:pPr>
      <w:r>
        <w:separator/>
      </w:r>
    </w:p>
  </w:endnote>
  <w:endnote w:type="continuationSeparator" w:id="0">
    <w:p w:rsidR="007D7421" w:rsidRDefault="007D7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421" w:rsidRDefault="007D7421">
      <w:pPr>
        <w:spacing w:after="0" w:line="240" w:lineRule="auto"/>
      </w:pPr>
      <w:r>
        <w:separator/>
      </w:r>
    </w:p>
  </w:footnote>
  <w:footnote w:type="continuationSeparator" w:id="0">
    <w:p w:rsidR="007D7421" w:rsidRDefault="007D7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D24" w:rsidRDefault="00470D24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208"/>
    <w:rsid w:val="00096A2C"/>
    <w:rsid w:val="000D565B"/>
    <w:rsid w:val="00136281"/>
    <w:rsid w:val="00171F93"/>
    <w:rsid w:val="00202E59"/>
    <w:rsid w:val="00214216"/>
    <w:rsid w:val="00236B45"/>
    <w:rsid w:val="002517AC"/>
    <w:rsid w:val="00271384"/>
    <w:rsid w:val="002E03F5"/>
    <w:rsid w:val="002E568B"/>
    <w:rsid w:val="00377968"/>
    <w:rsid w:val="00390671"/>
    <w:rsid w:val="00470D24"/>
    <w:rsid w:val="004B362E"/>
    <w:rsid w:val="005032C4"/>
    <w:rsid w:val="0052609F"/>
    <w:rsid w:val="005F3ADA"/>
    <w:rsid w:val="00643F27"/>
    <w:rsid w:val="006931AD"/>
    <w:rsid w:val="00741BEB"/>
    <w:rsid w:val="007C73BD"/>
    <w:rsid w:val="007D7421"/>
    <w:rsid w:val="00866BBD"/>
    <w:rsid w:val="008E57CB"/>
    <w:rsid w:val="00944904"/>
    <w:rsid w:val="00A464ED"/>
    <w:rsid w:val="00A53188"/>
    <w:rsid w:val="00A80DB9"/>
    <w:rsid w:val="00AE36A0"/>
    <w:rsid w:val="00B55F76"/>
    <w:rsid w:val="00B644AD"/>
    <w:rsid w:val="00C65E33"/>
    <w:rsid w:val="00CA41D5"/>
    <w:rsid w:val="00CC40A0"/>
    <w:rsid w:val="00D95208"/>
    <w:rsid w:val="00DA5E83"/>
    <w:rsid w:val="00E00760"/>
    <w:rsid w:val="00E00810"/>
    <w:rsid w:val="00E22008"/>
    <w:rsid w:val="00E74103"/>
    <w:rsid w:val="00F058A6"/>
    <w:rsid w:val="00F07AA6"/>
    <w:rsid w:val="00F64F68"/>
    <w:rsid w:val="00F94724"/>
    <w:rsid w:val="00FB114D"/>
    <w:rsid w:val="00FC4C01"/>
    <w:rsid w:val="00FE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EB305-AC7F-40A3-8315-DDBC915A8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BEB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944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44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4904"/>
  </w:style>
  <w:style w:type="character" w:styleId="a7">
    <w:name w:val="Placeholder Text"/>
    <w:basedOn w:val="a0"/>
    <w:uiPriority w:val="99"/>
    <w:semiHidden/>
    <w:rsid w:val="00096A2C"/>
    <w:rPr>
      <w:color w:val="808080"/>
    </w:rPr>
  </w:style>
  <w:style w:type="character" w:customStyle="1" w:styleId="UnresolvedMention">
    <w:name w:val="Unresolved Mention"/>
    <w:basedOn w:val="a0"/>
    <w:uiPriority w:val="99"/>
    <w:semiHidden/>
    <w:unhideWhenUsed/>
    <w:rsid w:val="00470D2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2852</Words>
  <Characters>16262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Савина Анастасия</dc:creator>
  <cp:keywords/>
  <dc:description/>
  <cp:lastModifiedBy>Пользователь</cp:lastModifiedBy>
  <cp:revision>2</cp:revision>
  <dcterms:created xsi:type="dcterms:W3CDTF">2018-02-18T13:05:00Z</dcterms:created>
  <dcterms:modified xsi:type="dcterms:W3CDTF">2018-02-18T13:05:00Z</dcterms:modified>
</cp:coreProperties>
</file>