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0"/>
        <w:ind w:firstLine="680"/>
        <w:jc w:val="both"/>
        <w:spacing w:line="360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2700" distB="12700" distL="12700" distR="12700" simplePos="0" relativeHeight="251658240" behindDoc="0" locked="0" layoutInCell="1" allowOverlap="1">
                <wp:simplePos x="0" y="0"/>
                <wp:positionH relativeFrom="column">
                  <wp:posOffset>2725420</wp:posOffset>
                </wp:positionH>
                <wp:positionV relativeFrom="line">
                  <wp:posOffset>-187959</wp:posOffset>
                </wp:positionV>
                <wp:extent cx="3244850" cy="784860"/>
                <wp:effectExtent l="0" t="0" r="0" b="0"/>
                <wp:wrapSquare wrapText="bothSides"/>
                <wp:docPr id="1" name="abc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24485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01"/>
                              <w:jc w:val="center"/>
                              <w:spacing w:after="0" w:line="276" w:lineRule="auto"/>
                            </w:pPr>
                            <w:r/>
                            <w:r/>
                          </w:p>
                        </w:txbxContent>
                      </wps:txbx>
                      <wps:bodyPr wrap="square" lIns="25400" tIns="25400" rIns="25400" bIns="2540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8240;o:allowoverlap:true;o:allowincell:true;mso-position-horizontal-relative:text;margin-left:214.60pt;mso-position-horizontal:absolute;mso-position-vertical-relative:line;margin-top:-14.80pt;mso-position-vertical:absolute;width:255.50pt;height:61.80pt;mso-wrap-distance-left:1.00pt;mso-wrap-distance-top:1.00pt;mso-wrap-distance-right:1.00pt;mso-wrap-distance-bottom:1.00pt;visibility:visible;" fillcolor="#FFFFFF" stroked="f">
                <w10:wrap type="square"/>
                <v:textbox inset="0,0,0,0">
                  <w:txbxContent>
                    <w:p>
                      <w:pPr>
                        <w:pStyle w:val="701"/>
                        <w:jc w:val="center"/>
                        <w:spacing w:after="0" w:line="276" w:lineRule="auto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40"/>
          <w:szCs w:val="40"/>
        </w:rPr>
        <w:t xml:space="preserve">ПРОЕКТ</w:t>
      </w:r>
      <w:r/>
    </w:p>
    <w:p>
      <w:pPr>
        <w:pStyle w:val="700"/>
        <w:ind w:firstLine="680"/>
        <w:jc w:val="both"/>
        <w:spacing w:line="360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b/>
          <w:bCs/>
          <w:spacing w:val="44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</w: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  <w:t xml:space="preserve">НАВСТРЕЧУ</w:t>
      </w:r>
      <w:r>
        <w:rPr>
          <w:rFonts w:ascii="Times New Roman Bold" w:hAnsi="Times New Roman Bold" w:cs="Times New Roman Bold"/>
          <w:b/>
          <w:bCs/>
          <w:spacing w:val="44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  <w:t xml:space="preserve">ВЕЛИКОЙ</w:t>
      </w:r>
      <w:r>
        <w:rPr>
          <w:rFonts w:ascii="Times New Roman Bold" w:hAnsi="Times New Roman Bold" w:cs="Times New Roman Bold"/>
          <w:b/>
          <w:bCs/>
          <w:spacing w:val="44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  <w:t xml:space="preserve">ПОБЕДЕ</w:t>
      </w:r>
      <w:r>
        <w:rPr>
          <w:rFonts w:ascii="Times New Roman Bold" w:hAnsi="Times New Roman Bold" w:cs="Times New Roman Bold"/>
          <w:b/>
          <w:bCs/>
          <w:spacing w:val="44"/>
          <w:sz w:val="36"/>
          <w:szCs w:val="36"/>
        </w:rPr>
        <w:t xml:space="preserve">!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pacing w:val="44"/>
          <w:sz w:val="36"/>
          <w:szCs w:val="36"/>
        </w:rPr>
        <w:t xml:space="preserve">ПОЛОЖЕНИЕ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Всероссийской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научно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АКТУАЛЬНЫЕ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РАЗВИТИЯ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СТРАТЕГИИ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ПАТРИОТИЧЕСКОГО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Общие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 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Всероссийская научно-практическая конференция «Актуальные направления </w:t>
      </w:r>
      <w:r>
        <w:rPr>
          <w:rFonts w:ascii="Times New Roman" w:hAnsi="Times New Roman" w:cs="Times New Roman"/>
          <w:sz w:val="28"/>
          <w:szCs w:val="28"/>
        </w:rPr>
        <w:t xml:space="preserve">развития</w:t>
      </w:r>
      <w:r>
        <w:rPr>
          <w:rFonts w:ascii="Times New Roman" w:hAnsi="Times New Roman" w:cs="Times New Roman"/>
          <w:sz w:val="28"/>
          <w:szCs w:val="28"/>
        </w:rPr>
        <w:t xml:space="preserve"> стратегии патриотического воспитания», приуроченная Победе в Великой Отечественной войне 194</w:t>
      </w:r>
      <w:r>
        <w:rPr>
          <w:rFonts w:ascii="Times New Roman" w:hAnsi="Times New Roman" w:cs="Times New Roman"/>
          <w:sz w:val="28"/>
          <w:szCs w:val="28"/>
        </w:rPr>
        <w:t xml:space="preserve">1-1945 гг. (далее — Конференция), организуется в соответствии с Федеральным законом «Об образовании в Российской Федерации», Указом Президента № 809 «Об утверждении Основ государственной политики по сохранению и укреплению традиционных российских духовно-н</w:t>
      </w:r>
      <w:r>
        <w:rPr>
          <w:rFonts w:ascii="Times New Roman" w:hAnsi="Times New Roman" w:cs="Times New Roman"/>
          <w:sz w:val="28"/>
          <w:szCs w:val="28"/>
        </w:rPr>
        <w:t xml:space="preserve">равственных ценностей» и принципами развития социальных институтов воспитания, обновления воспитательного процесса в системе общего и дополнительного образования, лежащих в основе Стратегии развития воспитания в Российской Федерации на период до 2025 года.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Конференция проводится в развитие решений Всероссийских научно-практических конференций «Идея патриотизма в системе воспитания подрастающего поколения», «Система патриотического воспитания подрастающего поколения: основные проблемы и перспективы формирован</w:t>
      </w:r>
      <w:r>
        <w:rPr>
          <w:rFonts w:ascii="Times New Roman" w:hAnsi="Times New Roman" w:cs="Times New Roman"/>
          <w:sz w:val="28"/>
          <w:szCs w:val="28"/>
        </w:rPr>
        <w:t xml:space="preserve">ия», «Концептуальные основы российского патриотизма и стратегия патриотического воспитания подрастающего поколения» и других научно-практических проектов, связанных с исследованием феномена патриотизма и совершенствованием патриотического воспитания в РФ.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Цель —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обсуждение актуальных проблем и дальнейшая разработка форм реализации стратегии патриотического воспитания подрастающего поколения граждан России.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0"/>
        <w:jc w:val="center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center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определить ценностные приоритеты, принципы и основные направления реализации стратегии патриотического воспитания молодёжи России в современных условиях;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рассмотреть место и роль семьи, школы, общества, государства, искусства, науки, религии и философии в решении проблем патриотического воспитания юношества;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проследить влияние массовой культуры на патриотический настрой российской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молодежи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определить тактику, ресурсный потенциал и способы эффективного взаимодействия государственных органов, институтов гражданского общества и армии по противодействию внешним и внутренним силам, направленны</w:t>
      </w:r>
      <w:r>
        <w:rPr>
          <w:rFonts w:ascii="Times New Roman" w:hAnsi="Times New Roman" w:cs="Times New Roman"/>
          <w:sz w:val="28"/>
          <w:szCs w:val="28"/>
        </w:rPr>
        <w:t xml:space="preserve">м</w:t>
      </w:r>
      <w:r>
        <w:rPr>
          <w:rFonts w:ascii="Times New Roman" w:hAnsi="Times New Roman" w:cs="Times New Roman"/>
          <w:sz w:val="28"/>
          <w:szCs w:val="28"/>
        </w:rPr>
        <w:t xml:space="preserve"> на уничтожение российской государственности и цивилизации;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предложить практики формирования и укрепления патриотического умонастроения средствами традиционного искусства;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обсудить возможности повышения качества просветительской деятельности в области патриотического воспитания подрастающего поколения;</w:t>
      </w:r>
      <w:r/>
    </w:p>
    <w:p>
      <w:pPr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выявить актуальные проблемы и причины колебаний патриотических настроений юношества и возможные риски в реализации стратегии его </w:t>
      </w:r>
      <w:r>
        <w:rPr>
          <w:sz w:val="28"/>
          <w:szCs w:val="28"/>
        </w:rPr>
        <w:t xml:space="preserve">патриотического воспитания;</w:t>
      </w:r>
      <w:r>
        <w:rPr>
          <w:sz w:val="28"/>
          <w:szCs w:val="28"/>
        </w:rPr>
      </w:r>
    </w:p>
    <w:p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ab/>
        <w:t xml:space="preserve">определить возможности патриотического воспитания подрастающего поколения в противодействии идеологии потребительства, национализма, русофобии  и пресечения проявлений экстремизма;</w:t>
      </w:r>
      <w:r>
        <w:rPr>
          <w:sz w:val="28"/>
          <w:szCs w:val="28"/>
        </w:rPr>
      </w:r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актуализировать победную преемственность поколений на героических примерах Великой Отечественной войны, локальных войн и специальных военных операций постсоветского периода;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обсудить проблемы сохранения и развития патриотически-значимых традиций народов России; </w:t>
      </w:r>
      <w:r/>
    </w:p>
    <w:p>
      <w:pPr>
        <w:spacing w:line="240" w:lineRule="auto"/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наметить способы преодоления трудностей интеграции регионально-этнического и национально-государственного патриотизма;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spacing w:line="240" w:lineRule="auto"/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подготовить конкретные предложения по использованию эффективных форм повышения квалификации специалистов по патриотическому воспитанию юношества;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обсудить возможности повышения эффективности деятельности научных, образовательных, просветительских организаций и организаций культуры по защите исторической правды, сохранению исторической памяти, противодействию фальсификации истории;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выявить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идеологические противоречия и практики укоренения российской государственности в приграничных,  вновь присоединенных, территориях;</w:t>
      </w:r>
      <w:r/>
    </w:p>
    <w:p>
      <w:pPr>
        <w:spacing w:line="240" w:lineRule="auto"/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оценить возможности правовой базы, регулирующей процесс патриотического воспитания и направления её совершенствования;</w:t>
      </w:r>
      <w:r/>
    </w:p>
    <w:p>
      <w:pPr>
        <w:spacing w:line="240" w:lineRule="auto"/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–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обсудить проблемы функционирования военно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-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патриотических объединений (поисковых движений, Движения «Пост № 1», спортивн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о-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оздоровительных лагерей и иных) в российских образовательных организациях и субъектах РФ.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соорганизаторы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Организатором конференции выступает Федеральное государственное бюджетное образовательное учреждение высшего образования «Краснодарский государственный институт культуры».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Соорганизаторами конференции являются </w:t>
      </w:r>
      <w:r>
        <w:rPr>
          <w:rFonts w:ascii="Times New Roman" w:hAnsi="Times New Roman" w:cs="Times New Roman"/>
          <w:sz w:val="28"/>
          <w:szCs w:val="28"/>
        </w:rPr>
        <w:t xml:space="preserve">Общероссийское общественно-государственное движение «Движение первых», </w:t>
      </w:r>
      <w:r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учреждение культуры «Центральный музей Великой Отечественной войны 1941-1945 гг.» Музей Победы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Общественная палата Краснодарского края, Министерство образования, науки и молодежной политики Краснодарского края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Парт</w:t>
      </w:r>
      <w:r>
        <w:rPr>
          <w:rFonts w:ascii="Times New Roman" w:hAnsi="Times New Roman" w:cs="Times New Roman"/>
          <w:sz w:val="28"/>
          <w:szCs w:val="28"/>
        </w:rPr>
        <w:t xml:space="preserve">нерами конференции выступают: Федеральное государственное бюджетное учреждение «Российский центр гражданского и патриотического воспитания детей и молодежи», Общероссийская общественно-государственная организация «Российское военно-историческое общество».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Организаторы и Соорганизаторы формируют Организационный комитет, координирующий и осуществляющий подготовку и проведение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(пп. 11, 12 настоящего Положения). </w:t>
      </w:r>
      <w:r/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К участию в Конференции приглашаются представители законодательной и исполнительной власти, а также учреждений сферы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и культуры,  молодёжной политики, научных центров, некоммерческих социально-ориентированных и религиозных организаций, политических партий, национально-культурных центров, учёные и общественные деятели. Приглашение к участию размещено на сайте </w:t>
      </w:r>
      <w:hyperlink r:id="rId11" w:tooltip="https://kgik1966.ru" w:history="1">
        <w:r>
          <w:rPr>
            <w:rFonts w:ascii="Times New Roman" w:hAnsi="Times New Roman" w:cs="Times New Roman"/>
            <w:b/>
            <w:bCs/>
            <w:color w:val="0000ff"/>
            <w:sz w:val="28"/>
            <w:szCs w:val="28"/>
            <w:u w:val="single"/>
          </w:rPr>
          <w:t xml:space="preserve">Краснодарского</w:t>
        </w:r>
        <w:r>
          <w:rPr>
            <w:rFonts w:ascii="Times New Roman Bold" w:hAnsi="Times New Roman Bold" w:cs="Times New Roman Bold"/>
            <w:b/>
            <w:bCs/>
            <w:color w:val="0000ff"/>
            <w:sz w:val="28"/>
            <w:szCs w:val="28"/>
            <w:u w:val="single"/>
          </w:rPr>
          <w:t xml:space="preserve"> </w:t>
        </w:r>
        <w:r>
          <w:rPr>
            <w:rFonts w:ascii="Times New Roman" w:hAnsi="Times New Roman" w:cs="Times New Roman"/>
            <w:b/>
            <w:bCs/>
            <w:color w:val="0000ff"/>
            <w:sz w:val="28"/>
            <w:szCs w:val="28"/>
            <w:u w:val="single"/>
          </w:rPr>
          <w:t xml:space="preserve">государственного</w:t>
        </w:r>
        <w:r>
          <w:rPr>
            <w:rFonts w:ascii="Times New Roman Bold" w:hAnsi="Times New Roman Bold" w:cs="Times New Roman Bold"/>
            <w:b/>
            <w:bCs/>
            <w:color w:val="0000ff"/>
            <w:sz w:val="28"/>
            <w:szCs w:val="28"/>
            <w:u w:val="single"/>
          </w:rPr>
          <w:t xml:space="preserve"> </w:t>
        </w:r>
        <w:r>
          <w:rPr>
            <w:rFonts w:ascii="Times New Roman" w:hAnsi="Times New Roman" w:cs="Times New Roman"/>
            <w:b/>
            <w:bCs/>
            <w:color w:val="0000ff"/>
            <w:sz w:val="28"/>
            <w:szCs w:val="28"/>
            <w:u w:val="single"/>
          </w:rPr>
          <w:t xml:space="preserve">института</w:t>
        </w:r>
        <w:r>
          <w:rPr>
            <w:rFonts w:ascii="Times New Roman Bold" w:hAnsi="Times New Roman Bold" w:cs="Times New Roman Bold"/>
            <w:b/>
            <w:bCs/>
            <w:color w:val="0000ff"/>
            <w:sz w:val="28"/>
            <w:szCs w:val="28"/>
            <w:u w:val="single"/>
          </w:rPr>
          <w:t xml:space="preserve"> </w:t>
        </w:r>
        <w:r>
          <w:rPr>
            <w:rFonts w:ascii="Times New Roman" w:hAnsi="Times New Roman" w:cs="Times New Roman"/>
            <w:b/>
            <w:bCs/>
            <w:color w:val="0000ff"/>
            <w:sz w:val="28"/>
            <w:szCs w:val="28"/>
            <w:u w:val="single"/>
          </w:rPr>
          <w:t xml:space="preserve">культуры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разделе </w:t>
      </w:r>
      <w:hyperlink r:id="rId12" w:tooltip="https://kgik1966.ru/press-sluzhba/novosti" w:history="1">
        <w:r>
          <w:rPr>
            <w:rFonts w:ascii="Times New Roman" w:hAnsi="Times New Roman" w:cs="Times New Roman"/>
            <w:b/>
            <w:bCs/>
            <w:color w:val="0000ff"/>
            <w:sz w:val="28"/>
            <w:szCs w:val="28"/>
            <w:u w:val="single"/>
          </w:rPr>
          <w:t xml:space="preserve">Новости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Возраст участников не ограничен.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К участию</w:t>
      </w:r>
      <w:r>
        <w:rPr>
          <w:rFonts w:ascii="Times New Roman" w:hAnsi="Times New Roman" w:cs="Times New Roman"/>
          <w:sz w:val="28"/>
          <w:szCs w:val="28"/>
        </w:rPr>
        <w:t xml:space="preserve"> допускаются лица, чьи доклады на утверждённые темы (п. 13 настоящего Положения) будут предоставлены Организатору до 1 февраля 2025 года и одобрены Организационным комитетом. Список тем, по предложению участников, может быть расширен до 1 ноября 2024 года.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В случае одобрения Организационным комитетом, доклад включается в программу работы секций, автору высылается персональное приглашение к участию, предусматривающее бесплатное проживание и питание участника во время Конференции (в слу</w:t>
      </w:r>
      <w:r>
        <w:rPr>
          <w:rFonts w:ascii="Times New Roman" w:hAnsi="Times New Roman" w:cs="Times New Roman"/>
          <w:sz w:val="28"/>
          <w:szCs w:val="28"/>
        </w:rPr>
        <w:t xml:space="preserve">чае соавторства, проживание и питание обеспечивается одному автору). В ином случае проживание и питание участник оплачивает самостоятельно. Намерение участия в работе Пленарного заседания и (или) работе тематических секций (без выступления) подтверждается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соответствующим уведомлением на имя Председателя организационного комитета.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Организационный комитет не даёт справок о мотивах и результатах экспертизы (отбора) работ.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Дата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Конференция проводится 1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-</w:t>
      </w:r>
      <w:r>
        <w:rPr>
          <w:rFonts w:ascii="Times New Roman" w:hAnsi="Times New Roman" w:cs="Times New Roman"/>
          <w:sz w:val="28"/>
          <w:szCs w:val="28"/>
        </w:rPr>
        <w:t xml:space="preserve">13 марта 202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 года, по адресу: 350072, Краснодарский край, г. Краснодар, ул. им. 40-летия Победы, д. 33.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7.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Функции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Соорганизаторов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Партнеров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комитета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участвует</w:t>
      </w:r>
      <w:r>
        <w:rPr>
          <w:rFonts w:ascii="Times New Roman" w:hAnsi="Times New Roman" w:cs="Times New Roman"/>
          <w:sz w:val="28"/>
          <w:szCs w:val="28"/>
        </w:rPr>
        <w:t xml:space="preserve"> в разработке программы и проведении Конференции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Соорганизаторы: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оказывают методическую помощь при проведении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оказывают содействие в приглашении участников и экспертов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информируют Организатора о предполагаемых участниках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обеспечивают информационную поддержку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по согласованию предоставляют площадку для </w:t>
      </w:r>
      <w:r>
        <w:rPr>
          <w:rFonts w:ascii="Times New Roman" w:hAnsi="Times New Roman" w:cs="Times New Roman"/>
          <w:sz w:val="28"/>
          <w:szCs w:val="28"/>
        </w:rPr>
        <w:t xml:space="preserve">проведения тематических секций, в т.ч. в режиме онлайн.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Партнеры оказывают информационную поддержку при организации и проведении Конференции, оказывают содействие в приглашении участников и экспертов Конференции.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Программный комитет: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утверждает темы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проводит систематизацию полученных работ, участвует в их редакции;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подготавливает резолюцию Конференции.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Организационный комитет: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координацию на всех этапах проведения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обеспечивает взаимодействие Организатора, Соорганизаторов и участников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направляет приглашения потенциальным участникам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несёт ответственность за материально-техническое и организационное   обеспечение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проводит экспертизу поступивших докладов, по результатам которой принимается решение о включении работ в программу и сборник материалов Конференции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обеспечивает печать сборника работ Конференции;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709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проводит пленарное заседание и организует работу тематических секций.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8.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Конференции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Предполагаемая численность участников Конференции — 70 человек, гостей Конференции — 400 человек.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Потенциальные участники конференции должны направить на электронный адрес Организационного комитета </w:t>
      </w:r>
      <w:hyperlink r:id="rId13" w:tooltip="mailto:patriot_konf@bk.ru" w:history="1"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patriot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_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konf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@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bk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.</w:t>
        </w:r>
        <w:r>
          <w:rPr>
            <w:rFonts w:ascii="Times New Roman Bold Italic" w:hAnsi="Times New Roman Bold Italic" w:cs="Times New Roman Bold Italic"/>
            <w:b/>
            <w:bCs/>
            <w:i/>
            <w:iCs/>
            <w:color w:val="0000ff"/>
            <w:sz w:val="28"/>
            <w:szCs w:val="28"/>
            <w:u w:val="single"/>
          </w:rPr>
          <w:t xml:space="preserve"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текст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своих докладов по утвержденным темам и заполненную анкету. Файлы докладов необходимо озаглавить «Фамилия_имя_доклад».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В случае допуска доклада к работе в Конференции, в дальнейшем он публикуется в сборнике материалов Конференции. Доклад</w:t>
      </w:r>
      <w:r>
        <w:rPr>
          <w:rFonts w:ascii="Times New Roman" w:hAnsi="Times New Roman" w:cs="Times New Roman"/>
          <w:sz w:val="28"/>
          <w:szCs w:val="28"/>
        </w:rPr>
        <w:t xml:space="preserve"> (статья)</w:t>
      </w:r>
      <w:r>
        <w:rPr>
          <w:rFonts w:ascii="Times New Roman" w:hAnsi="Times New Roman" w:cs="Times New Roman"/>
          <w:sz w:val="28"/>
          <w:szCs w:val="28"/>
        </w:rPr>
        <w:t xml:space="preserve"> должен содержать не более 12000 символов. Пример оформления доклада и анкета участника приведены в настоящем Положении. Кроме того, в сборник материалов Конференции могут войти доклады, удовлетворяющие по содержанию Программный комитет.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анализе содержания и формы доклада Экспертный совет руководствуется следующими критериями: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работ утверждённым темам;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теоретическая и практическая значимость работ;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работ ГОСТ Р 7.0.7-20</w:t>
      </w:r>
      <w:r>
        <w:rPr>
          <w:rFonts w:ascii="Times New Roman" w:hAnsi="Times New Roman" w:cs="Times New Roman"/>
          <w:sz w:val="28"/>
          <w:szCs w:val="28"/>
        </w:rPr>
        <w:t xml:space="preserve">21</w:t>
      </w:r>
      <w:r>
        <w:rPr>
          <w:rFonts w:ascii="Times New Roman" w:hAnsi="Times New Roman" w:cs="Times New Roman"/>
          <w:sz w:val="28"/>
          <w:szCs w:val="28"/>
        </w:rPr>
        <w:t xml:space="preserve"> и правилам, предъявляемым к оформлению текстовых документов;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</w:t>
      </w:r>
      <w:r>
        <w:rPr>
          <w:rFonts w:ascii="Times New Roman" w:hAnsi="Times New Roman" w:cs="Times New Roman"/>
          <w:sz w:val="28"/>
          <w:szCs w:val="28"/>
        </w:rPr>
        <w:t xml:space="preserve">грамотность и аргументированность изложения материала.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</w:t>
      </w:r>
      <w:r>
        <w:rPr>
          <w:rFonts w:ascii="Times New Roman" w:hAnsi="Times New Roman"/>
          <w:sz w:val="28"/>
          <w:szCs w:val="28"/>
          <w:lang w:eastAsia="ar-SA"/>
        </w:rPr>
        <w:t xml:space="preserve">ланируется постатейн</w:t>
      </w:r>
      <w:r>
        <w:rPr>
          <w:rFonts w:ascii="Times New Roman" w:hAnsi="Times New Roman"/>
          <w:sz w:val="28"/>
          <w:szCs w:val="28"/>
          <w:lang w:eastAsia="ar-SA"/>
        </w:rPr>
        <w:t xml:space="preserve">ое </w:t>
      </w:r>
      <w:r>
        <w:rPr>
          <w:rFonts w:ascii="Times New Roman" w:hAnsi="Times New Roman"/>
          <w:sz w:val="28"/>
          <w:szCs w:val="28"/>
          <w:lang w:eastAsia="ar-SA"/>
        </w:rPr>
        <w:t xml:space="preserve">размещение </w:t>
      </w:r>
      <w:r>
        <w:rPr>
          <w:rFonts w:ascii="Times New Roman" w:hAnsi="Times New Roman"/>
          <w:sz w:val="28"/>
          <w:szCs w:val="28"/>
          <w:lang w:eastAsia="ar-SA"/>
        </w:rPr>
        <w:t xml:space="preserve">сборника материалов Конференции </w:t>
      </w:r>
      <w:r>
        <w:rPr>
          <w:rFonts w:ascii="Times New Roman" w:hAnsi="Times New Roman"/>
          <w:sz w:val="28"/>
          <w:szCs w:val="28"/>
          <w:lang w:eastAsia="ar-SA"/>
        </w:rPr>
        <w:t xml:space="preserve">в РИНЦ</w:t>
      </w:r>
      <w:r>
        <w:rPr>
          <w:rFonts w:ascii="Times New Roman" w:hAnsi="Times New Roman"/>
          <w:sz w:val="28"/>
          <w:szCs w:val="28"/>
          <w:lang w:eastAsia="ar-SA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проведения отбора участников Организаторы предоставляют Соорганизаторам предварительный список Участников и предоставленные ими работы. 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проведения Конференции по каждой секции организуются дискуссионные площадки.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Доклады могут сопровождаться их презентацией. Регламентное время секционного доклада — 7-10 минут.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Проект плана проведения Конференции: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tbl>
      <w:tblPr>
        <w:tblW w:w="0" w:type="auto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CellMar>
          <w:left w:w="40" w:type="dxa"/>
          <w:top w:w="40" w:type="dxa"/>
          <w:right w:w="40" w:type="dxa"/>
          <w:bottom w:w="40" w:type="dxa"/>
        </w:tblCellMar>
        <w:tblLook w:val="0000" w:firstRow="0" w:lastRow="0" w:firstColumn="0" w:lastColumn="0" w:noHBand="0" w:noVBand="0"/>
      </w:tblPr>
      <w:tblGrid>
        <w:gridCol w:w="2043"/>
        <w:gridCol w:w="7577"/>
      </w:tblGrid>
      <w:tr>
        <w:tblPrEx/>
        <w:trPr>
          <w:trHeight w:val="40"/>
        </w:trPr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2043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Время</w:t>
            </w: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 </w:t>
            </w:r>
            <w:r/>
          </w:p>
        </w:tc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7577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</w:t>
            </w: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действия</w:t>
            </w:r>
            <w:r/>
          </w:p>
        </w:tc>
      </w:tr>
      <w:tr>
        <w:tblPrEx/>
        <w:trPr>
          <w:trHeight w:val="40"/>
        </w:trPr>
        <w:tc>
          <w:tcPr>
            <w:gridSpan w:val="2"/>
            <w:shd w:val="clear" w:color="auto" w:fill="d6d6d6"/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9620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марта</w:t>
            </w: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 </w:t>
            </w:r>
            <w:r/>
          </w:p>
        </w:tc>
      </w:tr>
      <w:tr>
        <w:tblPrEx/>
        <w:trPr>
          <w:trHeight w:val="40"/>
        </w:trPr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2043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7577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Заезд и регистрация участников и гостей Конференции</w:t>
            </w:r>
            <w:r/>
          </w:p>
        </w:tc>
      </w:tr>
      <w:tr>
        <w:tblPrEx/>
        <w:trPr>
          <w:trHeight w:val="40"/>
        </w:trPr>
        <w:tc>
          <w:tcPr>
            <w:gridSpan w:val="2"/>
            <w:shd w:val="clear" w:color="auto" w:fill="d6d6d6"/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9620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12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марта</w:t>
            </w: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 </w:t>
            </w:r>
            <w:r/>
          </w:p>
        </w:tc>
      </w:tr>
      <w:tr>
        <w:tblPrEx/>
        <w:trPr>
          <w:trHeight w:val="40"/>
        </w:trPr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2043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11:00 - 12:30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12:30 - 13:30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13:30 - 15:30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15:30 - 15:45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15:45 - 18:00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19:00</w:t>
            </w:r>
            <w:r/>
          </w:p>
        </w:tc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7577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Пленарное заседание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Обед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тематических секций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Кофе-брейк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тематических секций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Товарищеский ужин</w:t>
            </w:r>
            <w:r/>
          </w:p>
        </w:tc>
      </w:tr>
      <w:tr>
        <w:tblPrEx/>
        <w:trPr>
          <w:trHeight w:val="40"/>
        </w:trPr>
        <w:tc>
          <w:tcPr>
            <w:gridSpan w:val="2"/>
            <w:shd w:val="clear" w:color="auto" w:fill="d6d6d6"/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9620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 Bold" w:hAnsi="Times New Roman Bold" w:cs="Times New Roman Bold"/>
                <w:b/>
                <w:bCs/>
                <w:sz w:val="28"/>
                <w:szCs w:val="28"/>
              </w:rPr>
              <w:t xml:space="preserve">13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марта</w:t>
            </w:r>
            <w:r/>
          </w:p>
        </w:tc>
      </w:tr>
      <w:tr>
        <w:tblPrEx/>
        <w:trPr>
          <w:trHeight w:val="40"/>
        </w:trPr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2043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07:00 - 18:00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D6D6D6" w:sz="8" w:space="0"/>
              <w:left w:val="single" w:color="D6D6D6" w:sz="8" w:space="0"/>
              <w:bottom w:val="single" w:color="D6D6D6" w:sz="8" w:space="0"/>
              <w:right w:val="single" w:color="D6D6D6" w:sz="8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7577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Выезд в город-герой Новороссийск  (либо Парк Патриот)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Обзорная экскурсия по городу-герою Новороссийску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работы конференции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Возвращение в Краснодар 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тъезд участников конференции</w:t>
            </w:r>
            <w:r/>
          </w:p>
        </w:tc>
      </w:tr>
    </w:tbl>
    <w:p>
      <w:pPr>
        <w:pStyle w:val="700"/>
        <w:ind w:firstLine="680"/>
        <w:jc w:val="both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Материально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обеспечение</w:t>
      </w:r>
      <w:r/>
    </w:p>
    <w:p>
      <w:pPr>
        <w:pStyle w:val="700"/>
        <w:ind w:firstLine="680"/>
        <w:jc w:val="both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Для организации работы Конференции Организационным комитетом проводится ряд мероприятий: приобретается полиграфическая продукция, размещается информация на сайтах Организатора, Соорганизаторов, Партнеров, в социальных сетях, бронируются номера в гостинице.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Для участников Конференции обеспечивается культурная программа.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С целью формирования единого стиля мероприятия осуществляется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дизайн-макетов и изготовление ролл-апов, указателей, флаг-виндеров, анонсовых и итоговых видеороликов. Для организации работы Конференции изготавливаются буклеты с программой (включающей навигацию по площадкам конференции) и блокноты, которые распространя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тся среди участников и гостей Конференции.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Для освещения деятельности Конференции издаётся сборник докладов Конференции.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10.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Финансирование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Оплата расходов, связанных с проведением Конференции, осуществляется Организационным комитетом, по согласованию с Организатором и Соорганизаторами.</w:t>
      </w:r>
      <w:r/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0"/>
        <w:ind w:firstLine="680"/>
        <w:jc w:val="both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6"/>
        <w:jc w:val="center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11.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комитета</w:t>
      </w:r>
      <w:r/>
    </w:p>
    <w:p>
      <w:pPr>
        <w:pStyle w:val="706"/>
        <w:jc w:val="center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Председатель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Муравьёв Андрей Николаевич, доктор философских наук, </w:t>
      </w:r>
      <w:r>
        <w:rPr>
          <w:rFonts w:ascii="Times New Roman" w:hAnsi="Times New Roman" w:cs="Times New Roman"/>
          <w:sz w:val="28"/>
          <w:szCs w:val="28"/>
        </w:rPr>
        <w:t xml:space="preserve">профессор</w:t>
      </w:r>
      <w:r>
        <w:rPr>
          <w:rFonts w:ascii="Times New Roman" w:hAnsi="Times New Roman" w:cs="Times New Roman"/>
          <w:sz w:val="28"/>
          <w:szCs w:val="28"/>
        </w:rPr>
        <w:t xml:space="preserve"> кафедры истории философии Института философии </w:t>
      </w:r>
      <w:r>
        <w:rPr>
          <w:rFonts w:ascii="Times New Roman" w:hAnsi="Times New Roman" w:cs="Times New Roman"/>
          <w:sz w:val="28"/>
          <w:szCs w:val="28"/>
        </w:rPr>
        <w:t xml:space="preserve">Санкт-Петербургск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 xml:space="preserve">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Сопредседатели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</w:t>
      </w:r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Денисов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Николай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Григорьевич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доктор философских наук, профессор</w:t>
      </w:r>
      <w:r>
        <w:rPr>
          <w:rFonts w:ascii="Times New Roman" w:hAnsi="Times New Roman" w:cs="Times New Roman"/>
          <w:sz w:val="28"/>
          <w:szCs w:val="28"/>
        </w:rPr>
        <w:t xml:space="preserve"> кафедр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истории, культурологии и музееведения Краснодарского государственного института культуры.</w:t>
      </w:r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Члены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комитета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</w:t>
      </w:r>
      <w:r/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Малинкин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Александр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Николаевич</w:t>
      </w:r>
      <w:r>
        <w:rPr>
          <w:rFonts w:ascii="Times New Roman" w:hAnsi="Times New Roman" w:cs="Times New Roman"/>
          <w:sz w:val="28"/>
          <w:szCs w:val="28"/>
        </w:rPr>
        <w:t xml:space="preserve">, кандидат философских наук, социолог, ведущий научный сотрудник Института социологии ФНИСЦ РАН.</w:t>
      </w:r>
      <w:r/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Лутовинов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Ильич</w:t>
      </w:r>
      <w:r>
        <w:rPr>
          <w:rFonts w:ascii="Times New Roman" w:hAnsi="Times New Roman" w:cs="Times New Roman"/>
          <w:sz w:val="28"/>
          <w:szCs w:val="28"/>
        </w:rPr>
        <w:t xml:space="preserve">, доктор философских наук, профессор Российской академии народного хозяйства и государственной служб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при Президенте РФ.</w:t>
      </w:r>
      <w:r/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Бойко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Павел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Евгеньевич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доктор философских наук,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заведующий кафедрой философии, теологии и религиоведения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Кубанского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Чуев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, кандидат исторических наук, доцент Департамента политологии и массовых коммуникаций Финансового университета при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равительстве РФ, генеральный директор ГБУК г. Москвы «Центральная библиотечная система юго-восточного административного округа».</w:t>
      </w:r>
      <w:r/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Белоконев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Юрьевич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кандидат политических наук, доцент, директор Департамента политологии и массовых коммуникаций Финансового университета при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равительстве РФ.</w:t>
      </w:r>
      <w:r/>
    </w:p>
    <w:p>
      <w:pPr>
        <w:pStyle w:val="706"/>
        <w:jc w:val="center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6"/>
        <w:jc w:val="center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12.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комитета</w:t>
      </w:r>
      <w:r/>
    </w:p>
    <w:p>
      <w:pPr>
        <w:pStyle w:val="706"/>
        <w:jc w:val="center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Председатель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Зенгин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Семенович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 педагогических наук, доцент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ректор ФГБОУ ВО «Краснодарский государственный институт культуры», руководитель Краснодарского регионального отделения Общероссийской общест</w:t>
      </w:r>
      <w:r>
        <w:rPr>
          <w:rFonts w:ascii="Times New Roman" w:hAnsi="Times New Roman" w:cs="Times New Roman"/>
          <w:sz w:val="28"/>
          <w:szCs w:val="28"/>
        </w:rPr>
        <w:t xml:space="preserve">венно-государственной организации «Российское военно-историческое общество», Председатель комиссии Общественной палаты Краснодарского края по культуре, науке, образованию, патриотическому воспитанию, гражданскому просвещению и сохранению духовного наследия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Сопредседатели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</w:t>
      </w:r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Килин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 философских наук, </w:t>
      </w:r>
      <w:r>
        <w:rPr>
          <w:rFonts w:ascii="Times New Roman" w:hAnsi="Times New Roman" w:cs="Times New Roman"/>
          <w:sz w:val="28"/>
          <w:szCs w:val="28"/>
        </w:rPr>
        <w:t xml:space="preserve">проректор ФГБОУ ВО «Краснодарский государственный институт культуры» по науке,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дополнительному образованию и молодежной политике, руководитель Межрегионального молодёжного общественного Движения «Пост №1»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pStyle w:val="706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6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Члены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комитета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</w:t>
      </w:r>
      <w:r/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Акоева Наталья Борисовна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доктор исторических наук, профессор </w:t>
      </w:r>
      <w:r>
        <w:rPr>
          <w:rFonts w:ascii="Times New Roman" w:hAnsi="Times New Roman" w:cs="Times New Roman"/>
          <w:sz w:val="28"/>
          <w:szCs w:val="28"/>
        </w:rPr>
        <w:t xml:space="preserve">кафедр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истории, культурологии и музееведения Краснодарского государственного института культуры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Вицелярова Карина Николаевна</w:t>
      </w:r>
      <w:r>
        <w:rPr>
          <w:rFonts w:ascii="Times New Roman" w:hAnsi="Times New Roman" w:cs="Times New Roman"/>
          <w:sz w:val="28"/>
          <w:szCs w:val="28"/>
        </w:rPr>
        <w:t xml:space="preserve">, кандидат экономических наук, доцент кафедры социально-культурной деятельности, зам. декана по научной работе факультета гуманитарного образования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Жиганова Светлана Александрова</w:t>
      </w:r>
      <w:r>
        <w:rPr>
          <w:rFonts w:ascii="Times New Roman" w:hAnsi="Times New Roman" w:cs="Times New Roman"/>
          <w:sz w:val="28"/>
          <w:szCs w:val="28"/>
        </w:rPr>
        <w:t xml:space="preserve">, кандидат искусствоведения, доцент кафедры сольного и хорового народного пения, зам. декана по научной работе факультета народной культуры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Зольников Михаил Евгеньевич</w:t>
      </w:r>
      <w:r>
        <w:rPr>
          <w:rFonts w:ascii="Times New Roman" w:hAnsi="Times New Roman" w:cs="Times New Roman"/>
          <w:sz w:val="28"/>
          <w:szCs w:val="28"/>
        </w:rPr>
        <w:t xml:space="preserve">, кандидат искусствоведения, доцент кафедры фортепиано, зам. декана по научной работе факультета консерватория Краснодарского государственного института культуры;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Кудинова Анна Васильевна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кандидат исторических наук, заведюущий кафедрой </w:t>
      </w:r>
      <w:r>
        <w:rPr>
          <w:rFonts w:ascii="Times New Roman" w:hAnsi="Times New Roman" w:cs="Times New Roman"/>
          <w:sz w:val="28"/>
          <w:szCs w:val="28"/>
        </w:rPr>
        <w:t xml:space="preserve">истории, культурологии и музееведения Краснодарского государственного института культуры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Морозов Сергей Александрович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доктор философских наук, профессор </w:t>
      </w:r>
      <w:r>
        <w:rPr>
          <w:rFonts w:ascii="Times New Roman" w:hAnsi="Times New Roman" w:cs="Times New Roman"/>
          <w:sz w:val="28"/>
          <w:szCs w:val="28"/>
        </w:rPr>
        <w:t xml:space="preserve">кафедр</w:t>
      </w:r>
      <w:r>
        <w:rPr>
          <w:rFonts w:ascii="Times New Roman" w:hAnsi="Times New Roman" w:cs="Times New Roman"/>
          <w:sz w:val="28"/>
          <w:szCs w:val="28"/>
        </w:rPr>
        <w:t xml:space="preserve">ы</w:t>
      </w:r>
      <w:r>
        <w:rPr>
          <w:rFonts w:ascii="Times New Roman" w:hAnsi="Times New Roman" w:cs="Times New Roman"/>
          <w:sz w:val="28"/>
          <w:szCs w:val="28"/>
        </w:rPr>
        <w:t xml:space="preserve"> истории, культурологии и музееведения Краснодарского государственного института культуры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Предоляк Анна Анатольевна</w:t>
      </w:r>
      <w:r>
        <w:rPr>
          <w:rFonts w:ascii="Times New Roman" w:hAnsi="Times New Roman" w:cs="Times New Roman"/>
          <w:sz w:val="28"/>
          <w:szCs w:val="28"/>
        </w:rPr>
        <w:t xml:space="preserve">, кандидат искусствоведения, заведующий кафедрой кино, телевидения и звукорежиссуры, зам. декана по научной работе факультета телерадиовещания и театрального искусства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Герасимов Игорь Алексеевич</w:t>
      </w:r>
      <w:r>
        <w:rPr>
          <w:rFonts w:ascii="Times New Roman" w:hAnsi="Times New Roman" w:cs="Times New Roman"/>
          <w:sz w:val="28"/>
          <w:szCs w:val="28"/>
        </w:rPr>
        <w:t xml:space="preserve">, кандидат политических наук, начальник научного отдела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Кузнецова Любовь Петровна</w:t>
      </w:r>
      <w:r>
        <w:rPr>
          <w:rFonts w:ascii="Times New Roman" w:hAnsi="Times New Roman" w:cs="Times New Roman"/>
          <w:sz w:val="28"/>
          <w:szCs w:val="28"/>
        </w:rPr>
        <w:t xml:space="preserve">, начальник отдела молодежной политики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Егорова Дарья Сергеевна</w:t>
      </w:r>
      <w:r>
        <w:rPr>
          <w:rFonts w:ascii="Times New Roman" w:hAnsi="Times New Roman" w:cs="Times New Roman"/>
          <w:sz w:val="28"/>
          <w:szCs w:val="28"/>
        </w:rPr>
        <w:t xml:space="preserve">, помощник проректора по науке, дополнительному образованию и молодежной политике Краснодарского государственного института культуры;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Сивков Михаил Сергеевич</w:t>
      </w:r>
      <w:r>
        <w:rPr>
          <w:rFonts w:ascii="Times New Roman" w:hAnsi="Times New Roman" w:cs="Times New Roman"/>
          <w:sz w:val="28"/>
          <w:szCs w:val="28"/>
        </w:rPr>
        <w:t xml:space="preserve">, главный специалист научного отдела Краснодарского государственного института культуры.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rPr>
          <w:rFonts w:ascii="Times New Roman" w:hAnsi="Times New Roman"/>
          <w:sz w:val="28"/>
          <w:szCs w:val="28"/>
          <w:highlight w:val="green"/>
          <w:lang w:eastAsia="en-US"/>
        </w:rPr>
      </w:pPr>
      <w:r>
        <w:rPr>
          <w:rFonts w:ascii="Times New Roman" w:hAnsi="Times New Roman"/>
          <w:sz w:val="28"/>
          <w:szCs w:val="28"/>
          <w:highlight w:val="green"/>
          <w:lang w:eastAsia="en-US"/>
        </w:rPr>
      </w:r>
      <w:r>
        <w:rPr>
          <w:rFonts w:ascii="Times New Roman" w:hAnsi="Times New Roman"/>
          <w:sz w:val="28"/>
          <w:szCs w:val="28"/>
          <w:highlight w:val="green"/>
          <w:lang w:eastAsia="en-US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 Bold" w:hAnsi="Times New Roman Bold" w:cs="Times New Roman Bold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</w:r>
      <w:r>
        <w:rPr>
          <w:rFonts w:ascii="Times New Roman Bold" w:hAnsi="Times New Roman Bold" w:cs="Times New Roman Bold"/>
          <w:b/>
          <w:bCs/>
          <w:sz w:val="28"/>
          <w:szCs w:val="28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13.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Список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дискуссионных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панелей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Дискуссионная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панель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I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ИДЕЙНЫЕ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СТРАТЕГИИ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ПАТРИОТИЧЕСКОГО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ПОДРАСТАЮЩЕГО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ПОКОЛЕНИЯ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6"/>
        <w:ind w:left="360" w:hanging="360"/>
        <w:jc w:val="both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Модераторы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Хагуров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Темыр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Айтечевич</w:t>
      </w:r>
      <w:r>
        <w:rPr>
          <w:rFonts w:ascii="Times New Roman" w:hAnsi="Times New Roman" w:cs="Times New Roman"/>
          <w:sz w:val="28"/>
          <w:szCs w:val="28"/>
        </w:rPr>
        <w:t xml:space="preserve">, доктор социологи</w:t>
      </w:r>
      <w:r>
        <w:rPr>
          <w:rFonts w:ascii="Times New Roman" w:hAnsi="Times New Roman" w:cs="Times New Roman"/>
          <w:sz w:val="28"/>
          <w:szCs w:val="28"/>
        </w:rPr>
        <w:t xml:space="preserve">ческих наук, профессор, член Совета по межнациональным отношениям при главе администрации (губернаторе) Краснодарского края, проректор по учебной работе, качеству образования – первый проректор Кубанского государственного университета (Россия, Краснодар);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Белоконев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Юрьевич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кандидат политических наук, доцент, научный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факультета социальных наук и массовых коммуникаций </w:t>
      </w:r>
      <w:r>
        <w:rPr>
          <w:rFonts w:ascii="Times New Roman" w:hAnsi="Times New Roman" w:cs="Times New Roman"/>
          <w:sz w:val="28"/>
          <w:szCs w:val="28"/>
        </w:rPr>
        <w:t xml:space="preserve">Финансового университета при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равительстве РФ (Россия, Москва)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09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</w:t>
      </w:r>
      <w:r>
        <w:rPr>
          <w:rFonts w:ascii="Times New Roman" w:hAnsi="Times New Roman" w:cs="Times New Roman"/>
          <w:b/>
          <w:sz w:val="28"/>
          <w:szCs w:val="28"/>
        </w:rPr>
        <w:t xml:space="preserve">екретарь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Сивков Михаил Сергеевич</w:t>
      </w:r>
      <w:r>
        <w:rPr>
          <w:rFonts w:ascii="Times New Roman" w:hAnsi="Times New Roman" w:cs="Times New Roman"/>
          <w:sz w:val="28"/>
          <w:szCs w:val="28"/>
        </w:rPr>
        <w:t xml:space="preserve">, главный специалист научного отдела Краснодарского государственного института культуры.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Идея патриотизма в русской классической литературе и искусстве.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2.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Религия и религиозные конфессии о небесном и земном Отечестве.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3.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Понятия патриотизма, Родины, Отечества, народа и нации в мировой и отечественной философской мысли.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4.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Абстрактное и конкретное, историческое и логическое в системе патриотического воспитания юношества.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5.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Природные и духовные начала патриотизма и патриотического воспитания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6.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Представления о патриотизме в общественном и обыденном сознании граждан.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7.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Причины возникновения и трудности преодоления ложных форм патриотизма.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8.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Гражданский патриотизм и идея государственности: тождество и различие между ними.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9.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Крайности национализма и абстрактного космополитизма в горизонте действительного отношения национального и универсального (родного и вселенского).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10.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Национально-народное самосознание и патриотическое воспитание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11.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Местный (регионально-этнический) и гражданско-политический (национально-государственный) патриотизм: проблемы разумного разрешения возможных противоречий.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12.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Соборность как особенная черта национального самосознания русского народа и историческая основа российского патриотизма.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13.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Смысл жизни человека в родном Отечестве и высшие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созидательные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 цели развития человечности людей.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/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14.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Патриотическое воспитание как необходимый элемент формирования человеческой личности.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15.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Правовые, морально-нравственные, социально-политические, эстетически-художественные, религиозные и философские аспекты патриотического воспитания юношества.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16. Традиционные ценности российской цивилизации, их отличие от западных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Дискуссионная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панель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II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АКТУАЛЬНЫЕ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ВОПРОСЫ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ТАКТИКИ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СТРАТЕГИИ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ПАТРИОТИЧЕСКОГО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Модераторы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Лохова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Татьяна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Владимировна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кандидат исторических наук, директор Новороссийского политехнического института (филиал) Кубанского государственного технологического университета</w:t>
      </w:r>
      <w:r>
        <w:rPr>
          <w:rFonts w:ascii="Times New Roman" w:hAnsi="Times New Roman" w:cs="Times New Roman"/>
          <w:sz w:val="28"/>
          <w:szCs w:val="28"/>
        </w:rPr>
        <w:t xml:space="preserve"> (Россия, Новороссийск)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Лутовинов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Ильич</w:t>
      </w:r>
      <w:r>
        <w:rPr>
          <w:rFonts w:ascii="Times New Roman" w:hAnsi="Times New Roman" w:cs="Times New Roman"/>
          <w:sz w:val="28"/>
          <w:szCs w:val="28"/>
        </w:rPr>
        <w:t xml:space="preserve">, доктор философских наук, профессор Российской академии народного хозяйства и государственной службе при Президенте РФ</w:t>
      </w:r>
      <w:r>
        <w:rPr>
          <w:rFonts w:ascii="Times New Roman" w:hAnsi="Times New Roman" w:cs="Times New Roman"/>
          <w:sz w:val="28"/>
          <w:szCs w:val="28"/>
        </w:rPr>
        <w:t xml:space="preserve"> (Россия, Москва)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Секретарь: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Егорова Дарья Сергеевна</w:t>
      </w:r>
      <w:r>
        <w:rPr>
          <w:rFonts w:ascii="Times New Roman" w:hAnsi="Times New Roman" w:cs="Times New Roman"/>
          <w:sz w:val="28"/>
          <w:szCs w:val="28"/>
        </w:rPr>
        <w:t xml:space="preserve">, помощник проректора по науке, дополнительному образованию и молодежной политике Краснодарского государственного института культуры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b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Опыт зарубежного и отечественного гражданско-патриотического воспитания молодёжи: достижения и недостатки.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2.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Проблема единого подхода к патриотическому воспитанию подрастающего поколения и формированию его системы.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3.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Принцип, содержание, формы и ступени патриотического воспитания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4.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Ценностные и прагматически-значимые компоненты патриотического воспитания.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Роль философии, религии, искусства и науки в деле патриотического воспитания юношества.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6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Современная информационно-коммуникационная среда и патриотическое воспитание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7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Факторы, содействующие возникновению антипатриотических настроений юношества.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8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Причины распространения в молодёжной среде экстремистских идеологий и способы борьбы с ним.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9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Новые подходы к патриотическому воспитанию молодёжи, учитывающие актуальные изменения в её ценностных ориентациях, потребностях и интересах.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10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Взгляд в будущее: «Основные положения Концепции российского патриотизма».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Память о Великой Отечественной войне как актуальный ресурс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сохранения мира.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Школьные музеи и «Движение первых»: перспективы взаимодействия в контексте сохранения исторической памяти. 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color w:val="101010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13.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Трудовое воспитание как актуальный аспект формирования патриотического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умонастроения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 молодежи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проблемы законодательного регулирования и механизмы реализации.</w:t>
      </w:r>
      <w:r>
        <w:rPr>
          <w:rFonts w:ascii="Times New Roman" w:hAnsi="Times New Roman" w:cs="Times New Roman"/>
          <w:color w:val="101010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4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Экологическое просвещение и воспитание патриотического умонастроения личности.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5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Способы приобщения подрастающего поколения к активной общественно-политической жизни и созидательной деятельности.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6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Добровольчество как школа личного счастья.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7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Критерии качества патриотического воспитания юношества и задача создания индекса его показателей.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8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Критерии оценки эффективности реализации стратегии патриотического воспитания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9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Действующая правовая база воспитания патриотизма и направления ее совершенствования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федеральном и региональном уровнях.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Развитие русского языка и патриотизма в современных реалиях.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Русский язык как объект культурного наследия.</w:t>
      </w:r>
      <w:r/>
    </w:p>
    <w:p>
      <w:pPr>
        <w:ind w:firstLine="567"/>
        <w:spacing w:line="345" w:lineRule="exact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Патриотическое воспитание российской молодежи в условиях обострения взаимоотношений России со странами «коллективного Запада».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Опыт взаимодействия с дружественными государствами (КНР и другими) в развитии патриотизма и интернациональной дружбы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4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Семейные отношения и ценности как способ воспитания патриотического умонастроения и гражданской идентичности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5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01010"/>
          <w:sz w:val="28"/>
          <w:szCs w:val="28"/>
        </w:rPr>
        <w:tab/>
        <w:t xml:space="preserve">Организация художественно-добровольческого студенческого отряда как элемент воспитательно-просветительский направления в развитии патриотического умонастроения.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01010"/>
          <w:sz w:val="28"/>
          <w:szCs w:val="28"/>
        </w:rPr>
        <w:t xml:space="preserve">2</w:t>
      </w:r>
      <w:r>
        <w:rPr>
          <w:rFonts w:ascii="Times New Roman" w:hAnsi="Times New Roman" w:cs="Times New Roman"/>
          <w:color w:val="101010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. Контрпропаганда как средство упреждения и отражения ценностно- и идейно-враждебной западной пропаганды, направленной на молодое поколение граждан России.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  <w:rPr>
          <w:rFonts w:asciiTheme="minorHAnsi" w:hAnsiTheme="minorHAnsi"/>
        </w:rPr>
      </w:pPr>
      <w:r>
        <w:rPr>
          <w:rFonts w:asciiTheme="minorHAnsi" w:hAnsiTheme="minorHAnsi"/>
        </w:rPr>
      </w:r>
      <w:r>
        <w:rPr>
          <w:rFonts w:asciiTheme="minorHAnsi" w:hAnsiTheme="minorHAnsi"/>
        </w:rPr>
      </w:r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Дискуссионная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панель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III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КУЛЬТУРЫ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ИСКУССТВА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ПАТРИОТИЧЕСКОМ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ВОСПИТАНИИ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/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Модераторы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Чуев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 исторических наук, с</w:t>
      </w:r>
      <w:r>
        <w:rPr>
          <w:rFonts w:ascii="Times New Roman" w:hAnsi="Times New Roman" w:cs="Times New Roman"/>
          <w:sz w:val="28"/>
          <w:szCs w:val="28"/>
        </w:rPr>
        <w:t xml:space="preserve">оветник при ректорате</w:t>
      </w:r>
      <w:r>
        <w:rPr>
          <w:rFonts w:ascii="Times New Roman" w:hAnsi="Times New Roman" w:cs="Times New Roman"/>
          <w:sz w:val="28"/>
          <w:szCs w:val="28"/>
        </w:rPr>
        <w:t xml:space="preserve">, заведующий кафедрой государственного и муниципального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 xml:space="preserve"> (Россия, Москва)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Денисов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Николай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Григорьевич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доктор философских наук, профессор кафедры истории, культурологии и музееведения Краснодарского государственного института культуры (Россия, Краснодар).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Секретарь:</w:t>
      </w:r>
      <w:r>
        <w:rPr>
          <w:b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ab/>
        <w:t xml:space="preserve">Понятия культуры и массовой культуры. Российская массовая культура: специфика, оценка, влияние на подрастающее поколение.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2.</w:t>
      </w:r>
      <w:r>
        <w:rPr>
          <w:rFonts w:ascii="Times New Roman" w:hAnsi="Times New Roman" w:cs="Times New Roman"/>
          <w:sz w:val="28"/>
          <w:szCs w:val="28"/>
        </w:rPr>
        <w:tab/>
        <w:t xml:space="preserve">Понятие культурного колониализма в его отличие от аккультурации. Почему и когда Россия утратила и восстановила иммунитет перед культурной коллонизацией Запада? 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3.</w:t>
      </w:r>
      <w:r>
        <w:rPr>
          <w:rFonts w:ascii="Times New Roman" w:hAnsi="Times New Roman" w:cs="Times New Roman"/>
          <w:sz w:val="28"/>
          <w:szCs w:val="28"/>
        </w:rPr>
        <w:tab/>
        <w:t xml:space="preserve">Массовая культура и «современное искусство» как основные каналы, используемые Западом для подрыва традиционных ценностей российской цивилизации и психологической обработки российской молодёжи. 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Актуальность и востребованность художественных и религиозных практик патриотического воспитания в мире современных информационно-коммуникативных технологий.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Патриотическая культура как фактор формирования многополярного мира.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Чтение исторической и художественной литературы как основа патриотического воспитания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7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Проектная деятельность библиотек по формированию гражданско-патриотической культуры детей и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8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Архивные документы как источник патриотического общественного сознания.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Традиционная народная культура как актуальный ресурс патриотического воспитания детей и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10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Роль и место образов народных героев в деле патриотического воспитания подрастающего поколения.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11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Патриотическое воспитание детей и молодежи средствами музыкального искусства.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Патриотические песни как формы воспитания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Воспитательные функции отечественных фильмов военно-патриотического содержания.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Динамика концепта «Родина» в истории искусства.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Специфика воплощения образа Родины в отечественном искусстве.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Оппозиция «свой-чужой» в отечественном искусстве.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7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Тема войны и защиты Родины в русском искусстве.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8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Героико-патриотическая тема в оперном жанре и симфоническом творчестве.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Формирование личности через патриотические произведения отечественного и мирового искусства.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Воинская доблесть и защита России в богослужебных чинопоследованиях и </w:t>
      </w:r>
      <w:r>
        <w:rPr>
          <w:rFonts w:ascii="Times New Roman" w:hAnsi="Times New Roman" w:cs="Times New Roman"/>
          <w:sz w:val="28"/>
          <w:szCs w:val="28"/>
        </w:rPr>
        <w:t xml:space="preserve">культовых искусствах как религиозный аспект стратегии патриотического воспитания. 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21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Викториальные торжества: празднование побед от Петра I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настоящего времени.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Образ </w:t>
      </w:r>
      <w:r>
        <w:rPr>
          <w:rFonts w:ascii="Times New Roman" w:hAnsi="Times New Roman" w:cs="Times New Roman"/>
          <w:sz w:val="28"/>
          <w:szCs w:val="28"/>
        </w:rPr>
        <w:t xml:space="preserve">Росси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в массовых музыкально-театрализованных представлениях.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Театральные постановки как способ воспитания патриотизма у подрастающей молодёжи.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Песни, навеянные войной: через историю создания к целостному </w:t>
      </w:r>
      <w:r>
        <w:rPr>
          <w:rFonts w:ascii="Times New Roman" w:hAnsi="Times New Roman" w:cs="Times New Roman"/>
          <w:sz w:val="28"/>
          <w:szCs w:val="28"/>
        </w:rPr>
        <w:t xml:space="preserve">пониманию и интерпретации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Изучение истории создания музыкальных произведений о войне как ключ к прочтению современной молодежью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Синтез цифровых изобразительных техник в искусстве современного патриотического плаката на примере студенческих проектов.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Тема п</w:t>
      </w:r>
      <w:r>
        <w:rPr>
          <w:rFonts w:ascii="Times New Roman" w:hAnsi="Times New Roman" w:cs="Times New Roman"/>
          <w:sz w:val="28"/>
          <w:szCs w:val="28"/>
        </w:rPr>
        <w:t xml:space="preserve">атриотизм</w:t>
      </w:r>
      <w:r>
        <w:rPr>
          <w:rFonts w:ascii="Times New Roman" w:hAnsi="Times New Roman" w:cs="Times New Roman"/>
          <w:sz w:val="28"/>
          <w:szCs w:val="28"/>
        </w:rPr>
        <w:t xml:space="preserve">а в п</w:t>
      </w:r>
      <w:r>
        <w:rPr>
          <w:rFonts w:ascii="Times New Roman" w:hAnsi="Times New Roman" w:cs="Times New Roman"/>
          <w:sz w:val="28"/>
          <w:szCs w:val="28"/>
        </w:rPr>
        <w:t xml:space="preserve">роизведения</w:t>
      </w:r>
      <w:r>
        <w:rPr>
          <w:rFonts w:ascii="Times New Roman" w:hAnsi="Times New Roman" w:cs="Times New Roman"/>
          <w:sz w:val="28"/>
          <w:szCs w:val="28"/>
        </w:rPr>
        <w:t xml:space="preserve">х</w:t>
      </w:r>
      <w:r>
        <w:rPr>
          <w:rFonts w:ascii="Times New Roman" w:hAnsi="Times New Roman" w:cs="Times New Roman"/>
          <w:sz w:val="28"/>
          <w:szCs w:val="28"/>
        </w:rPr>
        <w:t xml:space="preserve"> плакатного искусства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Доминанты российского патриотизма в произведениях плакатного искусства военного времени.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Стремление формирующейся личности к высшим</w:t>
      </w:r>
      <w:r>
        <w:rPr>
          <w:rFonts w:ascii="Times New Roman" w:hAnsi="Times New Roman" w:cs="Times New Roman"/>
          <w:sz w:val="28"/>
          <w:szCs w:val="28"/>
        </w:rPr>
        <w:t xml:space="preserve"> целям человечества и смысл жизни в родном Отечестве.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ab/>
        <w:t xml:space="preserve">Стратегия патриотического воспитания подрастающего поколения в свете формирования системы национального воспитания граждан России.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Дискуссионная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панель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IV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ПОБЕДНАЯ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ПРЕЕМСТВЕННОСТЬ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ПОКОЛЕНИЙ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</w:t>
      </w:r>
      <w:r/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ВЕЛИКОЙ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ОТЕЧЕСТВЕННОЙ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ВОЙНЫ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СВО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/>
      <w:r/>
    </w:p>
    <w:p>
      <w:pPr>
        <w:pStyle w:val="706"/>
        <w:jc w:val="both"/>
        <w:spacing w:line="275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Модераторы</w:t>
      </w:r>
      <w:r>
        <w:rPr>
          <w:rFonts w:ascii="Times New Roman Bold" w:hAnsi="Times New Roman Bold" w:cs="Times New Roman Bold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Шалин Виктор Викторович,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доктор </w:t>
      </w:r>
      <w:r>
        <w:rPr>
          <w:rFonts w:ascii="Times New Roman" w:hAnsi="Times New Roman" w:cs="Times New Roman"/>
          <w:bCs/>
          <w:sz w:val="28"/>
          <w:szCs w:val="28"/>
        </w:rPr>
        <w:t xml:space="preserve">ф</w:t>
      </w:r>
      <w:r>
        <w:rPr>
          <w:rFonts w:ascii="Times New Roman" w:hAnsi="Times New Roman" w:cs="Times New Roman"/>
          <w:bCs/>
          <w:sz w:val="28"/>
          <w:szCs w:val="28"/>
        </w:rPr>
        <w:t xml:space="preserve">илософских наук, проф</w:t>
      </w:r>
      <w:r>
        <w:rPr>
          <w:rFonts w:ascii="Times New Roman" w:hAnsi="Times New Roman" w:cs="Times New Roman"/>
          <w:bCs/>
          <w:sz w:val="28"/>
          <w:szCs w:val="28"/>
        </w:rPr>
        <w:t xml:space="preserve">ессор,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зав</w:t>
      </w:r>
      <w:r>
        <w:rPr>
          <w:rFonts w:ascii="Times New Roman" w:hAnsi="Times New Roman" w:cs="Times New Roman"/>
          <w:bCs/>
          <w:sz w:val="28"/>
          <w:szCs w:val="28"/>
        </w:rPr>
        <w:t xml:space="preserve">едующий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кафедрой социологии и культурологии Кубанск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аграрн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bCs/>
          <w:sz w:val="28"/>
          <w:szCs w:val="28"/>
        </w:rPr>
        <w:t xml:space="preserve">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им. И.Т. Трубилина;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Барто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Алексей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Сергеевич</w:t>
      </w:r>
      <w:r>
        <w:rPr>
          <w:rFonts w:ascii="Times New Roman Bold" w:hAnsi="Times New Roman Bold" w:cs="Times New Roman Bold"/>
          <w:bCs/>
          <w:sz w:val="28"/>
          <w:szCs w:val="28"/>
        </w:rPr>
        <w:t xml:space="preserve">,</w:t>
      </w:r>
      <w:r>
        <w:rPr>
          <w:rFonts w:ascii="Times New Roman Bold" w:hAnsi="Times New Roman Bold" w:cs="Times New Roman Bold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кандидат политических наук, </w:t>
      </w:r>
      <w:r>
        <w:rPr>
          <w:rFonts w:ascii="Times New Roman" w:hAnsi="Times New Roman" w:cs="Times New Roman"/>
          <w:bCs/>
          <w:sz w:val="28"/>
          <w:szCs w:val="28"/>
        </w:rPr>
        <w:t xml:space="preserve">з</w:t>
      </w:r>
      <w:r>
        <w:rPr>
          <w:rFonts w:ascii="Times New Roman" w:hAnsi="Times New Roman" w:cs="Times New Roman"/>
          <w:bCs/>
          <w:sz w:val="28"/>
          <w:szCs w:val="28"/>
        </w:rPr>
        <w:t xml:space="preserve">аместитель начальника отдела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работе с политическими партиями и общественно-политическому мониторингу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муниципального образования г. Краснодар (Россия, Краснодар)</w:t>
      </w:r>
      <w:r>
        <w:rPr>
          <w:rFonts w:ascii="Times New Roman" w:hAnsi="Times New Roman" w:cs="Times New Roman"/>
          <w:bCs/>
          <w:sz w:val="28"/>
          <w:szCs w:val="28"/>
        </w:rPr>
        <w:t xml:space="preserve">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Прохода Павел Викторович,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кандидат исторических наук, доцент </w:t>
      </w:r>
      <w:r>
        <w:rPr>
          <w:rFonts w:ascii="Times New Roman" w:hAnsi="Times New Roman" w:cs="Times New Roman"/>
          <w:sz w:val="28"/>
          <w:szCs w:val="28"/>
        </w:rPr>
        <w:t xml:space="preserve">кафедры истории, культурологии и музееведения Краснодарского государственного института культуры (Россия, Краснодар).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Секретарь:</w:t>
      </w:r>
      <w:r>
        <w:rPr>
          <w:b/>
        </w:rPr>
      </w:r>
    </w:p>
    <w:p>
      <w:pPr>
        <w:pStyle w:val="706"/>
        <w:jc w:val="center"/>
        <w:spacing w:line="275" w:lineRule="auto"/>
        <w:tabs>
          <w:tab w:val="left" w:pos="425" w:leader="none"/>
          <w:tab w:val="left" w:pos="6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/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ab/>
        <w:t xml:space="preserve">Россия в борьбе за суверенитет: уроки истории и современность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2.</w:t>
      </w:r>
      <w:r>
        <w:rPr>
          <w:rFonts w:ascii="Times New Roman" w:hAnsi="Times New Roman" w:cs="Times New Roman"/>
          <w:sz w:val="28"/>
          <w:szCs w:val="28"/>
        </w:rPr>
        <w:tab/>
        <w:t xml:space="preserve">Опыт триединой системы воспитания в советский период: идейно-политического, патриотического, интернационального.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Достижения и упущения.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3.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Патриотическая преемственность в институтах воспитания советского юношества: октябрята, пионерия, комсомол.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Достижения и упущения.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4.</w:t>
      </w:r>
      <w:r>
        <w:rPr>
          <w:rFonts w:ascii="Times New Roman" w:hAnsi="Times New Roman" w:cs="Times New Roman"/>
          <w:sz w:val="28"/>
          <w:szCs w:val="28"/>
        </w:rPr>
        <w:tab/>
        <w:t xml:space="preserve">Добровольческое молодежное движение по поддержке фронта в 1941 году</w:t>
      </w:r>
      <w:r>
        <w:rPr>
          <w:rFonts w:ascii="Times New Roman" w:hAnsi="Times New Roman" w:cs="Times New Roman"/>
        </w:rPr>
        <w:t xml:space="preserve">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5.</w:t>
      </w:r>
      <w:r>
        <w:rPr>
          <w:rFonts w:ascii="Times New Roman" w:hAnsi="Times New Roman" w:cs="Times New Roman"/>
          <w:sz w:val="28"/>
          <w:szCs w:val="28"/>
        </w:rPr>
        <w:tab/>
        <w:t xml:space="preserve">Массовый героизм представителей народов СССР в годы Великой Отечественной войны как реально-историческое свидетельство дружбы народов Советского Союза.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6.</w:t>
      </w:r>
      <w:r>
        <w:rPr>
          <w:rFonts w:ascii="Times New Roman" w:hAnsi="Times New Roman" w:cs="Times New Roman"/>
          <w:sz w:val="28"/>
          <w:szCs w:val="28"/>
        </w:rPr>
        <w:tab/>
        <w:t xml:space="preserve">Государственно-политический переворот в Киеве 2014 г.: задачи патриотического воспитания российской молодёжи в связи с её знанием о перевороте и отношением к нему.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7.</w:t>
      </w:r>
      <w:r>
        <w:rPr>
          <w:rFonts w:ascii="Times New Roman" w:hAnsi="Times New Roman" w:cs="Times New Roman"/>
          <w:sz w:val="28"/>
          <w:szCs w:val="28"/>
        </w:rPr>
        <w:tab/>
        <w:t xml:space="preserve">Новая волна патриотизма: русская весна в Крыму, защита Донбасса, возвращение на историческую Родину русских территорий Донецкой и Луганской Республик, Запорожской и Херсонской областей.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8.</w:t>
      </w:r>
      <w:r>
        <w:rPr>
          <w:rFonts w:ascii="Times New Roman" w:hAnsi="Times New Roman" w:cs="Times New Roman"/>
          <w:sz w:val="28"/>
          <w:szCs w:val="28"/>
        </w:rPr>
        <w:tab/>
        <w:t xml:space="preserve">Специальная военная операция (СВО) как способ восстановления исторической справедливости в новороссийском макрорегионе.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9.</w:t>
      </w:r>
      <w:r>
        <w:rPr>
          <w:rFonts w:ascii="Times New Roman" w:hAnsi="Times New Roman" w:cs="Times New Roman"/>
          <w:sz w:val="28"/>
          <w:szCs w:val="28"/>
        </w:rPr>
        <w:tab/>
        <w:t xml:space="preserve">Духовно-нравственные основы патриотической мобилизации соотечественников в поддержке СВО.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10.</w:t>
      </w:r>
      <w:r>
        <w:rPr>
          <w:rFonts w:ascii="Times New Roman" w:hAnsi="Times New Roman" w:cs="Times New Roman"/>
          <w:sz w:val="28"/>
          <w:szCs w:val="28"/>
        </w:rPr>
        <w:tab/>
        <w:t xml:space="preserve">Гражданские практики оказания добровольческой, материальной, моральной и военной помощи братскому народу в ходе проведения СВО. 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11.</w:t>
      </w:r>
      <w:r>
        <w:rPr>
          <w:rFonts w:ascii="Times New Roman" w:hAnsi="Times New Roman" w:cs="Times New Roman"/>
          <w:sz w:val="28"/>
          <w:szCs w:val="28"/>
        </w:rPr>
        <w:tab/>
        <w:t xml:space="preserve">Преступления нацистов и их пособников в годы Великой Отечественной войны: история и память, смысловые параллели с СВО.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12.</w:t>
      </w:r>
      <w:r>
        <w:rPr>
          <w:rFonts w:ascii="Times New Roman" w:hAnsi="Times New Roman" w:cs="Times New Roman"/>
          <w:sz w:val="28"/>
          <w:szCs w:val="28"/>
        </w:rPr>
        <w:tab/>
        <w:t xml:space="preserve">«Афганская война» как выполнение интернационального долга советского народа.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Понятия «интернационализм», «воин-интернационалист» вчера и сегодня.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13.</w:t>
      </w:r>
      <w:r>
        <w:rPr>
          <w:rFonts w:ascii="Times New Roman" w:hAnsi="Times New Roman" w:cs="Times New Roman"/>
          <w:sz w:val="28"/>
          <w:szCs w:val="28"/>
        </w:rPr>
        <w:tab/>
        <w:t xml:space="preserve">Роль церкви в годы Великой Отечественной войны и в наше время.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14.</w:t>
      </w:r>
      <w:r>
        <w:rPr>
          <w:rFonts w:ascii="Times New Roman" w:hAnsi="Times New Roman" w:cs="Times New Roman"/>
          <w:sz w:val="28"/>
          <w:szCs w:val="28"/>
        </w:rPr>
        <w:tab/>
        <w:t xml:space="preserve">Произведения искусства, посвященные Великой Отечественной войне: их роль в деле патриотического воспитания молодежи.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15.</w:t>
      </w:r>
      <w:r>
        <w:rPr>
          <w:rFonts w:ascii="Times New Roman" w:hAnsi="Times New Roman" w:cs="Times New Roman"/>
          <w:sz w:val="28"/>
          <w:szCs w:val="28"/>
        </w:rPr>
        <w:tab/>
        <w:t xml:space="preserve">Деятели культуры России для участников СВО: позитивный и негативный опыт.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16.</w:t>
      </w:r>
      <w:r>
        <w:rPr>
          <w:rFonts w:ascii="Times New Roman" w:hAnsi="Times New Roman" w:cs="Times New Roman"/>
          <w:sz w:val="28"/>
          <w:szCs w:val="28"/>
        </w:rPr>
        <w:tab/>
        <w:t xml:space="preserve">Специальная военная операция как идейно-ценностное противостояние России неоколониализму коллективного Запада. 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17.</w:t>
      </w:r>
      <w:r>
        <w:rPr>
          <w:rFonts w:ascii="Times New Roman" w:hAnsi="Times New Roman" w:cs="Times New Roman"/>
          <w:sz w:val="28"/>
          <w:szCs w:val="28"/>
        </w:rPr>
        <w:tab/>
        <w:t xml:space="preserve">Патриотическое воспитание в условиях СВО: как воспитывает война и как воспитывает мир вдали от боевых действий.</w:t>
      </w:r>
      <w:r/>
    </w:p>
    <w:p>
      <w:pPr>
        <w:ind w:firstLine="567"/>
        <w:spacing w:line="240" w:lineRule="auto"/>
        <w:tabs>
          <w:tab w:val="clear" w:pos="600" w:leader="none"/>
          <w:tab w:val="left" w:pos="1134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</w:pPr>
      <w:r>
        <w:rPr>
          <w:rFonts w:ascii="Times New Roman" w:hAnsi="Times New Roman" w:cs="Times New Roman"/>
          <w:sz w:val="28"/>
          <w:szCs w:val="28"/>
        </w:rPr>
        <w:t xml:space="preserve">18.</w:t>
      </w:r>
      <w:r>
        <w:rPr>
          <w:rFonts w:ascii="Times New Roman" w:hAnsi="Times New Roman" w:cs="Times New Roman"/>
          <w:sz w:val="28"/>
          <w:szCs w:val="28"/>
        </w:rPr>
        <w:tab/>
        <w:t xml:space="preserve">Музыкальное, поэтическое и другие виды искусства как формы гражданско-патриотической поддержки СВО. </w:t>
      </w:r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pStyle w:val="706"/>
        <w:ind w:firstLine="719"/>
        <w:jc w:val="both"/>
        <w:spacing w:line="275" w:lineRule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496" w:leader="none"/>
        </w:tabs>
      </w:pPr>
      <w:r/>
      <w:r/>
    </w:p>
    <w:p>
      <w:pPr>
        <w:jc w:val="left"/>
        <w:spacing w:after="200" w:line="276" w:lineRule="auto"/>
        <w:widowControl/>
        <w:tabs>
          <w:tab w:val="clear" w:pos="600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 w:clear="all"/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706"/>
        <w:ind w:left="360" w:hanging="360"/>
        <w:jc w:val="center"/>
        <w:spacing w:line="275" w:lineRule="auto"/>
        <w:tabs>
          <w:tab w:val="left" w:pos="600" w:leader="none"/>
          <w:tab w:val="left" w:pos="12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ПРИМЕР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ОФОРМЛЕНИЯ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ДОКЛАДА</w:t>
      </w:r>
      <w:r/>
    </w:p>
    <w:p>
      <w:pPr>
        <w:pStyle w:val="706"/>
        <w:ind w:left="360" w:hanging="360"/>
        <w:jc w:val="both"/>
        <w:spacing w:line="275" w:lineRule="auto"/>
        <w:tabs>
          <w:tab w:val="left" w:pos="600" w:leader="none"/>
          <w:tab w:val="left" w:pos="1200" w:leader="none"/>
          <w:tab w:val="left" w:pos="1800" w:leader="none"/>
          <w:tab w:val="left" w:pos="2400" w:leader="none"/>
          <w:tab w:val="left" w:pos="3000" w:leader="none"/>
          <w:tab w:val="left" w:pos="3600" w:leader="none"/>
          <w:tab w:val="left" w:pos="4200" w:leader="none"/>
          <w:tab w:val="left" w:pos="4800" w:leader="none"/>
          <w:tab w:val="left" w:pos="5400" w:leader="none"/>
          <w:tab w:val="left" w:pos="6000" w:leader="none"/>
          <w:tab w:val="left" w:pos="6600" w:leader="none"/>
          <w:tab w:val="left" w:pos="7200" w:leader="none"/>
          <w:tab w:val="left" w:pos="7800" w:leader="none"/>
          <w:tab w:val="left" w:pos="8400" w:leader="none"/>
          <w:tab w:val="left" w:pos="9000" w:leader="none"/>
          <w:tab w:val="left" w:pos="9600" w:leader="none"/>
          <w:tab w:val="left" w:pos="10200" w:leader="none"/>
          <w:tab w:val="left" w:pos="10800" w:leader="none"/>
          <w:tab w:val="left" w:pos="11400" w:leader="none"/>
          <w:tab w:val="left" w:pos="12000" w:leader="none"/>
          <w:tab w:val="left" w:pos="12600" w:leader="none"/>
          <w:tab w:val="left" w:pos="13200" w:leader="none"/>
          <w:tab w:val="left" w:pos="13800" w:leader="none"/>
          <w:tab w:val="left" w:pos="14400" w:leader="none"/>
          <w:tab w:val="left" w:pos="15000" w:leader="none"/>
          <w:tab w:val="left" w:pos="15600" w:leader="none"/>
          <w:tab w:val="left" w:pos="16200" w:leader="none"/>
          <w:tab w:val="left" w:pos="16800" w:leader="none"/>
          <w:tab w:val="left" w:pos="17400" w:leader="none"/>
          <w:tab w:val="left" w:pos="18000" w:leader="none"/>
          <w:tab w:val="left" w:pos="18600" w:leader="none"/>
          <w:tab w:val="left" w:pos="19200" w:leader="none"/>
          <w:tab w:val="left" w:pos="19800" w:leader="none"/>
          <w:tab w:val="left" w:pos="20400" w:leader="none"/>
          <w:tab w:val="left" w:pos="21000" w:leader="none"/>
          <w:tab w:val="left" w:pos="21600" w:leader="none"/>
          <w:tab w:val="left" w:pos="22200" w:leader="none"/>
          <w:tab w:val="left" w:pos="22800" w:leader="none"/>
          <w:tab w:val="left" w:pos="23400" w:leader="none"/>
          <w:tab w:val="left" w:pos="24000" w:leader="none"/>
        </w:tabs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2700" distB="12700" distL="12700" distR="12700" simplePos="0" relativeHeight="251659264" behindDoc="0" locked="0" layoutInCell="1" allowOverlap="1">
                <wp:simplePos x="0" y="0"/>
                <wp:positionH relativeFrom="column">
                  <wp:posOffset>-85089</wp:posOffset>
                </wp:positionH>
                <wp:positionV relativeFrom="line">
                  <wp:posOffset>165735</wp:posOffset>
                </wp:positionV>
                <wp:extent cx="6286500" cy="6856095"/>
                <wp:effectExtent l="0" t="0" r="0" b="0"/>
                <wp:wrapSquare wrapText="bothSides"/>
                <wp:docPr id="2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286500" cy="6856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9A9A9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706"/>
                              <w:jc w:val="righ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И.И. Иванов</w:t>
                            </w:r>
                            <w:r/>
                          </w:p>
                          <w:p>
                            <w:pPr>
                              <w:pStyle w:val="706"/>
                              <w:jc w:val="righ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г.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Москва</w:t>
                            </w:r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НАЗВАНИЕ</w:t>
                            </w:r>
                            <w:r>
                              <w:rPr>
                                <w:rFonts w:ascii="Times New Roman Bold" w:hAnsi="Times New Roman Bold" w:cs="Times New Roman 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ДОКЛАДА</w:t>
                            </w:r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Аннотация</w:t>
                            </w:r>
                            <w:r/>
                          </w:p>
                          <w:p>
                            <w:pPr>
                              <w:pStyle w:val="706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Ключевые слова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рассмотрению принимаются тексты объёмом до 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000 символов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 пробелами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Язык – русский.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Параметры страницы: формат – А 4; ориентация – книжная.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Параметры форматирования: поля: правое, левое, сверху, снизу = 2 см.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Параметры текста: формат файла – *.doc, *.docх, шрифт – TimesNewRoman, кегль – 14 пт, абзац-интервал – одинарный (1,0), отступ первой строки = 1,25 см.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Порядок оформления текста: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В верхнем правом углу страницы – фамилия и инициалы автора (соавторов)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город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 отступом 1 строки от Ф.И.О. – название доклада (по центру, жирным шрифтом, заглавными буквами)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 отступом 1 строки от заглавия – аннотация на русском и английском языках (4-5 строк) и ключевые слова (5-10 слов). С отступом 1 строки от ключевых слов – текст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доклада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 отступом 1 строки от текста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доклада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– Список источников (в порядке цитирования, без повторов).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Выравнивание текста по ширине строки, с автоматической расстановкой переносов. Страницы файла  нумируются сверху, по центру со второй страницы.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Сноски на использованные источники концевые – в квадратных скобках, с указанием номера источника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в соответствии 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списком источников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и страниц (например: [2, с. 31-33]). Очередность нумерации сносок – в порядке упоминания в тексте. Применение автоматических постраничных ссылок на источники не допускается.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737"/>
                              <w:jc w:val="both"/>
                              <w:tabs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ind w:firstLine="737"/>
                              <w:jc w:val="both"/>
                              <w:tabs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Список источников оформляется в соответствии с ГОСТ Р 7.0.5-2008: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737"/>
                              <w:jc w:val="both"/>
                              <w:tabs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/>
                            <w:r/>
                          </w:p>
                          <w:p>
                            <w:pPr>
                              <w:pStyle w:val="706"/>
                              <w:jc w:val="center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Список</w:t>
                            </w:r>
                            <w:r>
                              <w:rPr>
                                <w:rFonts w:ascii="Times New Roman Bold" w:hAnsi="Times New Roman Bold" w:cs="Times New Roman 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источников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1. Тарле Е.В. Крымская война. М., 1941. Т. 2.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2. Павленко О.В. Крымская война в исторической памяти Российской империи на рубеже XIX–XXвв. // Вестник Российского государственного гуманитарного университета. 2014. № 18. С. 9-37.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3. Референдум о государственном статусе Крыма и Севастополя 16 марта 2014 г.URL: http://krymology.info/index.php/%D0%A0%D0%B5%/ (дата обращения: 02.04.2014).</w:t>
                            </w:r>
                            <w:r/>
                          </w:p>
                          <w:p>
                            <w:pPr>
                              <w:pStyle w:val="706"/>
                              <w:ind w:firstLine="567"/>
                              <w:jc w:val="both"/>
                              <w:spacing w:line="300" w:lineRule="exact"/>
                              <w:tabs>
                                <w:tab w:val="left" w:pos="706" w:leader="none"/>
                                <w:tab w:val="left" w:pos="1412" w:leader="none"/>
                                <w:tab w:val="left" w:pos="2118" w:leader="none"/>
                                <w:tab w:val="left" w:pos="2824" w:leader="none"/>
                                <w:tab w:val="left" w:pos="3530" w:leader="none"/>
                                <w:tab w:val="left" w:pos="4236" w:leader="none"/>
                                <w:tab w:val="left" w:pos="4942" w:leader="none"/>
                                <w:tab w:val="left" w:pos="5648" w:leader="none"/>
                                <w:tab w:val="left" w:pos="6354" w:leader="none"/>
                                <w:tab w:val="left" w:pos="7060" w:leader="none"/>
                                <w:tab w:val="left" w:pos="7766" w:leader="none"/>
                                <w:tab w:val="left" w:pos="8472" w:leader="none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4. Wheal E.-A. A Dictionary of the SecondWorld War / E.-A. Wheal, S. Pope, J. Taylor.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Londonetc., 1989.</w:t>
                            </w:r>
                            <w:r/>
                          </w:p>
                        </w:txbxContent>
                      </wps:txbx>
                      <wps:bodyPr wrap="square" lIns="25400" tIns="25400" rIns="25400" bIns="25400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true;mso-position-horizontal-relative:text;margin-left:-6.70pt;mso-position-horizontal:absolute;mso-position-vertical-relative:line;margin-top:13.05pt;mso-position-vertical:absolute;width:495.00pt;height:539.85pt;mso-wrap-distance-left:1.00pt;mso-wrap-distance-top:1.00pt;mso-wrap-distance-right:1.00pt;mso-wrap-distance-bottom:1.00pt;visibility:visible;" fillcolor="#FFFFFF" strokecolor="#A9A9A9" strokeweight="1.00pt">
                <w10:wrap type="square"/>
                <v:textbox inset="0,0,0,0">
                  <w:txbxContent>
                    <w:p>
                      <w:pPr>
                        <w:pStyle w:val="706"/>
                        <w:jc w:val="righ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И.И. Иванов</w:t>
                      </w:r>
                      <w:r/>
                    </w:p>
                    <w:p>
                      <w:pPr>
                        <w:pStyle w:val="706"/>
                        <w:jc w:val="righ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г.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Москва</w:t>
                      </w:r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НАЗВАНИЕ</w:t>
                      </w:r>
                      <w:r>
                        <w:rPr>
                          <w:rFonts w:ascii="Times New Roman Bold" w:hAnsi="Times New Roman Bold" w:cs="Times New Roman 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ДОКЛАДА</w:t>
                      </w:r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Аннотация</w:t>
                      </w:r>
                      <w:r/>
                    </w:p>
                    <w:p>
                      <w:pPr>
                        <w:pStyle w:val="706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Ключевые слова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рассмотрению принимаются тексты объёмом до 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000 символов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 пробелами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Язык – русский.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Параметры страницы: формат – А 4; ориентация – книжная.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Параметры форматирования: поля: правое, левое, сверху, снизу = 2 см.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Параметры текста: формат файла – *.doc, *.docх, шрифт – TimesNewRoman, кегль – 14 пт, абзац-интервал – одинарный (1,0), отступ первой строки = 1,25 см.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Порядок оформления текста: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В верхнем правом углу страницы – фамилия и инициалы автора (соавторов)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город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 отступом 1 строки от Ф.И.О. – название доклада (по центру, жирным шрифтом, заглавными буквами)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 отступом 1 строки от заглавия – аннотация на русском и английском языках (4-5 строк) и ключевые слова (5-10 слов). С отступом 1 строки от ключевых слов – текст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доклада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 отступом 1 строки от текста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доклада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– Список источников (в порядке цитирования, без повторов).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Выравнивание текста по ширине строки, с автоматической расстановкой переносов. Страницы файла  нумируются сверху, по центру со второй страницы.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Сноски на использованные источники концевые – в квадратных скобках, с указанием номера источника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в соответствии с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списком источников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и страниц (например: [2, с. 31-33]). Очередность нумерации сносок – в порядке упоминания в тексте. Применение автоматических постраничных ссылок на источники не допускается.</w:t>
                      </w:r>
                      <w:r/>
                    </w:p>
                    <w:p>
                      <w:pPr>
                        <w:pStyle w:val="706"/>
                        <w:ind w:firstLine="737"/>
                        <w:jc w:val="both"/>
                        <w:tabs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ind w:firstLine="737"/>
                        <w:jc w:val="both"/>
                        <w:tabs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Список источников оформляется в соответствии с ГОСТ Р 7.0.5-2008:</w:t>
                      </w:r>
                      <w:r/>
                    </w:p>
                    <w:p>
                      <w:pPr>
                        <w:pStyle w:val="706"/>
                        <w:ind w:firstLine="737"/>
                        <w:jc w:val="both"/>
                        <w:tabs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/>
                      <w:r/>
                    </w:p>
                    <w:p>
                      <w:pPr>
                        <w:pStyle w:val="706"/>
                        <w:jc w:val="center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Список</w:t>
                      </w:r>
                      <w:r>
                        <w:rPr>
                          <w:rFonts w:ascii="Times New Roman Bold" w:hAnsi="Times New Roman Bold" w:cs="Times New Roman 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источников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1. Тарле Е.В. Крымская война. М., 1941. Т. 2.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2. Павленко О.В. Крымская война в исторической памяти Российской империи на рубеже XIX–XXвв. // Вестник Российского государственного гуманитарного университета. 2014. № 18. С. 9-37.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3. Референдум о государственном статусе Крыма и Севастополя 16 марта 2014 г.URL: http://krymology.info/index.php/%D0%A0%D0%B5%/ (дата обращения: 02.04.2014).</w:t>
                      </w:r>
                      <w:r/>
                    </w:p>
                    <w:p>
                      <w:pPr>
                        <w:pStyle w:val="706"/>
                        <w:ind w:firstLine="567"/>
                        <w:jc w:val="both"/>
                        <w:spacing w:line="300" w:lineRule="exact"/>
                        <w:tabs>
                          <w:tab w:val="left" w:pos="706" w:leader="none"/>
                          <w:tab w:val="left" w:pos="1412" w:leader="none"/>
                          <w:tab w:val="left" w:pos="2118" w:leader="none"/>
                          <w:tab w:val="left" w:pos="2824" w:leader="none"/>
                          <w:tab w:val="left" w:pos="3530" w:leader="none"/>
                          <w:tab w:val="left" w:pos="4236" w:leader="none"/>
                          <w:tab w:val="left" w:pos="4942" w:leader="none"/>
                          <w:tab w:val="left" w:pos="5648" w:leader="none"/>
                          <w:tab w:val="left" w:pos="6354" w:leader="none"/>
                          <w:tab w:val="left" w:pos="7060" w:leader="none"/>
                          <w:tab w:val="left" w:pos="7766" w:leader="none"/>
                          <w:tab w:val="left" w:pos="8472" w:leader="none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4. Wheal E.-A. A Dictionary of the SecondWorld War / E.-A. Wheal, S. Pope, J. Taylor.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Londonetc., 1989.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jc w:val="left"/>
        <w:spacing w:after="200" w:line="276" w:lineRule="auto"/>
        <w:widowControl/>
        <w:tabs>
          <w:tab w:val="clear" w:pos="600" w:leader="none"/>
          <w:tab w:val="clear" w:pos="1200" w:leader="none"/>
          <w:tab w:val="clear" w:pos="1800" w:leader="none"/>
          <w:tab w:val="clear" w:pos="2400" w:leader="none"/>
          <w:tab w:val="clear" w:pos="3000" w:leader="none"/>
          <w:tab w:val="clear" w:pos="3600" w:leader="none"/>
          <w:tab w:val="clear" w:pos="4200" w:leader="none"/>
          <w:tab w:val="clear" w:pos="4800" w:leader="none"/>
          <w:tab w:val="clear" w:pos="5400" w:leader="none"/>
          <w:tab w:val="clear" w:pos="6000" w:leader="none"/>
          <w:tab w:val="clear" w:pos="6600" w:leader="none"/>
          <w:tab w:val="clear" w:pos="7200" w:leader="none"/>
          <w:tab w:val="clear" w:pos="7800" w:leader="none"/>
          <w:tab w:val="clear" w:pos="8400" w:leader="none"/>
          <w:tab w:val="clear" w:pos="9000" w:leader="none"/>
          <w:tab w:val="clear" w:pos="9600" w:leader="none"/>
          <w:tab w:val="clear" w:pos="10200" w:leader="none"/>
          <w:tab w:val="clear" w:pos="10800" w:leader="none"/>
          <w:tab w:val="clear" w:pos="11400" w:leader="none"/>
          <w:tab w:val="clear" w:pos="12000" w:leader="none"/>
          <w:tab w:val="clear" w:pos="12600" w:leader="none"/>
          <w:tab w:val="clear" w:pos="13200" w:leader="none"/>
          <w:tab w:val="clear" w:pos="13800" w:leader="none"/>
          <w:tab w:val="clear" w:pos="14400" w:leader="none"/>
          <w:tab w:val="clear" w:pos="15000" w:leader="none"/>
          <w:tab w:val="clear" w:pos="15600" w:leader="none"/>
          <w:tab w:val="clear" w:pos="16200" w:leader="none"/>
          <w:tab w:val="clear" w:pos="16800" w:leader="none"/>
          <w:tab w:val="clear" w:pos="17400" w:leader="none"/>
          <w:tab w:val="clear" w:pos="18000" w:leader="none"/>
          <w:tab w:val="clear" w:pos="18600" w:leader="none"/>
          <w:tab w:val="clear" w:pos="19200" w:leader="none"/>
          <w:tab w:val="clear" w:pos="19800" w:leader="none"/>
          <w:tab w:val="clear" w:pos="20400" w:leader="none"/>
          <w:tab w:val="clear" w:pos="21000" w:leader="none"/>
          <w:tab w:val="clear" w:pos="21600" w:leader="none"/>
          <w:tab w:val="clear" w:pos="22200" w:leader="none"/>
          <w:tab w:val="clear" w:pos="22800" w:leader="none"/>
          <w:tab w:val="clear" w:pos="23400" w:leader="none"/>
          <w:tab w:val="clear" w:pos="24000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 w:clear="all"/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АНКЕТА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АВТОРОВ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ДОКЛАДА</w:t>
      </w:r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tbl>
      <w:tblPr>
        <w:tblW w:w="0" w:type="auto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CellMar>
          <w:left w:w="40" w:type="dxa"/>
          <w:top w:w="40" w:type="dxa"/>
          <w:right w:w="40" w:type="dxa"/>
          <w:bottom w:w="40" w:type="dxa"/>
        </w:tblCellMar>
        <w:tblLook w:val="0000" w:firstRow="0" w:lastRow="0" w:firstColumn="0" w:lastColumn="0" w:noHBand="0" w:noVBand="0"/>
      </w:tblPr>
      <w:tblGrid>
        <w:gridCol w:w="2405"/>
        <w:gridCol w:w="2405"/>
        <w:gridCol w:w="2405"/>
        <w:gridCol w:w="2405"/>
      </w:tblGrid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vMerge w:val="restart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 Имя Отчество </w:t>
            </w:r>
            <w:r/>
          </w:p>
        </w:tc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 1</w:t>
            </w:r>
            <w:r/>
          </w:p>
        </w:tc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 2</w:t>
            </w:r>
            <w:r/>
          </w:p>
        </w:tc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 3</w:t>
            </w:r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доклада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gridSpan w:val="3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721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374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gridSpan w:val="3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721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19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Секция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gridSpan w:val="3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721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символов в докладе</w:t>
            </w:r>
            <w:r/>
          </w:p>
        </w:tc>
        <w:tc>
          <w:tcPr>
            <w:gridSpan w:val="3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721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Учёная степень, звание, должность (для студентов - место учёбы)</w:t>
            </w:r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  <w:tr>
        <w:tblPrEx/>
        <w:trPr>
          <w:trHeight w:val="40"/>
        </w:trPr>
        <w:tc>
          <w:tcPr>
            <w:shd w:val="clear" w:color="auto" w:fill="ebebeb"/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почта</w:t>
            </w:r>
            <w:r/>
          </w:p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  <w:tc>
          <w:tcPr>
            <w:tcBorders>
              <w:top w:val="single" w:color="A9A9A9" w:sz="8" w:space="0"/>
              <w:left w:val="single" w:color="A9A9A9" w:sz="8" w:space="0"/>
              <w:bottom w:val="single" w:color="A9A9A9" w:sz="8" w:space="0"/>
              <w:right w:val="single" w:color="A9A9A9" w:sz="8" w:space="0"/>
            </w:tcBorders>
            <w:tcW w:w="2405" w:type="dxa"/>
            <w:textDirection w:val="lrTb"/>
            <w:noWrap w:val="false"/>
          </w:tcPr>
          <w:p>
            <w:pPr>
              <w:pStyle w:val="700"/>
              <w:jc w:val="center"/>
              <w:spacing w:line="276" w:lineRule="auto"/>
              <w:tabs>
                <w:tab w:val="left" w:pos="68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  <w:tab w:val="left" w:pos="7200" w:leader="none"/>
                <w:tab w:val="left" w:pos="7920" w:leader="none"/>
              </w:tabs>
            </w:pPr>
            <w:r/>
            <w:r/>
          </w:p>
        </w:tc>
      </w:tr>
    </w:tbl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p>
      <w:pPr>
        <w:pStyle w:val="700"/>
        <w:jc w:val="center"/>
        <w:spacing w:line="276" w:lineRule="auto"/>
        <w:tabs>
          <w:tab w:val="left" w:pos="68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00" w:leader="none"/>
          <w:tab w:val="left" w:pos="7920" w:leader="none"/>
        </w:tabs>
      </w:pPr>
      <w:r/>
      <w:r/>
    </w:p>
    <w:sectPr>
      <w:footerReference w:type="default" r:id="rId9"/>
      <w:footerReference w:type="even" r:id="rId10"/>
      <w:footnotePr/>
      <w:endnotePr>
        <w:numFmt w:val="decimal"/>
      </w:endnotePr>
      <w:type w:val="nextPage"/>
      <w:pgSz w:w="11900" w:h="16840" w:orient="portrait"/>
      <w:pgMar w:top="851" w:right="567" w:bottom="851" w:left="1701" w:header="284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Bold Italic">
    <w:panose1 w:val="05040102010807070707"/>
  </w:font>
  <w:font w:name="Menlo">
    <w:panose1 w:val="05040102010807070707"/>
  </w:font>
  <w:font w:name="Times New Roman Bold">
    <w:panose1 w:val="05040102010807070707"/>
  </w:font>
  <w:font w:name="Arial">
    <w:panose1 w:val="020B0604020202020204"/>
  </w:font>
  <w:font w:name="Times New Roman">
    <w:panose1 w:val="02020603050405020304"/>
  </w:font>
  <w:font w:name="Helvetica Neue">
    <w:panose1 w:val="05040102010807070707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</w:pPr>
    <w:fldSimple w:instr="PAGE \* MERGEFORMAT">
      <w:r>
        <w:t xml:space="preserve">1</w:t>
      </w:r>
    </w:fldSimple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</w:pPr>
    <w:r>
      <w:br/>
    </w:r>
    <w:r>
      <w:fldChar w:fldCharType="begin"/>
    </w:r>
    <w:r>
      <w:instrText xml:space="preserve"> PAGE </w:instrTex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1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2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bullet"/>
      <w:isLgl w:val="false"/>
      <w:suff w:val="tab"/>
      <w:lvlText w:val="–"/>
      <w:lvlJc w:val="left"/>
      <w:pPr>
        <w:ind w:hanging="907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5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7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8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1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2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bullet"/>
      <w:isLgl w:val="false"/>
      <w:suff w:val="tab"/>
      <w:lvlText w:val="–"/>
      <w:lvlJc w:val="left"/>
      <w:pPr>
        <w:ind w:hanging="907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5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7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8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hanging="907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1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2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5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7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8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8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1">
      <w:start w:val="1"/>
      <w:numFmt w:val="bullet"/>
      <w:isLgl w:val="false"/>
      <w:suff w:val="tab"/>
      <w:lvlText w:val="•"/>
      <w:lvlJc w:val="left"/>
      <w:pPr>
        <w:ind w:left="36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2">
      <w:start w:val="1"/>
      <w:numFmt w:val="bullet"/>
      <w:isLgl w:val="false"/>
      <w:suff w:val="tab"/>
      <w:lvlText w:val="•"/>
      <w:lvlJc w:val="left"/>
      <w:pPr>
        <w:ind w:left="54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72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bullet"/>
      <w:isLgl w:val="false"/>
      <w:suff w:val="tab"/>
      <w:lvlText w:val="–"/>
      <w:lvlJc w:val="left"/>
      <w:pPr>
        <w:ind w:left="90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5">
      <w:start w:val="1"/>
      <w:numFmt w:val="bullet"/>
      <w:isLgl w:val="false"/>
      <w:suff w:val="tab"/>
      <w:lvlText w:val="•"/>
      <w:lvlJc w:val="left"/>
      <w:pPr>
        <w:ind w:left="108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126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7">
      <w:start w:val="1"/>
      <w:numFmt w:val="bullet"/>
      <w:isLgl w:val="false"/>
      <w:suff w:val="tab"/>
      <w:lvlText w:val="•"/>
      <w:lvlJc w:val="left"/>
      <w:pPr>
        <w:ind w:left="144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8">
      <w:start w:val="1"/>
      <w:numFmt w:val="bullet"/>
      <w:isLgl w:val="false"/>
      <w:suff w:val="tab"/>
      <w:lvlText w:val="•"/>
      <w:lvlJc w:val="left"/>
      <w:pPr>
        <w:ind w:left="1620" w:hanging="180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1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2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bullet"/>
      <w:isLgl w:val="false"/>
      <w:suff w:val="tab"/>
      <w:lvlText w:val="–"/>
      <w:lvlJc w:val="left"/>
      <w:pPr>
        <w:ind w:hanging="907"/>
      </w:pPr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5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7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  <w:lvl w:ilvl="8">
      <w:start w:val="1"/>
      <w:numFmt w:val="bullet"/>
      <w:isLgl w:val="false"/>
      <w:suff w:val="tab"/>
      <w:lvlText w:val="•"/>
      <w:lvlJc w:val="left"/>
      <w:pPr/>
      <w:rPr>
        <w:rFonts w:ascii="Times New Roman Bold" w:hAnsi="Times New Roman Bold"/>
        <w:b/>
        <w:i w:val="0"/>
        <w:caps w:val="0"/>
        <w:smallCaps w:val="0"/>
        <w:strike w:val="0"/>
        <w:color w:val="000000"/>
        <w:spacing w:val="0"/>
        <w:position w:val="0"/>
        <w:sz w:val="24"/>
        <w:u w:val="none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decimal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Helvetica Neue" w:hAnsi="Helvetica Neue" w:eastAsia="Times New Roman" w:cs="Helvetica Neue"/>
        <w:color w:val="000000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2"/>
    <w:link w:val="689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2"/>
    <w:link w:val="690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92"/>
    <w:link w:val="691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8"/>
    <w:next w:val="68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9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8"/>
    <w:next w:val="68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9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8"/>
    <w:next w:val="68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9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8"/>
    <w:next w:val="68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8"/>
    <w:next w:val="68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8"/>
    <w:next w:val="68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8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8"/>
    <w:next w:val="68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92"/>
    <w:link w:val="34"/>
    <w:uiPriority w:val="10"/>
    <w:rPr>
      <w:sz w:val="48"/>
      <w:szCs w:val="48"/>
    </w:rPr>
  </w:style>
  <w:style w:type="paragraph" w:styleId="36">
    <w:name w:val="Subtitle"/>
    <w:basedOn w:val="688"/>
    <w:next w:val="68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92"/>
    <w:link w:val="36"/>
    <w:uiPriority w:val="11"/>
    <w:rPr>
      <w:sz w:val="24"/>
      <w:szCs w:val="24"/>
    </w:rPr>
  </w:style>
  <w:style w:type="paragraph" w:styleId="38">
    <w:name w:val="Quote"/>
    <w:basedOn w:val="688"/>
    <w:next w:val="68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8"/>
    <w:next w:val="68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92"/>
    <w:link w:val="712"/>
    <w:uiPriority w:val="99"/>
  </w:style>
  <w:style w:type="character" w:styleId="45">
    <w:name w:val="Footer Char"/>
    <w:basedOn w:val="692"/>
    <w:link w:val="714"/>
    <w:uiPriority w:val="99"/>
  </w:style>
  <w:style w:type="paragraph" w:styleId="46">
    <w:name w:val="Caption"/>
    <w:basedOn w:val="688"/>
    <w:next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14"/>
    <w:uiPriority w:val="99"/>
  </w:style>
  <w:style w:type="table" w:styleId="48">
    <w:name w:val="Table Grid"/>
    <w:basedOn w:val="6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92"/>
    <w:uiPriority w:val="99"/>
    <w:unhideWhenUsed/>
    <w:rPr>
      <w:vertAlign w:val="superscript"/>
    </w:rPr>
  </w:style>
  <w:style w:type="paragraph" w:styleId="178">
    <w:name w:val="endnote text"/>
    <w:basedOn w:val="68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92"/>
    <w:uiPriority w:val="99"/>
    <w:semiHidden/>
    <w:unhideWhenUsed/>
    <w:rPr>
      <w:vertAlign w:val="superscript"/>
    </w:rPr>
  </w:style>
  <w:style w:type="paragraph" w:styleId="181">
    <w:name w:val="toc 1"/>
    <w:basedOn w:val="688"/>
    <w:next w:val="68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8"/>
    <w:next w:val="68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8"/>
    <w:next w:val="68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8"/>
    <w:next w:val="68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8"/>
    <w:next w:val="68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8"/>
    <w:next w:val="68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8"/>
    <w:next w:val="68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8"/>
    <w:next w:val="68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8"/>
    <w:next w:val="68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8"/>
    <w:next w:val="688"/>
    <w:uiPriority w:val="99"/>
    <w:unhideWhenUsed/>
    <w:pPr>
      <w:spacing w:after="0" w:afterAutospacing="0"/>
    </w:pPr>
  </w:style>
  <w:style w:type="paragraph" w:styleId="688" w:default="1">
    <w:name w:val="Normal"/>
    <w:qFormat/>
    <w:pPr>
      <w:jc w:val="both"/>
      <w:spacing w:after="0" w:line="360" w:lineRule="auto"/>
      <w:widowControl w:val="off"/>
      <w:tabs>
        <w:tab w:val="left" w:pos="600" w:leader="none"/>
        <w:tab w:val="left" w:pos="1200" w:leader="none"/>
        <w:tab w:val="left" w:pos="1800" w:leader="none"/>
        <w:tab w:val="left" w:pos="2400" w:leader="none"/>
        <w:tab w:val="left" w:pos="3000" w:leader="none"/>
        <w:tab w:val="left" w:pos="3600" w:leader="none"/>
        <w:tab w:val="left" w:pos="4200" w:leader="none"/>
        <w:tab w:val="left" w:pos="4800" w:leader="none"/>
        <w:tab w:val="left" w:pos="5400" w:leader="none"/>
        <w:tab w:val="left" w:pos="6000" w:leader="none"/>
        <w:tab w:val="left" w:pos="6600" w:leader="none"/>
        <w:tab w:val="left" w:pos="7200" w:leader="none"/>
        <w:tab w:val="left" w:pos="7800" w:leader="none"/>
        <w:tab w:val="left" w:pos="8400" w:leader="none"/>
        <w:tab w:val="left" w:pos="9000" w:leader="none"/>
        <w:tab w:val="left" w:pos="9600" w:leader="none"/>
        <w:tab w:val="left" w:pos="10200" w:leader="none"/>
        <w:tab w:val="left" w:pos="10800" w:leader="none"/>
        <w:tab w:val="left" w:pos="11400" w:leader="none"/>
        <w:tab w:val="left" w:pos="12000" w:leader="none"/>
        <w:tab w:val="left" w:pos="12600" w:leader="none"/>
        <w:tab w:val="left" w:pos="13200" w:leader="none"/>
        <w:tab w:val="left" w:pos="13800" w:leader="none"/>
        <w:tab w:val="left" w:pos="14400" w:leader="none"/>
        <w:tab w:val="left" w:pos="15000" w:leader="none"/>
        <w:tab w:val="left" w:pos="15600" w:leader="none"/>
        <w:tab w:val="left" w:pos="16200" w:leader="none"/>
        <w:tab w:val="left" w:pos="16800" w:leader="none"/>
        <w:tab w:val="left" w:pos="17400" w:leader="none"/>
        <w:tab w:val="left" w:pos="18000" w:leader="none"/>
        <w:tab w:val="left" w:pos="18600" w:leader="none"/>
        <w:tab w:val="left" w:pos="19200" w:leader="none"/>
        <w:tab w:val="left" w:pos="19800" w:leader="none"/>
        <w:tab w:val="left" w:pos="20400" w:leader="none"/>
        <w:tab w:val="left" w:pos="21000" w:leader="none"/>
        <w:tab w:val="left" w:pos="21600" w:leader="none"/>
        <w:tab w:val="left" w:pos="22200" w:leader="none"/>
        <w:tab w:val="left" w:pos="22800" w:leader="none"/>
        <w:tab w:val="left" w:pos="23400" w:leader="none"/>
        <w:tab w:val="left" w:pos="24000" w:leader="none"/>
      </w:tabs>
    </w:pPr>
  </w:style>
  <w:style w:type="paragraph" w:styleId="689">
    <w:name w:val="Heading 1"/>
    <w:basedOn w:val="688"/>
    <w:next w:val="688"/>
    <w:link w:val="711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0">
    <w:name w:val="Heading 2"/>
    <w:basedOn w:val="688"/>
    <w:link w:val="695"/>
    <w:uiPriority w:val="9"/>
    <w:qFormat/>
    <w:pPr>
      <w:jc w:val="left"/>
      <w:spacing w:before="100" w:beforeAutospacing="1" w:after="100" w:afterAutospacing="1" w:line="240" w:lineRule="auto"/>
      <w:widowControl/>
      <w:tabs>
        <w:tab w:val="clear" w:pos="600" w:leader="none"/>
        <w:tab w:val="clear" w:pos="1200" w:leader="none"/>
        <w:tab w:val="clear" w:pos="1800" w:leader="none"/>
        <w:tab w:val="clear" w:pos="2400" w:leader="none"/>
        <w:tab w:val="clear" w:pos="3000" w:leader="none"/>
        <w:tab w:val="clear" w:pos="3600" w:leader="none"/>
        <w:tab w:val="clear" w:pos="4200" w:leader="none"/>
        <w:tab w:val="clear" w:pos="4800" w:leader="none"/>
        <w:tab w:val="clear" w:pos="5400" w:leader="none"/>
        <w:tab w:val="clear" w:pos="6000" w:leader="none"/>
        <w:tab w:val="clear" w:pos="6600" w:leader="none"/>
        <w:tab w:val="clear" w:pos="7200" w:leader="none"/>
        <w:tab w:val="clear" w:pos="7800" w:leader="none"/>
        <w:tab w:val="clear" w:pos="8400" w:leader="none"/>
        <w:tab w:val="clear" w:pos="9000" w:leader="none"/>
        <w:tab w:val="clear" w:pos="9600" w:leader="none"/>
        <w:tab w:val="clear" w:pos="10200" w:leader="none"/>
        <w:tab w:val="clear" w:pos="10800" w:leader="none"/>
        <w:tab w:val="clear" w:pos="11400" w:leader="none"/>
        <w:tab w:val="clear" w:pos="12000" w:leader="none"/>
        <w:tab w:val="clear" w:pos="12600" w:leader="none"/>
        <w:tab w:val="clear" w:pos="13200" w:leader="none"/>
        <w:tab w:val="clear" w:pos="13800" w:leader="none"/>
        <w:tab w:val="clear" w:pos="14400" w:leader="none"/>
        <w:tab w:val="clear" w:pos="15000" w:leader="none"/>
        <w:tab w:val="clear" w:pos="15600" w:leader="none"/>
        <w:tab w:val="clear" w:pos="16200" w:leader="none"/>
        <w:tab w:val="clear" w:pos="16800" w:leader="none"/>
        <w:tab w:val="clear" w:pos="17400" w:leader="none"/>
        <w:tab w:val="clear" w:pos="18000" w:leader="none"/>
        <w:tab w:val="clear" w:pos="18600" w:leader="none"/>
        <w:tab w:val="clear" w:pos="19200" w:leader="none"/>
        <w:tab w:val="clear" w:pos="19800" w:leader="none"/>
        <w:tab w:val="clear" w:pos="20400" w:leader="none"/>
        <w:tab w:val="clear" w:pos="21000" w:leader="none"/>
        <w:tab w:val="clear" w:pos="21600" w:leader="none"/>
        <w:tab w:val="clear" w:pos="22200" w:leader="none"/>
        <w:tab w:val="clear" w:pos="22800" w:leader="none"/>
        <w:tab w:val="clear" w:pos="23400" w:leader="none"/>
        <w:tab w:val="clear" w:pos="24000" w:leader="none"/>
      </w:tabs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691">
    <w:name w:val="Heading 3"/>
    <w:basedOn w:val="688"/>
    <w:next w:val="688"/>
    <w:link w:val="709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2 Знак"/>
    <w:basedOn w:val="692"/>
    <w:link w:val="690"/>
    <w:uiPriority w:val="9"/>
    <w:rPr>
      <w:rFonts w:ascii="Times New Roman" w:hAnsi="Times New Roman" w:cs="Times New Roman"/>
      <w:b/>
      <w:bCs/>
      <w:color w:val="auto"/>
      <w:sz w:val="36"/>
      <w:szCs w:val="36"/>
    </w:rPr>
  </w:style>
  <w:style w:type="paragraph" w:styleId="696" w:customStyle="1">
    <w:name w:val="Колонтитул"/>
    <w:link w:val="699"/>
    <w:qFormat/>
    <w:pPr>
      <w:jc w:val="center"/>
      <w:spacing w:after="0" w:line="240" w:lineRule="auto"/>
      <w:widowControl w:val="off"/>
      <w:tabs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</w:tabs>
    </w:pPr>
    <w:rPr>
      <w:rFonts w:ascii="Times New Roman" w:hAnsi="Times New Roman" w:cs="Times New Roman"/>
      <w:color w:val="919191"/>
      <w:sz w:val="24"/>
      <w:szCs w:val="24"/>
    </w:rPr>
  </w:style>
  <w:style w:type="character" w:styleId="697" w:customStyle="1">
    <w:name w:val="Обычный1"/>
    <w:qFormat/>
    <w:rPr>
      <w:rFonts w:ascii="Helvetica Neue" w:hAnsi="Helvetica Neue"/>
      <w:color w:val="000000"/>
      <w:spacing w:val="0"/>
      <w:position w:val="0"/>
      <w:sz w:val="22"/>
      <w:u w:val="none"/>
      <w:shd w:val="clear" w:color="auto" w:fill="auto"/>
      <w:vertAlign w:val="baseline"/>
    </w:rPr>
  </w:style>
  <w:style w:type="character" w:styleId="698" w:customStyle="1">
    <w:name w:val="Times New Roman Regular 15"/>
    <w:qFormat/>
    <w:rPr>
      <w:rFonts w:ascii="Times New Roman" w:hAnsi="Times New Roman"/>
      <w:color w:val="000000"/>
      <w:spacing w:val="0"/>
      <w:position w:val="0"/>
      <w:sz w:val="30"/>
      <w:u w:val="none"/>
      <w:shd w:val="clear" w:color="auto" w:fill="auto"/>
      <w:vertAlign w:val="baseline"/>
    </w:rPr>
  </w:style>
  <w:style w:type="character" w:styleId="699" w:customStyle="1">
    <w:name w:val="Колонтитул1"/>
    <w:link w:val="696"/>
    <w:qFormat/>
    <w:rPr>
      <w:rFonts w:ascii="Times New Roman" w:hAnsi="Times New Roman"/>
      <w:color w:val="919191"/>
      <w:spacing w:val="0"/>
      <w:position w:val="0"/>
      <w:sz w:val="24"/>
      <w:u w:val="none"/>
      <w:shd w:val="clear" w:color="auto" w:fill="auto"/>
      <w:vertAlign w:val="baseline"/>
    </w:rPr>
  </w:style>
  <w:style w:type="paragraph" w:styleId="700" w:customStyle="1">
    <w:name w:val="Стиль абз."/>
    <w:qFormat/>
    <w:pPr>
      <w:spacing w:after="0" w:line="240" w:lineRule="auto"/>
      <w:widowControl w:val="off"/>
    </w:pPr>
  </w:style>
  <w:style w:type="paragraph" w:styleId="701">
    <w:name w:val="Body Text"/>
    <w:basedOn w:val="688"/>
    <w:link w:val="702"/>
    <w:uiPriority w:val="99"/>
    <w:qFormat/>
    <w:pPr>
      <w:spacing w:after="120" w:line="240" w:lineRule="auto"/>
      <w:tabs>
        <w:tab w:val="clear" w:pos="600" w:leader="none"/>
        <w:tab w:val="left" w:pos="720" w:leader="none"/>
        <w:tab w:val="clear" w:pos="1200" w:leader="none"/>
        <w:tab w:val="left" w:pos="1440" w:leader="none"/>
        <w:tab w:val="clear" w:pos="1800" w:leader="none"/>
        <w:tab w:val="left" w:pos="2160" w:leader="none"/>
        <w:tab w:val="clear" w:pos="2400" w:leader="none"/>
        <w:tab w:val="left" w:pos="2880" w:leader="none"/>
        <w:tab w:val="clear" w:pos="3000" w:leader="none"/>
        <w:tab w:val="clear" w:pos="4200" w:leader="none"/>
        <w:tab w:val="left" w:pos="4320" w:leader="none"/>
        <w:tab w:val="clear" w:pos="4800" w:leader="none"/>
        <w:tab w:val="left" w:pos="5040" w:leader="none"/>
        <w:tab w:val="clear" w:pos="5400" w:leader="none"/>
        <w:tab w:val="left" w:pos="5760" w:leader="none"/>
        <w:tab w:val="clear" w:pos="6000" w:leader="none"/>
        <w:tab w:val="left" w:pos="6480" w:leader="none"/>
        <w:tab w:val="clear" w:pos="6600" w:leader="none"/>
        <w:tab w:val="clear" w:pos="7800" w:leader="none"/>
        <w:tab w:val="left" w:pos="7920" w:leader="none"/>
        <w:tab w:val="clear" w:pos="8400" w:leader="none"/>
        <w:tab w:val="left" w:pos="8640" w:leader="none"/>
        <w:tab w:val="clear" w:pos="9000" w:leader="none"/>
        <w:tab w:val="left" w:pos="9360" w:leader="none"/>
        <w:tab w:val="clear" w:pos="9600" w:leader="none"/>
        <w:tab w:val="left" w:pos="10080" w:leader="none"/>
        <w:tab w:val="clear" w:pos="10200" w:leader="none"/>
        <w:tab w:val="clear" w:pos="11400" w:leader="none"/>
        <w:tab w:val="left" w:pos="11520" w:leader="none"/>
        <w:tab w:val="clear" w:pos="12000" w:leader="none"/>
        <w:tab w:val="left" w:pos="12240" w:leader="none"/>
        <w:tab w:val="clear" w:pos="12600" w:leader="none"/>
        <w:tab w:val="left" w:pos="12960" w:leader="none"/>
        <w:tab w:val="clear" w:pos="13200" w:leader="none"/>
        <w:tab w:val="left" w:pos="13680" w:leader="none"/>
        <w:tab w:val="clear" w:pos="13800" w:leader="none"/>
        <w:tab w:val="clear" w:pos="15000" w:leader="none"/>
        <w:tab w:val="clear" w:pos="15600" w:leader="none"/>
        <w:tab w:val="clear" w:pos="16200" w:leader="none"/>
        <w:tab w:val="clear" w:pos="16800" w:leader="none"/>
        <w:tab w:val="clear" w:pos="17400" w:leader="none"/>
        <w:tab w:val="clear" w:pos="18000" w:leader="none"/>
        <w:tab w:val="clear" w:pos="18600" w:leader="none"/>
        <w:tab w:val="clear" w:pos="19200" w:leader="none"/>
        <w:tab w:val="clear" w:pos="19800" w:leader="none"/>
        <w:tab w:val="clear" w:pos="20400" w:leader="none"/>
        <w:tab w:val="clear" w:pos="21000" w:leader="none"/>
        <w:tab w:val="clear" w:pos="21600" w:leader="none"/>
        <w:tab w:val="clear" w:pos="22200" w:leader="none"/>
        <w:tab w:val="clear" w:pos="22800" w:leader="none"/>
        <w:tab w:val="clear" w:pos="23400" w:leader="none"/>
        <w:tab w:val="clear" w:pos="24000" w:leader="none"/>
      </w:tabs>
    </w:pPr>
    <w:rPr>
      <w:rFonts w:ascii="Times New Roman" w:hAnsi="Times New Roman" w:cs="Times New Roman"/>
      <w:sz w:val="24"/>
      <w:szCs w:val="24"/>
    </w:rPr>
  </w:style>
  <w:style w:type="character" w:styleId="702" w:customStyle="1">
    <w:name w:val="Основной текст Знак"/>
    <w:basedOn w:val="692"/>
    <w:link w:val="701"/>
    <w:uiPriority w:val="99"/>
    <w:semiHidden/>
    <w:rPr>
      <w:rFonts w:cs="Times New Roman"/>
    </w:rPr>
  </w:style>
  <w:style w:type="character" w:styleId="703" w:customStyle="1">
    <w:name w:val="Times New Roman Regular 9"/>
    <w:qFormat/>
    <w:rPr>
      <w:rFonts w:ascii="Times New Roman" w:hAnsi="Times New Roman"/>
      <w:color w:val="000000"/>
      <w:spacing w:val="0"/>
      <w:position w:val="0"/>
      <w:sz w:val="18"/>
      <w:u w:val="none"/>
      <w:shd w:val="clear" w:color="auto" w:fill="auto"/>
      <w:vertAlign w:val="baseline"/>
    </w:rPr>
  </w:style>
  <w:style w:type="character" w:styleId="704" w:customStyle="1">
    <w:name w:val="Menlo Regular 12"/>
    <w:qFormat/>
    <w:rPr>
      <w:rFonts w:ascii="Menlo" w:hAnsi="Menlo"/>
      <w:color w:val="000000"/>
      <w:spacing w:val="0"/>
      <w:position w:val="0"/>
      <w:sz w:val="24"/>
      <w:u w:val="none"/>
      <w:shd w:val="clear" w:color="auto" w:fill="auto"/>
      <w:vertAlign w:val="baseline"/>
    </w:rPr>
  </w:style>
  <w:style w:type="character" w:styleId="705" w:customStyle="1">
    <w:name w:val="Times New Roman Regular 141"/>
    <w:qFormat/>
    <w:rPr>
      <w:rFonts w:ascii="Times New Roman" w:hAnsi="Times New Roman"/>
      <w:color w:val="000000"/>
      <w:spacing w:val="0"/>
      <w:position w:val="0"/>
      <w:sz w:val="28"/>
      <w:u w:val="none"/>
      <w:shd w:val="clear" w:color="auto" w:fill="auto"/>
      <w:vertAlign w:val="baseline"/>
    </w:rPr>
  </w:style>
  <w:style w:type="paragraph" w:styleId="706" w:customStyle="1">
    <w:name w:val="Стиль абз.1"/>
    <w:qFormat/>
    <w:pPr>
      <w:spacing w:after="0" w:line="240" w:lineRule="auto"/>
      <w:widowControl w:val="off"/>
    </w:pPr>
  </w:style>
  <w:style w:type="character" w:styleId="707">
    <w:name w:val="Strong"/>
    <w:basedOn w:val="692"/>
    <w:uiPriority w:val="22"/>
    <w:qFormat/>
    <w:rPr>
      <w:rFonts w:cs="Times New Roman"/>
      <w:b/>
      <w:bCs/>
    </w:rPr>
  </w:style>
  <w:style w:type="paragraph" w:styleId="708">
    <w:name w:val="Normal (Web)"/>
    <w:basedOn w:val="688"/>
    <w:uiPriority w:val="99"/>
    <w:semiHidden/>
    <w:unhideWhenUsed/>
    <w:pPr>
      <w:jc w:val="left"/>
      <w:spacing w:before="100" w:beforeAutospacing="1" w:after="100" w:afterAutospacing="1" w:line="240" w:lineRule="auto"/>
      <w:widowControl/>
      <w:tabs>
        <w:tab w:val="clear" w:pos="600" w:leader="none"/>
        <w:tab w:val="clear" w:pos="1200" w:leader="none"/>
        <w:tab w:val="clear" w:pos="1800" w:leader="none"/>
        <w:tab w:val="clear" w:pos="2400" w:leader="none"/>
        <w:tab w:val="clear" w:pos="3000" w:leader="none"/>
        <w:tab w:val="clear" w:pos="3600" w:leader="none"/>
        <w:tab w:val="clear" w:pos="4200" w:leader="none"/>
        <w:tab w:val="clear" w:pos="4800" w:leader="none"/>
        <w:tab w:val="clear" w:pos="5400" w:leader="none"/>
        <w:tab w:val="clear" w:pos="6000" w:leader="none"/>
        <w:tab w:val="clear" w:pos="6600" w:leader="none"/>
        <w:tab w:val="clear" w:pos="7200" w:leader="none"/>
        <w:tab w:val="clear" w:pos="7800" w:leader="none"/>
        <w:tab w:val="clear" w:pos="8400" w:leader="none"/>
        <w:tab w:val="clear" w:pos="9000" w:leader="none"/>
        <w:tab w:val="clear" w:pos="9600" w:leader="none"/>
        <w:tab w:val="clear" w:pos="10200" w:leader="none"/>
        <w:tab w:val="clear" w:pos="10800" w:leader="none"/>
        <w:tab w:val="clear" w:pos="11400" w:leader="none"/>
        <w:tab w:val="clear" w:pos="12000" w:leader="none"/>
        <w:tab w:val="clear" w:pos="12600" w:leader="none"/>
        <w:tab w:val="clear" w:pos="13200" w:leader="none"/>
        <w:tab w:val="clear" w:pos="13800" w:leader="none"/>
        <w:tab w:val="clear" w:pos="14400" w:leader="none"/>
        <w:tab w:val="clear" w:pos="15000" w:leader="none"/>
        <w:tab w:val="clear" w:pos="15600" w:leader="none"/>
        <w:tab w:val="clear" w:pos="16200" w:leader="none"/>
        <w:tab w:val="clear" w:pos="16800" w:leader="none"/>
        <w:tab w:val="clear" w:pos="17400" w:leader="none"/>
        <w:tab w:val="clear" w:pos="18000" w:leader="none"/>
        <w:tab w:val="clear" w:pos="18600" w:leader="none"/>
        <w:tab w:val="clear" w:pos="19200" w:leader="none"/>
        <w:tab w:val="clear" w:pos="19800" w:leader="none"/>
        <w:tab w:val="clear" w:pos="20400" w:leader="none"/>
        <w:tab w:val="clear" w:pos="21000" w:leader="none"/>
        <w:tab w:val="clear" w:pos="21600" w:leader="none"/>
        <w:tab w:val="clear" w:pos="22200" w:leader="none"/>
        <w:tab w:val="clear" w:pos="22800" w:leader="none"/>
        <w:tab w:val="clear" w:pos="23400" w:leader="none"/>
        <w:tab w:val="clear" w:pos="24000" w:leader="none"/>
      </w:tabs>
    </w:pPr>
    <w:rPr>
      <w:rFonts w:ascii="Times New Roman" w:hAnsi="Times New Roman" w:cs="Times New Roman"/>
      <w:sz w:val="24"/>
      <w:szCs w:val="24"/>
    </w:rPr>
  </w:style>
  <w:style w:type="character" w:styleId="709" w:customStyle="1">
    <w:name w:val="Заголовок 3 Знак"/>
    <w:basedOn w:val="692"/>
    <w:link w:val="691"/>
    <w:uiPriority w:val="9"/>
    <w:semiHidden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710">
    <w:name w:val="Hyperlink"/>
    <w:basedOn w:val="692"/>
    <w:uiPriority w:val="99"/>
    <w:semiHidden/>
    <w:unhideWhenUsed/>
    <w:rPr>
      <w:color w:val="0000ff"/>
      <w:u w:val="single"/>
    </w:rPr>
  </w:style>
  <w:style w:type="character" w:styleId="711" w:customStyle="1">
    <w:name w:val="Заголовок 1 Знак"/>
    <w:basedOn w:val="692"/>
    <w:link w:val="689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2">
    <w:name w:val="Header"/>
    <w:basedOn w:val="688"/>
    <w:link w:val="713"/>
    <w:uiPriority w:val="99"/>
    <w:semiHidden/>
    <w:unhideWhenUsed/>
    <w:pPr>
      <w:spacing w:line="240" w:lineRule="auto"/>
      <w:tabs>
        <w:tab w:val="clear" w:pos="600" w:leader="none"/>
        <w:tab w:val="clear" w:pos="1200" w:leader="none"/>
        <w:tab w:val="clear" w:pos="1800" w:leader="none"/>
        <w:tab w:val="clear" w:pos="2400" w:leader="none"/>
        <w:tab w:val="clear" w:pos="3000" w:leader="none"/>
        <w:tab w:val="clear" w:pos="3600" w:leader="none"/>
        <w:tab w:val="clear" w:pos="4200" w:leader="none"/>
        <w:tab w:val="center" w:pos="4677" w:leader="none"/>
        <w:tab w:val="clear" w:pos="4800" w:leader="none"/>
        <w:tab w:val="clear" w:pos="5400" w:leader="none"/>
        <w:tab w:val="clear" w:pos="6000" w:leader="none"/>
        <w:tab w:val="clear" w:pos="6600" w:leader="none"/>
        <w:tab w:val="clear" w:pos="7200" w:leader="none"/>
        <w:tab w:val="clear" w:pos="7800" w:leader="none"/>
        <w:tab w:val="clear" w:pos="8400" w:leader="none"/>
        <w:tab w:val="clear" w:pos="9000" w:leader="none"/>
        <w:tab w:val="right" w:pos="9355" w:leader="none"/>
        <w:tab w:val="clear" w:pos="9600" w:leader="none"/>
        <w:tab w:val="clear" w:pos="10200" w:leader="none"/>
        <w:tab w:val="clear" w:pos="10800" w:leader="none"/>
        <w:tab w:val="clear" w:pos="11400" w:leader="none"/>
        <w:tab w:val="clear" w:pos="12000" w:leader="none"/>
        <w:tab w:val="clear" w:pos="12600" w:leader="none"/>
        <w:tab w:val="clear" w:pos="13200" w:leader="none"/>
        <w:tab w:val="clear" w:pos="13800" w:leader="none"/>
        <w:tab w:val="clear" w:pos="14400" w:leader="none"/>
        <w:tab w:val="clear" w:pos="15000" w:leader="none"/>
        <w:tab w:val="clear" w:pos="15600" w:leader="none"/>
        <w:tab w:val="clear" w:pos="16200" w:leader="none"/>
        <w:tab w:val="clear" w:pos="16800" w:leader="none"/>
        <w:tab w:val="clear" w:pos="17400" w:leader="none"/>
        <w:tab w:val="clear" w:pos="18000" w:leader="none"/>
        <w:tab w:val="clear" w:pos="18600" w:leader="none"/>
        <w:tab w:val="clear" w:pos="19200" w:leader="none"/>
        <w:tab w:val="clear" w:pos="19800" w:leader="none"/>
        <w:tab w:val="clear" w:pos="20400" w:leader="none"/>
        <w:tab w:val="clear" w:pos="21000" w:leader="none"/>
        <w:tab w:val="clear" w:pos="21600" w:leader="none"/>
        <w:tab w:val="clear" w:pos="22200" w:leader="none"/>
        <w:tab w:val="clear" w:pos="22800" w:leader="none"/>
        <w:tab w:val="clear" w:pos="23400" w:leader="none"/>
        <w:tab w:val="clear" w:pos="24000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  <w:semiHidden/>
  </w:style>
  <w:style w:type="paragraph" w:styleId="714">
    <w:name w:val="Footer"/>
    <w:basedOn w:val="688"/>
    <w:link w:val="715"/>
    <w:uiPriority w:val="99"/>
    <w:semiHidden/>
    <w:unhideWhenUsed/>
    <w:pPr>
      <w:spacing w:line="240" w:lineRule="auto"/>
      <w:tabs>
        <w:tab w:val="clear" w:pos="600" w:leader="none"/>
        <w:tab w:val="clear" w:pos="1200" w:leader="none"/>
        <w:tab w:val="clear" w:pos="1800" w:leader="none"/>
        <w:tab w:val="clear" w:pos="2400" w:leader="none"/>
        <w:tab w:val="clear" w:pos="3000" w:leader="none"/>
        <w:tab w:val="clear" w:pos="3600" w:leader="none"/>
        <w:tab w:val="clear" w:pos="4200" w:leader="none"/>
        <w:tab w:val="center" w:pos="4677" w:leader="none"/>
        <w:tab w:val="clear" w:pos="4800" w:leader="none"/>
        <w:tab w:val="clear" w:pos="5400" w:leader="none"/>
        <w:tab w:val="clear" w:pos="6000" w:leader="none"/>
        <w:tab w:val="clear" w:pos="6600" w:leader="none"/>
        <w:tab w:val="clear" w:pos="7200" w:leader="none"/>
        <w:tab w:val="clear" w:pos="7800" w:leader="none"/>
        <w:tab w:val="clear" w:pos="8400" w:leader="none"/>
        <w:tab w:val="clear" w:pos="9000" w:leader="none"/>
        <w:tab w:val="right" w:pos="9355" w:leader="none"/>
        <w:tab w:val="clear" w:pos="9600" w:leader="none"/>
        <w:tab w:val="clear" w:pos="10200" w:leader="none"/>
        <w:tab w:val="clear" w:pos="10800" w:leader="none"/>
        <w:tab w:val="clear" w:pos="11400" w:leader="none"/>
        <w:tab w:val="clear" w:pos="12000" w:leader="none"/>
        <w:tab w:val="clear" w:pos="12600" w:leader="none"/>
        <w:tab w:val="clear" w:pos="13200" w:leader="none"/>
        <w:tab w:val="clear" w:pos="13800" w:leader="none"/>
        <w:tab w:val="clear" w:pos="14400" w:leader="none"/>
        <w:tab w:val="clear" w:pos="15000" w:leader="none"/>
        <w:tab w:val="clear" w:pos="15600" w:leader="none"/>
        <w:tab w:val="clear" w:pos="16200" w:leader="none"/>
        <w:tab w:val="clear" w:pos="16800" w:leader="none"/>
        <w:tab w:val="clear" w:pos="17400" w:leader="none"/>
        <w:tab w:val="clear" w:pos="18000" w:leader="none"/>
        <w:tab w:val="clear" w:pos="18600" w:leader="none"/>
        <w:tab w:val="clear" w:pos="19200" w:leader="none"/>
        <w:tab w:val="clear" w:pos="19800" w:leader="none"/>
        <w:tab w:val="clear" w:pos="20400" w:leader="none"/>
        <w:tab w:val="clear" w:pos="21000" w:leader="none"/>
        <w:tab w:val="clear" w:pos="21600" w:leader="none"/>
        <w:tab w:val="clear" w:pos="22200" w:leader="none"/>
        <w:tab w:val="clear" w:pos="22800" w:leader="none"/>
        <w:tab w:val="clear" w:pos="23400" w:leader="none"/>
        <w:tab w:val="clear" w:pos="24000" w:leader="none"/>
      </w:tabs>
    </w:pPr>
  </w:style>
  <w:style w:type="character" w:styleId="715" w:customStyle="1">
    <w:name w:val="Нижний колонтитул Знак"/>
    <w:basedOn w:val="692"/>
    <w:link w:val="71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hyperlink" Target="https://kgik1966.ru" TargetMode="External"/><Relationship Id="rId12" Type="http://schemas.openxmlformats.org/officeDocument/2006/relationships/hyperlink" Target="https://kgik1966.ru/press-sluzhba/novosti" TargetMode="External"/><Relationship Id="rId13" Type="http://schemas.openxmlformats.org/officeDocument/2006/relationships/hyperlink" Target="mailto:patriot_konf@b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no name</cp:lastModifiedBy>
  <cp:revision>10</cp:revision>
  <dcterms:created xsi:type="dcterms:W3CDTF">2024-07-22T12:37:00Z</dcterms:created>
  <dcterms:modified xsi:type="dcterms:W3CDTF">2024-08-02T08:36:46Z</dcterms:modified>
</cp:coreProperties>
</file>