
<file path=[Content_Types].xml><?xml version="1.0" encoding="utf-8"?>
<Types xmlns="http://schemas.openxmlformats.org/package/2006/content-types">
  <Default Extension="bin" ContentType="application/vnd.openxmlformats-officedocument.oleObject"/>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6906F" w14:textId="77777777" w:rsidR="00EB699B" w:rsidRDefault="00313B01">
      <w:pPr>
        <w:spacing w:after="0" w:line="360" w:lineRule="auto"/>
        <w:rPr>
          <w:rFonts w:cs="Calibri"/>
          <w:color w:val="000000"/>
          <w:kern w:val="2"/>
          <w:sz w:val="24"/>
          <w:szCs w:val="24"/>
          <w:lang w:eastAsia="ru-RU"/>
        </w:rPr>
      </w:pPr>
      <w:bookmarkStart w:id="0" w:name="_GoBack"/>
      <w:bookmarkEnd w:id="0"/>
      <w:r>
        <w:rPr>
          <w:rFonts w:ascii="Times New Roman" w:eastAsia="Times New Roman" w:hAnsi="Times New Roman" w:cs="Times New Roman"/>
          <w:color w:val="000000"/>
          <w:kern w:val="2"/>
          <w:sz w:val="24"/>
          <w:szCs w:val="24"/>
          <w:lang w:eastAsia="ru-RU"/>
        </w:rPr>
        <w:t xml:space="preserve">Научная статья </w:t>
      </w:r>
    </w:p>
    <w:p w14:paraId="476FDC93" w14:textId="77777777" w:rsidR="00EB699B" w:rsidRDefault="00313B01">
      <w:pPr>
        <w:spacing w:after="0" w:line="360" w:lineRule="auto"/>
        <w:rPr>
          <w:rFonts w:cs="Calibri"/>
          <w:color w:val="000000"/>
          <w:kern w:val="2"/>
          <w:sz w:val="24"/>
          <w:szCs w:val="24"/>
          <w:lang w:eastAsia="ru-RU"/>
        </w:rPr>
      </w:pPr>
      <w:r>
        <w:rPr>
          <w:rFonts w:ascii="Times New Roman" w:eastAsia="Times New Roman" w:hAnsi="Times New Roman" w:cs="Times New Roman"/>
          <w:color w:val="000000"/>
          <w:kern w:val="2"/>
          <w:sz w:val="24"/>
          <w:szCs w:val="24"/>
          <w:lang w:eastAsia="ru-RU"/>
        </w:rPr>
        <w:t>УДК 338.486</w:t>
      </w:r>
    </w:p>
    <w:p w14:paraId="296DBC9C" w14:textId="77777777" w:rsidR="00EB699B" w:rsidRDefault="00EB699B">
      <w:pPr>
        <w:spacing w:after="0" w:line="240" w:lineRule="auto"/>
        <w:jc w:val="both"/>
        <w:rPr>
          <w:rFonts w:ascii="Times New Roman" w:hAnsi="Times New Roman" w:cs="Times New Roman"/>
          <w:color w:val="000000"/>
          <w:kern w:val="2"/>
          <w:sz w:val="24"/>
          <w:szCs w:val="24"/>
          <w:shd w:val="clear" w:color="auto" w:fill="FFFFFF"/>
        </w:rPr>
      </w:pPr>
    </w:p>
    <w:p w14:paraId="71E971E7" w14:textId="77777777" w:rsidR="00EB699B" w:rsidRDefault="00EB699B">
      <w:pPr>
        <w:autoSpaceDE w:val="0"/>
        <w:autoSpaceDN w:val="0"/>
        <w:adjustRightInd w:val="0"/>
        <w:spacing w:after="0" w:line="240" w:lineRule="auto"/>
        <w:rPr>
          <w:rFonts w:ascii="Times New Roman" w:hAnsi="Times New Roman" w:cs="Times New Roman"/>
          <w:color w:val="000000"/>
          <w:sz w:val="24"/>
          <w:szCs w:val="24"/>
        </w:rPr>
      </w:pPr>
    </w:p>
    <w:p w14:paraId="23C3A4D4" w14:textId="77777777" w:rsidR="00EB699B" w:rsidRDefault="00313B01">
      <w:pPr>
        <w:suppressAutoHyphens/>
        <w:spacing w:after="0" w:line="240" w:lineRule="auto"/>
        <w:jc w:val="center"/>
        <w:rPr>
          <w:rFonts w:ascii="Arial" w:hAnsi="Arial" w:cs="Arial"/>
          <w:b/>
          <w:color w:val="000000"/>
          <w:sz w:val="24"/>
          <w:szCs w:val="24"/>
        </w:rPr>
      </w:pPr>
      <w:bookmarkStart w:id="1" w:name="_Hlk212410650"/>
      <w:r>
        <w:rPr>
          <w:rFonts w:ascii="Arial" w:hAnsi="Arial" w:cs="Arial"/>
          <w:b/>
          <w:color w:val="000000"/>
          <w:sz w:val="24"/>
          <w:szCs w:val="24"/>
        </w:rPr>
        <w:t>Актуализация стандартов гостиничного обслуживания туристов из КНР</w:t>
      </w:r>
    </w:p>
    <w:bookmarkEnd w:id="1"/>
    <w:p w14:paraId="239720E0" w14:textId="77777777" w:rsidR="00EB699B" w:rsidRDefault="00313B01">
      <w:pPr>
        <w:tabs>
          <w:tab w:val="left" w:pos="6315"/>
        </w:tabs>
        <w:suppressAutoHyphens/>
        <w:spacing w:after="0" w:line="240" w:lineRule="auto"/>
        <w:rPr>
          <w:rFonts w:eastAsia="SimSun" w:cs="Calibri"/>
          <w:sz w:val="24"/>
          <w:szCs w:val="24"/>
          <w:lang w:eastAsia="zh-CN"/>
        </w:rPr>
      </w:pPr>
      <w:r>
        <w:rPr>
          <w:rFonts w:ascii="Times New Roman" w:eastAsia="Times New Roman" w:hAnsi="Times New Roman" w:cs="Times New Roman"/>
          <w:color w:val="000000"/>
          <w:sz w:val="24"/>
          <w:szCs w:val="24"/>
          <w:lang w:eastAsia="ru-RU"/>
        </w:rPr>
        <w:tab/>
      </w:r>
    </w:p>
    <w:p w14:paraId="77D4EC44" w14:textId="3529FA78" w:rsidR="00EB699B" w:rsidRPr="0009510E" w:rsidRDefault="00313B01">
      <w:pPr>
        <w:autoSpaceDE w:val="0"/>
        <w:autoSpaceDN w:val="0"/>
        <w:adjustRightInd w:val="0"/>
        <w:spacing w:after="0" w:line="240" w:lineRule="auto"/>
        <w:ind w:firstLine="284"/>
        <w:jc w:val="both"/>
        <w:rPr>
          <w:rFonts w:ascii="Times New Roman" w:hAnsi="Times New Roman" w:cs="Times New Roman"/>
          <w:iCs/>
          <w:color w:val="000000"/>
          <w:sz w:val="24"/>
          <w:szCs w:val="24"/>
        </w:rPr>
      </w:pPr>
      <w:r>
        <w:rPr>
          <w:rFonts w:ascii="Times New Roman" w:hAnsi="Times New Roman" w:cs="Times New Roman"/>
          <w:b/>
          <w:bCs/>
          <w:i/>
          <w:iCs/>
          <w:color w:val="000000"/>
          <w:sz w:val="24"/>
          <w:szCs w:val="24"/>
        </w:rPr>
        <w:t>Аннотация</w:t>
      </w:r>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В статье рассматривается процесс формирования гостиничных услуг в Российской Федерации с точки зрения системы стандартизации при приеме и обслуживании </w:t>
      </w:r>
      <w:r w:rsidR="00271152">
        <w:rPr>
          <w:rFonts w:ascii="Times New Roman" w:hAnsi="Times New Roman" w:cs="Times New Roman"/>
          <w:color w:val="000000"/>
          <w:sz w:val="24"/>
          <w:szCs w:val="24"/>
        </w:rPr>
        <w:t xml:space="preserve">иностранных </w:t>
      </w:r>
      <w:r>
        <w:rPr>
          <w:rFonts w:ascii="Times New Roman" w:hAnsi="Times New Roman" w:cs="Times New Roman"/>
          <w:color w:val="000000"/>
          <w:sz w:val="24"/>
          <w:szCs w:val="24"/>
        </w:rPr>
        <w:t>туристов</w:t>
      </w:r>
      <w:r w:rsidR="009D115E">
        <w:rPr>
          <w:rFonts w:ascii="Times New Roman" w:hAnsi="Times New Roman" w:cs="Times New Roman"/>
          <w:color w:val="000000"/>
          <w:sz w:val="24"/>
          <w:szCs w:val="24"/>
        </w:rPr>
        <w:t xml:space="preserve">. </w:t>
      </w:r>
      <w:r w:rsidR="009D115E">
        <w:rPr>
          <w:rFonts w:ascii="Times New Roman" w:eastAsia="DengXian" w:hAnsi="Times New Roman" w:cs="Times New Roman"/>
          <w:iCs/>
          <w:color w:val="000000"/>
          <w:sz w:val="24"/>
          <w:szCs w:val="24"/>
          <w:lang w:eastAsia="zh-CN"/>
        </w:rPr>
        <w:t>Ц</w:t>
      </w:r>
      <w:r w:rsidR="009D115E">
        <w:rPr>
          <w:rFonts w:ascii="Times New Roman" w:hAnsi="Times New Roman" w:cs="Times New Roman"/>
          <w:iCs/>
          <w:color w:val="000000"/>
          <w:sz w:val="24"/>
          <w:szCs w:val="24"/>
        </w:rPr>
        <w:t xml:space="preserve">елью работы является </w:t>
      </w:r>
      <w:bookmarkStart w:id="2" w:name="_Hlk212323246"/>
      <w:r w:rsidR="009D115E">
        <w:rPr>
          <w:rFonts w:ascii="Times New Roman" w:hAnsi="Times New Roman" w:cs="Times New Roman"/>
          <w:iCs/>
          <w:color w:val="000000"/>
          <w:sz w:val="24"/>
          <w:szCs w:val="24"/>
        </w:rPr>
        <w:t xml:space="preserve">выявление актуальных </w:t>
      </w:r>
      <w:r w:rsidR="009D115E" w:rsidRPr="009D115E">
        <w:rPr>
          <w:rFonts w:ascii="Times New Roman" w:hAnsi="Times New Roman" w:cs="Times New Roman"/>
          <w:iCs/>
          <w:color w:val="000000"/>
          <w:sz w:val="24"/>
          <w:szCs w:val="24"/>
        </w:rPr>
        <w:t>направлений совершенствования стандартов гостиничного обслуживания иностранных туристов на примере туристов из КНР как особого потребительского сегмента туристского</w:t>
      </w:r>
      <w:r w:rsidR="009D115E">
        <w:rPr>
          <w:rFonts w:ascii="Times New Roman" w:hAnsi="Times New Roman" w:cs="Times New Roman"/>
          <w:iCs/>
          <w:color w:val="000000"/>
          <w:sz w:val="24"/>
          <w:szCs w:val="24"/>
        </w:rPr>
        <w:t xml:space="preserve"> рынка. </w:t>
      </w:r>
      <w:bookmarkEnd w:id="2"/>
      <w:r>
        <w:rPr>
          <w:rFonts w:ascii="Times New Roman" w:hAnsi="Times New Roman" w:cs="Times New Roman"/>
          <w:color w:val="000000"/>
          <w:sz w:val="24"/>
          <w:szCs w:val="24"/>
        </w:rPr>
        <w:t>В дополнение к государственной системе классификации гостиниц</w:t>
      </w:r>
      <w:r w:rsidR="009D115E">
        <w:rPr>
          <w:rFonts w:ascii="Times New Roman" w:hAnsi="Times New Roman" w:cs="Times New Roman"/>
          <w:color w:val="000000"/>
          <w:sz w:val="24"/>
          <w:szCs w:val="24"/>
        </w:rPr>
        <w:t xml:space="preserve">, принятой в </w:t>
      </w:r>
      <w:r w:rsidR="009D115E" w:rsidRPr="0009510E">
        <w:rPr>
          <w:rFonts w:ascii="Times New Roman" w:hAnsi="Times New Roman" w:cs="Times New Roman"/>
          <w:color w:val="000000"/>
          <w:sz w:val="24"/>
          <w:szCs w:val="24"/>
        </w:rPr>
        <w:t>Российской Федерации,</w:t>
      </w:r>
      <w:r w:rsidRPr="0009510E">
        <w:rPr>
          <w:rFonts w:ascii="Times New Roman" w:hAnsi="Times New Roman" w:cs="Times New Roman"/>
          <w:color w:val="000000"/>
          <w:sz w:val="24"/>
          <w:szCs w:val="24"/>
        </w:rPr>
        <w:t xml:space="preserve"> одним из элементов стандартизации для </w:t>
      </w:r>
      <w:r w:rsidR="0009510E">
        <w:rPr>
          <w:rFonts w:ascii="Times New Roman" w:hAnsi="Times New Roman" w:cs="Times New Roman"/>
          <w:color w:val="000000"/>
          <w:sz w:val="24"/>
          <w:szCs w:val="24"/>
        </w:rPr>
        <w:t xml:space="preserve">обслуживания </w:t>
      </w:r>
      <w:r w:rsidR="009D115E" w:rsidRPr="0009510E">
        <w:rPr>
          <w:rFonts w:ascii="Times New Roman" w:hAnsi="Times New Roman" w:cs="Times New Roman"/>
          <w:color w:val="000000"/>
          <w:sz w:val="24"/>
          <w:szCs w:val="24"/>
        </w:rPr>
        <w:t xml:space="preserve">китайских </w:t>
      </w:r>
      <w:r w:rsidRPr="0009510E">
        <w:rPr>
          <w:rFonts w:ascii="Times New Roman" w:hAnsi="Times New Roman" w:cs="Times New Roman"/>
          <w:color w:val="000000"/>
          <w:sz w:val="24"/>
          <w:szCs w:val="24"/>
        </w:rPr>
        <w:t>туристов могут стать нормативы</w:t>
      </w:r>
      <w:r w:rsidRPr="0009510E">
        <w:rPr>
          <w:sz w:val="24"/>
          <w:szCs w:val="24"/>
        </w:rPr>
        <w:t xml:space="preserve"> </w:t>
      </w:r>
      <w:r w:rsidRPr="0009510E">
        <w:rPr>
          <w:rFonts w:ascii="Times New Roman" w:hAnsi="Times New Roman" w:cs="Times New Roman"/>
          <w:color w:val="000000"/>
          <w:sz w:val="24"/>
          <w:szCs w:val="24"/>
        </w:rPr>
        <w:t xml:space="preserve">программы </w:t>
      </w:r>
      <w:bookmarkStart w:id="3" w:name="_Hlk212317195"/>
      <w:proofErr w:type="spellStart"/>
      <w:r w:rsidRPr="0009510E">
        <w:rPr>
          <w:rFonts w:ascii="Times New Roman" w:hAnsi="Times New Roman" w:cs="Times New Roman"/>
          <w:color w:val="000000"/>
          <w:sz w:val="24"/>
          <w:szCs w:val="24"/>
        </w:rPr>
        <w:t>China</w:t>
      </w:r>
      <w:proofErr w:type="spellEnd"/>
      <w:r w:rsidRPr="0009510E">
        <w:rPr>
          <w:rFonts w:ascii="Times New Roman" w:hAnsi="Times New Roman" w:cs="Times New Roman"/>
          <w:color w:val="000000"/>
          <w:sz w:val="24"/>
          <w:szCs w:val="24"/>
        </w:rPr>
        <w:t xml:space="preserve"> </w:t>
      </w:r>
      <w:r w:rsidR="009D115E" w:rsidRPr="0009510E">
        <w:rPr>
          <w:rFonts w:ascii="Times New Roman" w:hAnsi="Times New Roman" w:cs="Times New Roman"/>
          <w:color w:val="000000"/>
          <w:sz w:val="24"/>
          <w:szCs w:val="24"/>
          <w:lang w:val="en-US"/>
        </w:rPr>
        <w:t>F</w:t>
      </w:r>
      <w:proofErr w:type="spellStart"/>
      <w:r w:rsidRPr="0009510E">
        <w:rPr>
          <w:rFonts w:ascii="Times New Roman" w:hAnsi="Times New Roman" w:cs="Times New Roman"/>
          <w:color w:val="000000"/>
          <w:sz w:val="24"/>
          <w:szCs w:val="24"/>
        </w:rPr>
        <w:t>riendly</w:t>
      </w:r>
      <w:bookmarkEnd w:id="3"/>
      <w:proofErr w:type="spellEnd"/>
      <w:r w:rsidRPr="0009510E">
        <w:rPr>
          <w:rFonts w:ascii="Times New Roman" w:hAnsi="Times New Roman" w:cs="Times New Roman"/>
          <w:color w:val="000000"/>
          <w:sz w:val="24"/>
          <w:szCs w:val="24"/>
        </w:rPr>
        <w:t xml:space="preserve">. </w:t>
      </w:r>
      <w:r w:rsidRPr="0009510E">
        <w:rPr>
          <w:rFonts w:ascii="Times New Roman" w:hAnsi="Times New Roman" w:cs="Times New Roman"/>
          <w:iCs/>
          <w:color w:val="000000"/>
          <w:sz w:val="24"/>
          <w:szCs w:val="24"/>
        </w:rPr>
        <w:t xml:space="preserve">Результатами работы являются: </w:t>
      </w:r>
      <w:bookmarkStart w:id="4" w:name="_Hlk212410588"/>
      <w:r w:rsidRPr="0009510E">
        <w:rPr>
          <w:rFonts w:ascii="Times New Roman" w:hAnsi="Times New Roman" w:cs="Times New Roman"/>
          <w:iCs/>
          <w:color w:val="000000"/>
          <w:sz w:val="24"/>
          <w:szCs w:val="24"/>
        </w:rPr>
        <w:t xml:space="preserve">анализ систем стандартизации в гостиничных предприятиях в различных странах при размещении иностранных туристов; систематизация требований к обслуживанию иностранных туристов по стандартам обслуживания </w:t>
      </w:r>
      <w:proofErr w:type="spellStart"/>
      <w:r w:rsidRPr="0009510E">
        <w:rPr>
          <w:rFonts w:ascii="Times New Roman" w:hAnsi="Times New Roman" w:cs="Times New Roman"/>
          <w:iCs/>
          <w:color w:val="000000"/>
          <w:sz w:val="24"/>
          <w:szCs w:val="24"/>
        </w:rPr>
        <w:t>Friendly</w:t>
      </w:r>
      <w:proofErr w:type="spellEnd"/>
      <w:r w:rsidRPr="0009510E">
        <w:rPr>
          <w:rFonts w:ascii="Times New Roman" w:hAnsi="Times New Roman" w:cs="Times New Roman"/>
          <w:iCs/>
          <w:color w:val="000000"/>
          <w:sz w:val="24"/>
          <w:szCs w:val="24"/>
        </w:rPr>
        <w:t>; детализация требований к гостиничным предприятиям при обслуживании китайских туристов в Росси</w:t>
      </w:r>
      <w:r w:rsidR="009D115E" w:rsidRPr="0009510E">
        <w:rPr>
          <w:rFonts w:ascii="Times New Roman" w:hAnsi="Times New Roman" w:cs="Times New Roman"/>
          <w:iCs/>
          <w:color w:val="000000"/>
          <w:sz w:val="24"/>
          <w:szCs w:val="24"/>
        </w:rPr>
        <w:t>и</w:t>
      </w:r>
      <w:r w:rsidRPr="0009510E">
        <w:rPr>
          <w:rFonts w:ascii="Times New Roman" w:hAnsi="Times New Roman" w:cs="Times New Roman"/>
          <w:iCs/>
          <w:color w:val="000000"/>
          <w:sz w:val="24"/>
          <w:szCs w:val="24"/>
        </w:rPr>
        <w:t xml:space="preserve">. </w:t>
      </w:r>
      <w:bookmarkStart w:id="5" w:name="_Hlk214203854"/>
      <w:r w:rsidR="009D115E" w:rsidRPr="0009510E">
        <w:rPr>
          <w:rFonts w:ascii="Times New Roman" w:hAnsi="Times New Roman" w:cs="Times New Roman"/>
          <w:iCs/>
          <w:color w:val="000000"/>
          <w:sz w:val="24"/>
          <w:szCs w:val="24"/>
        </w:rPr>
        <w:t>Элементом н</w:t>
      </w:r>
      <w:r w:rsidRPr="0009510E">
        <w:rPr>
          <w:rFonts w:ascii="Times New Roman" w:hAnsi="Times New Roman" w:cs="Times New Roman"/>
          <w:iCs/>
          <w:color w:val="000000"/>
          <w:sz w:val="24"/>
          <w:szCs w:val="24"/>
        </w:rPr>
        <w:t>аучной новизн</w:t>
      </w:r>
      <w:r w:rsidR="009D115E" w:rsidRPr="0009510E">
        <w:rPr>
          <w:rFonts w:ascii="Times New Roman" w:hAnsi="Times New Roman" w:cs="Times New Roman"/>
          <w:iCs/>
          <w:color w:val="000000"/>
          <w:sz w:val="24"/>
          <w:szCs w:val="24"/>
        </w:rPr>
        <w:t>ы</w:t>
      </w:r>
      <w:r w:rsidRPr="0009510E">
        <w:rPr>
          <w:rFonts w:ascii="Times New Roman" w:hAnsi="Times New Roman" w:cs="Times New Roman"/>
          <w:iCs/>
          <w:color w:val="000000"/>
          <w:sz w:val="24"/>
          <w:szCs w:val="24"/>
        </w:rPr>
        <w:t xml:space="preserve"> является авторский подход к формированию внутренних стандартов и процедур </w:t>
      </w:r>
      <w:r w:rsidR="00D1146F">
        <w:rPr>
          <w:rFonts w:ascii="Times New Roman" w:hAnsi="Times New Roman" w:cs="Times New Roman"/>
          <w:iCs/>
          <w:color w:val="000000"/>
          <w:sz w:val="24"/>
          <w:szCs w:val="24"/>
        </w:rPr>
        <w:t>для</w:t>
      </w:r>
      <w:r w:rsidRPr="0009510E">
        <w:rPr>
          <w:rFonts w:ascii="Times New Roman" w:hAnsi="Times New Roman" w:cs="Times New Roman"/>
          <w:iCs/>
          <w:color w:val="000000"/>
          <w:sz w:val="24"/>
          <w:szCs w:val="24"/>
        </w:rPr>
        <w:t xml:space="preserve"> </w:t>
      </w:r>
      <w:r w:rsidR="0009510E">
        <w:rPr>
          <w:rFonts w:ascii="Times New Roman" w:hAnsi="Times New Roman" w:cs="Times New Roman"/>
          <w:iCs/>
          <w:color w:val="000000"/>
          <w:sz w:val="24"/>
          <w:szCs w:val="24"/>
        </w:rPr>
        <w:t xml:space="preserve">отечественных </w:t>
      </w:r>
      <w:r w:rsidRPr="0009510E">
        <w:rPr>
          <w:rFonts w:ascii="Times New Roman" w:hAnsi="Times New Roman" w:cs="Times New Roman"/>
          <w:iCs/>
          <w:color w:val="000000"/>
          <w:sz w:val="24"/>
          <w:szCs w:val="24"/>
        </w:rPr>
        <w:t>гостиничн</w:t>
      </w:r>
      <w:r w:rsidR="009D115E" w:rsidRPr="0009510E">
        <w:rPr>
          <w:rFonts w:ascii="Times New Roman" w:hAnsi="Times New Roman" w:cs="Times New Roman"/>
          <w:iCs/>
          <w:color w:val="000000"/>
          <w:sz w:val="24"/>
          <w:szCs w:val="24"/>
        </w:rPr>
        <w:t>ых</w:t>
      </w:r>
      <w:r w:rsidRPr="0009510E">
        <w:rPr>
          <w:rFonts w:ascii="Times New Roman" w:hAnsi="Times New Roman" w:cs="Times New Roman"/>
          <w:iCs/>
          <w:color w:val="000000"/>
          <w:sz w:val="24"/>
          <w:szCs w:val="24"/>
        </w:rPr>
        <w:t xml:space="preserve"> предприяти</w:t>
      </w:r>
      <w:r w:rsidR="00D1146F">
        <w:rPr>
          <w:rFonts w:ascii="Times New Roman" w:hAnsi="Times New Roman" w:cs="Times New Roman"/>
          <w:iCs/>
          <w:color w:val="000000"/>
          <w:sz w:val="24"/>
          <w:szCs w:val="24"/>
        </w:rPr>
        <w:t>й</w:t>
      </w:r>
      <w:r w:rsidRPr="0009510E">
        <w:rPr>
          <w:rFonts w:ascii="Times New Roman" w:hAnsi="Times New Roman" w:cs="Times New Roman"/>
          <w:iCs/>
          <w:color w:val="000000"/>
          <w:sz w:val="24"/>
          <w:szCs w:val="24"/>
        </w:rPr>
        <w:t>.</w:t>
      </w:r>
      <w:bookmarkEnd w:id="5"/>
      <w:r w:rsidRPr="0009510E">
        <w:rPr>
          <w:rFonts w:ascii="Times New Roman" w:hAnsi="Times New Roman" w:cs="Times New Roman"/>
          <w:iCs/>
          <w:color w:val="000000"/>
          <w:sz w:val="24"/>
          <w:szCs w:val="24"/>
        </w:rPr>
        <w:t xml:space="preserve"> Практическая значимость </w:t>
      </w:r>
      <w:r w:rsidR="0009510E" w:rsidRPr="0009510E">
        <w:rPr>
          <w:rFonts w:ascii="Times New Roman" w:hAnsi="Times New Roman" w:cs="Times New Roman"/>
          <w:iCs/>
          <w:color w:val="000000"/>
          <w:sz w:val="24"/>
          <w:szCs w:val="24"/>
        </w:rPr>
        <w:t xml:space="preserve">исследования </w:t>
      </w:r>
      <w:r w:rsidRPr="0009510E">
        <w:rPr>
          <w:rFonts w:ascii="Times New Roman" w:hAnsi="Times New Roman" w:cs="Times New Roman"/>
          <w:iCs/>
          <w:color w:val="000000"/>
          <w:sz w:val="24"/>
          <w:szCs w:val="24"/>
        </w:rPr>
        <w:t xml:space="preserve">заключается в актуализации </w:t>
      </w:r>
      <w:r w:rsidR="0009510E" w:rsidRPr="0009510E">
        <w:rPr>
          <w:rFonts w:ascii="Times New Roman" w:hAnsi="Times New Roman" w:cs="Times New Roman"/>
          <w:iCs/>
          <w:color w:val="000000"/>
          <w:sz w:val="24"/>
          <w:szCs w:val="24"/>
        </w:rPr>
        <w:t xml:space="preserve">возможности </w:t>
      </w:r>
      <w:r w:rsidRPr="0009510E">
        <w:rPr>
          <w:rFonts w:ascii="Times New Roman" w:hAnsi="Times New Roman" w:cs="Times New Roman"/>
          <w:iCs/>
          <w:color w:val="000000"/>
          <w:sz w:val="24"/>
          <w:szCs w:val="24"/>
        </w:rPr>
        <w:t>применения стандартов программы China Friendly в приграничных территориях Российской Федерации.</w:t>
      </w:r>
    </w:p>
    <w:bookmarkEnd w:id="4"/>
    <w:p w14:paraId="3E78E410" w14:textId="6E925600" w:rsidR="00EB699B" w:rsidRPr="0009510E" w:rsidRDefault="00313B01">
      <w:pPr>
        <w:widowControl w:val="0"/>
        <w:suppressAutoHyphens/>
        <w:snapToGrid w:val="0"/>
        <w:spacing w:after="0" w:line="240" w:lineRule="auto"/>
        <w:ind w:firstLine="240"/>
        <w:jc w:val="both"/>
        <w:rPr>
          <w:rFonts w:ascii="Times New Roman" w:eastAsia="Times New Roman" w:hAnsi="Times New Roman" w:cs="Times New Roman"/>
          <w:iCs/>
          <w:color w:val="000000"/>
          <w:spacing w:val="-4"/>
          <w:sz w:val="24"/>
          <w:szCs w:val="24"/>
          <w:lang w:eastAsia="ru-RU"/>
        </w:rPr>
      </w:pPr>
      <w:r w:rsidRPr="0009510E">
        <w:rPr>
          <w:rFonts w:ascii="Times New Roman" w:hAnsi="Times New Roman" w:cs="Times New Roman"/>
          <w:b/>
          <w:bCs/>
          <w:i/>
          <w:iCs/>
          <w:color w:val="000000"/>
          <w:sz w:val="24"/>
          <w:szCs w:val="24"/>
        </w:rPr>
        <w:t xml:space="preserve">Ключевые слова: </w:t>
      </w:r>
      <w:r w:rsidR="0009510E" w:rsidRPr="0009510E">
        <w:rPr>
          <w:rFonts w:ascii="Times New Roman" w:eastAsia="Times New Roman" w:hAnsi="Times New Roman" w:cs="Times New Roman"/>
          <w:iCs/>
          <w:color w:val="000000"/>
          <w:spacing w:val="-4"/>
          <w:sz w:val="24"/>
          <w:szCs w:val="24"/>
          <w:lang w:eastAsia="ru-RU"/>
        </w:rPr>
        <w:t xml:space="preserve">стандартизация гостиничных услуг, обслуживание иностранных туристов, </w:t>
      </w:r>
      <w:r w:rsidR="0009510E">
        <w:rPr>
          <w:rFonts w:ascii="Times New Roman" w:eastAsia="Times New Roman" w:hAnsi="Times New Roman" w:cs="Times New Roman"/>
          <w:iCs/>
          <w:color w:val="000000"/>
          <w:spacing w:val="-4"/>
          <w:sz w:val="24"/>
          <w:szCs w:val="24"/>
          <w:lang w:eastAsia="ru-RU"/>
        </w:rPr>
        <w:t xml:space="preserve">китайские туристы, </w:t>
      </w:r>
      <w:r w:rsidRPr="0009510E">
        <w:rPr>
          <w:rFonts w:ascii="Times New Roman" w:hAnsi="Times New Roman" w:cs="Times New Roman"/>
          <w:iCs/>
          <w:color w:val="000000"/>
          <w:sz w:val="24"/>
          <w:szCs w:val="24"/>
        </w:rPr>
        <w:t xml:space="preserve">гостиничные предприятия, </w:t>
      </w:r>
      <w:r w:rsidRPr="0009510E">
        <w:rPr>
          <w:rFonts w:ascii="Times New Roman" w:eastAsia="Times New Roman" w:hAnsi="Times New Roman" w:cs="Times New Roman"/>
          <w:iCs/>
          <w:color w:val="000000"/>
          <w:spacing w:val="-4"/>
          <w:sz w:val="24"/>
          <w:szCs w:val="24"/>
          <w:lang w:eastAsia="ru-RU"/>
        </w:rPr>
        <w:t xml:space="preserve">классификация гостиничных предприятий, программа </w:t>
      </w:r>
      <w:proofErr w:type="spellStart"/>
      <w:r w:rsidRPr="0009510E">
        <w:rPr>
          <w:rFonts w:ascii="Times New Roman" w:eastAsia="Times New Roman" w:hAnsi="Times New Roman" w:cs="Times New Roman"/>
          <w:iCs/>
          <w:color w:val="000000"/>
          <w:spacing w:val="-4"/>
          <w:sz w:val="24"/>
          <w:szCs w:val="24"/>
          <w:lang w:eastAsia="ru-RU"/>
        </w:rPr>
        <w:t>China</w:t>
      </w:r>
      <w:proofErr w:type="spellEnd"/>
      <w:r w:rsidRPr="0009510E">
        <w:rPr>
          <w:rFonts w:ascii="Times New Roman" w:eastAsia="Times New Roman" w:hAnsi="Times New Roman" w:cs="Times New Roman"/>
          <w:iCs/>
          <w:color w:val="000000"/>
          <w:spacing w:val="-4"/>
          <w:sz w:val="24"/>
          <w:szCs w:val="24"/>
          <w:lang w:eastAsia="ru-RU"/>
        </w:rPr>
        <w:t xml:space="preserve"> </w:t>
      </w:r>
      <w:r w:rsidR="0009510E" w:rsidRPr="0009510E">
        <w:rPr>
          <w:rFonts w:ascii="Times New Roman" w:eastAsia="Times New Roman" w:hAnsi="Times New Roman" w:cs="Times New Roman"/>
          <w:iCs/>
          <w:color w:val="000000"/>
          <w:spacing w:val="-4"/>
          <w:sz w:val="24"/>
          <w:szCs w:val="24"/>
          <w:lang w:val="en-US" w:eastAsia="ru-RU"/>
        </w:rPr>
        <w:t>F</w:t>
      </w:r>
      <w:proofErr w:type="spellStart"/>
      <w:r w:rsidRPr="0009510E">
        <w:rPr>
          <w:rFonts w:ascii="Times New Roman" w:eastAsia="Times New Roman" w:hAnsi="Times New Roman" w:cs="Times New Roman"/>
          <w:iCs/>
          <w:color w:val="000000"/>
          <w:spacing w:val="-4"/>
          <w:sz w:val="24"/>
          <w:szCs w:val="24"/>
          <w:lang w:eastAsia="ru-RU"/>
        </w:rPr>
        <w:t>riendly</w:t>
      </w:r>
      <w:proofErr w:type="spellEnd"/>
      <w:r w:rsidRPr="0009510E">
        <w:rPr>
          <w:rFonts w:ascii="Times New Roman" w:eastAsia="Times New Roman" w:hAnsi="Times New Roman" w:cs="Times New Roman"/>
          <w:iCs/>
          <w:color w:val="000000"/>
          <w:spacing w:val="-4"/>
          <w:sz w:val="24"/>
          <w:szCs w:val="24"/>
          <w:lang w:eastAsia="ru-RU"/>
        </w:rPr>
        <w:t>.</w:t>
      </w:r>
    </w:p>
    <w:p w14:paraId="3ED2214A" w14:textId="77777777" w:rsidR="00EB699B" w:rsidRPr="0009510E" w:rsidRDefault="00EB699B">
      <w:pPr>
        <w:tabs>
          <w:tab w:val="left" w:pos="7230"/>
        </w:tabs>
        <w:spacing w:after="0" w:line="240" w:lineRule="auto"/>
        <w:ind w:firstLine="709"/>
        <w:rPr>
          <w:rFonts w:ascii="Times New Roman" w:eastAsia="DengXian" w:hAnsi="Times New Roman" w:cs="Times New Roman"/>
          <w:color w:val="000000"/>
          <w:sz w:val="24"/>
          <w:szCs w:val="24"/>
          <w:lang w:eastAsia="zh-CN"/>
        </w:rPr>
      </w:pPr>
    </w:p>
    <w:p w14:paraId="1E53E7CE" w14:textId="77777777" w:rsidR="00EB699B" w:rsidRDefault="00313B01">
      <w:pPr>
        <w:jc w:val="both"/>
        <w:rPr>
          <w:rFonts w:ascii="Times New Roman" w:hAnsi="Times New Roman" w:cs="Times New Roman"/>
          <w:kern w:val="2"/>
          <w:sz w:val="24"/>
          <w:szCs w:val="24"/>
          <w:lang w:val="en-US"/>
        </w:rPr>
      </w:pPr>
      <w:r>
        <w:rPr>
          <w:rFonts w:ascii="Times New Roman" w:hAnsi="Times New Roman" w:cs="Times New Roman"/>
          <w:color w:val="000000"/>
          <w:kern w:val="2"/>
          <w:sz w:val="24"/>
          <w:szCs w:val="24"/>
          <w:lang w:val="en-US"/>
        </w:rPr>
        <w:t>Original article</w:t>
      </w:r>
    </w:p>
    <w:p w14:paraId="13F08E19" w14:textId="77777777" w:rsidR="00EB699B" w:rsidRDefault="00313B01">
      <w:pPr>
        <w:widowControl w:val="0"/>
        <w:tabs>
          <w:tab w:val="left" w:pos="312"/>
        </w:tabs>
        <w:spacing w:after="0" w:line="240" w:lineRule="auto"/>
        <w:jc w:val="center"/>
        <w:rPr>
          <w:rFonts w:ascii="Arial" w:hAnsi="Arial" w:cs="Arial"/>
          <w:b/>
          <w:color w:val="000000"/>
          <w:sz w:val="24"/>
          <w:szCs w:val="24"/>
          <w:lang w:val="en-US"/>
        </w:rPr>
      </w:pPr>
      <w:r>
        <w:rPr>
          <w:rFonts w:ascii="Arial" w:hAnsi="Arial" w:cs="Arial"/>
          <w:b/>
          <w:color w:val="000000"/>
          <w:sz w:val="24"/>
          <w:szCs w:val="24"/>
          <w:lang w:val="en-US"/>
        </w:rPr>
        <w:t>Updating hotel service standards in the segment of foreign tourists</w:t>
      </w:r>
    </w:p>
    <w:p w14:paraId="0E881AC5" w14:textId="77777777" w:rsidR="00EB699B" w:rsidRDefault="00EB699B">
      <w:pPr>
        <w:widowControl w:val="0"/>
        <w:tabs>
          <w:tab w:val="left" w:pos="312"/>
        </w:tabs>
        <w:spacing w:after="0" w:line="240" w:lineRule="auto"/>
        <w:rPr>
          <w:rFonts w:ascii="Arial" w:hAnsi="Arial" w:cs="Arial"/>
          <w:b/>
          <w:color w:val="000000"/>
          <w:sz w:val="24"/>
          <w:szCs w:val="24"/>
          <w:lang w:val="en-US"/>
        </w:rPr>
      </w:pPr>
    </w:p>
    <w:p w14:paraId="1677A833" w14:textId="77777777" w:rsidR="00EB699B" w:rsidRDefault="00313B01">
      <w:pPr>
        <w:widowControl w:val="0"/>
        <w:tabs>
          <w:tab w:val="left" w:pos="312"/>
        </w:tabs>
        <w:spacing w:after="0" w:line="240" w:lineRule="auto"/>
        <w:rPr>
          <w:rFonts w:ascii="Times New Roman" w:eastAsia="Times New Roman" w:hAnsi="Times New Roman" w:cs="Times New Roman"/>
          <w:b/>
          <w:color w:val="000000"/>
          <w:kern w:val="2"/>
          <w:sz w:val="24"/>
          <w:szCs w:val="24"/>
          <w:lang w:val="en-US" w:eastAsia="ru-RU"/>
        </w:rPr>
      </w:pPr>
      <w:r>
        <w:rPr>
          <w:rFonts w:ascii="Times New Roman" w:eastAsia="Times New Roman" w:hAnsi="Times New Roman" w:cs="Times New Roman"/>
          <w:b/>
          <w:color w:val="000000"/>
          <w:kern w:val="2"/>
          <w:sz w:val="24"/>
          <w:szCs w:val="24"/>
          <w:lang w:val="en-US" w:eastAsia="ru-RU"/>
        </w:rPr>
        <w:t xml:space="preserve">Galina A. Gomilevskaya </w:t>
      </w:r>
    </w:p>
    <w:p w14:paraId="077C5B96" w14:textId="77777777" w:rsidR="00EB699B" w:rsidRDefault="00EB699B">
      <w:pPr>
        <w:widowControl w:val="0"/>
        <w:tabs>
          <w:tab w:val="left" w:pos="0"/>
        </w:tabs>
        <w:spacing w:after="0" w:line="240" w:lineRule="auto"/>
        <w:rPr>
          <w:rFonts w:ascii="Times New Roman" w:eastAsia="Times New Roman" w:hAnsi="Times New Roman" w:cs="Times New Roman"/>
          <w:b/>
          <w:color w:val="000000"/>
          <w:kern w:val="2"/>
          <w:sz w:val="24"/>
          <w:szCs w:val="24"/>
          <w:lang w:val="en-US" w:eastAsia="ru-RU"/>
        </w:rPr>
      </w:pPr>
    </w:p>
    <w:p w14:paraId="48D23FAA" w14:textId="77777777" w:rsidR="00EB699B" w:rsidRDefault="00313B01">
      <w:pPr>
        <w:widowControl w:val="0"/>
        <w:spacing w:after="0" w:line="240" w:lineRule="auto"/>
        <w:rPr>
          <w:rFonts w:ascii="Times New Roman" w:eastAsia="Times New Roman" w:hAnsi="Times New Roman" w:cs="Times New Roman"/>
          <w:color w:val="000000"/>
          <w:kern w:val="2"/>
          <w:sz w:val="24"/>
          <w:szCs w:val="24"/>
          <w:lang w:val="en-US" w:eastAsia="ru-RU"/>
        </w:rPr>
      </w:pPr>
      <w:r>
        <w:rPr>
          <w:rFonts w:ascii="Times New Roman" w:eastAsia="Times New Roman" w:hAnsi="Times New Roman" w:cs="Times New Roman"/>
          <w:color w:val="000000"/>
          <w:kern w:val="2"/>
          <w:sz w:val="24"/>
          <w:szCs w:val="24"/>
          <w:lang w:val="en-US" w:eastAsia="ru-RU"/>
        </w:rPr>
        <w:t xml:space="preserve">Vladivostok State University of Economics and Service, Primorsky Krai, Vladivostok, Russia, </w:t>
      </w:r>
    </w:p>
    <w:p w14:paraId="44E1431C" w14:textId="77777777" w:rsidR="00EB699B" w:rsidRDefault="00313B01">
      <w:pPr>
        <w:widowControl w:val="0"/>
        <w:spacing w:after="0" w:line="240" w:lineRule="auto"/>
        <w:rPr>
          <w:rFonts w:ascii="Times New Roman" w:eastAsia="Times New Roman" w:hAnsi="Times New Roman" w:cs="Times New Roman"/>
          <w:color w:val="000000"/>
          <w:kern w:val="2"/>
          <w:sz w:val="24"/>
          <w:szCs w:val="24"/>
          <w:lang w:val="en-US" w:eastAsia="ru-RU"/>
        </w:rPr>
      </w:pPr>
      <w:r>
        <w:rPr>
          <w:rFonts w:ascii="Times New Roman" w:eastAsia="Times New Roman" w:hAnsi="Times New Roman" w:cs="Times New Roman"/>
          <w:color w:val="000000"/>
          <w:kern w:val="2"/>
          <w:sz w:val="24"/>
          <w:szCs w:val="24"/>
          <w:lang w:val="en-US" w:eastAsia="ru-RU"/>
        </w:rPr>
        <w:t>gag17@yandex.ru</w:t>
      </w:r>
    </w:p>
    <w:p w14:paraId="10D867A9" w14:textId="77777777" w:rsidR="00EB699B" w:rsidRDefault="00EB699B">
      <w:pPr>
        <w:keepNext/>
        <w:widowControl w:val="0"/>
        <w:spacing w:after="0" w:line="240" w:lineRule="auto"/>
        <w:jc w:val="both"/>
        <w:rPr>
          <w:rFonts w:ascii="Times New Roman" w:eastAsia="Times New Roman" w:hAnsi="Times New Roman" w:cs="Times New Roman"/>
          <w:color w:val="000000"/>
          <w:kern w:val="2"/>
          <w:sz w:val="20"/>
          <w:szCs w:val="20"/>
          <w:highlight w:val="yellow"/>
          <w:lang w:val="en-US"/>
        </w:rPr>
      </w:pPr>
    </w:p>
    <w:p w14:paraId="590D73BE" w14:textId="77777777" w:rsidR="00EB699B" w:rsidRDefault="00313B01">
      <w:pPr>
        <w:keepNext/>
        <w:widowControl w:val="0"/>
        <w:spacing w:after="0" w:line="240" w:lineRule="auto"/>
        <w:ind w:firstLine="284"/>
        <w:jc w:val="both"/>
        <w:rPr>
          <w:rFonts w:ascii="Times New Roman" w:eastAsia="Times New Roman" w:hAnsi="Times New Roman" w:cs="Times New Roman"/>
          <w:bCs/>
          <w:color w:val="000000"/>
          <w:kern w:val="2"/>
          <w:sz w:val="24"/>
          <w:szCs w:val="24"/>
          <w:lang w:val="en-US"/>
        </w:rPr>
      </w:pPr>
      <w:r>
        <w:rPr>
          <w:rFonts w:ascii="Times New Roman" w:eastAsia="Times New Roman" w:hAnsi="Times New Roman" w:cs="Times New Roman"/>
          <w:b/>
          <w:i/>
          <w:color w:val="000000"/>
          <w:kern w:val="2"/>
          <w:sz w:val="24"/>
          <w:szCs w:val="24"/>
          <w:lang w:val="en-US"/>
        </w:rPr>
        <w:t>Abstract</w:t>
      </w:r>
      <w:r>
        <w:rPr>
          <w:rFonts w:ascii="Times New Roman" w:eastAsia="Times New Roman" w:hAnsi="Times New Roman" w:cs="Times New Roman"/>
          <w:bCs/>
          <w:color w:val="000000"/>
          <w:kern w:val="2"/>
          <w:sz w:val="24"/>
          <w:szCs w:val="24"/>
          <w:lang w:val="en-US"/>
        </w:rPr>
        <w:t>.</w:t>
      </w:r>
      <w:r>
        <w:rPr>
          <w:kern w:val="2"/>
          <w:lang w:val="en-US"/>
        </w:rPr>
        <w:t xml:space="preserve"> </w:t>
      </w:r>
      <w:r>
        <w:rPr>
          <w:rFonts w:ascii="Times New Roman" w:eastAsia="Times New Roman" w:hAnsi="Times New Roman" w:cs="Times New Roman"/>
          <w:bCs/>
          <w:color w:val="000000"/>
          <w:kern w:val="2"/>
          <w:sz w:val="24"/>
          <w:szCs w:val="24"/>
          <w:lang w:val="en-US"/>
        </w:rPr>
        <w:t>The article examines the process of forming hotel services in the Russian Federation from the point of view of the standardization system for the reception and service of tourists from China as a special consumer segment of the tourism market. In addition to the state system of hotel classification, the standards of the China friendly program can be used as one of the elements of standardization for tourists from China. The purpose of this work is to identify the current areas for improving the standards of hotel services for tourists from China as a special consumer segment of the tourism market. The results of the work include: analysis of the standardization systems in hotel enterprises in various countries when accommodating foreign tourists; systematization of the requirements for servicing foreign tourists according to the Friendly service standards; detailing the requirements for hotel enterprises when servicing Chinese tourists in the Russian Federation. The scientific novelty of the study is the author's approach to the formation of internal standards and procedures in a hotel enterprise. The practical significance lies in the actualization of the application of the China Friendly program standards in the border territories of the Russian Federation.</w:t>
      </w:r>
    </w:p>
    <w:p w14:paraId="741E2673" w14:textId="77777777" w:rsidR="00EB699B" w:rsidRDefault="00313B01">
      <w:pPr>
        <w:keepNext/>
        <w:widowControl w:val="0"/>
        <w:spacing w:after="0" w:line="240" w:lineRule="auto"/>
        <w:ind w:firstLine="284"/>
        <w:jc w:val="both"/>
        <w:rPr>
          <w:rFonts w:ascii="Times New Roman" w:eastAsia="Times New Roman" w:hAnsi="Times New Roman" w:cs="Times New Roman"/>
          <w:i/>
          <w:iCs/>
          <w:color w:val="000000"/>
          <w:kern w:val="2"/>
          <w:szCs w:val="20"/>
          <w:lang w:val="en-US"/>
        </w:rPr>
      </w:pPr>
      <w:r>
        <w:rPr>
          <w:rFonts w:ascii="Times New Roman" w:eastAsia="Times New Roman" w:hAnsi="Times New Roman" w:cs="Times New Roman"/>
          <w:b/>
          <w:i/>
          <w:color w:val="000000"/>
          <w:kern w:val="2"/>
          <w:sz w:val="24"/>
          <w:szCs w:val="20"/>
          <w:lang w:val="en-US"/>
        </w:rPr>
        <w:t>Keywords</w:t>
      </w:r>
      <w:r>
        <w:rPr>
          <w:rFonts w:ascii="Times New Roman" w:eastAsia="Times New Roman" w:hAnsi="Times New Roman" w:cs="Times New Roman"/>
          <w:b/>
          <w:i/>
          <w:color w:val="000000"/>
          <w:kern w:val="2"/>
          <w:szCs w:val="20"/>
          <w:lang w:val="en-US"/>
        </w:rPr>
        <w:t>:</w:t>
      </w:r>
      <w:r>
        <w:rPr>
          <w:rFonts w:ascii="Times New Roman" w:eastAsia="Times New Roman" w:hAnsi="Times New Roman" w:cs="Times New Roman"/>
          <w:color w:val="000000"/>
          <w:kern w:val="2"/>
          <w:sz w:val="20"/>
          <w:szCs w:val="20"/>
          <w:lang w:val="en-US"/>
        </w:rPr>
        <w:t xml:space="preserve"> </w:t>
      </w:r>
      <w:r>
        <w:rPr>
          <w:rFonts w:ascii="Times New Roman" w:eastAsia="Times New Roman" w:hAnsi="Times New Roman" w:cs="Times New Roman"/>
          <w:i/>
          <w:iCs/>
          <w:color w:val="000000"/>
          <w:kern w:val="2"/>
          <w:szCs w:val="20"/>
          <w:lang w:val="en-US"/>
        </w:rPr>
        <w:t>hotel enterprises, standardization of hotel services, classification of hotel enterprises, foreign tourists, China friendly program.</w:t>
      </w:r>
    </w:p>
    <w:p w14:paraId="43B5EF3B" w14:textId="77777777" w:rsidR="00EB699B" w:rsidRDefault="00313B01">
      <w:pPr>
        <w:suppressAutoHyphens/>
        <w:spacing w:after="0" w:line="240" w:lineRule="auto"/>
        <w:ind w:firstLine="284"/>
        <w:jc w:val="both"/>
        <w:rPr>
          <w:rFonts w:ascii="Times New Roman" w:hAnsi="Times New Roman" w:cs="Times New Roman"/>
          <w:b/>
          <w:color w:val="000000"/>
          <w:sz w:val="24"/>
          <w:szCs w:val="24"/>
        </w:rPr>
      </w:pPr>
      <w:r>
        <w:rPr>
          <w:rFonts w:ascii="Times New Roman" w:hAnsi="Times New Roman" w:cs="Times New Roman"/>
          <w:b/>
          <w:color w:val="000000"/>
          <w:sz w:val="24"/>
          <w:szCs w:val="24"/>
        </w:rPr>
        <w:t>Введение.</w:t>
      </w:r>
    </w:p>
    <w:p w14:paraId="35A7822D" w14:textId="77777777" w:rsidR="00EB699B" w:rsidRDefault="00313B01">
      <w:pPr>
        <w:autoSpaceDE w:val="0"/>
        <w:autoSpaceDN w:val="0"/>
        <w:adjustRightInd w:val="0"/>
        <w:spacing w:after="0" w:line="240" w:lineRule="auto"/>
        <w:ind w:firstLine="284"/>
        <w:jc w:val="both"/>
        <w:rPr>
          <w:rFonts w:ascii="Times New Roman" w:eastAsia="SimSun" w:hAnsi="Times New Roman"/>
          <w:color w:val="FF0000"/>
          <w:sz w:val="24"/>
          <w:szCs w:val="24"/>
          <w:lang w:eastAsia="zh-CN"/>
        </w:rPr>
      </w:pPr>
      <w:r>
        <w:rPr>
          <w:rFonts w:ascii="Times New Roman" w:eastAsia="SimSun" w:hAnsi="Times New Roman"/>
          <w:color w:val="000000"/>
          <w:sz w:val="24"/>
          <w:szCs w:val="24"/>
          <w:lang w:eastAsia="zh-CN"/>
        </w:rPr>
        <w:lastRenderedPageBreak/>
        <w:t>Ключевые тенденции развития туризма в мире в целом определяются выбранными для каждой отдельной страны направлениями туристских потоков. Весомое значение в данном контексте играет въездной туризм, роль которого определяется рядом факторов, в том числе притоком валюты в страну, перспективным развитием инфраструктуры в туристских территориях, созданием новых рабочих мест, формированием системы качества гостиничного продукта. В Российской Федерации въездной поток из КНР занимает особое место, объем которого в 2024 году составил 1120 тыс. человек [1], что составляет 12,3% от общего въездного потока и 41,5% в структуре турпотока из дальнего зарубежья</w:t>
      </w:r>
      <w:r>
        <w:rPr>
          <w:rFonts w:ascii="Times New Roman" w:eastAsia="SimSun" w:hAnsi="Times New Roman"/>
          <w:color w:val="FF0000"/>
          <w:sz w:val="24"/>
          <w:szCs w:val="24"/>
          <w:lang w:eastAsia="zh-CN"/>
        </w:rPr>
        <w:t xml:space="preserve">. </w:t>
      </w:r>
    </w:p>
    <w:p w14:paraId="7639C6B8" w14:textId="77777777" w:rsidR="00EB699B" w:rsidRDefault="00313B01">
      <w:pPr>
        <w:autoSpaceDE w:val="0"/>
        <w:autoSpaceDN w:val="0"/>
        <w:adjustRightInd w:val="0"/>
        <w:spacing w:after="0" w:line="240" w:lineRule="auto"/>
        <w:ind w:firstLine="284"/>
        <w:jc w:val="both"/>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 xml:space="preserve">Растущий спрос на посещение китайскими туристами туристских регионов России требует от организаторов особого внимания к качеству приема и обслуживания с учетом действующих в отрасли стандартов и потребительских требований.  В ряду туристских продуктов гостиничные услуги играют существенную роль, поскольку закрывают базовые туристские потребности в размещении. Многие гостиницы используют систему стандартизации как основное конкурентное преимущество, что оказывает существенное влияние на показатель качества предоставления гостиничных услуг и экономическую эффективность. </w:t>
      </w:r>
    </w:p>
    <w:p w14:paraId="218980E6" w14:textId="77777777" w:rsidR="00EB699B" w:rsidRDefault="00313B01">
      <w:pPr>
        <w:autoSpaceDE w:val="0"/>
        <w:autoSpaceDN w:val="0"/>
        <w:adjustRightInd w:val="0"/>
        <w:spacing w:after="0" w:line="240" w:lineRule="auto"/>
        <w:ind w:firstLine="284"/>
        <w:jc w:val="both"/>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Вопросы управления качеством гостиничных услуг и организации системы стандартизации и сертификации гостиничных предприятий рассматриваются в материалах авторов Л.А. Скабеевой, А.С. Макаровой, Д.А. Конашиной, М.В. Арифуллина и др. [2, 3, 4], в работах которых исследуются вопросы эффективного использования гостиничных стандартов с точки зрения различных технологий гостиничного менеджмента, в том числе  при взаимодействии персонала с гостями и учете потребительских особенностей гостей.</w:t>
      </w:r>
    </w:p>
    <w:p w14:paraId="3322BB5E" w14:textId="77777777" w:rsidR="00EB699B" w:rsidRDefault="00313B01">
      <w:pPr>
        <w:autoSpaceDE w:val="0"/>
        <w:autoSpaceDN w:val="0"/>
        <w:adjustRightInd w:val="0"/>
        <w:spacing w:after="0" w:line="240" w:lineRule="auto"/>
        <w:ind w:firstLine="284"/>
        <w:jc w:val="both"/>
        <w:rPr>
          <w:rFonts w:ascii="Times New Roman" w:eastAsia="SimSun" w:hAnsi="Times New Roman"/>
          <w:sz w:val="24"/>
          <w:szCs w:val="24"/>
          <w:lang w:eastAsia="zh-CN"/>
        </w:rPr>
      </w:pPr>
      <w:r>
        <w:rPr>
          <w:rFonts w:ascii="Times New Roman" w:eastAsia="SimSun" w:hAnsi="Times New Roman"/>
          <w:sz w:val="24"/>
          <w:szCs w:val="24"/>
          <w:lang w:eastAsia="zh-CN"/>
        </w:rPr>
        <w:t xml:space="preserve">Ряд авторов, в том числе О. Е Щербакова, О.Н. Шепеленко, М. Осипова и др. </w:t>
      </w:r>
      <w:r>
        <w:rPr>
          <w:rFonts w:ascii="Times New Roman" w:eastAsia="SimSun" w:hAnsi="Times New Roman"/>
          <w:color w:val="000000"/>
          <w:sz w:val="24"/>
          <w:szCs w:val="24"/>
          <w:lang w:eastAsia="zh-CN"/>
        </w:rPr>
        <w:t xml:space="preserve">[5, 6, 7], </w:t>
      </w:r>
      <w:r>
        <w:rPr>
          <w:rFonts w:ascii="Times New Roman" w:eastAsia="SimSun" w:hAnsi="Times New Roman"/>
          <w:sz w:val="24"/>
          <w:szCs w:val="24"/>
          <w:lang w:eastAsia="zh-CN"/>
        </w:rPr>
        <w:t xml:space="preserve">уделяют особое внимание системе сертификации </w:t>
      </w:r>
      <w:r>
        <w:rPr>
          <w:rFonts w:ascii="Times New Roman" w:eastAsia="SimSun" w:hAnsi="Times New Roman"/>
          <w:sz w:val="24"/>
          <w:szCs w:val="24"/>
          <w:lang w:val="en-US" w:eastAsia="zh-CN"/>
        </w:rPr>
        <w:t>F</w:t>
      </w:r>
      <w:r>
        <w:rPr>
          <w:rFonts w:ascii="Times New Roman" w:eastAsia="SimSun" w:hAnsi="Times New Roman"/>
          <w:sz w:val="24"/>
          <w:szCs w:val="24"/>
          <w:lang w:eastAsia="zh-CN"/>
        </w:rPr>
        <w:t>riendly, включающей организацию условий для пребывания граждан из отдельных стран: Китая, Японии, Кореи, Индии, стран Ближнего Востока. При проектировании туристских пакетов учитываются специфические запросы туристов по экскурсионным и развлекательным программам, информационному сопровождению, транспортному обслуживанию, условиям оплаты, питанию, обслуживанию корпоративных и семейных групп. Одним из наиболее важных аспектов являются также не только условия проживания, но и весь спектр услуг, которые предоставляет гостиница.</w:t>
      </w:r>
    </w:p>
    <w:p w14:paraId="567AC762" w14:textId="77777777" w:rsidR="00EB699B" w:rsidRDefault="00313B01">
      <w:pPr>
        <w:autoSpaceDE w:val="0"/>
        <w:autoSpaceDN w:val="0"/>
        <w:adjustRightInd w:val="0"/>
        <w:spacing w:after="0" w:line="240" w:lineRule="auto"/>
        <w:ind w:firstLine="284"/>
        <w:jc w:val="both"/>
        <w:rPr>
          <w:rFonts w:ascii="Times New Roman" w:eastAsia="SimSun" w:hAnsi="Times New Roman"/>
          <w:sz w:val="24"/>
          <w:szCs w:val="24"/>
          <w:lang w:eastAsia="zh-CN"/>
        </w:rPr>
      </w:pPr>
      <w:r>
        <w:rPr>
          <w:rFonts w:ascii="Times New Roman" w:eastAsia="SimSun" w:hAnsi="Times New Roman"/>
          <w:sz w:val="24"/>
          <w:szCs w:val="24"/>
          <w:lang w:eastAsia="zh-CN"/>
        </w:rPr>
        <w:t xml:space="preserve">Актуальность темы исследования заключается в необходимости учета специфики обслуживания китайских туристов и формирования клиенто-ориентированных стандартов на основе существующих международных и российских норм, а также разработки внутренних гостиничных правил предоставления услуг. </w:t>
      </w:r>
    </w:p>
    <w:p w14:paraId="3F3FEA52" w14:textId="77777777" w:rsidR="00EB699B" w:rsidRDefault="00313B01">
      <w:pPr>
        <w:spacing w:after="0" w:line="240" w:lineRule="auto"/>
        <w:ind w:firstLine="284"/>
        <w:jc w:val="both"/>
        <w:rPr>
          <w:rFonts w:ascii="Times New Roman" w:hAnsi="Times New Roman" w:cs="Times New Roman"/>
          <w:iCs/>
          <w:color w:val="000000"/>
          <w:sz w:val="24"/>
          <w:szCs w:val="24"/>
        </w:rPr>
      </w:pPr>
      <w:r>
        <w:rPr>
          <w:rFonts w:ascii="Times New Roman" w:eastAsia="DengXian" w:hAnsi="Times New Roman" w:cs="Times New Roman"/>
          <w:iCs/>
          <w:color w:val="000000"/>
          <w:sz w:val="24"/>
          <w:szCs w:val="24"/>
          <w:lang w:eastAsia="zh-CN"/>
        </w:rPr>
        <w:t>Ц</w:t>
      </w:r>
      <w:r>
        <w:rPr>
          <w:rFonts w:ascii="Times New Roman" w:hAnsi="Times New Roman" w:cs="Times New Roman"/>
          <w:iCs/>
          <w:color w:val="000000"/>
          <w:sz w:val="24"/>
          <w:szCs w:val="24"/>
        </w:rPr>
        <w:t>елью работы является выявление актуальных направлений совершенствования стандартов гостиничного обслуживания туристов из КНР как особого потребительского сегмента туристского рынка.</w:t>
      </w:r>
    </w:p>
    <w:p w14:paraId="120D1EF6" w14:textId="77777777" w:rsidR="00EB699B" w:rsidRDefault="00313B01">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В процессе исследования использованы следующие методы: сравнительный анализ, статистический анализ, систематизация и классификация, методы социологического опроса и математического анализа.  </w:t>
      </w:r>
    </w:p>
    <w:p w14:paraId="1C698EAC" w14:textId="77777777" w:rsidR="00EB699B" w:rsidRDefault="00313B01">
      <w:pPr>
        <w:spacing w:after="0" w:line="240" w:lineRule="auto"/>
        <w:ind w:firstLine="426"/>
        <w:jc w:val="both"/>
        <w:rPr>
          <w:rFonts w:ascii="Times New Roman" w:hAnsi="Times New Roman" w:cs="Times New Roman"/>
          <w:b/>
          <w:bCs/>
          <w:sz w:val="24"/>
          <w:szCs w:val="24"/>
        </w:rPr>
      </w:pPr>
      <w:r>
        <w:rPr>
          <w:rFonts w:ascii="Times New Roman" w:hAnsi="Times New Roman" w:cs="Times New Roman"/>
          <w:b/>
          <w:bCs/>
          <w:sz w:val="24"/>
          <w:szCs w:val="24"/>
        </w:rPr>
        <w:t>Основная часть.</w:t>
      </w:r>
    </w:p>
    <w:p w14:paraId="18932505" w14:textId="77777777" w:rsidR="00EB699B" w:rsidRDefault="00313B01">
      <w:pPr>
        <w:widowControl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Управление гостиничным предприятием это сложный процесс, который требует учета множества факторов и характеристик, оказывающих влияние на формирование внутренней среды, содержание гостиничного продукта, стратегию развития предприятия. Среди целого ряда моделей управления гостиничным предприятием, к которым относятся различные типы: процессный, технологический, ситуационный, системный, открытый, маркетинговый и др. </w:t>
      </w:r>
      <w:r>
        <w:rPr>
          <w:rFonts w:ascii="Times New Roman" w:eastAsia="Times New Roman" w:hAnsi="Times New Roman" w:cs="Times New Roman"/>
          <w:color w:val="000000"/>
          <w:sz w:val="24"/>
          <w:szCs w:val="24"/>
          <w:lang w:eastAsia="ru-RU"/>
        </w:rPr>
        <w:t xml:space="preserve">[8], </w:t>
      </w:r>
      <w:r>
        <w:rPr>
          <w:rFonts w:ascii="Times New Roman" w:eastAsia="Times New Roman" w:hAnsi="Times New Roman" w:cs="Times New Roman"/>
          <w:sz w:val="24"/>
          <w:szCs w:val="24"/>
          <w:lang w:eastAsia="ru-RU"/>
        </w:rPr>
        <w:t xml:space="preserve">заслуживает особого внимания модель управления на основе комплексного подхода учета различных факторов и создания системы управления качеством на основе внедрения стандартов обслуживания.  </w:t>
      </w:r>
    </w:p>
    <w:p w14:paraId="5FFFDDB2"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Следует отметить, что формирование стандартов обслуживания определяется специфическими свойствами гостиничной услуги, к которым относятся: высокий </w:t>
      </w:r>
      <w:r>
        <w:rPr>
          <w:rFonts w:ascii="Times New Roman" w:eastAsia="Times New Roman" w:hAnsi="Times New Roman" w:cs="Times New Roman"/>
          <w:sz w:val="24"/>
          <w:szCs w:val="24"/>
          <w:lang w:eastAsia="ru-RU"/>
        </w:rPr>
        <w:lastRenderedPageBreak/>
        <w:t xml:space="preserve">коммуникативный уровень между производителем и потребителем гостиничной услуги, единовременность процесса производства и потребления, высокий уровень сезонности, высокая доля трудовых затрат в общей себестоимости, колебания качества, рост технологичности производства и реализации гостиничного </w:t>
      </w:r>
      <w:r>
        <w:rPr>
          <w:rFonts w:ascii="Times New Roman" w:eastAsia="Times New Roman" w:hAnsi="Times New Roman" w:cs="Times New Roman"/>
          <w:color w:val="000000"/>
          <w:sz w:val="24"/>
          <w:szCs w:val="24"/>
          <w:lang w:eastAsia="ru-RU"/>
        </w:rPr>
        <w:t>продукта [9, 10]. Требования к гостиничным услугам определяются условиями договора между гостиничным предприятием и размещенным лицом в соответствии с Правилами предоставления гостиничных услуг [11].</w:t>
      </w:r>
    </w:p>
    <w:p w14:paraId="75E8EE4C"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Стандартизация услуг в гостиничном предприятии оказывает существенное влияние на соответствие основным критериям позиционирования гостиничного продукта в том числе гарантий надежности предоставления услуги, критериев гостеприимства, доступности и информированности, адаптивности. Эффективное применение стандартов имеет также прямую корреляцию с эффективностью гостиничного продукта в целом при расчете ключевых показателей [10]: </w:t>
      </w:r>
    </w:p>
    <w:p w14:paraId="040AC463"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процента загрузки по категориям номеров OCC (Occupancy);</w:t>
      </w:r>
    </w:p>
    <w:p w14:paraId="2C1CB74C"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средней цены номеро-дня </w:t>
      </w:r>
      <w:r>
        <w:rPr>
          <w:rFonts w:ascii="Times New Roman" w:eastAsia="Times New Roman" w:hAnsi="Times New Roman" w:cs="Times New Roman"/>
          <w:color w:val="000000"/>
          <w:sz w:val="24"/>
          <w:szCs w:val="24"/>
          <w:lang w:val="en-US" w:eastAsia="ru-RU"/>
        </w:rPr>
        <w:t>ADR</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Average</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daily</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room</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rate</w:t>
      </w:r>
      <w:r>
        <w:rPr>
          <w:rFonts w:ascii="Times New Roman" w:eastAsia="Times New Roman" w:hAnsi="Times New Roman" w:cs="Times New Roman"/>
          <w:color w:val="000000"/>
          <w:sz w:val="24"/>
          <w:szCs w:val="24"/>
          <w:lang w:eastAsia="ru-RU"/>
        </w:rPr>
        <w:t>);</w:t>
      </w:r>
    </w:p>
    <w:p w14:paraId="64B0B453"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дохода с одного доступного места </w:t>
      </w:r>
      <w:r>
        <w:rPr>
          <w:rFonts w:ascii="Times New Roman" w:eastAsia="Times New Roman" w:hAnsi="Times New Roman" w:cs="Times New Roman"/>
          <w:color w:val="000000"/>
          <w:sz w:val="24"/>
          <w:szCs w:val="24"/>
          <w:lang w:val="en-US" w:eastAsia="ru-RU"/>
        </w:rPr>
        <w:t>RevPAR</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Revenue</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per</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available</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room</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per</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day</w:t>
      </w:r>
      <w:r>
        <w:rPr>
          <w:rFonts w:ascii="Times New Roman" w:eastAsia="Times New Roman" w:hAnsi="Times New Roman" w:cs="Times New Roman"/>
          <w:color w:val="000000"/>
          <w:sz w:val="24"/>
          <w:szCs w:val="24"/>
          <w:lang w:eastAsia="ru-RU"/>
        </w:rPr>
        <w:t>);</w:t>
      </w:r>
    </w:p>
    <w:p w14:paraId="6A02CC8F"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валовой прибыли на один доступный номеро-день GopPAR (Gross operating profit per available room). </w:t>
      </w:r>
    </w:p>
    <w:p w14:paraId="086E862F"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Стандартизация в гостиничном секторе при приеме иностранных туристов требует особого внимания к внедрению в правила гостиничного обслуживания учета национальных и культурных особенностей гостей. На основе ряда исследовательских материалов в работе систематизированы подходы в организации обслуживания приема иностранных туристов в различных странах.</w:t>
      </w:r>
    </w:p>
    <w:p w14:paraId="131E72B2" w14:textId="77777777" w:rsidR="00EB699B" w:rsidRDefault="00313B01">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Таблица 1 – Модели гостиничного обслуживания иностранных туристов в различных странах</w:t>
      </w:r>
    </w:p>
    <w:tbl>
      <w:tblPr>
        <w:tblStyle w:val="a3"/>
        <w:tblW w:w="9776" w:type="dxa"/>
        <w:tblLook w:val="04A0" w:firstRow="1" w:lastRow="0" w:firstColumn="1" w:lastColumn="0" w:noHBand="0" w:noVBand="1"/>
      </w:tblPr>
      <w:tblGrid>
        <w:gridCol w:w="1555"/>
        <w:gridCol w:w="3118"/>
        <w:gridCol w:w="5103"/>
      </w:tblGrid>
      <w:tr w:rsidR="00EB699B" w14:paraId="297CA512" w14:textId="77777777">
        <w:tc>
          <w:tcPr>
            <w:tcW w:w="1555" w:type="dxa"/>
          </w:tcPr>
          <w:p w14:paraId="1222E44B" w14:textId="77777777" w:rsidR="00EB699B" w:rsidRDefault="00313B01">
            <w:pPr>
              <w:widowControl w:val="0"/>
              <w:jc w:val="both"/>
              <w:rPr>
                <w:sz w:val="22"/>
              </w:rPr>
            </w:pPr>
            <w:r>
              <w:rPr>
                <w:sz w:val="22"/>
              </w:rPr>
              <w:t>Страна</w:t>
            </w:r>
          </w:p>
        </w:tc>
        <w:tc>
          <w:tcPr>
            <w:tcW w:w="3118" w:type="dxa"/>
          </w:tcPr>
          <w:p w14:paraId="5F9CCB9D" w14:textId="77777777" w:rsidR="00EB699B" w:rsidRDefault="00313B01">
            <w:pPr>
              <w:widowControl w:val="0"/>
              <w:jc w:val="both"/>
              <w:rPr>
                <w:sz w:val="22"/>
              </w:rPr>
            </w:pPr>
            <w:r>
              <w:rPr>
                <w:sz w:val="22"/>
              </w:rPr>
              <w:t>Система классификации</w:t>
            </w:r>
          </w:p>
        </w:tc>
        <w:tc>
          <w:tcPr>
            <w:tcW w:w="5103" w:type="dxa"/>
          </w:tcPr>
          <w:p w14:paraId="1D3C32FC" w14:textId="77777777" w:rsidR="00EB699B" w:rsidRDefault="00313B01">
            <w:pPr>
              <w:widowControl w:val="0"/>
              <w:jc w:val="both"/>
              <w:rPr>
                <w:sz w:val="22"/>
              </w:rPr>
            </w:pPr>
            <w:r>
              <w:rPr>
                <w:sz w:val="22"/>
              </w:rPr>
              <w:t>Выбор туристами гостиницы</w:t>
            </w:r>
          </w:p>
        </w:tc>
      </w:tr>
      <w:tr w:rsidR="00EB699B" w14:paraId="3EDEFDF4" w14:textId="77777777">
        <w:tc>
          <w:tcPr>
            <w:tcW w:w="1555" w:type="dxa"/>
          </w:tcPr>
          <w:p w14:paraId="2DD56DDF" w14:textId="77777777" w:rsidR="00EB699B" w:rsidRDefault="00313B01">
            <w:pPr>
              <w:widowControl w:val="0"/>
              <w:jc w:val="both"/>
              <w:rPr>
                <w:sz w:val="22"/>
              </w:rPr>
            </w:pPr>
            <w:r>
              <w:rPr>
                <w:sz w:val="22"/>
              </w:rPr>
              <w:t>Республика Корея</w:t>
            </w:r>
          </w:p>
        </w:tc>
        <w:tc>
          <w:tcPr>
            <w:tcW w:w="3118" w:type="dxa"/>
          </w:tcPr>
          <w:p w14:paraId="6FE4BEAE" w14:textId="77777777" w:rsidR="00EB699B" w:rsidRDefault="00313B01">
            <w:pPr>
              <w:widowControl w:val="0"/>
              <w:jc w:val="both"/>
              <w:rPr>
                <w:sz w:val="22"/>
              </w:rPr>
            </w:pPr>
            <w:r>
              <w:rPr>
                <w:sz w:val="22"/>
              </w:rPr>
              <w:t>Отсутствует единая система классификации</w:t>
            </w:r>
          </w:p>
        </w:tc>
        <w:tc>
          <w:tcPr>
            <w:tcW w:w="5103" w:type="dxa"/>
          </w:tcPr>
          <w:p w14:paraId="3573FBAB" w14:textId="77777777" w:rsidR="00EB699B" w:rsidRDefault="00313B01">
            <w:pPr>
              <w:widowControl w:val="0"/>
              <w:jc w:val="both"/>
              <w:rPr>
                <w:sz w:val="22"/>
              </w:rPr>
            </w:pPr>
            <w:r>
              <w:rPr>
                <w:sz w:val="22"/>
              </w:rPr>
              <w:t>- гостиница с европейским стилем</w:t>
            </w:r>
          </w:p>
          <w:p w14:paraId="3D8A9CAC" w14:textId="77777777" w:rsidR="00EB699B" w:rsidRDefault="00313B01">
            <w:pPr>
              <w:widowControl w:val="0"/>
              <w:jc w:val="both"/>
              <w:rPr>
                <w:sz w:val="22"/>
              </w:rPr>
            </w:pPr>
            <w:r>
              <w:rPr>
                <w:sz w:val="22"/>
              </w:rPr>
              <w:t>- ханок – традиционное корейское жилье</w:t>
            </w:r>
          </w:p>
          <w:p w14:paraId="09A94C41" w14:textId="77777777" w:rsidR="00EB699B" w:rsidRDefault="00313B01">
            <w:pPr>
              <w:widowControl w:val="0"/>
              <w:jc w:val="both"/>
              <w:rPr>
                <w:sz w:val="22"/>
              </w:rPr>
            </w:pPr>
            <w:r>
              <w:rPr>
                <w:sz w:val="22"/>
              </w:rPr>
              <w:t>- кондоминимумы, гестхаусы, мотели</w:t>
            </w:r>
          </w:p>
        </w:tc>
      </w:tr>
      <w:tr w:rsidR="00EB699B" w14:paraId="5767E6E6" w14:textId="77777777">
        <w:tc>
          <w:tcPr>
            <w:tcW w:w="1555" w:type="dxa"/>
          </w:tcPr>
          <w:p w14:paraId="0BC15728" w14:textId="77777777" w:rsidR="00EB699B" w:rsidRDefault="00313B01">
            <w:pPr>
              <w:widowControl w:val="0"/>
              <w:jc w:val="both"/>
              <w:rPr>
                <w:sz w:val="22"/>
              </w:rPr>
            </w:pPr>
            <w:r>
              <w:rPr>
                <w:sz w:val="22"/>
              </w:rPr>
              <w:t>Япония</w:t>
            </w:r>
          </w:p>
        </w:tc>
        <w:tc>
          <w:tcPr>
            <w:tcW w:w="3118" w:type="dxa"/>
          </w:tcPr>
          <w:p w14:paraId="13394106" w14:textId="77777777" w:rsidR="00EB699B" w:rsidRDefault="00313B01">
            <w:pPr>
              <w:widowControl w:val="0"/>
              <w:jc w:val="both"/>
              <w:rPr>
                <w:sz w:val="22"/>
              </w:rPr>
            </w:pPr>
            <w:r>
              <w:rPr>
                <w:sz w:val="22"/>
              </w:rPr>
              <w:t>Отсутствует единая система классификации</w:t>
            </w:r>
          </w:p>
        </w:tc>
        <w:tc>
          <w:tcPr>
            <w:tcW w:w="5103" w:type="dxa"/>
          </w:tcPr>
          <w:p w14:paraId="16802C18" w14:textId="77777777" w:rsidR="00EB699B" w:rsidRDefault="00313B01">
            <w:pPr>
              <w:widowControl w:val="0"/>
              <w:jc w:val="both"/>
              <w:rPr>
                <w:sz w:val="22"/>
              </w:rPr>
            </w:pPr>
            <w:r>
              <w:rPr>
                <w:sz w:val="22"/>
              </w:rPr>
              <w:t>- рекан – городской отель в японском стиле</w:t>
            </w:r>
          </w:p>
          <w:p w14:paraId="4E284EF0" w14:textId="77777777" w:rsidR="00EB699B" w:rsidRDefault="00313B01">
            <w:pPr>
              <w:widowControl w:val="0"/>
              <w:jc w:val="both"/>
              <w:rPr>
                <w:sz w:val="22"/>
              </w:rPr>
            </w:pPr>
            <w:r>
              <w:rPr>
                <w:sz w:val="22"/>
              </w:rPr>
              <w:t xml:space="preserve">- клубный курорт </w:t>
            </w:r>
          </w:p>
          <w:p w14:paraId="7B692C31" w14:textId="77777777" w:rsidR="00EB699B" w:rsidRDefault="00313B01">
            <w:pPr>
              <w:widowControl w:val="0"/>
              <w:jc w:val="both"/>
              <w:rPr>
                <w:sz w:val="22"/>
              </w:rPr>
            </w:pPr>
            <w:r>
              <w:rPr>
                <w:sz w:val="22"/>
              </w:rPr>
              <w:t>- пансионат с онсеном (баней)</w:t>
            </w:r>
          </w:p>
          <w:p w14:paraId="0CD1604B" w14:textId="77777777" w:rsidR="00EB699B" w:rsidRDefault="00313B01">
            <w:pPr>
              <w:widowControl w:val="0"/>
              <w:jc w:val="both"/>
              <w:rPr>
                <w:sz w:val="22"/>
              </w:rPr>
            </w:pPr>
            <w:r>
              <w:rPr>
                <w:sz w:val="22"/>
              </w:rPr>
              <w:t>- капсульный отель</w:t>
            </w:r>
          </w:p>
        </w:tc>
      </w:tr>
      <w:tr w:rsidR="00EB699B" w14:paraId="567D54D2" w14:textId="77777777">
        <w:tc>
          <w:tcPr>
            <w:tcW w:w="1555" w:type="dxa"/>
          </w:tcPr>
          <w:p w14:paraId="4811F499" w14:textId="77777777" w:rsidR="00EB699B" w:rsidRDefault="00313B01">
            <w:pPr>
              <w:widowControl w:val="0"/>
              <w:jc w:val="both"/>
              <w:rPr>
                <w:sz w:val="22"/>
              </w:rPr>
            </w:pPr>
            <w:r>
              <w:rPr>
                <w:sz w:val="22"/>
              </w:rPr>
              <w:t>Испания</w:t>
            </w:r>
          </w:p>
        </w:tc>
        <w:tc>
          <w:tcPr>
            <w:tcW w:w="3118" w:type="dxa"/>
          </w:tcPr>
          <w:p w14:paraId="73E172C3" w14:textId="77777777" w:rsidR="00EB699B" w:rsidRDefault="00313B01">
            <w:pPr>
              <w:widowControl w:val="0"/>
              <w:jc w:val="both"/>
              <w:rPr>
                <w:sz w:val="22"/>
              </w:rPr>
            </w:pPr>
            <w:r>
              <w:rPr>
                <w:sz w:val="22"/>
              </w:rPr>
              <w:t>Существенное отличие уровня сервиса в одной категории гостиницы</w:t>
            </w:r>
          </w:p>
        </w:tc>
        <w:tc>
          <w:tcPr>
            <w:tcW w:w="5103" w:type="dxa"/>
          </w:tcPr>
          <w:p w14:paraId="2AFC933C" w14:textId="77777777" w:rsidR="00EB699B" w:rsidRDefault="00313B01">
            <w:pPr>
              <w:widowControl w:val="0"/>
              <w:jc w:val="both"/>
              <w:rPr>
                <w:sz w:val="22"/>
              </w:rPr>
            </w:pPr>
            <w:r>
              <w:rPr>
                <w:sz w:val="22"/>
              </w:rPr>
              <w:t>- городские отели</w:t>
            </w:r>
          </w:p>
          <w:p w14:paraId="36A929F5" w14:textId="77777777" w:rsidR="00EB699B" w:rsidRDefault="00313B01">
            <w:pPr>
              <w:widowControl w:val="0"/>
              <w:jc w:val="both"/>
              <w:rPr>
                <w:sz w:val="22"/>
              </w:rPr>
            </w:pPr>
            <w:r>
              <w:rPr>
                <w:sz w:val="22"/>
              </w:rPr>
              <w:t>- курортные отели не имеют собственных пляжей</w:t>
            </w:r>
          </w:p>
          <w:p w14:paraId="12BB6895" w14:textId="77777777" w:rsidR="00EB699B" w:rsidRDefault="00313B01">
            <w:pPr>
              <w:widowControl w:val="0"/>
              <w:jc w:val="both"/>
              <w:rPr>
                <w:sz w:val="22"/>
              </w:rPr>
            </w:pPr>
            <w:r>
              <w:rPr>
                <w:sz w:val="22"/>
              </w:rPr>
              <w:t>- апартаменты в исторических зданиях</w:t>
            </w:r>
          </w:p>
          <w:p w14:paraId="3AA7E808" w14:textId="77777777" w:rsidR="00EB699B" w:rsidRDefault="00313B01">
            <w:pPr>
              <w:widowControl w:val="0"/>
              <w:jc w:val="both"/>
              <w:rPr>
                <w:sz w:val="22"/>
              </w:rPr>
            </w:pPr>
            <w:r>
              <w:rPr>
                <w:sz w:val="22"/>
              </w:rPr>
              <w:t>- шведский стол</w:t>
            </w:r>
          </w:p>
        </w:tc>
      </w:tr>
      <w:tr w:rsidR="00EB699B" w14:paraId="31F2EA6A" w14:textId="77777777">
        <w:tc>
          <w:tcPr>
            <w:tcW w:w="1555" w:type="dxa"/>
          </w:tcPr>
          <w:p w14:paraId="212BD4EE" w14:textId="77777777" w:rsidR="00EB699B" w:rsidRDefault="00313B01">
            <w:pPr>
              <w:widowControl w:val="0"/>
              <w:jc w:val="both"/>
              <w:rPr>
                <w:sz w:val="22"/>
              </w:rPr>
            </w:pPr>
            <w:r>
              <w:rPr>
                <w:sz w:val="22"/>
              </w:rPr>
              <w:t>Франция</w:t>
            </w:r>
          </w:p>
        </w:tc>
        <w:tc>
          <w:tcPr>
            <w:tcW w:w="3118" w:type="dxa"/>
          </w:tcPr>
          <w:p w14:paraId="299483BB" w14:textId="77777777" w:rsidR="00EB699B" w:rsidRDefault="00313B01">
            <w:pPr>
              <w:widowControl w:val="0"/>
              <w:jc w:val="both"/>
              <w:rPr>
                <w:sz w:val="22"/>
              </w:rPr>
            </w:pPr>
            <w:r>
              <w:rPr>
                <w:sz w:val="22"/>
              </w:rPr>
              <w:t>Единая классификация утверждена Министерством по туризму</w:t>
            </w:r>
          </w:p>
        </w:tc>
        <w:tc>
          <w:tcPr>
            <w:tcW w:w="5103" w:type="dxa"/>
          </w:tcPr>
          <w:p w14:paraId="418E6B89" w14:textId="77777777" w:rsidR="00EB699B" w:rsidRDefault="00313B01">
            <w:pPr>
              <w:widowControl w:val="0"/>
              <w:jc w:val="both"/>
              <w:rPr>
                <w:sz w:val="22"/>
              </w:rPr>
            </w:pPr>
            <w:r>
              <w:rPr>
                <w:sz w:val="22"/>
              </w:rPr>
              <w:t xml:space="preserve">- отели категории Palace </w:t>
            </w:r>
          </w:p>
          <w:p w14:paraId="0FC02F01" w14:textId="77777777" w:rsidR="00EB699B" w:rsidRDefault="00313B01">
            <w:pPr>
              <w:widowControl w:val="0"/>
              <w:jc w:val="both"/>
              <w:rPr>
                <w:sz w:val="22"/>
              </w:rPr>
            </w:pPr>
            <w:r>
              <w:rPr>
                <w:sz w:val="22"/>
              </w:rPr>
              <w:t>- отели 4* Luxe и отели 4*</w:t>
            </w:r>
          </w:p>
          <w:p w14:paraId="5AD7F0BC" w14:textId="77777777" w:rsidR="00EB699B" w:rsidRDefault="00313B01">
            <w:pPr>
              <w:widowControl w:val="0"/>
              <w:jc w:val="both"/>
              <w:rPr>
                <w:sz w:val="22"/>
              </w:rPr>
            </w:pPr>
            <w:r>
              <w:rPr>
                <w:sz w:val="22"/>
              </w:rPr>
              <w:t>- отели 3*Super и отели 3*</w:t>
            </w:r>
          </w:p>
          <w:p w14:paraId="293B3F0E" w14:textId="77777777" w:rsidR="00EB699B" w:rsidRDefault="00313B01">
            <w:pPr>
              <w:widowControl w:val="0"/>
              <w:jc w:val="both"/>
              <w:rPr>
                <w:sz w:val="22"/>
              </w:rPr>
            </w:pPr>
            <w:r>
              <w:rPr>
                <w:sz w:val="22"/>
              </w:rPr>
              <w:t>- отель 2* SUP и отели 2*</w:t>
            </w:r>
          </w:p>
          <w:p w14:paraId="60EEBEFF" w14:textId="77777777" w:rsidR="00EB699B" w:rsidRDefault="00313B01">
            <w:pPr>
              <w:widowControl w:val="0"/>
              <w:jc w:val="both"/>
              <w:rPr>
                <w:sz w:val="22"/>
              </w:rPr>
            </w:pPr>
            <w:r>
              <w:rPr>
                <w:sz w:val="22"/>
              </w:rPr>
              <w:t>- практика оплаты отелей по депозитам</w:t>
            </w:r>
          </w:p>
          <w:p w14:paraId="42221E58" w14:textId="77777777" w:rsidR="00EB699B" w:rsidRDefault="00313B01">
            <w:pPr>
              <w:widowControl w:val="0"/>
              <w:jc w:val="both"/>
              <w:rPr>
                <w:sz w:val="22"/>
              </w:rPr>
            </w:pPr>
            <w:r>
              <w:rPr>
                <w:sz w:val="22"/>
              </w:rPr>
              <w:t>- континентальный завтрак</w:t>
            </w:r>
          </w:p>
        </w:tc>
      </w:tr>
      <w:tr w:rsidR="00EB699B" w14:paraId="1249CD21" w14:textId="77777777">
        <w:tc>
          <w:tcPr>
            <w:tcW w:w="1555" w:type="dxa"/>
          </w:tcPr>
          <w:p w14:paraId="4F17B32F" w14:textId="77777777" w:rsidR="00EB699B" w:rsidRDefault="00313B01">
            <w:pPr>
              <w:widowControl w:val="0"/>
              <w:jc w:val="both"/>
              <w:rPr>
                <w:sz w:val="22"/>
              </w:rPr>
            </w:pPr>
            <w:r>
              <w:rPr>
                <w:sz w:val="22"/>
              </w:rPr>
              <w:t>Австрия</w:t>
            </w:r>
          </w:p>
        </w:tc>
        <w:tc>
          <w:tcPr>
            <w:tcW w:w="3118" w:type="dxa"/>
          </w:tcPr>
          <w:p w14:paraId="5B41E146" w14:textId="77777777" w:rsidR="00EB699B" w:rsidRDefault="00313B01">
            <w:pPr>
              <w:widowControl w:val="0"/>
              <w:jc w:val="both"/>
              <w:rPr>
                <w:sz w:val="22"/>
              </w:rPr>
            </w:pPr>
            <w:r>
              <w:rPr>
                <w:sz w:val="22"/>
              </w:rPr>
              <w:t>Единая классификация существенно отличается от российской</w:t>
            </w:r>
          </w:p>
        </w:tc>
        <w:tc>
          <w:tcPr>
            <w:tcW w:w="5103" w:type="dxa"/>
          </w:tcPr>
          <w:p w14:paraId="096C140C" w14:textId="77777777" w:rsidR="00EB699B" w:rsidRDefault="00313B01">
            <w:pPr>
              <w:widowControl w:val="0"/>
              <w:jc w:val="both"/>
              <w:rPr>
                <w:sz w:val="22"/>
              </w:rPr>
            </w:pPr>
            <w:r>
              <w:rPr>
                <w:sz w:val="22"/>
              </w:rPr>
              <w:t>Заниженные требования к уровню оснащенности номеров: в категории 3* может отсутствовать санитарная комната</w:t>
            </w:r>
          </w:p>
        </w:tc>
      </w:tr>
      <w:tr w:rsidR="00EB699B" w14:paraId="2A040A80" w14:textId="77777777">
        <w:tc>
          <w:tcPr>
            <w:tcW w:w="1555" w:type="dxa"/>
          </w:tcPr>
          <w:p w14:paraId="344F2A61" w14:textId="77777777" w:rsidR="00EB699B" w:rsidRDefault="00313B01">
            <w:pPr>
              <w:widowControl w:val="0"/>
              <w:jc w:val="both"/>
              <w:rPr>
                <w:sz w:val="22"/>
              </w:rPr>
            </w:pPr>
            <w:r>
              <w:rPr>
                <w:sz w:val="22"/>
              </w:rPr>
              <w:t xml:space="preserve">Египет </w:t>
            </w:r>
          </w:p>
        </w:tc>
        <w:tc>
          <w:tcPr>
            <w:tcW w:w="3118" w:type="dxa"/>
          </w:tcPr>
          <w:p w14:paraId="5C199857" w14:textId="77777777" w:rsidR="00EB699B" w:rsidRDefault="00313B01">
            <w:pPr>
              <w:widowControl w:val="0"/>
              <w:jc w:val="both"/>
              <w:rPr>
                <w:sz w:val="22"/>
              </w:rPr>
            </w:pPr>
            <w:r>
              <w:rPr>
                <w:sz w:val="22"/>
              </w:rPr>
              <w:t>Единая классификация</w:t>
            </w:r>
          </w:p>
        </w:tc>
        <w:tc>
          <w:tcPr>
            <w:tcW w:w="5103" w:type="dxa"/>
          </w:tcPr>
          <w:p w14:paraId="5CF617EC" w14:textId="77777777" w:rsidR="00EB699B" w:rsidRDefault="00313B01">
            <w:pPr>
              <w:widowControl w:val="0"/>
              <w:jc w:val="both"/>
              <w:rPr>
                <w:sz w:val="22"/>
              </w:rPr>
            </w:pPr>
            <w:r>
              <w:rPr>
                <w:sz w:val="22"/>
              </w:rPr>
              <w:t>- курортные гостиницы различных категорий</w:t>
            </w:r>
          </w:p>
          <w:p w14:paraId="68009C29" w14:textId="77777777" w:rsidR="00EB699B" w:rsidRDefault="00313B01">
            <w:pPr>
              <w:widowControl w:val="0"/>
              <w:ind w:left="-113" w:right="-101" w:firstLine="142"/>
              <w:jc w:val="both"/>
              <w:rPr>
                <w:sz w:val="22"/>
              </w:rPr>
            </w:pPr>
            <w:r>
              <w:rPr>
                <w:sz w:val="22"/>
              </w:rPr>
              <w:t>(luxury-отели, эко-отели, бутики апарт-отели и т.п.)</w:t>
            </w:r>
          </w:p>
          <w:p w14:paraId="7A73D284" w14:textId="77777777" w:rsidR="00EB699B" w:rsidRDefault="00313B01">
            <w:pPr>
              <w:widowControl w:val="0"/>
              <w:jc w:val="both"/>
              <w:rPr>
                <w:sz w:val="22"/>
              </w:rPr>
            </w:pPr>
            <w:r>
              <w:rPr>
                <w:sz w:val="22"/>
              </w:rPr>
              <w:t>- обслуживание «все включено»</w:t>
            </w:r>
          </w:p>
          <w:p w14:paraId="48601B4C" w14:textId="77777777" w:rsidR="00EB699B" w:rsidRDefault="00313B01">
            <w:pPr>
              <w:widowControl w:val="0"/>
              <w:jc w:val="both"/>
              <w:rPr>
                <w:sz w:val="22"/>
              </w:rPr>
            </w:pPr>
            <w:r>
              <w:rPr>
                <w:sz w:val="22"/>
              </w:rPr>
              <w:t>- в категорийных гостиницах обязательный Wi-Fi</w:t>
            </w:r>
          </w:p>
        </w:tc>
      </w:tr>
      <w:tr w:rsidR="00EB699B" w14:paraId="17A8D728" w14:textId="77777777">
        <w:tc>
          <w:tcPr>
            <w:tcW w:w="1555" w:type="dxa"/>
          </w:tcPr>
          <w:p w14:paraId="7813ACCF" w14:textId="77777777" w:rsidR="00EB699B" w:rsidRDefault="00313B01">
            <w:pPr>
              <w:widowControl w:val="0"/>
              <w:jc w:val="both"/>
              <w:rPr>
                <w:sz w:val="22"/>
              </w:rPr>
            </w:pPr>
            <w:r>
              <w:rPr>
                <w:sz w:val="22"/>
              </w:rPr>
              <w:t>Таиланд</w:t>
            </w:r>
          </w:p>
        </w:tc>
        <w:tc>
          <w:tcPr>
            <w:tcW w:w="3118" w:type="dxa"/>
          </w:tcPr>
          <w:p w14:paraId="25D97903" w14:textId="77777777" w:rsidR="00EB699B" w:rsidRDefault="00313B01">
            <w:pPr>
              <w:widowControl w:val="0"/>
              <w:jc w:val="both"/>
              <w:rPr>
                <w:sz w:val="22"/>
              </w:rPr>
            </w:pPr>
            <w:r>
              <w:rPr>
                <w:sz w:val="22"/>
              </w:rPr>
              <w:t>Программа стандартизации Trusted Thailand (2025 года) от Министерства туризма и спорта</w:t>
            </w:r>
          </w:p>
        </w:tc>
        <w:tc>
          <w:tcPr>
            <w:tcW w:w="5103" w:type="dxa"/>
          </w:tcPr>
          <w:p w14:paraId="23042CA7" w14:textId="77777777" w:rsidR="00EB699B" w:rsidRDefault="00313B01">
            <w:pPr>
              <w:widowControl w:val="0"/>
              <w:jc w:val="both"/>
              <w:rPr>
                <w:sz w:val="22"/>
              </w:rPr>
            </w:pPr>
            <w:r>
              <w:rPr>
                <w:sz w:val="22"/>
              </w:rPr>
              <w:t>- система видеонаблюдения в гостиницах</w:t>
            </w:r>
          </w:p>
          <w:p w14:paraId="7231BDDC" w14:textId="77777777" w:rsidR="00EB699B" w:rsidRDefault="00313B01">
            <w:pPr>
              <w:widowControl w:val="0"/>
              <w:jc w:val="both"/>
              <w:rPr>
                <w:sz w:val="22"/>
              </w:rPr>
            </w:pPr>
            <w:r>
              <w:rPr>
                <w:sz w:val="22"/>
              </w:rPr>
              <w:t>- использование удобных платежных систем</w:t>
            </w:r>
          </w:p>
          <w:p w14:paraId="794D8DCA" w14:textId="77777777" w:rsidR="00EB699B" w:rsidRDefault="00313B01">
            <w:pPr>
              <w:widowControl w:val="0"/>
              <w:jc w:val="both"/>
              <w:rPr>
                <w:sz w:val="22"/>
              </w:rPr>
            </w:pPr>
            <w:r>
              <w:rPr>
                <w:sz w:val="22"/>
              </w:rPr>
              <w:t>- полиязычность обслуживания</w:t>
            </w:r>
          </w:p>
          <w:p w14:paraId="2F457BBD" w14:textId="77777777" w:rsidR="00EB699B" w:rsidRDefault="00313B01">
            <w:pPr>
              <w:widowControl w:val="0"/>
              <w:jc w:val="both"/>
              <w:rPr>
                <w:sz w:val="22"/>
              </w:rPr>
            </w:pPr>
            <w:r>
              <w:rPr>
                <w:sz w:val="22"/>
              </w:rPr>
              <w:t>- открытие туристско-информационных центров</w:t>
            </w:r>
          </w:p>
        </w:tc>
      </w:tr>
      <w:tr w:rsidR="00EB699B" w14:paraId="12E4BFA7" w14:textId="77777777">
        <w:tc>
          <w:tcPr>
            <w:tcW w:w="1555" w:type="dxa"/>
          </w:tcPr>
          <w:p w14:paraId="4352D6AC" w14:textId="77777777" w:rsidR="00EB699B" w:rsidRDefault="00313B01">
            <w:pPr>
              <w:widowControl w:val="0"/>
              <w:jc w:val="both"/>
              <w:rPr>
                <w:sz w:val="22"/>
              </w:rPr>
            </w:pPr>
            <w:r>
              <w:rPr>
                <w:sz w:val="22"/>
              </w:rPr>
              <w:lastRenderedPageBreak/>
              <w:t>Россия</w:t>
            </w:r>
          </w:p>
        </w:tc>
        <w:tc>
          <w:tcPr>
            <w:tcW w:w="3118" w:type="dxa"/>
          </w:tcPr>
          <w:p w14:paraId="5C0266B7" w14:textId="77777777" w:rsidR="00EB699B" w:rsidRDefault="00313B01">
            <w:pPr>
              <w:widowControl w:val="0"/>
              <w:jc w:val="both"/>
              <w:rPr>
                <w:sz w:val="22"/>
              </w:rPr>
            </w:pPr>
            <w:r>
              <w:rPr>
                <w:sz w:val="22"/>
              </w:rPr>
              <w:t>Единая государственная система классификация</w:t>
            </w:r>
          </w:p>
          <w:p w14:paraId="632B5956" w14:textId="77777777" w:rsidR="00EB699B" w:rsidRDefault="00313B01">
            <w:pPr>
              <w:widowControl w:val="0"/>
              <w:jc w:val="both"/>
              <w:rPr>
                <w:sz w:val="22"/>
              </w:rPr>
            </w:pPr>
            <w:r>
              <w:rPr>
                <w:sz w:val="22"/>
              </w:rPr>
              <w:t>Внедрение систем сертификации «</w:t>
            </w:r>
            <w:r>
              <w:rPr>
                <w:sz w:val="22"/>
                <w:lang w:val="en-US"/>
              </w:rPr>
              <w:t>Friendly</w:t>
            </w:r>
            <w:r>
              <w:rPr>
                <w:sz w:val="22"/>
              </w:rPr>
              <w:t>» для туристов их Индии, Китая, Японии, мусульманских стран</w:t>
            </w:r>
          </w:p>
        </w:tc>
        <w:tc>
          <w:tcPr>
            <w:tcW w:w="5103" w:type="dxa"/>
          </w:tcPr>
          <w:p w14:paraId="110F36CD" w14:textId="77777777" w:rsidR="00EB699B" w:rsidRDefault="00313B01">
            <w:pPr>
              <w:widowControl w:val="0"/>
              <w:jc w:val="both"/>
              <w:rPr>
                <w:sz w:val="22"/>
              </w:rPr>
            </w:pPr>
            <w:r>
              <w:rPr>
                <w:sz w:val="22"/>
              </w:rPr>
              <w:t>- типологизация гостиниц по звездам</w:t>
            </w:r>
          </w:p>
          <w:p w14:paraId="0FB601EF" w14:textId="77777777" w:rsidR="00EB699B" w:rsidRDefault="00313B01">
            <w:pPr>
              <w:widowControl w:val="0"/>
              <w:jc w:val="both"/>
              <w:rPr>
                <w:sz w:val="22"/>
              </w:rPr>
            </w:pPr>
            <w:r>
              <w:rPr>
                <w:sz w:val="22"/>
              </w:rPr>
              <w:t>- требования прохождения классификации всех средств размещения</w:t>
            </w:r>
          </w:p>
          <w:p w14:paraId="5474EEC9" w14:textId="77777777" w:rsidR="00EB699B" w:rsidRDefault="00313B01">
            <w:pPr>
              <w:widowControl w:val="0"/>
              <w:jc w:val="both"/>
              <w:rPr>
                <w:sz w:val="22"/>
              </w:rPr>
            </w:pPr>
            <w:r>
              <w:rPr>
                <w:sz w:val="22"/>
              </w:rPr>
              <w:t>- выбор отелей, поддерживающих программу «</w:t>
            </w:r>
            <w:bookmarkStart w:id="6" w:name="_Hlk212390187"/>
            <w:r>
              <w:rPr>
                <w:sz w:val="22"/>
              </w:rPr>
              <w:t>Friendly</w:t>
            </w:r>
            <w:bookmarkEnd w:id="6"/>
            <w:r>
              <w:rPr>
                <w:sz w:val="22"/>
              </w:rPr>
              <w:t>»</w:t>
            </w:r>
          </w:p>
          <w:p w14:paraId="24F9815E" w14:textId="77777777" w:rsidR="00EB699B" w:rsidRDefault="00313B01">
            <w:pPr>
              <w:widowControl w:val="0"/>
              <w:jc w:val="both"/>
              <w:rPr>
                <w:sz w:val="22"/>
              </w:rPr>
            </w:pPr>
            <w:r>
              <w:rPr>
                <w:sz w:val="22"/>
              </w:rPr>
              <w:t>- развитие сетевых отелей</w:t>
            </w:r>
          </w:p>
        </w:tc>
      </w:tr>
    </w:tbl>
    <w:p w14:paraId="6C992E99"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Составлено по </w:t>
      </w:r>
      <w:r>
        <w:rPr>
          <w:rFonts w:ascii="Times New Roman" w:eastAsia="Times New Roman" w:hAnsi="Times New Roman" w:cs="Times New Roman"/>
          <w:color w:val="000000"/>
        </w:rPr>
        <w:t xml:space="preserve">[5, 6, 10, 11] </w:t>
      </w:r>
    </w:p>
    <w:p w14:paraId="4B9DA7FB" w14:textId="157FB1F9"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Согласно данным </w:t>
      </w:r>
      <w:r w:rsidR="00923AD7">
        <w:rPr>
          <w:rFonts w:ascii="Times New Roman" w:eastAsia="Times New Roman" w:hAnsi="Times New Roman" w:cs="Times New Roman"/>
          <w:sz w:val="24"/>
          <w:szCs w:val="24"/>
        </w:rPr>
        <w:t xml:space="preserve">вышеприведенного </w:t>
      </w:r>
      <w:r>
        <w:rPr>
          <w:rFonts w:ascii="Times New Roman" w:eastAsia="Times New Roman" w:hAnsi="Times New Roman" w:cs="Times New Roman"/>
          <w:sz w:val="24"/>
          <w:szCs w:val="24"/>
        </w:rPr>
        <w:t>исследования в мировой практике используются различные подходы к</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стандартизации гостиничных предприятий </w:t>
      </w:r>
      <w:bookmarkStart w:id="7" w:name="_Hlk214202932"/>
      <w:r>
        <w:rPr>
          <w:rFonts w:ascii="Times New Roman" w:eastAsia="Times New Roman" w:hAnsi="Times New Roman" w:cs="Times New Roman"/>
          <w:sz w:val="24"/>
          <w:szCs w:val="24"/>
        </w:rPr>
        <w:t xml:space="preserve">как с позиции применения единой или смешанной системы классификации гостиниц; предложения иностранным туристам типов гостиниц, адаптированных под запросы туристов, или напротив, - традиционных для данной страны; использования инновационных технологий или занижения требований по сравнению со средними стандартами, принятыми в отрасли. </w:t>
      </w:r>
    </w:p>
    <w:bookmarkEnd w:id="7"/>
    <w:p w14:paraId="7A422085" w14:textId="77777777" w:rsidR="00EB699B" w:rsidRDefault="00313B01">
      <w:pPr>
        <w:widowControl w:val="0"/>
        <w:spacing w:after="0" w:line="240" w:lineRule="auto"/>
        <w:ind w:firstLine="709"/>
        <w:jc w:val="both"/>
        <w:rPr>
          <w:rFonts w:ascii="Times New Roman" w:hAnsi="Times New Roman" w:cs="Times New Roman"/>
          <w:color w:val="000000"/>
          <w:sz w:val="24"/>
          <w:szCs w:val="24"/>
        </w:rPr>
      </w:pPr>
      <w:r>
        <w:rPr>
          <w:rFonts w:ascii="Times New Roman" w:eastAsia="Times New Roman" w:hAnsi="Times New Roman" w:cs="Times New Roman"/>
          <w:sz w:val="24"/>
          <w:szCs w:val="24"/>
        </w:rPr>
        <w:t xml:space="preserve">В Российской Федерации применяются две процедуры классификации </w:t>
      </w:r>
      <w:r>
        <w:rPr>
          <w:rFonts w:ascii="Times New Roman" w:eastAsia="Times New Roman" w:hAnsi="Times New Roman" w:cs="Times New Roman"/>
          <w:color w:val="000000"/>
          <w:sz w:val="24"/>
          <w:szCs w:val="24"/>
        </w:rPr>
        <w:t xml:space="preserve">коллективных средств размещения, в том числе гостиничных предприятий на выбор </w:t>
      </w:r>
      <w:r>
        <w:rPr>
          <w:rFonts w:ascii="Times New Roman" w:hAnsi="Times New Roman" w:cs="Times New Roman"/>
          <w:color w:val="000000"/>
          <w:sz w:val="24"/>
          <w:szCs w:val="24"/>
        </w:rPr>
        <w:t>[12];</w:t>
      </w:r>
    </w:p>
    <w:p w14:paraId="55E69470" w14:textId="77777777" w:rsidR="00EB699B" w:rsidRDefault="00313B01">
      <w:pPr>
        <w:widowControl w:val="0"/>
        <w:spacing w:after="0" w:line="240" w:lineRule="auto"/>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классификация непосредственного средства размещения по системе звезд из 6-ти категорий и в отношении </w:t>
      </w:r>
      <w:r>
        <w:rPr>
          <w:rFonts w:ascii="Times New Roman" w:eastAsia="Times New Roman" w:hAnsi="Times New Roman" w:cs="Times New Roman"/>
          <w:sz w:val="24"/>
          <w:szCs w:val="24"/>
          <w:lang w:eastAsia="ru-RU"/>
        </w:rPr>
        <w:t>номерного фонда с установлением категорий номеров от высшей до пятой категории с выдачей сертификата сроком на 3 года;</w:t>
      </w:r>
    </w:p>
    <w:p w14:paraId="09D96BED" w14:textId="77777777" w:rsidR="00EB699B" w:rsidRDefault="00313B01">
      <w:pPr>
        <w:widowControl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прохождение предприятием процедуры самооценки с внесением данных о гостинице на сайт Национальной системы аккредитации.</w:t>
      </w:r>
    </w:p>
    <w:p w14:paraId="750E1167" w14:textId="34690C6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Помимо </w:t>
      </w:r>
      <w:r w:rsidR="00923AD7">
        <w:rPr>
          <w:rFonts w:ascii="Times New Roman" w:eastAsia="Times New Roman" w:hAnsi="Times New Roman" w:cs="Times New Roman"/>
          <w:sz w:val="24"/>
          <w:szCs w:val="24"/>
          <w:lang w:eastAsia="ru-RU"/>
        </w:rPr>
        <w:t>выше обозначенной</w:t>
      </w:r>
      <w:r w:rsidR="00923AD7">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системы классификации гостиничные предприятия осуществляют свою деятельность в соответствии с Правилами предоставления гостиничных услуг в Российской </w:t>
      </w:r>
      <w:r>
        <w:rPr>
          <w:rFonts w:ascii="Times New Roman" w:eastAsia="Times New Roman" w:hAnsi="Times New Roman" w:cs="Times New Roman"/>
          <w:color w:val="000000"/>
          <w:sz w:val="24"/>
          <w:szCs w:val="24"/>
          <w:lang w:eastAsia="ru-RU"/>
        </w:rPr>
        <w:t>Федерации [11], регулирующими требования при бронировании номеров, периода заезда и выезда, представлению цен на услуги, перечню услуг, технике безопасности, антитеррористической защищенности, обслуживанию маломобильных категорий гостей и т.д.</w:t>
      </w:r>
    </w:p>
    <w:p w14:paraId="37BE8000" w14:textId="77777777" w:rsidR="00EB699B" w:rsidRDefault="00313B01">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Комплексный подход к управлению стандартами в гостиничном предприятии требует также внедрения собственных стандартов, которые соответствуют непосредственно концепции того или иного гостиничного предприятия и учитывают все аспекты, влияющие на создание и поддержание качественного гостиничного продукта.</w:t>
      </w:r>
    </w:p>
    <w:p w14:paraId="224142EA" w14:textId="77777777" w:rsidR="00EB699B" w:rsidRDefault="00313B01">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Внутренние стандарты, как правило, детально разрабатываются в гостиничных сетях, при использовании системы франчайзинга, в крупных гостиничных предприятиях. Исследователи выделяют группы внутренних гостиничных стандартов, к основным из которых можно отнести: поведенческие и операционные [2]; общие трудовые стандарты и стандарты работы персонала по категориям служб [13]; стандарты корпоративной культуры и этики поведения; стандарты безопасности [3]. </w:t>
      </w:r>
    </w:p>
    <w:p w14:paraId="3CB0C65A" w14:textId="77777777" w:rsidR="00EB699B" w:rsidRDefault="00313B01">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На рисунке 1 представлен авторский подход к формированию внутренних стандартов и процедур в гостиничном предприятии, согласно которому</w:t>
      </w:r>
      <w:r>
        <w:rPr>
          <w:rFonts w:ascii="Times New Roman" w:eastAsia="Times New Roman" w:hAnsi="Times New Roman" w:cs="Times New Roman"/>
          <w:color w:val="000000"/>
          <w:sz w:val="24"/>
          <w:szCs w:val="24"/>
          <w:lang w:eastAsia="ru-RU"/>
        </w:rPr>
        <w:t xml:space="preserve"> к</w:t>
      </w:r>
      <w:r>
        <w:rPr>
          <w:rFonts w:ascii="Times New Roman" w:hAnsi="Times New Roman" w:cs="Times New Roman"/>
          <w:sz w:val="24"/>
        </w:rPr>
        <w:t xml:space="preserve">лючевыми группами ресурсов в качестве объекта гостиничных стандартов выбраны: трудовые, материальные и нематериальные. </w:t>
      </w:r>
    </w:p>
    <w:p w14:paraId="64B63F23" w14:textId="77777777" w:rsidR="00EB699B" w:rsidRDefault="00313B01">
      <w:pPr>
        <w:widowControl w:val="0"/>
        <w:spacing w:after="0" w:line="240" w:lineRule="auto"/>
        <w:jc w:val="center"/>
        <w:rPr>
          <w:rFonts w:ascii="Times New Roman" w:hAnsi="Times New Roman" w:cs="Times New Roman"/>
          <w:sz w:val="24"/>
        </w:rPr>
      </w:pPr>
      <w:r>
        <w:rPr>
          <w:rFonts w:ascii="Times New Roman" w:hAnsi="Times New Roman" w:cs="Times New Roman"/>
          <w:sz w:val="24"/>
        </w:rPr>
        <w:object w:dxaOrig="9210" w:dyaOrig="6924" w14:anchorId="3D7CD0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27" o:spid="_x0000_i1025" type="#_x0000_t75" style="width:399pt;height:300.75pt;visibility:visible;mso-wrap-distance-left:0;mso-wrap-distance-right:0" o:ole="">
            <v:imagedata r:id="rId6" o:title="" embosscolor="white"/>
          </v:shape>
          <o:OLEObject Type="Embed" ProgID="Visio.Drawing.11" ShapeID="1027" DrawAspect="Content" ObjectID="_1826374841" r:id="rId7"/>
        </w:object>
      </w:r>
    </w:p>
    <w:p w14:paraId="3EA116C1" w14:textId="77777777" w:rsidR="00EB699B" w:rsidRDefault="00313B01">
      <w:pPr>
        <w:widowControl w:val="0"/>
        <w:spacing w:after="0" w:line="240" w:lineRule="auto"/>
        <w:jc w:val="center"/>
        <w:rPr>
          <w:rFonts w:ascii="Times New Roman" w:hAnsi="Times New Roman" w:cs="Times New Roman"/>
          <w:sz w:val="24"/>
        </w:rPr>
      </w:pPr>
      <w:r>
        <w:rPr>
          <w:rFonts w:ascii="Times New Roman" w:hAnsi="Times New Roman" w:cs="Times New Roman"/>
          <w:sz w:val="24"/>
        </w:rPr>
        <w:t xml:space="preserve">Рисунок 1 – Авторский подход к формированию внутренних гостиничных </w:t>
      </w:r>
      <w:r>
        <w:rPr>
          <w:rFonts w:ascii="Times New Roman" w:hAnsi="Times New Roman" w:cs="Times New Roman"/>
          <w:sz w:val="24"/>
        </w:rPr>
        <w:br/>
        <w:t>стандартов и процедур</w:t>
      </w:r>
    </w:p>
    <w:p w14:paraId="44F2B950" w14:textId="77777777" w:rsidR="00EB699B" w:rsidRDefault="00313B01">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Составлено автором</w:t>
      </w:r>
    </w:p>
    <w:p w14:paraId="2EBC0BAE" w14:textId="77777777" w:rsidR="00EB699B" w:rsidRDefault="00313B01">
      <w:pPr>
        <w:widowControl w:val="0"/>
        <w:spacing w:after="0" w:line="240" w:lineRule="auto"/>
        <w:ind w:firstLine="709"/>
        <w:jc w:val="both"/>
        <w:rPr>
          <w:rFonts w:ascii="Times New Roman" w:hAnsi="Times New Roman" w:cs="Times New Roman"/>
          <w:sz w:val="24"/>
        </w:rPr>
      </w:pPr>
      <w:bookmarkStart w:id="8" w:name="_Hlk212411519"/>
      <w:r>
        <w:rPr>
          <w:rFonts w:ascii="Times New Roman" w:hAnsi="Times New Roman" w:cs="Times New Roman"/>
          <w:sz w:val="24"/>
        </w:rPr>
        <w:t xml:space="preserve">Согласно предложенному подходу, для каждой группы ресурсов предлагается целый ряд показателей, в том числе показатели уровня загруженности персонала, использования оборудования, качества и порядка распределения расходных средств, порядка использования нематериальных активов и так далее. На наш взгляд, четкое определение групп ресурсов позволяет оценить результативность проводимых мер и выявить резервы повышения эффективности гостиничного предприятия, что отражено в блоке выявления отклонений, анализа соответствия принятым стандартам и возможным изменениям в системе стандартов либо в процедуре их выполнения. </w:t>
      </w:r>
    </w:p>
    <w:bookmarkEnd w:id="8"/>
    <w:p w14:paraId="7F18CEF9"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Помимо государственных стандартов и правил в гостиничных предприятиях, для повышения качества обслуживания иностранных туристов в настоящее время получают развитие Friendly программы, которые, несмотря на рекомендательный характер, дают четкие ориентиры при формировании и предоставлении гостиничных услуг в зависимости от страны пребывания гостя. Наибольшее распространение подучили программы «</w:t>
      </w:r>
      <w:r>
        <w:rPr>
          <w:rFonts w:ascii="Times New Roman" w:eastAsia="Times New Roman" w:hAnsi="Times New Roman" w:cs="Times New Roman"/>
          <w:sz w:val="24"/>
          <w:szCs w:val="24"/>
          <w:lang w:val="en-US"/>
        </w:rPr>
        <w:t>India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w:t>
      </w:r>
      <w:r>
        <w:rPr>
          <w:rFonts w:ascii="Times New Roman" w:eastAsia="Times New Roman" w:hAnsi="Times New Roman" w:cs="Times New Roman"/>
          <w:sz w:val="24"/>
          <w:szCs w:val="24"/>
          <w:lang w:val="en-US"/>
        </w:rPr>
        <w:t>China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w:t>
      </w:r>
      <w:r>
        <w:rPr>
          <w:rFonts w:ascii="Times New Roman" w:eastAsia="Times New Roman" w:hAnsi="Times New Roman" w:cs="Times New Roman"/>
          <w:sz w:val="24"/>
          <w:szCs w:val="24"/>
          <w:lang w:val="en-US"/>
        </w:rPr>
        <w:t>Japan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«Halal Friendly», общие требования представлены в табл.2.</w:t>
      </w:r>
    </w:p>
    <w:p w14:paraId="75C93292" w14:textId="77777777" w:rsidR="00EB699B" w:rsidRDefault="00313B01">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Таблица 2 - Требования к организации гостиничных услуг для иностранных туристов по программам «Friendly»</w:t>
      </w:r>
    </w:p>
    <w:tbl>
      <w:tblPr>
        <w:tblStyle w:val="a3"/>
        <w:tblW w:w="9747" w:type="dxa"/>
        <w:tblLayout w:type="fixed"/>
        <w:tblLook w:val="04A0" w:firstRow="1" w:lastRow="0" w:firstColumn="1" w:lastColumn="0" w:noHBand="0" w:noVBand="1"/>
      </w:tblPr>
      <w:tblGrid>
        <w:gridCol w:w="2122"/>
        <w:gridCol w:w="7625"/>
      </w:tblGrid>
      <w:tr w:rsidR="00EB699B" w14:paraId="7B8F88CA" w14:textId="77777777">
        <w:trPr>
          <w:trHeight w:val="454"/>
        </w:trPr>
        <w:tc>
          <w:tcPr>
            <w:tcW w:w="2122" w:type="dxa"/>
            <w:vAlign w:val="center"/>
          </w:tcPr>
          <w:p w14:paraId="42A5FEA7" w14:textId="77777777" w:rsidR="00EB699B" w:rsidRDefault="00313B01">
            <w:pPr>
              <w:widowControl w:val="0"/>
              <w:jc w:val="center"/>
              <w:rPr>
                <w:sz w:val="22"/>
                <w:lang w:eastAsia="ru-RU"/>
              </w:rPr>
            </w:pPr>
            <w:r>
              <w:rPr>
                <w:sz w:val="22"/>
                <w:lang w:eastAsia="ru-RU"/>
              </w:rPr>
              <w:t>Параметр</w:t>
            </w:r>
          </w:p>
        </w:tc>
        <w:tc>
          <w:tcPr>
            <w:tcW w:w="7625" w:type="dxa"/>
            <w:vAlign w:val="center"/>
          </w:tcPr>
          <w:p w14:paraId="752730FE" w14:textId="77777777" w:rsidR="00EB699B" w:rsidRDefault="00313B01">
            <w:pPr>
              <w:widowControl w:val="0"/>
              <w:jc w:val="center"/>
              <w:rPr>
                <w:sz w:val="22"/>
                <w:lang w:eastAsia="ru-RU"/>
              </w:rPr>
            </w:pPr>
            <w:r>
              <w:rPr>
                <w:sz w:val="22"/>
                <w:lang w:eastAsia="ru-RU"/>
              </w:rPr>
              <w:t>Содержание</w:t>
            </w:r>
          </w:p>
        </w:tc>
      </w:tr>
      <w:tr w:rsidR="00EB699B" w14:paraId="49973EB6" w14:textId="77777777">
        <w:trPr>
          <w:trHeight w:val="454"/>
        </w:trPr>
        <w:tc>
          <w:tcPr>
            <w:tcW w:w="2122" w:type="dxa"/>
            <w:vAlign w:val="center"/>
          </w:tcPr>
          <w:p w14:paraId="4C7FABC9" w14:textId="77777777" w:rsidR="00EB699B" w:rsidRDefault="00313B01">
            <w:pPr>
              <w:widowControl w:val="0"/>
              <w:rPr>
                <w:sz w:val="22"/>
                <w:lang w:eastAsia="ru-RU"/>
              </w:rPr>
            </w:pPr>
            <w:r>
              <w:rPr>
                <w:sz w:val="22"/>
                <w:lang w:eastAsia="ru-RU"/>
              </w:rPr>
              <w:t xml:space="preserve">Информация </w:t>
            </w:r>
          </w:p>
        </w:tc>
        <w:tc>
          <w:tcPr>
            <w:tcW w:w="7625" w:type="dxa"/>
            <w:vAlign w:val="center"/>
          </w:tcPr>
          <w:p w14:paraId="58EE2857" w14:textId="77777777" w:rsidR="00EB699B" w:rsidRDefault="00313B01">
            <w:pPr>
              <w:widowControl w:val="0"/>
              <w:rPr>
                <w:sz w:val="22"/>
                <w:lang w:eastAsia="ru-RU"/>
              </w:rPr>
            </w:pPr>
            <w:r>
              <w:rPr>
                <w:sz w:val="22"/>
                <w:lang w:eastAsia="ru-RU"/>
              </w:rPr>
              <w:t>На языке гостя</w:t>
            </w:r>
          </w:p>
          <w:p w14:paraId="438E8824" w14:textId="77777777" w:rsidR="00EB699B" w:rsidRDefault="00313B01">
            <w:pPr>
              <w:widowControl w:val="0"/>
              <w:rPr>
                <w:sz w:val="22"/>
                <w:lang w:eastAsia="ru-RU"/>
              </w:rPr>
            </w:pPr>
            <w:r>
              <w:rPr>
                <w:sz w:val="22"/>
                <w:lang w:eastAsia="ru-RU"/>
              </w:rPr>
              <w:t xml:space="preserve">-Дублирование всей информации </w:t>
            </w:r>
          </w:p>
          <w:p w14:paraId="4E09B48E" w14:textId="77777777" w:rsidR="00EB699B" w:rsidRDefault="00313B01">
            <w:pPr>
              <w:widowControl w:val="0"/>
              <w:rPr>
                <w:sz w:val="22"/>
                <w:lang w:eastAsia="ru-RU"/>
              </w:rPr>
            </w:pPr>
            <w:r>
              <w:rPr>
                <w:sz w:val="22"/>
                <w:lang w:eastAsia="ru-RU"/>
              </w:rPr>
              <w:t xml:space="preserve">- Персонал контактной зоны говорит </w:t>
            </w:r>
          </w:p>
          <w:p w14:paraId="65607F81" w14:textId="77777777" w:rsidR="00EB699B" w:rsidRDefault="00313B01">
            <w:pPr>
              <w:widowControl w:val="0"/>
              <w:rPr>
                <w:sz w:val="22"/>
                <w:lang w:eastAsia="ru-RU"/>
              </w:rPr>
            </w:pPr>
            <w:r>
              <w:rPr>
                <w:sz w:val="22"/>
                <w:lang w:eastAsia="ru-RU"/>
              </w:rPr>
              <w:t xml:space="preserve">- Телевизионные каналы </w:t>
            </w:r>
          </w:p>
          <w:p w14:paraId="4208627D" w14:textId="77777777" w:rsidR="00EB699B" w:rsidRDefault="00313B01">
            <w:pPr>
              <w:widowControl w:val="0"/>
              <w:rPr>
                <w:sz w:val="22"/>
                <w:lang w:eastAsia="ru-RU"/>
              </w:rPr>
            </w:pPr>
            <w:r>
              <w:rPr>
                <w:sz w:val="22"/>
                <w:lang w:eastAsia="ru-RU"/>
              </w:rPr>
              <w:t xml:space="preserve">- Использование международной знаковой системы </w:t>
            </w:r>
          </w:p>
          <w:p w14:paraId="56B71B18" w14:textId="77777777" w:rsidR="00EB699B" w:rsidRDefault="00313B01">
            <w:pPr>
              <w:widowControl w:val="0"/>
              <w:rPr>
                <w:sz w:val="22"/>
                <w:lang w:eastAsia="ru-RU"/>
              </w:rPr>
            </w:pPr>
            <w:r>
              <w:rPr>
                <w:sz w:val="22"/>
                <w:lang w:eastAsia="ru-RU"/>
              </w:rPr>
              <w:t xml:space="preserve">- Система оповещения при возникновении ЧС </w:t>
            </w:r>
          </w:p>
        </w:tc>
      </w:tr>
      <w:tr w:rsidR="00EB699B" w14:paraId="75B1656B" w14:textId="77777777">
        <w:trPr>
          <w:trHeight w:val="454"/>
        </w:trPr>
        <w:tc>
          <w:tcPr>
            <w:tcW w:w="2122" w:type="dxa"/>
            <w:vAlign w:val="center"/>
          </w:tcPr>
          <w:p w14:paraId="4A4DA189" w14:textId="77777777" w:rsidR="00EB699B" w:rsidRDefault="00313B01">
            <w:pPr>
              <w:widowControl w:val="0"/>
              <w:rPr>
                <w:sz w:val="22"/>
                <w:lang w:eastAsia="ru-RU"/>
              </w:rPr>
            </w:pPr>
            <w:r>
              <w:rPr>
                <w:sz w:val="22"/>
                <w:lang w:eastAsia="ru-RU"/>
              </w:rPr>
              <w:t>Питание</w:t>
            </w:r>
          </w:p>
        </w:tc>
        <w:tc>
          <w:tcPr>
            <w:tcW w:w="7625" w:type="dxa"/>
            <w:vAlign w:val="center"/>
          </w:tcPr>
          <w:p w14:paraId="1F3AE14F" w14:textId="77777777" w:rsidR="00EB699B" w:rsidRDefault="00313B01">
            <w:pPr>
              <w:widowControl w:val="0"/>
              <w:rPr>
                <w:sz w:val="22"/>
                <w:lang w:eastAsia="ru-RU"/>
              </w:rPr>
            </w:pPr>
            <w:r>
              <w:rPr>
                <w:sz w:val="22"/>
                <w:lang w:eastAsia="ru-RU"/>
              </w:rPr>
              <w:t>- Учет гастрономических предпочтений и культуры питания</w:t>
            </w:r>
          </w:p>
          <w:p w14:paraId="30E253B0" w14:textId="77777777" w:rsidR="00EB699B" w:rsidRDefault="00313B01">
            <w:pPr>
              <w:widowControl w:val="0"/>
              <w:rPr>
                <w:sz w:val="22"/>
                <w:lang w:eastAsia="ru-RU"/>
              </w:rPr>
            </w:pPr>
            <w:r>
              <w:rPr>
                <w:sz w:val="22"/>
                <w:lang w:eastAsia="ru-RU"/>
              </w:rPr>
              <w:t>- Возможность доставки блюд из национальных ресторанов.</w:t>
            </w:r>
          </w:p>
        </w:tc>
      </w:tr>
      <w:tr w:rsidR="00EB699B" w14:paraId="1AC00410" w14:textId="77777777">
        <w:trPr>
          <w:trHeight w:val="454"/>
        </w:trPr>
        <w:tc>
          <w:tcPr>
            <w:tcW w:w="2122" w:type="dxa"/>
            <w:vAlign w:val="center"/>
          </w:tcPr>
          <w:p w14:paraId="318CBBF3" w14:textId="77777777" w:rsidR="00EB699B" w:rsidRDefault="00313B01">
            <w:pPr>
              <w:widowControl w:val="0"/>
              <w:rPr>
                <w:sz w:val="22"/>
                <w:lang w:eastAsia="ru-RU"/>
              </w:rPr>
            </w:pPr>
            <w:r>
              <w:rPr>
                <w:sz w:val="22"/>
                <w:lang w:eastAsia="ru-RU"/>
              </w:rPr>
              <w:t>Религия</w:t>
            </w:r>
          </w:p>
        </w:tc>
        <w:tc>
          <w:tcPr>
            <w:tcW w:w="7625" w:type="dxa"/>
            <w:vAlign w:val="center"/>
          </w:tcPr>
          <w:p w14:paraId="7F131956" w14:textId="77777777" w:rsidR="00EB699B" w:rsidRDefault="00313B01">
            <w:pPr>
              <w:widowControl w:val="0"/>
              <w:rPr>
                <w:sz w:val="22"/>
                <w:lang w:eastAsia="ru-RU"/>
              </w:rPr>
            </w:pPr>
            <w:r>
              <w:rPr>
                <w:sz w:val="22"/>
                <w:lang w:eastAsia="ru-RU"/>
              </w:rPr>
              <w:t xml:space="preserve">Предоставление Библии, Корана, Талмуда, других элементов ритуалов, </w:t>
            </w:r>
            <w:r>
              <w:rPr>
                <w:sz w:val="22"/>
                <w:lang w:eastAsia="ru-RU"/>
              </w:rPr>
              <w:lastRenderedPageBreak/>
              <w:t>возможных в стенах гостиницы</w:t>
            </w:r>
          </w:p>
        </w:tc>
      </w:tr>
      <w:tr w:rsidR="00EB699B" w14:paraId="4E33BFA6" w14:textId="77777777">
        <w:trPr>
          <w:trHeight w:val="454"/>
        </w:trPr>
        <w:tc>
          <w:tcPr>
            <w:tcW w:w="2122" w:type="dxa"/>
            <w:vAlign w:val="center"/>
          </w:tcPr>
          <w:p w14:paraId="53688B30" w14:textId="77777777" w:rsidR="00EB699B" w:rsidRDefault="00313B01">
            <w:pPr>
              <w:widowControl w:val="0"/>
              <w:rPr>
                <w:sz w:val="22"/>
                <w:lang w:eastAsia="ru-RU"/>
              </w:rPr>
            </w:pPr>
            <w:r>
              <w:rPr>
                <w:sz w:val="22"/>
                <w:lang w:eastAsia="ru-RU"/>
              </w:rPr>
              <w:lastRenderedPageBreak/>
              <w:t>Культура взаимодействия и коммуникации</w:t>
            </w:r>
          </w:p>
        </w:tc>
        <w:tc>
          <w:tcPr>
            <w:tcW w:w="7625" w:type="dxa"/>
            <w:vAlign w:val="center"/>
          </w:tcPr>
          <w:p w14:paraId="6CB0A52C" w14:textId="77777777" w:rsidR="00EB699B" w:rsidRDefault="00313B01">
            <w:pPr>
              <w:widowControl w:val="0"/>
              <w:rPr>
                <w:sz w:val="22"/>
                <w:lang w:eastAsia="ru-RU"/>
              </w:rPr>
            </w:pPr>
            <w:r>
              <w:rPr>
                <w:sz w:val="22"/>
                <w:lang w:eastAsia="ru-RU"/>
              </w:rPr>
              <w:t>– Стиль одежды</w:t>
            </w:r>
          </w:p>
          <w:p w14:paraId="4FBD8909" w14:textId="77777777" w:rsidR="00EB699B" w:rsidRDefault="00313B01">
            <w:pPr>
              <w:widowControl w:val="0"/>
              <w:rPr>
                <w:sz w:val="22"/>
                <w:lang w:eastAsia="ru-RU"/>
              </w:rPr>
            </w:pPr>
            <w:r>
              <w:rPr>
                <w:sz w:val="22"/>
                <w:lang w:eastAsia="ru-RU"/>
              </w:rPr>
              <w:t>– Этика поведения, приветствия и прощания</w:t>
            </w:r>
          </w:p>
          <w:p w14:paraId="353F0872" w14:textId="77777777" w:rsidR="00EB699B" w:rsidRDefault="00313B01">
            <w:pPr>
              <w:widowControl w:val="0"/>
              <w:rPr>
                <w:sz w:val="22"/>
                <w:lang w:eastAsia="ru-RU"/>
              </w:rPr>
            </w:pPr>
            <w:r>
              <w:rPr>
                <w:sz w:val="22"/>
                <w:lang w:eastAsia="ru-RU"/>
              </w:rPr>
              <w:t>– Жесты, мимика</w:t>
            </w:r>
          </w:p>
        </w:tc>
      </w:tr>
      <w:tr w:rsidR="00EB699B" w14:paraId="45078800" w14:textId="77777777">
        <w:trPr>
          <w:trHeight w:val="454"/>
        </w:trPr>
        <w:tc>
          <w:tcPr>
            <w:tcW w:w="2122" w:type="dxa"/>
            <w:vAlign w:val="center"/>
          </w:tcPr>
          <w:p w14:paraId="324C3306" w14:textId="77777777" w:rsidR="00EB699B" w:rsidRDefault="00313B01">
            <w:pPr>
              <w:widowControl w:val="0"/>
              <w:rPr>
                <w:sz w:val="22"/>
                <w:lang w:eastAsia="ru-RU"/>
              </w:rPr>
            </w:pPr>
            <w:r>
              <w:rPr>
                <w:sz w:val="22"/>
                <w:lang w:eastAsia="ru-RU"/>
              </w:rPr>
              <w:t>Прием платежей</w:t>
            </w:r>
          </w:p>
        </w:tc>
        <w:tc>
          <w:tcPr>
            <w:tcW w:w="7625" w:type="dxa"/>
            <w:vAlign w:val="center"/>
          </w:tcPr>
          <w:p w14:paraId="304E405A" w14:textId="77777777" w:rsidR="00EB699B" w:rsidRDefault="00313B01">
            <w:pPr>
              <w:widowControl w:val="0"/>
              <w:rPr>
                <w:sz w:val="22"/>
                <w:lang w:eastAsia="ru-RU"/>
              </w:rPr>
            </w:pPr>
            <w:r>
              <w:rPr>
                <w:sz w:val="22"/>
                <w:lang w:eastAsia="ru-RU"/>
              </w:rPr>
              <w:t>Применение международных платежных систем для расчетов с гостями</w:t>
            </w:r>
          </w:p>
        </w:tc>
      </w:tr>
      <w:tr w:rsidR="00EB699B" w14:paraId="1C046CF1" w14:textId="77777777">
        <w:trPr>
          <w:trHeight w:val="454"/>
        </w:trPr>
        <w:tc>
          <w:tcPr>
            <w:tcW w:w="2122" w:type="dxa"/>
            <w:vAlign w:val="center"/>
          </w:tcPr>
          <w:p w14:paraId="4CF93088" w14:textId="77777777" w:rsidR="00EB699B" w:rsidRDefault="00313B01">
            <w:pPr>
              <w:widowControl w:val="0"/>
              <w:rPr>
                <w:sz w:val="22"/>
                <w:lang w:eastAsia="ru-RU"/>
              </w:rPr>
            </w:pPr>
            <w:r>
              <w:rPr>
                <w:sz w:val="22"/>
                <w:lang w:eastAsia="ru-RU"/>
              </w:rPr>
              <w:t xml:space="preserve">Интеграция продвижения </w:t>
            </w:r>
          </w:p>
        </w:tc>
        <w:tc>
          <w:tcPr>
            <w:tcW w:w="7625" w:type="dxa"/>
            <w:vAlign w:val="center"/>
          </w:tcPr>
          <w:p w14:paraId="0EC7A4A8" w14:textId="77777777" w:rsidR="00EB699B" w:rsidRDefault="00313B01">
            <w:pPr>
              <w:widowControl w:val="0"/>
              <w:rPr>
                <w:sz w:val="22"/>
                <w:lang w:eastAsia="ru-RU"/>
              </w:rPr>
            </w:pPr>
            <w:r>
              <w:rPr>
                <w:sz w:val="22"/>
                <w:lang w:eastAsia="ru-RU"/>
              </w:rPr>
              <w:t xml:space="preserve">Получение статуса дружественного предприятия </w:t>
            </w:r>
          </w:p>
        </w:tc>
      </w:tr>
      <w:tr w:rsidR="00EB699B" w14:paraId="39021C5B" w14:textId="77777777">
        <w:trPr>
          <w:trHeight w:val="454"/>
        </w:trPr>
        <w:tc>
          <w:tcPr>
            <w:tcW w:w="2122" w:type="dxa"/>
            <w:vAlign w:val="center"/>
          </w:tcPr>
          <w:p w14:paraId="70D41DF5" w14:textId="77777777" w:rsidR="00EB699B" w:rsidRDefault="00313B01">
            <w:pPr>
              <w:widowControl w:val="0"/>
              <w:rPr>
                <w:sz w:val="22"/>
                <w:lang w:eastAsia="ru-RU"/>
              </w:rPr>
            </w:pPr>
            <w:r>
              <w:rPr>
                <w:sz w:val="22"/>
                <w:lang w:eastAsia="ru-RU"/>
              </w:rPr>
              <w:t>Оборудование и оснащение</w:t>
            </w:r>
          </w:p>
        </w:tc>
        <w:tc>
          <w:tcPr>
            <w:tcW w:w="7625" w:type="dxa"/>
            <w:vAlign w:val="center"/>
          </w:tcPr>
          <w:p w14:paraId="148E39FD" w14:textId="77777777" w:rsidR="00EB699B" w:rsidRDefault="00313B01">
            <w:pPr>
              <w:widowControl w:val="0"/>
              <w:rPr>
                <w:sz w:val="22"/>
                <w:lang w:eastAsia="ru-RU"/>
              </w:rPr>
            </w:pPr>
            <w:r>
              <w:rPr>
                <w:sz w:val="22"/>
                <w:lang w:eastAsia="ru-RU"/>
              </w:rPr>
              <w:t>– Стандарт электричества и электророзеток</w:t>
            </w:r>
          </w:p>
          <w:p w14:paraId="2F536DA9" w14:textId="77777777" w:rsidR="00EB699B" w:rsidRDefault="00313B01">
            <w:pPr>
              <w:widowControl w:val="0"/>
              <w:rPr>
                <w:sz w:val="22"/>
                <w:lang w:eastAsia="ru-RU"/>
              </w:rPr>
            </w:pPr>
            <w:r>
              <w:rPr>
                <w:sz w:val="22"/>
                <w:lang w:eastAsia="ru-RU"/>
              </w:rPr>
              <w:t>– Нумерация без цифры 4 (страны СВА)</w:t>
            </w:r>
          </w:p>
          <w:p w14:paraId="2EA2C290" w14:textId="77777777" w:rsidR="00EB699B" w:rsidRDefault="00313B01">
            <w:pPr>
              <w:widowControl w:val="0"/>
              <w:rPr>
                <w:sz w:val="22"/>
                <w:lang w:eastAsia="ru-RU"/>
              </w:rPr>
            </w:pPr>
            <w:r>
              <w:rPr>
                <w:sz w:val="22"/>
                <w:lang w:eastAsia="ru-RU"/>
              </w:rPr>
              <w:t>– Номера с двумя кроватями (</w:t>
            </w:r>
            <w:r>
              <w:rPr>
                <w:sz w:val="22"/>
                <w:lang w:val="en-US" w:eastAsia="ru-RU"/>
              </w:rPr>
              <w:t>twin</w:t>
            </w:r>
            <w:r>
              <w:rPr>
                <w:sz w:val="22"/>
                <w:lang w:eastAsia="ru-RU"/>
              </w:rPr>
              <w:t>)</w:t>
            </w:r>
          </w:p>
          <w:p w14:paraId="350EE3CF" w14:textId="77777777" w:rsidR="00EB699B" w:rsidRDefault="00313B01">
            <w:pPr>
              <w:widowControl w:val="0"/>
              <w:rPr>
                <w:sz w:val="22"/>
                <w:lang w:eastAsia="ru-RU"/>
              </w:rPr>
            </w:pPr>
            <w:r>
              <w:rPr>
                <w:sz w:val="22"/>
                <w:lang w:eastAsia="ru-RU"/>
              </w:rPr>
              <w:t>– Оснащение санузла под требования для мусульман</w:t>
            </w:r>
          </w:p>
          <w:p w14:paraId="17463958" w14:textId="77777777" w:rsidR="00EB699B" w:rsidRDefault="00313B01">
            <w:pPr>
              <w:widowControl w:val="0"/>
              <w:rPr>
                <w:sz w:val="22"/>
                <w:lang w:eastAsia="ru-RU"/>
              </w:rPr>
            </w:pPr>
            <w:r>
              <w:rPr>
                <w:sz w:val="22"/>
                <w:lang w:eastAsia="ru-RU"/>
              </w:rPr>
              <w:t>– Идеальная чистота</w:t>
            </w:r>
          </w:p>
          <w:p w14:paraId="7C12A0D5" w14:textId="77777777" w:rsidR="00EB699B" w:rsidRDefault="00313B01">
            <w:pPr>
              <w:widowControl w:val="0"/>
              <w:rPr>
                <w:sz w:val="22"/>
                <w:lang w:eastAsia="ru-RU"/>
              </w:rPr>
            </w:pPr>
            <w:r>
              <w:rPr>
                <w:sz w:val="22"/>
                <w:lang w:eastAsia="ru-RU"/>
              </w:rPr>
              <w:t>– Магазины и киоски с сувенирами</w:t>
            </w:r>
          </w:p>
          <w:p w14:paraId="71B11099" w14:textId="77777777" w:rsidR="00EB699B" w:rsidRDefault="00313B01">
            <w:pPr>
              <w:widowControl w:val="0"/>
              <w:rPr>
                <w:sz w:val="22"/>
                <w:lang w:eastAsia="ru-RU"/>
              </w:rPr>
            </w:pPr>
            <w:r>
              <w:rPr>
                <w:sz w:val="22"/>
                <w:lang w:eastAsia="ru-RU"/>
              </w:rPr>
              <w:t>– Услуги развлечения под запросы гостей</w:t>
            </w:r>
          </w:p>
          <w:p w14:paraId="30D6BC49" w14:textId="77777777" w:rsidR="00EB699B" w:rsidRDefault="00313B01">
            <w:pPr>
              <w:widowControl w:val="0"/>
              <w:rPr>
                <w:sz w:val="22"/>
                <w:lang w:eastAsia="ru-RU"/>
              </w:rPr>
            </w:pPr>
            <w:r>
              <w:rPr>
                <w:sz w:val="22"/>
                <w:lang w:eastAsia="ru-RU"/>
              </w:rPr>
              <w:t>- Бесплатный Wi-Fi</w:t>
            </w:r>
          </w:p>
        </w:tc>
      </w:tr>
    </w:tbl>
    <w:p w14:paraId="21068EC0" w14:textId="77777777" w:rsidR="00EB699B" w:rsidRDefault="00313B01">
      <w:pPr>
        <w:widowControl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Составлено автором по [14, 15, 16]</w:t>
      </w:r>
    </w:p>
    <w:p w14:paraId="139F1E5D"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каждой из программ есть специфические требования, например для гостей из Ближнего Востока – размещение всех туристов в группе на одном этаже, поскольку чаще всего это родственники, организация экскурсий и других мест посещения от консьержа отеля, особое оборудование санузлов, предложение халяльной еды</w:t>
      </w:r>
      <w:bookmarkStart w:id="9" w:name="_Hlk212391810"/>
      <w:r>
        <w:rPr>
          <w:rFonts w:ascii="Times New Roman" w:eastAsia="Times New Roman" w:hAnsi="Times New Roman" w:cs="Times New Roman"/>
          <w:color w:val="FF0000"/>
          <w:sz w:val="24"/>
          <w:szCs w:val="24"/>
        </w:rPr>
        <w:t xml:space="preserve">. </w:t>
      </w:r>
      <w:bookmarkEnd w:id="9"/>
      <w:r>
        <w:rPr>
          <w:rFonts w:ascii="Times New Roman" w:eastAsia="Times New Roman" w:hAnsi="Times New Roman" w:cs="Times New Roman"/>
          <w:sz w:val="24"/>
          <w:szCs w:val="24"/>
        </w:rPr>
        <w:t>Для гостей из Индии рекомендуется на завтрак предлагать минимум 5 вегетарианских блюд, адаптеры для радиоприборов, горячие напитки круглосуточно и др.</w:t>
      </w:r>
      <w:r>
        <w:rPr>
          <w:sz w:val="24"/>
          <w:szCs w:val="24"/>
        </w:rPr>
        <w:t xml:space="preserve"> </w:t>
      </w:r>
      <w:r>
        <w:rPr>
          <w:rFonts w:ascii="Times New Roman" w:eastAsia="Times New Roman" w:hAnsi="Times New Roman" w:cs="Times New Roman"/>
          <w:sz w:val="24"/>
          <w:szCs w:val="24"/>
        </w:rPr>
        <w:t>Для японских туристов помимо перечисленных в таблице – передача предмета (подарка, визитки) двумя руками, ванна в санузле, японская пресса.</w:t>
      </w:r>
    </w:p>
    <w:p w14:paraId="5A5C9B9E"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Особое значение для российского туристского рынка имеет присоединение национальных гостиниц к стандартам «</w:t>
      </w:r>
      <w:r>
        <w:rPr>
          <w:rFonts w:ascii="Times New Roman" w:eastAsia="Times New Roman" w:hAnsi="Times New Roman" w:cs="Times New Roman"/>
          <w:sz w:val="24"/>
          <w:szCs w:val="24"/>
          <w:lang w:val="en-US"/>
        </w:rPr>
        <w:t>China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что подтверждается динамикой туристских потоков из КНР (табл. 3, рис.2).</w:t>
      </w:r>
    </w:p>
    <w:p w14:paraId="2DCAE154" w14:textId="77777777" w:rsidR="00EB699B" w:rsidRDefault="00313B01">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Таблица 3 – </w:t>
      </w:r>
      <w:bookmarkStart w:id="10" w:name="_Hlk212396430"/>
      <w:r>
        <w:rPr>
          <w:rFonts w:ascii="Times New Roman" w:eastAsia="Times New Roman" w:hAnsi="Times New Roman" w:cs="Times New Roman"/>
          <w:sz w:val="24"/>
          <w:szCs w:val="24"/>
        </w:rPr>
        <w:t>Объем потока китайских туристов в Российскую Федерацию в динамике за 2019-2024 годы (тыс.чел.)</w:t>
      </w:r>
    </w:p>
    <w:tbl>
      <w:tblPr>
        <w:tblStyle w:val="a3"/>
        <w:tblW w:w="0" w:type="auto"/>
        <w:tblLook w:val="04A0" w:firstRow="1" w:lastRow="0" w:firstColumn="1" w:lastColumn="0" w:noHBand="0" w:noVBand="1"/>
      </w:tblPr>
      <w:tblGrid>
        <w:gridCol w:w="1363"/>
        <w:gridCol w:w="1070"/>
        <w:gridCol w:w="1540"/>
        <w:gridCol w:w="1063"/>
        <w:gridCol w:w="1540"/>
        <w:gridCol w:w="1109"/>
        <w:gridCol w:w="1660"/>
      </w:tblGrid>
      <w:tr w:rsidR="00EB699B" w14:paraId="04639B11" w14:textId="77777777">
        <w:tc>
          <w:tcPr>
            <w:tcW w:w="1363" w:type="dxa"/>
            <w:vMerge w:val="restart"/>
          </w:tcPr>
          <w:bookmarkEnd w:id="10"/>
          <w:p w14:paraId="5B3320B1" w14:textId="77777777" w:rsidR="00EB699B" w:rsidRDefault="00313B01">
            <w:pPr>
              <w:widowControl w:val="0"/>
              <w:jc w:val="center"/>
              <w:rPr>
                <w:sz w:val="22"/>
              </w:rPr>
            </w:pPr>
            <w:r>
              <w:rPr>
                <w:sz w:val="22"/>
              </w:rPr>
              <w:t>Период</w:t>
            </w:r>
          </w:p>
          <w:p w14:paraId="537A0396" w14:textId="77777777" w:rsidR="00EB699B" w:rsidRDefault="00EB699B">
            <w:pPr>
              <w:widowControl w:val="0"/>
              <w:jc w:val="center"/>
              <w:rPr>
                <w:sz w:val="22"/>
              </w:rPr>
            </w:pPr>
          </w:p>
        </w:tc>
        <w:tc>
          <w:tcPr>
            <w:tcW w:w="2610" w:type="dxa"/>
            <w:gridSpan w:val="2"/>
          </w:tcPr>
          <w:p w14:paraId="0AE870CE" w14:textId="77777777" w:rsidR="00EB699B" w:rsidRDefault="00313B01">
            <w:pPr>
              <w:widowControl w:val="0"/>
              <w:jc w:val="center"/>
              <w:rPr>
                <w:sz w:val="22"/>
              </w:rPr>
            </w:pPr>
            <w:r>
              <w:rPr>
                <w:sz w:val="22"/>
              </w:rPr>
              <w:t>Вьезд иностранных туристов В РФ</w:t>
            </w:r>
          </w:p>
        </w:tc>
        <w:tc>
          <w:tcPr>
            <w:tcW w:w="2603" w:type="dxa"/>
            <w:gridSpan w:val="2"/>
          </w:tcPr>
          <w:p w14:paraId="123C441D" w14:textId="77777777" w:rsidR="00EB699B" w:rsidRDefault="00313B01">
            <w:pPr>
              <w:widowControl w:val="0"/>
              <w:jc w:val="center"/>
              <w:rPr>
                <w:sz w:val="22"/>
              </w:rPr>
            </w:pPr>
            <w:r>
              <w:rPr>
                <w:sz w:val="22"/>
              </w:rPr>
              <w:t>Туристы из дальнего зарубежья</w:t>
            </w:r>
          </w:p>
        </w:tc>
        <w:tc>
          <w:tcPr>
            <w:tcW w:w="2769" w:type="dxa"/>
            <w:gridSpan w:val="2"/>
          </w:tcPr>
          <w:p w14:paraId="2D0DC5A2" w14:textId="77777777" w:rsidR="00EB699B" w:rsidRDefault="00313B01">
            <w:pPr>
              <w:widowControl w:val="0"/>
              <w:jc w:val="center"/>
              <w:rPr>
                <w:sz w:val="22"/>
              </w:rPr>
            </w:pPr>
            <w:r>
              <w:rPr>
                <w:sz w:val="22"/>
              </w:rPr>
              <w:t>Китайские туристы</w:t>
            </w:r>
          </w:p>
        </w:tc>
      </w:tr>
      <w:tr w:rsidR="00EB699B" w14:paraId="0F0308B5" w14:textId="77777777">
        <w:tc>
          <w:tcPr>
            <w:tcW w:w="1363" w:type="dxa"/>
            <w:vMerge/>
          </w:tcPr>
          <w:p w14:paraId="7C408C07" w14:textId="77777777" w:rsidR="00EB699B" w:rsidRDefault="00EB699B">
            <w:pPr>
              <w:widowControl w:val="0"/>
              <w:jc w:val="center"/>
              <w:rPr>
                <w:sz w:val="22"/>
              </w:rPr>
            </w:pPr>
          </w:p>
        </w:tc>
        <w:tc>
          <w:tcPr>
            <w:tcW w:w="1070" w:type="dxa"/>
          </w:tcPr>
          <w:p w14:paraId="5348D2DE" w14:textId="77777777" w:rsidR="00EB699B" w:rsidRDefault="00313B01">
            <w:pPr>
              <w:widowControl w:val="0"/>
              <w:jc w:val="center"/>
              <w:rPr>
                <w:sz w:val="22"/>
              </w:rPr>
            </w:pPr>
            <w:r>
              <w:rPr>
                <w:sz w:val="22"/>
              </w:rPr>
              <w:t>Тыс.чел.</w:t>
            </w:r>
          </w:p>
        </w:tc>
        <w:tc>
          <w:tcPr>
            <w:tcW w:w="1540" w:type="dxa"/>
          </w:tcPr>
          <w:p w14:paraId="2BCE5EE6" w14:textId="77777777" w:rsidR="00EB699B" w:rsidRDefault="00313B01">
            <w:pPr>
              <w:widowControl w:val="0"/>
              <w:jc w:val="center"/>
              <w:rPr>
                <w:sz w:val="22"/>
              </w:rPr>
            </w:pPr>
            <w:r>
              <w:rPr>
                <w:sz w:val="22"/>
              </w:rPr>
              <w:t>Отклонение, в % к предыдущему году</w:t>
            </w:r>
          </w:p>
        </w:tc>
        <w:tc>
          <w:tcPr>
            <w:tcW w:w="1063" w:type="dxa"/>
          </w:tcPr>
          <w:p w14:paraId="271B65A3" w14:textId="77777777" w:rsidR="00EB699B" w:rsidRDefault="00313B01">
            <w:pPr>
              <w:widowControl w:val="0"/>
              <w:jc w:val="center"/>
              <w:rPr>
                <w:sz w:val="22"/>
              </w:rPr>
            </w:pPr>
            <w:r>
              <w:rPr>
                <w:sz w:val="22"/>
              </w:rPr>
              <w:t>Тыс.чел.</w:t>
            </w:r>
          </w:p>
        </w:tc>
        <w:tc>
          <w:tcPr>
            <w:tcW w:w="1540" w:type="dxa"/>
          </w:tcPr>
          <w:p w14:paraId="6116EE03" w14:textId="77777777" w:rsidR="00EB699B" w:rsidRDefault="00313B01">
            <w:pPr>
              <w:widowControl w:val="0"/>
              <w:jc w:val="center"/>
              <w:rPr>
                <w:sz w:val="22"/>
              </w:rPr>
            </w:pPr>
            <w:r>
              <w:rPr>
                <w:sz w:val="22"/>
              </w:rPr>
              <w:t>Отклонение, в % к предыдущему году</w:t>
            </w:r>
          </w:p>
        </w:tc>
        <w:tc>
          <w:tcPr>
            <w:tcW w:w="1109" w:type="dxa"/>
          </w:tcPr>
          <w:p w14:paraId="47B5D416" w14:textId="77777777" w:rsidR="00EB699B" w:rsidRDefault="00313B01">
            <w:pPr>
              <w:widowControl w:val="0"/>
              <w:jc w:val="center"/>
              <w:rPr>
                <w:sz w:val="22"/>
              </w:rPr>
            </w:pPr>
            <w:r>
              <w:rPr>
                <w:sz w:val="22"/>
              </w:rPr>
              <w:t>Тыс.чел.</w:t>
            </w:r>
          </w:p>
        </w:tc>
        <w:tc>
          <w:tcPr>
            <w:tcW w:w="1660" w:type="dxa"/>
          </w:tcPr>
          <w:p w14:paraId="25963885" w14:textId="77777777" w:rsidR="00EB699B" w:rsidRDefault="00313B01">
            <w:pPr>
              <w:widowControl w:val="0"/>
              <w:jc w:val="center"/>
              <w:rPr>
                <w:sz w:val="22"/>
              </w:rPr>
            </w:pPr>
            <w:r>
              <w:rPr>
                <w:sz w:val="22"/>
              </w:rPr>
              <w:t>Отклонение, в % к предыдущему году</w:t>
            </w:r>
          </w:p>
        </w:tc>
      </w:tr>
      <w:tr w:rsidR="00EB699B" w14:paraId="34A55D58" w14:textId="77777777">
        <w:tc>
          <w:tcPr>
            <w:tcW w:w="1363" w:type="dxa"/>
          </w:tcPr>
          <w:p w14:paraId="0271B8B0" w14:textId="77777777" w:rsidR="00EB699B" w:rsidRDefault="00313B01">
            <w:pPr>
              <w:widowControl w:val="0"/>
              <w:jc w:val="both"/>
              <w:rPr>
                <w:sz w:val="22"/>
              </w:rPr>
            </w:pPr>
            <w:r>
              <w:rPr>
                <w:sz w:val="22"/>
              </w:rPr>
              <w:t>2019 год</w:t>
            </w:r>
          </w:p>
        </w:tc>
        <w:tc>
          <w:tcPr>
            <w:tcW w:w="1070" w:type="dxa"/>
          </w:tcPr>
          <w:p w14:paraId="5FC6DC80" w14:textId="77777777" w:rsidR="00EB699B" w:rsidRDefault="00313B01">
            <w:pPr>
              <w:widowControl w:val="0"/>
              <w:jc w:val="center"/>
              <w:rPr>
                <w:sz w:val="22"/>
              </w:rPr>
            </w:pPr>
            <w:r>
              <w:rPr>
                <w:sz w:val="22"/>
              </w:rPr>
              <w:t>26100</w:t>
            </w:r>
          </w:p>
        </w:tc>
        <w:tc>
          <w:tcPr>
            <w:tcW w:w="1540" w:type="dxa"/>
          </w:tcPr>
          <w:p w14:paraId="6B060CEA" w14:textId="77777777" w:rsidR="00EB699B" w:rsidRDefault="00313B01">
            <w:pPr>
              <w:widowControl w:val="0"/>
              <w:jc w:val="center"/>
              <w:rPr>
                <w:sz w:val="22"/>
              </w:rPr>
            </w:pPr>
            <w:r>
              <w:rPr>
                <w:sz w:val="22"/>
              </w:rPr>
              <w:t>+20,5</w:t>
            </w:r>
          </w:p>
        </w:tc>
        <w:tc>
          <w:tcPr>
            <w:tcW w:w="1063" w:type="dxa"/>
          </w:tcPr>
          <w:p w14:paraId="622A6BDC" w14:textId="77777777" w:rsidR="00EB699B" w:rsidRDefault="00313B01">
            <w:pPr>
              <w:widowControl w:val="0"/>
              <w:jc w:val="center"/>
              <w:rPr>
                <w:sz w:val="22"/>
              </w:rPr>
            </w:pPr>
            <w:r>
              <w:rPr>
                <w:sz w:val="22"/>
              </w:rPr>
              <w:t>9300</w:t>
            </w:r>
          </w:p>
        </w:tc>
        <w:tc>
          <w:tcPr>
            <w:tcW w:w="1540" w:type="dxa"/>
          </w:tcPr>
          <w:p w14:paraId="1078C4B2" w14:textId="77777777" w:rsidR="00EB699B" w:rsidRDefault="00313B01">
            <w:pPr>
              <w:widowControl w:val="0"/>
              <w:jc w:val="center"/>
              <w:rPr>
                <w:sz w:val="22"/>
              </w:rPr>
            </w:pPr>
            <w:r>
              <w:rPr>
                <w:sz w:val="22"/>
              </w:rPr>
              <w:t>+19,8</w:t>
            </w:r>
          </w:p>
        </w:tc>
        <w:tc>
          <w:tcPr>
            <w:tcW w:w="1109" w:type="dxa"/>
          </w:tcPr>
          <w:p w14:paraId="041E981D" w14:textId="77777777" w:rsidR="00EB699B" w:rsidRDefault="00313B01">
            <w:pPr>
              <w:widowControl w:val="0"/>
              <w:jc w:val="center"/>
              <w:rPr>
                <w:sz w:val="22"/>
              </w:rPr>
            </w:pPr>
            <w:r>
              <w:rPr>
                <w:sz w:val="22"/>
              </w:rPr>
              <w:t>1200</w:t>
            </w:r>
          </w:p>
        </w:tc>
        <w:tc>
          <w:tcPr>
            <w:tcW w:w="1660" w:type="dxa"/>
          </w:tcPr>
          <w:p w14:paraId="24BE53E6" w14:textId="77777777" w:rsidR="00EB699B" w:rsidRDefault="00313B01">
            <w:pPr>
              <w:widowControl w:val="0"/>
              <w:jc w:val="center"/>
              <w:rPr>
                <w:sz w:val="22"/>
              </w:rPr>
            </w:pPr>
            <w:r>
              <w:rPr>
                <w:sz w:val="22"/>
              </w:rPr>
              <w:t>+2,9</w:t>
            </w:r>
          </w:p>
        </w:tc>
      </w:tr>
      <w:tr w:rsidR="00EB699B" w14:paraId="696655B8" w14:textId="77777777">
        <w:tc>
          <w:tcPr>
            <w:tcW w:w="1363" w:type="dxa"/>
          </w:tcPr>
          <w:p w14:paraId="46FADB0D" w14:textId="77777777" w:rsidR="00EB699B" w:rsidRDefault="00313B01">
            <w:pPr>
              <w:widowControl w:val="0"/>
              <w:jc w:val="both"/>
              <w:rPr>
                <w:sz w:val="22"/>
              </w:rPr>
            </w:pPr>
            <w:r>
              <w:rPr>
                <w:sz w:val="22"/>
              </w:rPr>
              <w:t>2023 год</w:t>
            </w:r>
          </w:p>
        </w:tc>
        <w:tc>
          <w:tcPr>
            <w:tcW w:w="1070" w:type="dxa"/>
          </w:tcPr>
          <w:p w14:paraId="20B252A6" w14:textId="77777777" w:rsidR="00EB699B" w:rsidRDefault="00313B01">
            <w:pPr>
              <w:widowControl w:val="0"/>
              <w:jc w:val="center"/>
              <w:rPr>
                <w:sz w:val="22"/>
              </w:rPr>
            </w:pPr>
            <w:r>
              <w:rPr>
                <w:sz w:val="22"/>
              </w:rPr>
              <w:t>8250</w:t>
            </w:r>
          </w:p>
        </w:tc>
        <w:tc>
          <w:tcPr>
            <w:tcW w:w="1540" w:type="dxa"/>
          </w:tcPr>
          <w:p w14:paraId="7419645F" w14:textId="77777777" w:rsidR="00EB699B" w:rsidRDefault="00313B01">
            <w:pPr>
              <w:widowControl w:val="0"/>
              <w:jc w:val="center"/>
              <w:rPr>
                <w:sz w:val="22"/>
              </w:rPr>
            </w:pPr>
            <w:r>
              <w:rPr>
                <w:sz w:val="22"/>
              </w:rPr>
              <w:t>-68,3</w:t>
            </w:r>
          </w:p>
        </w:tc>
        <w:tc>
          <w:tcPr>
            <w:tcW w:w="1063" w:type="dxa"/>
          </w:tcPr>
          <w:p w14:paraId="0D2C87F3" w14:textId="77777777" w:rsidR="00EB699B" w:rsidRDefault="00313B01">
            <w:pPr>
              <w:widowControl w:val="0"/>
              <w:jc w:val="center"/>
              <w:rPr>
                <w:sz w:val="22"/>
              </w:rPr>
            </w:pPr>
            <w:r>
              <w:rPr>
                <w:sz w:val="22"/>
              </w:rPr>
              <w:t>1770</w:t>
            </w:r>
          </w:p>
        </w:tc>
        <w:tc>
          <w:tcPr>
            <w:tcW w:w="1540" w:type="dxa"/>
          </w:tcPr>
          <w:p w14:paraId="00683D70" w14:textId="77777777" w:rsidR="00EB699B" w:rsidRDefault="00313B01">
            <w:pPr>
              <w:widowControl w:val="0"/>
              <w:jc w:val="center"/>
              <w:rPr>
                <w:sz w:val="22"/>
              </w:rPr>
            </w:pPr>
            <w:r>
              <w:rPr>
                <w:sz w:val="22"/>
              </w:rPr>
              <w:t>-80,9</w:t>
            </w:r>
          </w:p>
        </w:tc>
        <w:tc>
          <w:tcPr>
            <w:tcW w:w="1109" w:type="dxa"/>
          </w:tcPr>
          <w:p w14:paraId="3A09A218" w14:textId="77777777" w:rsidR="00EB699B" w:rsidRDefault="00313B01">
            <w:pPr>
              <w:widowControl w:val="0"/>
              <w:jc w:val="center"/>
              <w:rPr>
                <w:sz w:val="22"/>
              </w:rPr>
            </w:pPr>
            <w:r>
              <w:rPr>
                <w:sz w:val="22"/>
              </w:rPr>
              <w:t>199,8</w:t>
            </w:r>
          </w:p>
        </w:tc>
        <w:tc>
          <w:tcPr>
            <w:tcW w:w="1660" w:type="dxa"/>
          </w:tcPr>
          <w:p w14:paraId="1E9C333C" w14:textId="77777777" w:rsidR="00EB699B" w:rsidRDefault="00313B01">
            <w:pPr>
              <w:widowControl w:val="0"/>
              <w:jc w:val="center"/>
              <w:rPr>
                <w:sz w:val="22"/>
              </w:rPr>
            </w:pPr>
            <w:r>
              <w:rPr>
                <w:sz w:val="22"/>
              </w:rPr>
              <w:t>-83,3</w:t>
            </w:r>
          </w:p>
        </w:tc>
      </w:tr>
      <w:tr w:rsidR="00EB699B" w14:paraId="67C1FF11" w14:textId="77777777">
        <w:tc>
          <w:tcPr>
            <w:tcW w:w="1363" w:type="dxa"/>
          </w:tcPr>
          <w:p w14:paraId="15F35448" w14:textId="77777777" w:rsidR="00EB699B" w:rsidRDefault="00313B01">
            <w:pPr>
              <w:widowControl w:val="0"/>
              <w:jc w:val="both"/>
              <w:rPr>
                <w:sz w:val="22"/>
              </w:rPr>
            </w:pPr>
            <w:r>
              <w:rPr>
                <w:sz w:val="22"/>
              </w:rPr>
              <w:t>2024 год</w:t>
            </w:r>
          </w:p>
        </w:tc>
        <w:tc>
          <w:tcPr>
            <w:tcW w:w="1070" w:type="dxa"/>
          </w:tcPr>
          <w:p w14:paraId="32F4F8DE" w14:textId="77777777" w:rsidR="00EB699B" w:rsidRDefault="00313B01">
            <w:pPr>
              <w:widowControl w:val="0"/>
              <w:jc w:val="center"/>
              <w:rPr>
                <w:sz w:val="22"/>
              </w:rPr>
            </w:pPr>
            <w:r>
              <w:rPr>
                <w:sz w:val="22"/>
              </w:rPr>
              <w:t>9100</w:t>
            </w:r>
          </w:p>
        </w:tc>
        <w:tc>
          <w:tcPr>
            <w:tcW w:w="1540" w:type="dxa"/>
          </w:tcPr>
          <w:p w14:paraId="7AFC24A7" w14:textId="77777777" w:rsidR="00EB699B" w:rsidRDefault="00313B01">
            <w:pPr>
              <w:widowControl w:val="0"/>
              <w:jc w:val="center"/>
              <w:rPr>
                <w:sz w:val="22"/>
              </w:rPr>
            </w:pPr>
            <w:r>
              <w:rPr>
                <w:sz w:val="22"/>
              </w:rPr>
              <w:t>+10,3</w:t>
            </w:r>
          </w:p>
        </w:tc>
        <w:tc>
          <w:tcPr>
            <w:tcW w:w="1063" w:type="dxa"/>
          </w:tcPr>
          <w:p w14:paraId="361709DD" w14:textId="77777777" w:rsidR="00EB699B" w:rsidRDefault="00313B01">
            <w:pPr>
              <w:widowControl w:val="0"/>
              <w:jc w:val="center"/>
              <w:rPr>
                <w:sz w:val="22"/>
              </w:rPr>
            </w:pPr>
            <w:r>
              <w:rPr>
                <w:sz w:val="22"/>
              </w:rPr>
              <w:t>2700</w:t>
            </w:r>
          </w:p>
        </w:tc>
        <w:tc>
          <w:tcPr>
            <w:tcW w:w="1540" w:type="dxa"/>
          </w:tcPr>
          <w:p w14:paraId="2CE22C0B" w14:textId="77777777" w:rsidR="00EB699B" w:rsidRDefault="00313B01">
            <w:pPr>
              <w:widowControl w:val="0"/>
              <w:jc w:val="center"/>
              <w:rPr>
                <w:sz w:val="22"/>
              </w:rPr>
            </w:pPr>
            <w:r>
              <w:rPr>
                <w:sz w:val="22"/>
              </w:rPr>
              <w:t>+58,8</w:t>
            </w:r>
          </w:p>
        </w:tc>
        <w:tc>
          <w:tcPr>
            <w:tcW w:w="1109" w:type="dxa"/>
          </w:tcPr>
          <w:p w14:paraId="7BC063C8" w14:textId="77777777" w:rsidR="00EB699B" w:rsidRDefault="00313B01">
            <w:pPr>
              <w:widowControl w:val="0"/>
              <w:jc w:val="center"/>
              <w:rPr>
                <w:sz w:val="22"/>
              </w:rPr>
            </w:pPr>
            <w:r>
              <w:rPr>
                <w:sz w:val="22"/>
              </w:rPr>
              <w:t>1120</w:t>
            </w:r>
          </w:p>
        </w:tc>
        <w:tc>
          <w:tcPr>
            <w:tcW w:w="1660" w:type="dxa"/>
          </w:tcPr>
          <w:p w14:paraId="1EC0DBEE" w14:textId="77777777" w:rsidR="00EB699B" w:rsidRDefault="00313B01">
            <w:pPr>
              <w:widowControl w:val="0"/>
              <w:jc w:val="center"/>
              <w:rPr>
                <w:sz w:val="22"/>
              </w:rPr>
            </w:pPr>
            <w:r>
              <w:rPr>
                <w:sz w:val="22"/>
              </w:rPr>
              <w:t>+560,5</w:t>
            </w:r>
          </w:p>
        </w:tc>
      </w:tr>
      <w:tr w:rsidR="00EB699B" w14:paraId="462C8270" w14:textId="77777777">
        <w:tc>
          <w:tcPr>
            <w:tcW w:w="1363" w:type="dxa"/>
          </w:tcPr>
          <w:p w14:paraId="18632591" w14:textId="77777777" w:rsidR="00EB699B" w:rsidRDefault="00313B01">
            <w:pPr>
              <w:widowControl w:val="0"/>
              <w:jc w:val="both"/>
              <w:rPr>
                <w:sz w:val="22"/>
              </w:rPr>
            </w:pPr>
            <w:r>
              <w:rPr>
                <w:sz w:val="22"/>
              </w:rPr>
              <w:t>2024 к 2019</w:t>
            </w:r>
          </w:p>
        </w:tc>
        <w:tc>
          <w:tcPr>
            <w:tcW w:w="1070" w:type="dxa"/>
          </w:tcPr>
          <w:p w14:paraId="2EA4DEDA" w14:textId="77777777" w:rsidR="00EB699B" w:rsidRDefault="00313B01">
            <w:pPr>
              <w:widowControl w:val="0"/>
              <w:jc w:val="center"/>
              <w:rPr>
                <w:sz w:val="22"/>
              </w:rPr>
            </w:pPr>
            <w:r>
              <w:rPr>
                <w:sz w:val="22"/>
              </w:rPr>
              <w:t>-17000</w:t>
            </w:r>
          </w:p>
        </w:tc>
        <w:tc>
          <w:tcPr>
            <w:tcW w:w="1540" w:type="dxa"/>
          </w:tcPr>
          <w:p w14:paraId="06062D5C" w14:textId="77777777" w:rsidR="00EB699B" w:rsidRDefault="00313B01">
            <w:pPr>
              <w:widowControl w:val="0"/>
              <w:jc w:val="center"/>
              <w:rPr>
                <w:sz w:val="22"/>
              </w:rPr>
            </w:pPr>
            <w:r>
              <w:rPr>
                <w:sz w:val="22"/>
              </w:rPr>
              <w:t>-65,1</w:t>
            </w:r>
          </w:p>
        </w:tc>
        <w:tc>
          <w:tcPr>
            <w:tcW w:w="1063" w:type="dxa"/>
          </w:tcPr>
          <w:p w14:paraId="3606E5EF" w14:textId="77777777" w:rsidR="00EB699B" w:rsidRDefault="00313B01">
            <w:pPr>
              <w:widowControl w:val="0"/>
              <w:jc w:val="center"/>
              <w:rPr>
                <w:sz w:val="22"/>
              </w:rPr>
            </w:pPr>
            <w:r>
              <w:rPr>
                <w:sz w:val="22"/>
              </w:rPr>
              <w:t>-6600</w:t>
            </w:r>
          </w:p>
        </w:tc>
        <w:tc>
          <w:tcPr>
            <w:tcW w:w="1540" w:type="dxa"/>
          </w:tcPr>
          <w:p w14:paraId="41AFCE8D" w14:textId="77777777" w:rsidR="00EB699B" w:rsidRDefault="00313B01">
            <w:pPr>
              <w:widowControl w:val="0"/>
              <w:jc w:val="center"/>
              <w:rPr>
                <w:sz w:val="22"/>
              </w:rPr>
            </w:pPr>
            <w:r>
              <w:rPr>
                <w:sz w:val="22"/>
              </w:rPr>
              <w:t>-70,9</w:t>
            </w:r>
          </w:p>
        </w:tc>
        <w:tc>
          <w:tcPr>
            <w:tcW w:w="1109" w:type="dxa"/>
          </w:tcPr>
          <w:p w14:paraId="1093D111" w14:textId="77777777" w:rsidR="00EB699B" w:rsidRDefault="00313B01">
            <w:pPr>
              <w:widowControl w:val="0"/>
              <w:jc w:val="center"/>
              <w:rPr>
                <w:sz w:val="22"/>
              </w:rPr>
            </w:pPr>
            <w:r>
              <w:rPr>
                <w:sz w:val="22"/>
              </w:rPr>
              <w:t>-80,0</w:t>
            </w:r>
          </w:p>
        </w:tc>
        <w:tc>
          <w:tcPr>
            <w:tcW w:w="1660" w:type="dxa"/>
          </w:tcPr>
          <w:p w14:paraId="11C8247D" w14:textId="77777777" w:rsidR="00EB699B" w:rsidRDefault="00313B01">
            <w:pPr>
              <w:widowControl w:val="0"/>
              <w:jc w:val="center"/>
              <w:rPr>
                <w:sz w:val="22"/>
              </w:rPr>
            </w:pPr>
            <w:r>
              <w:rPr>
                <w:sz w:val="22"/>
              </w:rPr>
              <w:t>-6,7</w:t>
            </w:r>
          </w:p>
        </w:tc>
      </w:tr>
    </w:tbl>
    <w:p w14:paraId="3494D0EA" w14:textId="77777777" w:rsidR="00EB699B" w:rsidRDefault="00EB699B">
      <w:pPr>
        <w:widowControl w:val="0"/>
        <w:spacing w:after="0" w:line="240" w:lineRule="auto"/>
        <w:jc w:val="both"/>
        <w:rPr>
          <w:rFonts w:ascii="Times New Roman" w:eastAsia="Times New Roman" w:hAnsi="Times New Roman" w:cs="Times New Roman"/>
          <w:sz w:val="24"/>
          <w:szCs w:val="24"/>
        </w:rPr>
      </w:pPr>
    </w:p>
    <w:p w14:paraId="4C1F6CC3" w14:textId="77777777" w:rsidR="00EB699B" w:rsidRDefault="00313B01">
      <w:pPr>
        <w:widowControl w:val="0"/>
        <w:spacing w:after="0" w:line="240"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sz w:val="24"/>
          <w:szCs w:val="24"/>
        </w:rPr>
        <w:t xml:space="preserve">Составлено автором </w:t>
      </w:r>
      <w:r>
        <w:rPr>
          <w:rFonts w:ascii="Times New Roman" w:eastAsia="Times New Roman" w:hAnsi="Times New Roman" w:cs="Times New Roman"/>
          <w:color w:val="000000"/>
          <w:sz w:val="24"/>
          <w:szCs w:val="24"/>
        </w:rPr>
        <w:t xml:space="preserve">по </w:t>
      </w:r>
      <w:bookmarkStart w:id="11" w:name="_Hlk212414408"/>
      <w:r>
        <w:rPr>
          <w:rFonts w:ascii="Times New Roman" w:eastAsia="Times New Roman" w:hAnsi="Times New Roman" w:cs="Times New Roman"/>
          <w:color w:val="000000"/>
          <w:sz w:val="24"/>
          <w:szCs w:val="24"/>
          <w:lang w:val="en-US"/>
        </w:rPr>
        <w:t>[</w:t>
      </w: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lang w:val="en-US"/>
        </w:rPr>
        <w:t>]</w:t>
      </w:r>
    </w:p>
    <w:bookmarkEnd w:id="11"/>
    <w:p w14:paraId="6C9C40D1" w14:textId="77777777" w:rsidR="00EB699B" w:rsidRDefault="00EB699B">
      <w:pPr>
        <w:widowControl w:val="0"/>
        <w:spacing w:after="0" w:line="240" w:lineRule="auto"/>
        <w:jc w:val="both"/>
        <w:rPr>
          <w:rFonts w:ascii="Times New Roman" w:eastAsia="Times New Roman" w:hAnsi="Times New Roman" w:cs="Times New Roman"/>
          <w:sz w:val="24"/>
          <w:szCs w:val="24"/>
          <w:lang w:val="en-US"/>
        </w:rPr>
      </w:pPr>
    </w:p>
    <w:p w14:paraId="416F72CF" w14:textId="77777777" w:rsidR="00EB699B" w:rsidRDefault="00313B01">
      <w:pPr>
        <w:widowControl w:val="0"/>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114300" distR="114300" wp14:anchorId="785C6649" wp14:editId="0BCCE866">
            <wp:extent cx="3873500" cy="1727200"/>
            <wp:effectExtent l="0" t="0" r="0" b="0"/>
            <wp:docPr id="1030"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Times New Roman" w:eastAsia="Times New Roman" w:hAnsi="Times New Roman" w:cs="Times New Roman"/>
          <w:sz w:val="24"/>
          <w:szCs w:val="24"/>
        </w:rPr>
        <w:t>.</w:t>
      </w:r>
    </w:p>
    <w:p w14:paraId="6B9443CA"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Рисунок 2 - Объем потока китайских туристов в Российскую Федерацию в динамике за 2019-2024 годы (тыс.чел.)</w:t>
      </w:r>
    </w:p>
    <w:p w14:paraId="31F99F5C" w14:textId="4CA15BE0"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Составлено автором</w:t>
      </w:r>
      <w:r w:rsidR="00102915">
        <w:rPr>
          <w:rFonts w:ascii="Times New Roman" w:eastAsia="Times New Roman" w:hAnsi="Times New Roman" w:cs="Times New Roman"/>
          <w:sz w:val="24"/>
          <w:szCs w:val="24"/>
        </w:rPr>
        <w:t xml:space="preserve"> </w:t>
      </w:r>
      <w:r w:rsidR="00154740">
        <w:rPr>
          <w:rFonts w:ascii="Times New Roman" w:eastAsia="Times New Roman" w:hAnsi="Times New Roman" w:cs="Times New Roman"/>
          <w:color w:val="000000"/>
          <w:sz w:val="24"/>
          <w:szCs w:val="24"/>
        </w:rPr>
        <w:t xml:space="preserve">по </w:t>
      </w:r>
      <w:r w:rsidR="00154740">
        <w:rPr>
          <w:rFonts w:ascii="Times New Roman" w:eastAsia="Times New Roman" w:hAnsi="Times New Roman" w:cs="Times New Roman"/>
          <w:color w:val="000000"/>
          <w:sz w:val="24"/>
          <w:szCs w:val="24"/>
          <w:lang w:val="en-US"/>
        </w:rPr>
        <w:t>[</w:t>
      </w:r>
      <w:r w:rsidR="00154740">
        <w:rPr>
          <w:rFonts w:ascii="Times New Roman" w:eastAsia="Times New Roman" w:hAnsi="Times New Roman" w:cs="Times New Roman"/>
          <w:color w:val="000000"/>
          <w:sz w:val="24"/>
          <w:szCs w:val="24"/>
        </w:rPr>
        <w:t>1</w:t>
      </w:r>
      <w:r w:rsidR="00154740">
        <w:rPr>
          <w:rFonts w:ascii="Times New Roman" w:eastAsia="Times New Roman" w:hAnsi="Times New Roman" w:cs="Times New Roman"/>
          <w:color w:val="000000"/>
          <w:sz w:val="24"/>
          <w:szCs w:val="24"/>
          <w:lang w:val="en-US"/>
        </w:rPr>
        <w:t>]</w:t>
      </w:r>
    </w:p>
    <w:p w14:paraId="50635361"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bookmarkStart w:id="12" w:name="_Hlk214141308"/>
      <w:r>
        <w:rPr>
          <w:rFonts w:ascii="Times New Roman" w:eastAsia="Times New Roman" w:hAnsi="Times New Roman" w:cs="Times New Roman"/>
          <w:sz w:val="24"/>
          <w:szCs w:val="24"/>
        </w:rPr>
        <w:t xml:space="preserve">Согласно статистическим данным в общей структуре въездного туристского потока в 2024 году доля туристов из КНР составляет 12,3%, среди туристов из дальнего зарубежья этот показатель достиг 41,5%, что на 30,2 пункта выше по сравнению с 2023 годом. В 2024 году поток китайских туристов практически сравнялся с допандемийным 2019 годом и достиг </w:t>
      </w:r>
      <w:bookmarkStart w:id="13" w:name="_Hlk214141694"/>
      <w:r>
        <w:rPr>
          <w:rFonts w:ascii="Times New Roman" w:eastAsia="Times New Roman" w:hAnsi="Times New Roman" w:cs="Times New Roman"/>
          <w:sz w:val="24"/>
          <w:szCs w:val="24"/>
        </w:rPr>
        <w:t xml:space="preserve">1120 тыс. чел. </w:t>
      </w:r>
      <w:bookmarkEnd w:id="13"/>
    </w:p>
    <w:bookmarkEnd w:id="12"/>
    <w:p w14:paraId="0D828A9B"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Основными федеральными округами, размещающими китайских туристов в гостиничных предприятиях, являются ЦФО, СЗФО, ДФО, доля которых в общем объеме размещения составляет 78% (рис.2).</w:t>
      </w:r>
    </w:p>
    <w:p w14:paraId="640C1208" w14:textId="77777777" w:rsidR="00EB699B" w:rsidRDefault="00313B01">
      <w:pPr>
        <w:widowControl w:val="0"/>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114300" distR="114300" wp14:anchorId="4EFC377E" wp14:editId="3CE9BD95">
            <wp:extent cx="4851400" cy="1917511"/>
            <wp:effectExtent l="0" t="0" r="0" b="0"/>
            <wp:docPr id="1032"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E1C9FD0" w14:textId="77777777" w:rsidR="00EB699B" w:rsidRDefault="00313B01">
      <w:pPr>
        <w:widowControl w:val="0"/>
        <w:spacing w:after="0" w:line="240" w:lineRule="auto"/>
        <w:ind w:firstLine="4253"/>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object w:dxaOrig="1272" w:dyaOrig="336" w14:anchorId="6E1ACAAD">
          <v:shape id="1033" o:spid="_x0000_i1026" type="#_x0000_t75" style="width:63.75pt;height:16.5pt;visibility:visible;mso-wrap-distance-left:0;mso-wrap-distance-right:0" o:ole="">
            <v:imagedata embosscolor="white"/>
          </v:shape>
          <o:OLEObject Type="Embed" ProgID="Excel.Sheet.8" ShapeID="1033" DrawAspect="Content" ObjectID="_1826374842" r:id="rId10"/>
        </w:object>
      </w:r>
    </w:p>
    <w:p w14:paraId="6B2BBF68" w14:textId="77777777" w:rsidR="00EB699B" w:rsidRDefault="00313B01">
      <w:pPr>
        <w:widowControl w:val="0"/>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Рисунок 2 – Объем туристского потока из КНР по федеральным округам</w:t>
      </w:r>
    </w:p>
    <w:p w14:paraId="085AF89D" w14:textId="77777777" w:rsidR="00EB699B" w:rsidRDefault="00313B01">
      <w:pPr>
        <w:widowControl w:val="0"/>
        <w:spacing w:after="0" w:line="240" w:lineRule="auto"/>
        <w:ind w:firstLine="709"/>
        <w:jc w:val="center"/>
        <w:rPr>
          <w:rFonts w:ascii="Times New Roman" w:eastAsia="Times New Roman" w:hAnsi="Times New Roman" w:cs="Times New Roman"/>
          <w:sz w:val="24"/>
          <w:szCs w:val="24"/>
          <w14:textOutline w14:w="0" w14:cap="flat" w14:cmpd="sng" w14:algn="ctr">
            <w14:noFill/>
            <w14:prstDash w14:val="solid"/>
            <w14:bevel/>
          </w14:textOutline>
        </w:rPr>
      </w:pPr>
      <w:r>
        <w:rPr>
          <w:rFonts w:ascii="Times New Roman" w:eastAsia="Times New Roman" w:hAnsi="Times New Roman" w:cs="Times New Roman"/>
          <w:sz w:val="24"/>
          <w:szCs w:val="24"/>
        </w:rPr>
        <w:t>в 2023-2024 годах, млн. чел.</w:t>
      </w:r>
    </w:p>
    <w:p w14:paraId="25004E04"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Составлено автором по [1]</w:t>
      </w:r>
    </w:p>
    <w:p w14:paraId="17BDC506"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дополнение следует отметить, во-первых, практически все китайские туристы останавливаются в сертифицированных гостиничных предприятиях в отличие от других категорий туристов, среди которых только 55% выбирают гостиницы в качестве места размещения, и во-вторых, на приграничный туристский поток приходится 62,5% от общего объема размещения китайских туристов в стране. </w:t>
      </w:r>
    </w:p>
    <w:p w14:paraId="663C3B4A"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Относительно высокая доля въездного туристского рынка из КНР, стабильные тенденции роста потока китайских туристов в приграничные территории Российской Федерации, а также выбор китайскими туристами преимущественно гостиничных предприятий, прошедших государственную классификацию, обуславливают необходимость более детального исследования требований со стороны китайских туристов при размещении в гостиницах для дальнейшего включения в систему формировании внутренних гостиничных стандартов. Так, согласно нормативам программы </w:t>
      </w:r>
      <w:r>
        <w:rPr>
          <w:rFonts w:ascii="Times New Roman" w:eastAsia="Times New Roman" w:hAnsi="Times New Roman" w:cs="Times New Roman"/>
          <w:sz w:val="24"/>
          <w:szCs w:val="24"/>
          <w:lang w:val="en-US"/>
        </w:rPr>
        <w:t>China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xml:space="preserve"> к основным требованиям соответствия средства размещения относятся критерии, представленные в табл.4.</w:t>
      </w:r>
    </w:p>
    <w:p w14:paraId="2FBB63FE" w14:textId="77777777" w:rsidR="00EB699B" w:rsidRDefault="00313B01">
      <w:pPr>
        <w:widowControl w:val="0"/>
        <w:spacing w:after="0" w:line="240" w:lineRule="auto"/>
        <w:ind w:left="1276" w:hanging="127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Таблица 4 – Критерии соответствия средства размещения нормативам программы </w:t>
      </w:r>
      <w:bookmarkStart w:id="14" w:name="_Hlk212408081"/>
      <w:r>
        <w:rPr>
          <w:rFonts w:ascii="Times New Roman" w:eastAsia="Times New Roman" w:hAnsi="Times New Roman" w:cs="Times New Roman"/>
          <w:sz w:val="24"/>
          <w:szCs w:val="24"/>
        </w:rPr>
        <w:br/>
      </w:r>
      <w:bookmarkStart w:id="15" w:name="_Hlk214201896"/>
      <w:r>
        <w:rPr>
          <w:rFonts w:ascii="Times New Roman" w:eastAsia="Times New Roman" w:hAnsi="Times New Roman" w:cs="Times New Roman"/>
          <w:sz w:val="24"/>
          <w:szCs w:val="24"/>
          <w:lang w:val="en-US"/>
        </w:rPr>
        <w:t>China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Friendly</w:t>
      </w:r>
      <w:r>
        <w:rPr>
          <w:rFonts w:ascii="Times New Roman" w:eastAsia="Times New Roman" w:hAnsi="Times New Roman" w:cs="Times New Roman"/>
          <w:sz w:val="24"/>
          <w:szCs w:val="24"/>
        </w:rPr>
        <w:t xml:space="preserve"> </w:t>
      </w:r>
    </w:p>
    <w:tbl>
      <w:tblPr>
        <w:tblStyle w:val="a3"/>
        <w:tblW w:w="9634" w:type="dxa"/>
        <w:tblLayout w:type="fixed"/>
        <w:tblLook w:val="04A0" w:firstRow="1" w:lastRow="0" w:firstColumn="1" w:lastColumn="0" w:noHBand="0" w:noVBand="1"/>
      </w:tblPr>
      <w:tblGrid>
        <w:gridCol w:w="2830"/>
        <w:gridCol w:w="2694"/>
        <w:gridCol w:w="2409"/>
        <w:gridCol w:w="1701"/>
      </w:tblGrid>
      <w:tr w:rsidR="00EB699B" w14:paraId="4FA254F1" w14:textId="77777777">
        <w:trPr>
          <w:trHeight w:val="454"/>
        </w:trPr>
        <w:tc>
          <w:tcPr>
            <w:tcW w:w="2830" w:type="dxa"/>
            <w:vAlign w:val="center"/>
          </w:tcPr>
          <w:bookmarkEnd w:id="14"/>
          <w:bookmarkEnd w:id="15"/>
          <w:p w14:paraId="42F7E682" w14:textId="77777777" w:rsidR="00EB699B" w:rsidRDefault="00313B01">
            <w:pPr>
              <w:widowControl w:val="0"/>
              <w:jc w:val="center"/>
              <w:rPr>
                <w:sz w:val="22"/>
              </w:rPr>
            </w:pPr>
            <w:r>
              <w:rPr>
                <w:sz w:val="22"/>
              </w:rPr>
              <w:t>Информация о средстве размещения</w:t>
            </w:r>
          </w:p>
        </w:tc>
        <w:tc>
          <w:tcPr>
            <w:tcW w:w="2694" w:type="dxa"/>
            <w:vAlign w:val="center"/>
          </w:tcPr>
          <w:p w14:paraId="3B52DDE5" w14:textId="77777777" w:rsidR="00EB699B" w:rsidRDefault="00313B01">
            <w:pPr>
              <w:widowControl w:val="0"/>
              <w:jc w:val="center"/>
              <w:rPr>
                <w:sz w:val="22"/>
              </w:rPr>
            </w:pPr>
            <w:r>
              <w:rPr>
                <w:sz w:val="22"/>
              </w:rPr>
              <w:t>Услуги в отеле</w:t>
            </w:r>
          </w:p>
        </w:tc>
        <w:tc>
          <w:tcPr>
            <w:tcW w:w="2409" w:type="dxa"/>
            <w:vAlign w:val="center"/>
          </w:tcPr>
          <w:p w14:paraId="75177DC5" w14:textId="77777777" w:rsidR="00EB699B" w:rsidRDefault="00313B01">
            <w:pPr>
              <w:widowControl w:val="0"/>
              <w:jc w:val="center"/>
              <w:rPr>
                <w:sz w:val="22"/>
              </w:rPr>
            </w:pPr>
            <w:r>
              <w:rPr>
                <w:sz w:val="22"/>
              </w:rPr>
              <w:t>Оплата</w:t>
            </w:r>
          </w:p>
        </w:tc>
        <w:tc>
          <w:tcPr>
            <w:tcW w:w="1701" w:type="dxa"/>
            <w:vAlign w:val="center"/>
          </w:tcPr>
          <w:p w14:paraId="2140D7C5" w14:textId="77777777" w:rsidR="00EB699B" w:rsidRDefault="00313B01">
            <w:pPr>
              <w:widowControl w:val="0"/>
              <w:jc w:val="center"/>
              <w:rPr>
                <w:sz w:val="22"/>
              </w:rPr>
            </w:pPr>
            <w:r>
              <w:rPr>
                <w:sz w:val="22"/>
              </w:rPr>
              <w:t>Обслуживающий персонал</w:t>
            </w:r>
          </w:p>
        </w:tc>
      </w:tr>
      <w:tr w:rsidR="00EB699B" w14:paraId="521A3D3C" w14:textId="77777777">
        <w:trPr>
          <w:trHeight w:val="454"/>
        </w:trPr>
        <w:tc>
          <w:tcPr>
            <w:tcW w:w="2830" w:type="dxa"/>
            <w:vAlign w:val="center"/>
          </w:tcPr>
          <w:p w14:paraId="21A17A1E" w14:textId="77777777" w:rsidR="00EB699B" w:rsidRDefault="00313B01">
            <w:pPr>
              <w:widowControl w:val="0"/>
              <w:rPr>
                <w:sz w:val="22"/>
              </w:rPr>
            </w:pPr>
            <w:r>
              <w:rPr>
                <w:sz w:val="22"/>
              </w:rPr>
              <w:t>На китайском языке:</w:t>
            </w:r>
          </w:p>
          <w:p w14:paraId="4AD69F33" w14:textId="77777777" w:rsidR="00EB699B" w:rsidRDefault="00313B01">
            <w:pPr>
              <w:widowControl w:val="0"/>
              <w:ind w:firstLine="173"/>
              <w:rPr>
                <w:sz w:val="22"/>
              </w:rPr>
            </w:pPr>
            <w:r>
              <w:rPr>
                <w:sz w:val="22"/>
              </w:rPr>
              <w:t xml:space="preserve">- дублирование сайта гостиницы </w:t>
            </w:r>
          </w:p>
          <w:p w14:paraId="26A63A40" w14:textId="77777777" w:rsidR="00EB699B" w:rsidRDefault="00313B01">
            <w:pPr>
              <w:widowControl w:val="0"/>
              <w:ind w:firstLine="173"/>
              <w:rPr>
                <w:sz w:val="22"/>
              </w:rPr>
            </w:pPr>
            <w:r>
              <w:rPr>
                <w:sz w:val="22"/>
              </w:rPr>
              <w:t xml:space="preserve">- навигация </w:t>
            </w:r>
          </w:p>
          <w:p w14:paraId="5215711B" w14:textId="77777777" w:rsidR="00EB699B" w:rsidRDefault="00313B01">
            <w:pPr>
              <w:widowControl w:val="0"/>
              <w:ind w:firstLine="173"/>
              <w:rPr>
                <w:sz w:val="22"/>
              </w:rPr>
            </w:pPr>
            <w:r>
              <w:rPr>
                <w:sz w:val="22"/>
              </w:rPr>
              <w:t xml:space="preserve">- информация на ресепшен </w:t>
            </w:r>
          </w:p>
          <w:p w14:paraId="1BA0FA11" w14:textId="77777777" w:rsidR="00EB699B" w:rsidRDefault="00313B01">
            <w:pPr>
              <w:widowControl w:val="0"/>
              <w:ind w:firstLine="173"/>
              <w:rPr>
                <w:sz w:val="22"/>
              </w:rPr>
            </w:pPr>
            <w:r>
              <w:rPr>
                <w:sz w:val="22"/>
              </w:rPr>
              <w:t xml:space="preserve">- визитные и гостевые карты </w:t>
            </w:r>
          </w:p>
          <w:p w14:paraId="09A62F2D" w14:textId="77777777" w:rsidR="00EB699B" w:rsidRDefault="00313B01">
            <w:pPr>
              <w:widowControl w:val="0"/>
              <w:ind w:firstLine="173"/>
              <w:rPr>
                <w:sz w:val="22"/>
              </w:rPr>
            </w:pPr>
            <w:r>
              <w:rPr>
                <w:sz w:val="22"/>
              </w:rPr>
              <w:t xml:space="preserve">- пресса </w:t>
            </w:r>
          </w:p>
          <w:p w14:paraId="476C9263" w14:textId="77777777" w:rsidR="00EB699B" w:rsidRDefault="00313B01">
            <w:pPr>
              <w:widowControl w:val="0"/>
              <w:ind w:firstLine="173"/>
              <w:rPr>
                <w:sz w:val="22"/>
              </w:rPr>
            </w:pPr>
            <w:r>
              <w:rPr>
                <w:sz w:val="22"/>
              </w:rPr>
              <w:lastRenderedPageBreak/>
              <w:t>Отсутствие в нумерации помещений цифры «4»</w:t>
            </w:r>
          </w:p>
          <w:p w14:paraId="2B38ACEB" w14:textId="77777777" w:rsidR="00EB699B" w:rsidRDefault="00313B01">
            <w:pPr>
              <w:widowControl w:val="0"/>
              <w:ind w:firstLine="173"/>
              <w:rPr>
                <w:sz w:val="22"/>
              </w:rPr>
            </w:pPr>
            <w:r>
              <w:rPr>
                <w:sz w:val="22"/>
              </w:rPr>
              <w:t>Размещение объекта на карте «Байду»</w:t>
            </w:r>
          </w:p>
        </w:tc>
        <w:tc>
          <w:tcPr>
            <w:tcW w:w="2694" w:type="dxa"/>
            <w:vAlign w:val="center"/>
          </w:tcPr>
          <w:p w14:paraId="384E7BC1" w14:textId="77777777" w:rsidR="00EB699B" w:rsidRDefault="00313B01">
            <w:pPr>
              <w:widowControl w:val="0"/>
              <w:rPr>
                <w:sz w:val="22"/>
              </w:rPr>
            </w:pPr>
            <w:r>
              <w:rPr>
                <w:sz w:val="22"/>
              </w:rPr>
              <w:lastRenderedPageBreak/>
              <w:t>На китайском языке:</w:t>
            </w:r>
          </w:p>
          <w:p w14:paraId="35EE606C" w14:textId="77777777" w:rsidR="00EB699B" w:rsidRDefault="00313B01">
            <w:pPr>
              <w:widowControl w:val="0"/>
              <w:rPr>
                <w:sz w:val="22"/>
              </w:rPr>
            </w:pPr>
            <w:r>
              <w:rPr>
                <w:sz w:val="22"/>
              </w:rPr>
              <w:t xml:space="preserve">- информационная папка </w:t>
            </w:r>
          </w:p>
          <w:p w14:paraId="14F5E9C0" w14:textId="77777777" w:rsidR="00EB699B" w:rsidRDefault="00313B01">
            <w:pPr>
              <w:widowControl w:val="0"/>
              <w:rPr>
                <w:sz w:val="22"/>
              </w:rPr>
            </w:pPr>
            <w:r>
              <w:rPr>
                <w:sz w:val="22"/>
              </w:rPr>
              <w:t xml:space="preserve">- телевизионные каналы </w:t>
            </w:r>
          </w:p>
          <w:p w14:paraId="39152E69" w14:textId="77777777" w:rsidR="00EB699B" w:rsidRDefault="00313B01">
            <w:pPr>
              <w:widowControl w:val="0"/>
              <w:rPr>
                <w:sz w:val="22"/>
              </w:rPr>
            </w:pPr>
            <w:r>
              <w:rPr>
                <w:sz w:val="22"/>
              </w:rPr>
              <w:t xml:space="preserve"> - меню ресторана </w:t>
            </w:r>
          </w:p>
          <w:p w14:paraId="7CA24CCE" w14:textId="77777777" w:rsidR="00EB699B" w:rsidRDefault="00313B01">
            <w:pPr>
              <w:widowControl w:val="0"/>
              <w:rPr>
                <w:sz w:val="22"/>
              </w:rPr>
            </w:pPr>
            <w:r>
              <w:rPr>
                <w:sz w:val="22"/>
              </w:rPr>
              <w:t xml:space="preserve"> Бесплатный </w:t>
            </w:r>
            <w:r>
              <w:rPr>
                <w:sz w:val="22"/>
                <w:lang w:val="en-US"/>
              </w:rPr>
              <w:t>Wi</w:t>
            </w:r>
            <w:r>
              <w:rPr>
                <w:sz w:val="22"/>
              </w:rPr>
              <w:t>-</w:t>
            </w:r>
            <w:r>
              <w:rPr>
                <w:sz w:val="22"/>
                <w:lang w:val="en-US"/>
              </w:rPr>
              <w:t>Fi</w:t>
            </w:r>
          </w:p>
          <w:p w14:paraId="796972CB" w14:textId="77777777" w:rsidR="00EB699B" w:rsidRDefault="00313B01">
            <w:pPr>
              <w:widowControl w:val="0"/>
              <w:rPr>
                <w:sz w:val="22"/>
              </w:rPr>
            </w:pPr>
            <w:r>
              <w:rPr>
                <w:sz w:val="22"/>
              </w:rPr>
              <w:t xml:space="preserve"> Чайник или горячая вода для чая</w:t>
            </w:r>
          </w:p>
          <w:p w14:paraId="5D65CE9B" w14:textId="77777777" w:rsidR="00EB699B" w:rsidRDefault="00313B01">
            <w:pPr>
              <w:widowControl w:val="0"/>
              <w:rPr>
                <w:sz w:val="22"/>
              </w:rPr>
            </w:pPr>
            <w:r>
              <w:rPr>
                <w:sz w:val="22"/>
              </w:rPr>
              <w:t xml:space="preserve"> Тапочки в номере;</w:t>
            </w:r>
          </w:p>
          <w:p w14:paraId="25B3E9B3" w14:textId="77777777" w:rsidR="00EB699B" w:rsidRDefault="00313B01">
            <w:pPr>
              <w:widowControl w:val="0"/>
              <w:rPr>
                <w:sz w:val="22"/>
              </w:rPr>
            </w:pPr>
            <w:r>
              <w:rPr>
                <w:sz w:val="22"/>
              </w:rPr>
              <w:t xml:space="preserve"> Адаптер или розетки по </w:t>
            </w:r>
            <w:r>
              <w:rPr>
                <w:sz w:val="22"/>
              </w:rPr>
              <w:lastRenderedPageBreak/>
              <w:t xml:space="preserve">стандартам КНР    Китайские палочки в ресторане </w:t>
            </w:r>
          </w:p>
        </w:tc>
        <w:tc>
          <w:tcPr>
            <w:tcW w:w="2409" w:type="dxa"/>
            <w:vAlign w:val="center"/>
          </w:tcPr>
          <w:p w14:paraId="02194642" w14:textId="77777777" w:rsidR="00EB699B" w:rsidRDefault="00313B01">
            <w:pPr>
              <w:widowControl w:val="0"/>
              <w:rPr>
                <w:sz w:val="22"/>
              </w:rPr>
            </w:pPr>
            <w:r>
              <w:rPr>
                <w:sz w:val="22"/>
              </w:rPr>
              <w:lastRenderedPageBreak/>
              <w:t xml:space="preserve">  </w:t>
            </w:r>
            <w:r>
              <w:rPr>
                <w:sz w:val="22"/>
                <w:lang w:val="en-US"/>
              </w:rPr>
              <w:t>POS</w:t>
            </w:r>
            <w:r>
              <w:rPr>
                <w:sz w:val="22"/>
              </w:rPr>
              <w:t xml:space="preserve">-терминалы с возможностью оплаты картами платежной системы </w:t>
            </w:r>
            <w:r>
              <w:rPr>
                <w:sz w:val="22"/>
                <w:lang w:val="en-US"/>
              </w:rPr>
              <w:t>China</w:t>
            </w:r>
            <w:r>
              <w:rPr>
                <w:sz w:val="22"/>
              </w:rPr>
              <w:t xml:space="preserve"> </w:t>
            </w:r>
            <w:r>
              <w:rPr>
                <w:sz w:val="22"/>
                <w:lang w:val="en-US"/>
              </w:rPr>
              <w:t>Union</w:t>
            </w:r>
            <w:r>
              <w:rPr>
                <w:sz w:val="22"/>
              </w:rPr>
              <w:t xml:space="preserve"> </w:t>
            </w:r>
            <w:r>
              <w:rPr>
                <w:sz w:val="22"/>
                <w:lang w:val="en-US"/>
              </w:rPr>
              <w:t>Pay</w:t>
            </w:r>
          </w:p>
          <w:p w14:paraId="1EA8F75E" w14:textId="77777777" w:rsidR="00EB699B" w:rsidRDefault="00313B01">
            <w:pPr>
              <w:widowControl w:val="0"/>
              <w:rPr>
                <w:sz w:val="22"/>
              </w:rPr>
            </w:pPr>
            <w:r>
              <w:rPr>
                <w:sz w:val="22"/>
              </w:rPr>
              <w:t xml:space="preserve">   Банкомат, принимающий платежную систему </w:t>
            </w:r>
            <w:r>
              <w:rPr>
                <w:sz w:val="22"/>
                <w:lang w:val="en-US"/>
              </w:rPr>
              <w:t>China</w:t>
            </w:r>
            <w:r>
              <w:rPr>
                <w:sz w:val="22"/>
              </w:rPr>
              <w:t xml:space="preserve"> </w:t>
            </w:r>
            <w:r>
              <w:rPr>
                <w:sz w:val="22"/>
                <w:lang w:val="en-US"/>
              </w:rPr>
              <w:t>Union</w:t>
            </w:r>
            <w:r>
              <w:rPr>
                <w:sz w:val="22"/>
              </w:rPr>
              <w:t xml:space="preserve"> </w:t>
            </w:r>
            <w:r>
              <w:rPr>
                <w:sz w:val="22"/>
                <w:lang w:val="en-US"/>
              </w:rPr>
              <w:t>Pay</w:t>
            </w:r>
            <w:r>
              <w:rPr>
                <w:sz w:val="22"/>
              </w:rPr>
              <w:t xml:space="preserve"> карты;</w:t>
            </w:r>
          </w:p>
          <w:p w14:paraId="53269D21" w14:textId="77777777" w:rsidR="00EB699B" w:rsidRDefault="00313B01">
            <w:pPr>
              <w:widowControl w:val="0"/>
              <w:rPr>
                <w:sz w:val="22"/>
              </w:rPr>
            </w:pPr>
            <w:r>
              <w:rPr>
                <w:sz w:val="22"/>
              </w:rPr>
              <w:lastRenderedPageBreak/>
              <w:t xml:space="preserve">  Возможность оплаты посредством систем WeChat Pay, AliPay.</w:t>
            </w:r>
          </w:p>
        </w:tc>
        <w:tc>
          <w:tcPr>
            <w:tcW w:w="1701" w:type="dxa"/>
            <w:vAlign w:val="center"/>
          </w:tcPr>
          <w:p w14:paraId="0B66CC84" w14:textId="77777777" w:rsidR="00EB699B" w:rsidRDefault="00313B01">
            <w:pPr>
              <w:widowControl w:val="0"/>
              <w:rPr>
                <w:sz w:val="22"/>
              </w:rPr>
            </w:pPr>
            <w:r>
              <w:rPr>
                <w:sz w:val="22"/>
              </w:rPr>
              <w:lastRenderedPageBreak/>
              <w:t xml:space="preserve">  Сотрудник отеля, владеющий китайским языком</w:t>
            </w:r>
          </w:p>
          <w:p w14:paraId="01C0890C" w14:textId="77777777" w:rsidR="00EB699B" w:rsidRDefault="00EB699B">
            <w:pPr>
              <w:widowControl w:val="0"/>
              <w:rPr>
                <w:sz w:val="22"/>
              </w:rPr>
            </w:pPr>
          </w:p>
          <w:p w14:paraId="52564176" w14:textId="77777777" w:rsidR="00EB699B" w:rsidRDefault="00313B01">
            <w:pPr>
              <w:widowControl w:val="0"/>
              <w:rPr>
                <w:sz w:val="22"/>
              </w:rPr>
            </w:pPr>
            <w:r>
              <w:rPr>
                <w:sz w:val="22"/>
              </w:rPr>
              <w:t xml:space="preserve">  Возможность оперативного перевода </w:t>
            </w:r>
            <w:r>
              <w:rPr>
                <w:sz w:val="22"/>
              </w:rPr>
              <w:lastRenderedPageBreak/>
              <w:t>китайской речи.</w:t>
            </w:r>
          </w:p>
        </w:tc>
      </w:tr>
    </w:tbl>
    <w:p w14:paraId="53AC10D2" w14:textId="77777777" w:rsidR="00EB699B" w:rsidRDefault="00313B01">
      <w:pPr>
        <w:widowControl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Составлено автором по </w:t>
      </w:r>
      <w:bookmarkStart w:id="16" w:name="_Hlk212391255"/>
      <w:r>
        <w:rPr>
          <w:rFonts w:ascii="Times New Roman" w:eastAsia="Times New Roman" w:hAnsi="Times New Roman" w:cs="Times New Roman"/>
          <w:sz w:val="24"/>
          <w:szCs w:val="24"/>
          <w:lang w:eastAsia="ru-RU"/>
        </w:rPr>
        <w:t>[14]</w:t>
      </w:r>
    </w:p>
    <w:bookmarkEnd w:id="16"/>
    <w:p w14:paraId="0B0E22F5" w14:textId="77777777" w:rsidR="00EB699B" w:rsidRDefault="00313B01">
      <w:pPr>
        <w:widowControl w:val="0"/>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 xml:space="preserve">Согласно представленной оценке к одному из основных требований относится максимальное владение китайским языком персонала гостиницы, в отличие от туристов из других стран, которым, как правило, достаточно английского языка. Также важными требованиями являются: информационное обеспечение всех этапов обслуживания, специфические требования к питанию, высокий уровень поддержки интернет связи, возможность использовать доступные для китайских туристов платежные системы. </w:t>
      </w:r>
    </w:p>
    <w:p w14:paraId="385FBC3D" w14:textId="77777777" w:rsidR="00EB699B" w:rsidRDefault="00313B01">
      <w:pPr>
        <w:widowControl w:val="0"/>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В дополнение к параметрам, отмеченным в программе</w:t>
      </w:r>
      <w:r>
        <w:t xml:space="preserve"> </w:t>
      </w:r>
      <w:r>
        <w:rPr>
          <w:rFonts w:ascii="Times New Roman" w:eastAsia="Times New Roman" w:hAnsi="Times New Roman" w:cs="Times New Roman"/>
          <w:sz w:val="24"/>
        </w:rPr>
        <w:t>программ China Friendly, необходимо учитывать факторы китайского туристского сегмента:</w:t>
      </w:r>
    </w:p>
    <w:p w14:paraId="4BC54295" w14:textId="77777777" w:rsidR="00EB699B" w:rsidRDefault="00313B01">
      <w:pPr>
        <w:widowControl w:val="0"/>
        <w:numPr>
          <w:ilvl w:val="0"/>
          <w:numId w:val="1"/>
        </w:numPr>
        <w:spacing w:after="0" w:line="240" w:lineRule="auto"/>
        <w:contextualSpacing/>
        <w:jc w:val="both"/>
        <w:rPr>
          <w:rFonts w:ascii="Times New Roman" w:hAnsi="Times New Roman" w:cs="Times New Roman"/>
          <w:sz w:val="24"/>
        </w:rPr>
      </w:pPr>
      <w:r>
        <w:rPr>
          <w:rFonts w:ascii="Times New Roman" w:hAnsi="Times New Roman" w:cs="Times New Roman"/>
          <w:sz w:val="24"/>
        </w:rPr>
        <w:t>активное использование цифровых технологий, туристских сайтов, а также платформы WeChat и социальных сетей при выборе маршрутов;</w:t>
      </w:r>
    </w:p>
    <w:p w14:paraId="69982079" w14:textId="77777777" w:rsidR="00EB699B" w:rsidRDefault="00313B01">
      <w:pPr>
        <w:widowControl w:val="0"/>
        <w:numPr>
          <w:ilvl w:val="0"/>
          <w:numId w:val="1"/>
        </w:numPr>
        <w:spacing w:after="0" w:line="240" w:lineRule="auto"/>
        <w:contextualSpacing/>
        <w:jc w:val="both"/>
        <w:rPr>
          <w:rFonts w:ascii="Times New Roman" w:hAnsi="Times New Roman" w:cs="Times New Roman"/>
          <w:sz w:val="24"/>
        </w:rPr>
      </w:pPr>
      <w:r>
        <w:rPr>
          <w:rFonts w:ascii="Times New Roman" w:hAnsi="Times New Roman" w:cs="Times New Roman"/>
          <w:sz w:val="24"/>
        </w:rPr>
        <w:t xml:space="preserve">высокая покупательная способность брендовых товаров; </w:t>
      </w:r>
    </w:p>
    <w:p w14:paraId="0C22B3B4" w14:textId="77777777" w:rsidR="00EB699B" w:rsidRDefault="00313B01">
      <w:pPr>
        <w:widowControl w:val="0"/>
        <w:numPr>
          <w:ilvl w:val="0"/>
          <w:numId w:val="1"/>
        </w:numPr>
        <w:spacing w:after="0" w:line="240" w:lineRule="auto"/>
        <w:contextualSpacing/>
        <w:jc w:val="both"/>
        <w:rPr>
          <w:rFonts w:ascii="Times New Roman" w:hAnsi="Times New Roman" w:cs="Times New Roman"/>
          <w:sz w:val="24"/>
        </w:rPr>
      </w:pPr>
      <w:r>
        <w:rPr>
          <w:rFonts w:ascii="Times New Roman" w:hAnsi="Times New Roman" w:cs="Times New Roman"/>
          <w:sz w:val="24"/>
        </w:rPr>
        <w:t>выбор ресторанов с локальной и национальной кухней в соответствии со вкусами китайских гостей.</w:t>
      </w:r>
    </w:p>
    <w:p w14:paraId="2A54A987" w14:textId="77777777" w:rsidR="00EB699B" w:rsidRDefault="00313B01">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Безусловно, ориентированность на конкретный сегмент китайских туристов – стратегический выбор гостиницы, который определяется показателями доли заселения данного сегмента в отеле, рентабельностью продаж и возможностью перекрестного заселения других сегментов. Одной из существенных проблем одновременного заселения китайских и российских туристов является порой специфическое поведение китайских туристов, нарушение правил пребывания, например курение в номерах, шумное поведение, что требует внимательного отношения персонала при решении конфликтных ситуаций. </w:t>
      </w:r>
    </w:p>
    <w:p w14:paraId="0CF86F2C" w14:textId="77777777" w:rsidR="00EB699B" w:rsidRDefault="00313B01">
      <w:pPr>
        <w:widowControl w:val="0"/>
        <w:spacing w:after="0" w:line="240" w:lineRule="auto"/>
        <w:ind w:firstLine="709"/>
        <w:jc w:val="both"/>
        <w:rPr>
          <w:rFonts w:ascii="Times New Roman" w:hAnsi="Times New Roman" w:cs="Times New Roman"/>
          <w:sz w:val="24"/>
        </w:rPr>
      </w:pPr>
      <w:r>
        <w:rPr>
          <w:rFonts w:ascii="Times New Roman" w:eastAsia="Times New Roman" w:hAnsi="Times New Roman" w:cs="Times New Roman"/>
          <w:sz w:val="24"/>
          <w:lang w:eastAsia="ru-RU"/>
        </w:rPr>
        <w:t xml:space="preserve">Для выявления критических элементов предоставления гостиничных услуг с целью дальнейшей их стнадартизации для туристов из КНР был проведен опрос 108 респондентов, в том числе 34,3% участников опроса - </w:t>
      </w:r>
      <w:r>
        <w:rPr>
          <w:rFonts w:ascii="Times New Roman" w:hAnsi="Times New Roman" w:cs="Times New Roman"/>
          <w:sz w:val="24"/>
        </w:rPr>
        <w:t>представители турфирм города Владивостока, 65,7% - граждане КНР, размещенные в гостиницах города Владивостока.</w:t>
      </w:r>
    </w:p>
    <w:p w14:paraId="31CD9745" w14:textId="77777777" w:rsidR="00EB699B" w:rsidRDefault="00313B01">
      <w:pPr>
        <w:widowControl w:val="0"/>
        <w:spacing w:after="0" w:line="240" w:lineRule="auto"/>
        <w:ind w:firstLine="709"/>
        <w:jc w:val="both"/>
        <w:rPr>
          <w:rFonts w:ascii="Times New Roman" w:eastAsia="Times New Roman" w:hAnsi="Times New Roman" w:cs="Times New Roman"/>
          <w:sz w:val="24"/>
          <w:lang w:eastAsia="ru-RU"/>
        </w:rPr>
      </w:pPr>
      <w:r>
        <w:rPr>
          <w:rFonts w:ascii="Times New Roman" w:hAnsi="Times New Roman" w:cs="Times New Roman"/>
          <w:sz w:val="24"/>
        </w:rPr>
        <w:t xml:space="preserve">Доля выборки в общем размере генеральной совокупности по первой страте составила 10,9%, расчет произведен на основании данных сводного федерального реестра туроператоров и турагентов, согласно которому общая численность турфирм в Приморском крае, осуществляющих деятельность по въездному туризму на 01.11.2025 года, составляет 339 единиц. Доля выборки по второй страте составляет 2,84%, расчет произведен на основании данных Министерства туризма Приморского края, согласно которым объем въездного потока из КНР в регион за 1 полугодие 2025 года составил порядка 140 тыс. человек.  </w:t>
      </w:r>
      <w:r>
        <w:rPr>
          <w:rFonts w:ascii="Times New Roman" w:eastAsia="Times New Roman" w:hAnsi="Times New Roman" w:cs="Times New Roman"/>
          <w:sz w:val="24"/>
          <w:lang w:eastAsia="ru-RU"/>
        </w:rPr>
        <w:t xml:space="preserve">При проведении опроса использовалась шкала оценки от «не важно» (коэффициент 0) до «очень важно» (коэффициент 0,25).  Результаты исследования представлены в табл. 7 и на рис.3. </w:t>
      </w:r>
    </w:p>
    <w:p w14:paraId="3730F2F5" w14:textId="77777777" w:rsidR="00EB699B" w:rsidRDefault="00313B01">
      <w:pPr>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br w:type="page"/>
      </w:r>
    </w:p>
    <w:p w14:paraId="6BE56004" w14:textId="77777777" w:rsidR="00EB699B" w:rsidRDefault="00313B01">
      <w:pPr>
        <w:widowControl w:val="0"/>
        <w:spacing w:after="0" w:line="240" w:lineRule="auto"/>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lastRenderedPageBreak/>
        <w:t>Таблица 7 – Результаты опроса представителей турфирм и гостей – граждан КНР, в процентах</w:t>
      </w:r>
    </w:p>
    <w:tbl>
      <w:tblPr>
        <w:tblW w:w="9257" w:type="dxa"/>
        <w:tblInd w:w="93" w:type="dxa"/>
        <w:tblLayout w:type="fixed"/>
        <w:tblLook w:val="04A0" w:firstRow="1" w:lastRow="0" w:firstColumn="1" w:lastColumn="0" w:noHBand="0" w:noVBand="1"/>
      </w:tblPr>
      <w:tblGrid>
        <w:gridCol w:w="4297"/>
        <w:gridCol w:w="1275"/>
        <w:gridCol w:w="993"/>
        <w:gridCol w:w="1275"/>
        <w:gridCol w:w="1417"/>
      </w:tblGrid>
      <w:tr w:rsidR="00EB699B" w14:paraId="00A75544" w14:textId="77777777">
        <w:trPr>
          <w:trHeight w:val="198"/>
        </w:trPr>
        <w:tc>
          <w:tcPr>
            <w:tcW w:w="4297" w:type="dxa"/>
            <w:tcBorders>
              <w:top w:val="single" w:sz="4" w:space="0" w:color="auto"/>
              <w:left w:val="single" w:sz="4" w:space="0" w:color="auto"/>
              <w:bottom w:val="single" w:sz="4" w:space="0" w:color="auto"/>
              <w:right w:val="single" w:sz="4" w:space="0" w:color="auto"/>
            </w:tcBorders>
            <w:shd w:val="clear" w:color="auto" w:fill="auto"/>
            <w:vAlign w:val="center"/>
          </w:tcPr>
          <w:p w14:paraId="59A17070"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Элемент услуги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163639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Турфирмы</w:t>
            </w:r>
          </w:p>
          <w:p w14:paraId="7CF1393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(ряд 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D2D52F1"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Гости</w:t>
            </w:r>
          </w:p>
          <w:p w14:paraId="5ED3BE8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(ряд 2)</w:t>
            </w:r>
          </w:p>
        </w:tc>
        <w:tc>
          <w:tcPr>
            <w:tcW w:w="1275" w:type="dxa"/>
            <w:tcBorders>
              <w:top w:val="single" w:sz="4" w:space="0" w:color="auto"/>
              <w:left w:val="single" w:sz="4" w:space="0" w:color="auto"/>
              <w:bottom w:val="single" w:sz="4" w:space="0" w:color="auto"/>
              <w:right w:val="single" w:sz="4" w:space="0" w:color="auto"/>
            </w:tcBorders>
          </w:tcPr>
          <w:p w14:paraId="7C41AFE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Среднее арифмети</w:t>
            </w:r>
          </w:p>
          <w:p w14:paraId="7F06808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ческое</w:t>
            </w:r>
          </w:p>
        </w:tc>
        <w:tc>
          <w:tcPr>
            <w:tcW w:w="1417" w:type="dxa"/>
            <w:tcBorders>
              <w:top w:val="single" w:sz="4" w:space="0" w:color="auto"/>
              <w:left w:val="single" w:sz="4" w:space="0" w:color="auto"/>
              <w:bottom w:val="single" w:sz="4" w:space="0" w:color="auto"/>
              <w:right w:val="single" w:sz="4" w:space="0" w:color="auto"/>
            </w:tcBorders>
          </w:tcPr>
          <w:p w14:paraId="377E3AE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Стандартное отклонение</w:t>
            </w:r>
          </w:p>
        </w:tc>
      </w:tr>
      <w:tr w:rsidR="00EB699B" w14:paraId="0913A1E1" w14:textId="77777777">
        <w:trPr>
          <w:trHeight w:val="198"/>
        </w:trPr>
        <w:tc>
          <w:tcPr>
            <w:tcW w:w="4297" w:type="dxa"/>
            <w:tcBorders>
              <w:top w:val="single" w:sz="4" w:space="0" w:color="auto"/>
              <w:left w:val="single" w:sz="4" w:space="0" w:color="000000"/>
              <w:bottom w:val="single" w:sz="4" w:space="0" w:color="000000"/>
              <w:right w:val="single" w:sz="4" w:space="0" w:color="000000"/>
            </w:tcBorders>
            <w:shd w:val="clear" w:color="auto" w:fill="auto"/>
            <w:vAlign w:val="center"/>
          </w:tcPr>
          <w:p w14:paraId="2E7EC9E7" w14:textId="77777777" w:rsidR="00EB699B" w:rsidRDefault="00313B01">
            <w:pPr>
              <w:spacing w:after="0" w:line="240" w:lineRule="auto"/>
              <w:rPr>
                <w:rFonts w:ascii="Times New Roman" w:eastAsia="Times New Roman" w:hAnsi="Times New Roman" w:cs="Times New Roman"/>
                <w:color w:val="000000"/>
                <w:lang w:eastAsia="ru-RU"/>
              </w:rPr>
            </w:pPr>
            <w:bookmarkStart w:id="17" w:name="_Hlk212407628"/>
            <w:r>
              <w:rPr>
                <w:rFonts w:ascii="Times New Roman" w:eastAsia="Times New Roman" w:hAnsi="Times New Roman" w:cs="Times New Roman"/>
                <w:color w:val="000000"/>
                <w:lang w:eastAsia="ru-RU"/>
              </w:rPr>
              <w:t>Вода питьевая, кипяток круглосуточно</w:t>
            </w:r>
          </w:p>
        </w:tc>
        <w:tc>
          <w:tcPr>
            <w:tcW w:w="1275" w:type="dxa"/>
            <w:tcBorders>
              <w:top w:val="single" w:sz="4" w:space="0" w:color="auto"/>
              <w:bottom w:val="single" w:sz="4" w:space="0" w:color="000000"/>
              <w:right w:val="single" w:sz="4" w:space="0" w:color="000000"/>
            </w:tcBorders>
            <w:shd w:val="clear" w:color="auto" w:fill="auto"/>
            <w:vAlign w:val="center"/>
          </w:tcPr>
          <w:p w14:paraId="51145F3C"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27,45</w:t>
            </w:r>
          </w:p>
        </w:tc>
        <w:tc>
          <w:tcPr>
            <w:tcW w:w="993" w:type="dxa"/>
            <w:tcBorders>
              <w:top w:val="single" w:sz="4" w:space="0" w:color="auto"/>
              <w:bottom w:val="single" w:sz="4" w:space="0" w:color="000000"/>
              <w:right w:val="single" w:sz="4" w:space="0" w:color="000000"/>
            </w:tcBorders>
            <w:shd w:val="clear" w:color="auto" w:fill="auto"/>
            <w:vAlign w:val="center"/>
          </w:tcPr>
          <w:p w14:paraId="15966E9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21,32</w:t>
            </w:r>
          </w:p>
        </w:tc>
        <w:tc>
          <w:tcPr>
            <w:tcW w:w="1275" w:type="dxa"/>
            <w:tcBorders>
              <w:top w:val="single" w:sz="4" w:space="0" w:color="auto"/>
              <w:bottom w:val="single" w:sz="4" w:space="0" w:color="000000"/>
              <w:right w:val="single" w:sz="4" w:space="0" w:color="000000"/>
            </w:tcBorders>
          </w:tcPr>
          <w:p w14:paraId="471DFE62"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24,38</w:t>
            </w:r>
          </w:p>
        </w:tc>
        <w:tc>
          <w:tcPr>
            <w:tcW w:w="1417" w:type="dxa"/>
            <w:tcBorders>
              <w:top w:val="single" w:sz="4" w:space="0" w:color="auto"/>
              <w:bottom w:val="single" w:sz="4" w:space="0" w:color="000000"/>
              <w:right w:val="single" w:sz="4" w:space="0" w:color="000000"/>
            </w:tcBorders>
          </w:tcPr>
          <w:p w14:paraId="64B4D9C7"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3,01</w:t>
            </w:r>
          </w:p>
        </w:tc>
      </w:tr>
      <w:tr w:rsidR="00EB699B" w14:paraId="30BC4811" w14:textId="77777777">
        <w:trPr>
          <w:trHeight w:val="193"/>
        </w:trPr>
        <w:tc>
          <w:tcPr>
            <w:tcW w:w="4297" w:type="dxa"/>
            <w:tcBorders>
              <w:left w:val="single" w:sz="4" w:space="0" w:color="000000"/>
              <w:bottom w:val="single" w:sz="4" w:space="0" w:color="000000"/>
              <w:right w:val="single" w:sz="4" w:space="0" w:color="000000"/>
            </w:tcBorders>
            <w:shd w:val="clear" w:color="auto" w:fill="auto"/>
            <w:vAlign w:val="center"/>
          </w:tcPr>
          <w:p w14:paraId="5135EE82" w14:textId="77777777" w:rsidR="00EB699B" w:rsidRDefault="00313B01">
            <w:pPr>
              <w:spacing w:after="0" w:line="240" w:lineRule="auto"/>
              <w:rPr>
                <w:rFonts w:ascii="Times New Roman" w:eastAsia="Times New Roman" w:hAnsi="Times New Roman" w:cs="Times New Roman"/>
                <w:color w:val="000000"/>
                <w:lang w:eastAsia="ru-RU"/>
              </w:rPr>
            </w:pPr>
            <w:bookmarkStart w:id="18" w:name="_Hlk214200683"/>
            <w:r>
              <w:rPr>
                <w:rFonts w:ascii="Times New Roman" w:eastAsia="Times New Roman" w:hAnsi="Times New Roman" w:cs="Times New Roman"/>
                <w:color w:val="000000"/>
                <w:lang w:eastAsia="ru-RU"/>
              </w:rPr>
              <w:t xml:space="preserve">Размещение в номерах </w:t>
            </w:r>
            <w:bookmarkStart w:id="19" w:name="_Hlk214202215"/>
            <w:r>
              <w:rPr>
                <w:rFonts w:ascii="Times New Roman" w:eastAsia="Times New Roman" w:hAnsi="Times New Roman" w:cs="Times New Roman"/>
                <w:color w:val="000000"/>
                <w:lang w:eastAsia="ru-RU"/>
              </w:rPr>
              <w:t>TWIN</w:t>
            </w:r>
            <w:bookmarkEnd w:id="18"/>
            <w:bookmarkEnd w:id="19"/>
          </w:p>
        </w:tc>
        <w:tc>
          <w:tcPr>
            <w:tcW w:w="1275" w:type="dxa"/>
            <w:tcBorders>
              <w:bottom w:val="single" w:sz="4" w:space="0" w:color="000000"/>
              <w:right w:val="single" w:sz="4" w:space="0" w:color="000000"/>
            </w:tcBorders>
            <w:shd w:val="clear" w:color="auto" w:fill="auto"/>
            <w:vAlign w:val="center"/>
          </w:tcPr>
          <w:p w14:paraId="1D0BCCC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30,71</w:t>
            </w:r>
          </w:p>
        </w:tc>
        <w:tc>
          <w:tcPr>
            <w:tcW w:w="993" w:type="dxa"/>
            <w:tcBorders>
              <w:bottom w:val="single" w:sz="4" w:space="0" w:color="000000"/>
              <w:right w:val="single" w:sz="4" w:space="0" w:color="000000"/>
            </w:tcBorders>
            <w:shd w:val="clear" w:color="auto" w:fill="auto"/>
            <w:vAlign w:val="center"/>
          </w:tcPr>
          <w:p w14:paraId="68BC39DF"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15, 28</w:t>
            </w:r>
          </w:p>
        </w:tc>
        <w:tc>
          <w:tcPr>
            <w:tcW w:w="1275" w:type="dxa"/>
            <w:tcBorders>
              <w:bottom w:val="single" w:sz="4" w:space="0" w:color="000000"/>
              <w:right w:val="single" w:sz="4" w:space="0" w:color="000000"/>
            </w:tcBorders>
          </w:tcPr>
          <w:p w14:paraId="18050DB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22,99</w:t>
            </w:r>
          </w:p>
        </w:tc>
        <w:tc>
          <w:tcPr>
            <w:tcW w:w="1417" w:type="dxa"/>
            <w:tcBorders>
              <w:bottom w:val="single" w:sz="4" w:space="0" w:color="000000"/>
              <w:right w:val="single" w:sz="4" w:space="0" w:color="000000"/>
            </w:tcBorders>
          </w:tcPr>
          <w:p w14:paraId="14EBAF9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7,72</w:t>
            </w:r>
          </w:p>
        </w:tc>
      </w:tr>
      <w:tr w:rsidR="00EB699B" w14:paraId="36EFB707" w14:textId="77777777">
        <w:trPr>
          <w:trHeight w:val="193"/>
        </w:trPr>
        <w:tc>
          <w:tcPr>
            <w:tcW w:w="4297" w:type="dxa"/>
            <w:tcBorders>
              <w:left w:val="single" w:sz="4" w:space="0" w:color="000000"/>
              <w:bottom w:val="single" w:sz="4" w:space="0" w:color="000000"/>
              <w:right w:val="single" w:sz="4" w:space="0" w:color="000000"/>
            </w:tcBorders>
            <w:shd w:val="clear" w:color="auto" w:fill="auto"/>
            <w:vAlign w:val="center"/>
          </w:tcPr>
          <w:p w14:paraId="42257297"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Места для курения</w:t>
            </w:r>
          </w:p>
        </w:tc>
        <w:tc>
          <w:tcPr>
            <w:tcW w:w="1275" w:type="dxa"/>
            <w:tcBorders>
              <w:bottom w:val="single" w:sz="4" w:space="0" w:color="000000"/>
              <w:right w:val="single" w:sz="4" w:space="0" w:color="000000"/>
            </w:tcBorders>
            <w:shd w:val="clear" w:color="auto" w:fill="auto"/>
            <w:vAlign w:val="center"/>
          </w:tcPr>
          <w:p w14:paraId="31A9F07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15,31</w:t>
            </w:r>
          </w:p>
        </w:tc>
        <w:tc>
          <w:tcPr>
            <w:tcW w:w="993" w:type="dxa"/>
            <w:tcBorders>
              <w:bottom w:val="single" w:sz="4" w:space="0" w:color="000000"/>
              <w:right w:val="single" w:sz="4" w:space="0" w:color="000000"/>
            </w:tcBorders>
            <w:shd w:val="clear" w:color="auto" w:fill="auto"/>
            <w:vAlign w:val="center"/>
          </w:tcPr>
          <w:p w14:paraId="5F7A9E08"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5,85</w:t>
            </w:r>
          </w:p>
        </w:tc>
        <w:tc>
          <w:tcPr>
            <w:tcW w:w="1275" w:type="dxa"/>
            <w:tcBorders>
              <w:bottom w:val="single" w:sz="4" w:space="0" w:color="000000"/>
              <w:right w:val="single" w:sz="4" w:space="0" w:color="000000"/>
            </w:tcBorders>
          </w:tcPr>
          <w:p w14:paraId="7E0D777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10,58</w:t>
            </w:r>
          </w:p>
        </w:tc>
        <w:tc>
          <w:tcPr>
            <w:tcW w:w="1417" w:type="dxa"/>
            <w:tcBorders>
              <w:bottom w:val="single" w:sz="4" w:space="0" w:color="000000"/>
              <w:right w:val="single" w:sz="4" w:space="0" w:color="000000"/>
            </w:tcBorders>
          </w:tcPr>
          <w:p w14:paraId="65ACF2E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4,73</w:t>
            </w:r>
          </w:p>
        </w:tc>
      </w:tr>
      <w:tr w:rsidR="00EB699B" w14:paraId="0CA963F7" w14:textId="77777777">
        <w:trPr>
          <w:trHeight w:val="193"/>
        </w:trPr>
        <w:tc>
          <w:tcPr>
            <w:tcW w:w="4297" w:type="dxa"/>
            <w:tcBorders>
              <w:left w:val="single" w:sz="4" w:space="0" w:color="000000"/>
              <w:bottom w:val="single" w:sz="4" w:space="0" w:color="000000"/>
              <w:right w:val="single" w:sz="4" w:space="0" w:color="000000"/>
            </w:tcBorders>
            <w:shd w:val="clear" w:color="auto" w:fill="auto"/>
            <w:vAlign w:val="center"/>
          </w:tcPr>
          <w:p w14:paraId="254D4DFA"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Электророзетка по стандартам КНР</w:t>
            </w:r>
          </w:p>
        </w:tc>
        <w:tc>
          <w:tcPr>
            <w:tcW w:w="1275" w:type="dxa"/>
            <w:tcBorders>
              <w:bottom w:val="single" w:sz="4" w:space="0" w:color="000000"/>
              <w:right w:val="single" w:sz="4" w:space="0" w:color="000000"/>
            </w:tcBorders>
            <w:shd w:val="clear" w:color="auto" w:fill="auto"/>
            <w:vAlign w:val="center"/>
          </w:tcPr>
          <w:p w14:paraId="21B53FC5"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5,34</w:t>
            </w:r>
          </w:p>
        </w:tc>
        <w:tc>
          <w:tcPr>
            <w:tcW w:w="993" w:type="dxa"/>
            <w:tcBorders>
              <w:bottom w:val="single" w:sz="4" w:space="0" w:color="000000"/>
              <w:right w:val="single" w:sz="4" w:space="0" w:color="000000"/>
            </w:tcBorders>
            <w:shd w:val="clear" w:color="auto" w:fill="auto"/>
            <w:vAlign w:val="center"/>
          </w:tcPr>
          <w:p w14:paraId="415C3B23"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2,34</w:t>
            </w:r>
          </w:p>
        </w:tc>
        <w:tc>
          <w:tcPr>
            <w:tcW w:w="1275" w:type="dxa"/>
            <w:tcBorders>
              <w:bottom w:val="single" w:sz="4" w:space="0" w:color="000000"/>
              <w:right w:val="single" w:sz="4" w:space="0" w:color="000000"/>
            </w:tcBorders>
          </w:tcPr>
          <w:p w14:paraId="0A558E00"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7,68</w:t>
            </w:r>
          </w:p>
        </w:tc>
        <w:tc>
          <w:tcPr>
            <w:tcW w:w="1417" w:type="dxa"/>
            <w:tcBorders>
              <w:bottom w:val="single" w:sz="4" w:space="0" w:color="000000"/>
              <w:right w:val="single" w:sz="4" w:space="0" w:color="000000"/>
            </w:tcBorders>
          </w:tcPr>
          <w:p w14:paraId="0F35592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1,50</w:t>
            </w:r>
          </w:p>
        </w:tc>
      </w:tr>
      <w:tr w:rsidR="00EB699B" w14:paraId="19C80758"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596CC2CF"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Информационная папка и все тексты на китайском языке</w:t>
            </w:r>
          </w:p>
        </w:tc>
        <w:tc>
          <w:tcPr>
            <w:tcW w:w="1275" w:type="dxa"/>
            <w:tcBorders>
              <w:bottom w:val="single" w:sz="4" w:space="0" w:color="000000"/>
              <w:right w:val="single" w:sz="4" w:space="0" w:color="000000"/>
            </w:tcBorders>
            <w:shd w:val="clear" w:color="auto" w:fill="auto"/>
            <w:vAlign w:val="center"/>
          </w:tcPr>
          <w:p w14:paraId="3C7A755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10,60</w:t>
            </w:r>
          </w:p>
        </w:tc>
        <w:tc>
          <w:tcPr>
            <w:tcW w:w="993" w:type="dxa"/>
            <w:tcBorders>
              <w:bottom w:val="single" w:sz="4" w:space="0" w:color="000000"/>
              <w:right w:val="single" w:sz="4" w:space="0" w:color="000000"/>
            </w:tcBorders>
            <w:shd w:val="clear" w:color="auto" w:fill="auto"/>
            <w:vAlign w:val="center"/>
          </w:tcPr>
          <w:p w14:paraId="40F5356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3,42</w:t>
            </w:r>
          </w:p>
        </w:tc>
        <w:tc>
          <w:tcPr>
            <w:tcW w:w="1275" w:type="dxa"/>
            <w:tcBorders>
              <w:bottom w:val="single" w:sz="4" w:space="0" w:color="000000"/>
              <w:right w:val="single" w:sz="4" w:space="0" w:color="000000"/>
            </w:tcBorders>
          </w:tcPr>
          <w:p w14:paraId="1A0F326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7,01</w:t>
            </w:r>
          </w:p>
        </w:tc>
        <w:tc>
          <w:tcPr>
            <w:tcW w:w="1417" w:type="dxa"/>
            <w:tcBorders>
              <w:bottom w:val="single" w:sz="4" w:space="0" w:color="000000"/>
              <w:right w:val="single" w:sz="4" w:space="0" w:color="000000"/>
            </w:tcBorders>
          </w:tcPr>
          <w:p w14:paraId="540D3571"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3,59</w:t>
            </w:r>
          </w:p>
        </w:tc>
      </w:tr>
      <w:bookmarkEnd w:id="17"/>
      <w:tr w:rsidR="00EB699B" w14:paraId="0FA48E0B"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29CE85E6"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Ежедневная смена белья</w:t>
            </w:r>
          </w:p>
        </w:tc>
        <w:tc>
          <w:tcPr>
            <w:tcW w:w="1275" w:type="dxa"/>
            <w:tcBorders>
              <w:bottom w:val="single" w:sz="4" w:space="0" w:color="000000"/>
              <w:right w:val="single" w:sz="4" w:space="0" w:color="000000"/>
            </w:tcBorders>
            <w:shd w:val="clear" w:color="auto" w:fill="auto"/>
            <w:vAlign w:val="center"/>
          </w:tcPr>
          <w:p w14:paraId="72F3949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5,10</w:t>
            </w:r>
          </w:p>
        </w:tc>
        <w:tc>
          <w:tcPr>
            <w:tcW w:w="993" w:type="dxa"/>
            <w:tcBorders>
              <w:bottom w:val="single" w:sz="4" w:space="0" w:color="000000"/>
              <w:right w:val="single" w:sz="4" w:space="0" w:color="000000"/>
            </w:tcBorders>
            <w:shd w:val="clear" w:color="auto" w:fill="auto"/>
            <w:vAlign w:val="center"/>
          </w:tcPr>
          <w:p w14:paraId="0598E62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8,31</w:t>
            </w:r>
          </w:p>
        </w:tc>
        <w:tc>
          <w:tcPr>
            <w:tcW w:w="1275" w:type="dxa"/>
            <w:tcBorders>
              <w:bottom w:val="single" w:sz="4" w:space="0" w:color="000000"/>
              <w:right w:val="single" w:sz="4" w:space="0" w:color="000000"/>
            </w:tcBorders>
          </w:tcPr>
          <w:p w14:paraId="55C28371"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6,71</w:t>
            </w:r>
          </w:p>
        </w:tc>
        <w:tc>
          <w:tcPr>
            <w:tcW w:w="1417" w:type="dxa"/>
            <w:tcBorders>
              <w:bottom w:val="single" w:sz="4" w:space="0" w:color="000000"/>
              <w:right w:val="single" w:sz="4" w:space="0" w:color="000000"/>
            </w:tcBorders>
          </w:tcPr>
          <w:p w14:paraId="22396A02"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1,61</w:t>
            </w:r>
          </w:p>
        </w:tc>
      </w:tr>
      <w:tr w:rsidR="00EB699B" w14:paraId="688377AC"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36EA0221"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Караоке</w:t>
            </w:r>
          </w:p>
        </w:tc>
        <w:tc>
          <w:tcPr>
            <w:tcW w:w="1275" w:type="dxa"/>
            <w:tcBorders>
              <w:bottom w:val="single" w:sz="4" w:space="0" w:color="000000"/>
              <w:right w:val="single" w:sz="4" w:space="0" w:color="000000"/>
            </w:tcBorders>
            <w:shd w:val="clear" w:color="auto" w:fill="auto"/>
            <w:vAlign w:val="center"/>
          </w:tcPr>
          <w:p w14:paraId="4A60866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3,63</w:t>
            </w:r>
          </w:p>
        </w:tc>
        <w:tc>
          <w:tcPr>
            <w:tcW w:w="993" w:type="dxa"/>
            <w:tcBorders>
              <w:bottom w:val="single" w:sz="4" w:space="0" w:color="000000"/>
              <w:right w:val="single" w:sz="4" w:space="0" w:color="000000"/>
            </w:tcBorders>
            <w:shd w:val="clear" w:color="auto" w:fill="auto"/>
            <w:vAlign w:val="center"/>
          </w:tcPr>
          <w:p w14:paraId="7411E6A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8,22</w:t>
            </w:r>
          </w:p>
        </w:tc>
        <w:tc>
          <w:tcPr>
            <w:tcW w:w="1275" w:type="dxa"/>
            <w:tcBorders>
              <w:bottom w:val="single" w:sz="4" w:space="0" w:color="000000"/>
              <w:right w:val="single" w:sz="4" w:space="0" w:color="000000"/>
            </w:tcBorders>
          </w:tcPr>
          <w:p w14:paraId="6DCA7373"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5,93</w:t>
            </w:r>
          </w:p>
        </w:tc>
        <w:tc>
          <w:tcPr>
            <w:tcW w:w="1417" w:type="dxa"/>
            <w:tcBorders>
              <w:bottom w:val="single" w:sz="4" w:space="0" w:color="000000"/>
              <w:right w:val="single" w:sz="4" w:space="0" w:color="000000"/>
            </w:tcBorders>
          </w:tcPr>
          <w:p w14:paraId="0ABBFA71"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2,30</w:t>
            </w:r>
          </w:p>
        </w:tc>
      </w:tr>
      <w:tr w:rsidR="00EB699B" w14:paraId="7EE47FC9"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1692EB49" w14:textId="77777777" w:rsidR="00EB699B" w:rsidRDefault="00313B01">
            <w:pPr>
              <w:spacing w:after="0" w:line="240" w:lineRule="auto"/>
              <w:ind w:right="-107"/>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Прием оплаты по картам UnionPay, WeChat</w:t>
            </w:r>
          </w:p>
        </w:tc>
        <w:tc>
          <w:tcPr>
            <w:tcW w:w="1275" w:type="dxa"/>
            <w:tcBorders>
              <w:bottom w:val="single" w:sz="4" w:space="0" w:color="000000"/>
              <w:right w:val="single" w:sz="4" w:space="0" w:color="000000"/>
            </w:tcBorders>
            <w:shd w:val="clear" w:color="auto" w:fill="auto"/>
            <w:vAlign w:val="center"/>
          </w:tcPr>
          <w:p w14:paraId="1D591548"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1,15</w:t>
            </w:r>
          </w:p>
        </w:tc>
        <w:tc>
          <w:tcPr>
            <w:tcW w:w="993" w:type="dxa"/>
            <w:tcBorders>
              <w:bottom w:val="single" w:sz="4" w:space="0" w:color="000000"/>
              <w:right w:val="single" w:sz="4" w:space="0" w:color="000000"/>
            </w:tcBorders>
            <w:shd w:val="clear" w:color="auto" w:fill="auto"/>
            <w:vAlign w:val="center"/>
          </w:tcPr>
          <w:p w14:paraId="7D9222C0"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4,36</w:t>
            </w:r>
          </w:p>
        </w:tc>
        <w:tc>
          <w:tcPr>
            <w:tcW w:w="1275" w:type="dxa"/>
            <w:tcBorders>
              <w:bottom w:val="single" w:sz="4" w:space="0" w:color="000000"/>
              <w:right w:val="single" w:sz="4" w:space="0" w:color="000000"/>
            </w:tcBorders>
          </w:tcPr>
          <w:p w14:paraId="6A4C176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2,76</w:t>
            </w:r>
          </w:p>
        </w:tc>
        <w:tc>
          <w:tcPr>
            <w:tcW w:w="1417" w:type="dxa"/>
            <w:tcBorders>
              <w:bottom w:val="single" w:sz="4" w:space="0" w:color="000000"/>
              <w:right w:val="single" w:sz="4" w:space="0" w:color="000000"/>
            </w:tcBorders>
          </w:tcPr>
          <w:p w14:paraId="042AF422"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1,61</w:t>
            </w:r>
          </w:p>
        </w:tc>
      </w:tr>
      <w:tr w:rsidR="00EB699B" w14:paraId="7F93BFFF"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1F072E25"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Информация о ресторанах</w:t>
            </w:r>
          </w:p>
        </w:tc>
        <w:tc>
          <w:tcPr>
            <w:tcW w:w="1275" w:type="dxa"/>
            <w:tcBorders>
              <w:bottom w:val="single" w:sz="4" w:space="0" w:color="000000"/>
              <w:right w:val="single" w:sz="4" w:space="0" w:color="000000"/>
            </w:tcBorders>
            <w:shd w:val="clear" w:color="auto" w:fill="auto"/>
            <w:vAlign w:val="center"/>
          </w:tcPr>
          <w:p w14:paraId="7181F91C"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0,11</w:t>
            </w:r>
          </w:p>
        </w:tc>
        <w:tc>
          <w:tcPr>
            <w:tcW w:w="993" w:type="dxa"/>
            <w:tcBorders>
              <w:bottom w:val="single" w:sz="4" w:space="0" w:color="000000"/>
              <w:right w:val="single" w:sz="4" w:space="0" w:color="000000"/>
            </w:tcBorders>
            <w:shd w:val="clear" w:color="auto" w:fill="auto"/>
            <w:vAlign w:val="center"/>
          </w:tcPr>
          <w:p w14:paraId="223EA5CE"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9,18</w:t>
            </w:r>
          </w:p>
        </w:tc>
        <w:tc>
          <w:tcPr>
            <w:tcW w:w="1275" w:type="dxa"/>
            <w:tcBorders>
              <w:bottom w:val="single" w:sz="4" w:space="0" w:color="000000"/>
              <w:right w:val="single" w:sz="4" w:space="0" w:color="000000"/>
            </w:tcBorders>
          </w:tcPr>
          <w:p w14:paraId="586B826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4,64</w:t>
            </w:r>
          </w:p>
        </w:tc>
        <w:tc>
          <w:tcPr>
            <w:tcW w:w="1417" w:type="dxa"/>
            <w:tcBorders>
              <w:bottom w:val="single" w:sz="4" w:space="0" w:color="000000"/>
              <w:right w:val="single" w:sz="4" w:space="0" w:color="000000"/>
            </w:tcBorders>
          </w:tcPr>
          <w:p w14:paraId="2F76E74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4,53</w:t>
            </w:r>
          </w:p>
        </w:tc>
      </w:tr>
      <w:tr w:rsidR="00EB699B" w14:paraId="72E91429"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623989BA"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Личные рекомендации сотрудников отеля о городе</w:t>
            </w:r>
          </w:p>
        </w:tc>
        <w:tc>
          <w:tcPr>
            <w:tcW w:w="1275" w:type="dxa"/>
            <w:tcBorders>
              <w:bottom w:val="single" w:sz="4" w:space="0" w:color="000000"/>
              <w:right w:val="single" w:sz="4" w:space="0" w:color="000000"/>
            </w:tcBorders>
            <w:shd w:val="clear" w:color="auto" w:fill="auto"/>
            <w:vAlign w:val="center"/>
          </w:tcPr>
          <w:p w14:paraId="54659A95"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0,08</w:t>
            </w:r>
          </w:p>
        </w:tc>
        <w:tc>
          <w:tcPr>
            <w:tcW w:w="993" w:type="dxa"/>
            <w:tcBorders>
              <w:bottom w:val="single" w:sz="4" w:space="0" w:color="000000"/>
              <w:right w:val="single" w:sz="4" w:space="0" w:color="000000"/>
            </w:tcBorders>
            <w:shd w:val="clear" w:color="auto" w:fill="auto"/>
            <w:vAlign w:val="center"/>
          </w:tcPr>
          <w:p w14:paraId="58E82330"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7,56</w:t>
            </w:r>
          </w:p>
        </w:tc>
        <w:tc>
          <w:tcPr>
            <w:tcW w:w="1275" w:type="dxa"/>
            <w:tcBorders>
              <w:bottom w:val="single" w:sz="4" w:space="0" w:color="000000"/>
              <w:right w:val="single" w:sz="4" w:space="0" w:color="000000"/>
            </w:tcBorders>
          </w:tcPr>
          <w:p w14:paraId="5C9AD93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3,82</w:t>
            </w:r>
          </w:p>
        </w:tc>
        <w:tc>
          <w:tcPr>
            <w:tcW w:w="1417" w:type="dxa"/>
            <w:tcBorders>
              <w:bottom w:val="single" w:sz="4" w:space="0" w:color="000000"/>
              <w:right w:val="single" w:sz="4" w:space="0" w:color="000000"/>
            </w:tcBorders>
          </w:tcPr>
          <w:p w14:paraId="3B8B87E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3,74</w:t>
            </w:r>
          </w:p>
        </w:tc>
      </w:tr>
      <w:tr w:rsidR="00EB699B" w14:paraId="00D8F233"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72B75D08"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Информация о магазинах</w:t>
            </w:r>
          </w:p>
        </w:tc>
        <w:tc>
          <w:tcPr>
            <w:tcW w:w="1275" w:type="dxa"/>
            <w:tcBorders>
              <w:bottom w:val="single" w:sz="4" w:space="0" w:color="000000"/>
              <w:right w:val="single" w:sz="4" w:space="0" w:color="000000"/>
            </w:tcBorders>
            <w:shd w:val="clear" w:color="auto" w:fill="auto"/>
            <w:vAlign w:val="center"/>
          </w:tcPr>
          <w:p w14:paraId="7F78EAB9"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0,04</w:t>
            </w:r>
          </w:p>
        </w:tc>
        <w:tc>
          <w:tcPr>
            <w:tcW w:w="993" w:type="dxa"/>
            <w:tcBorders>
              <w:bottom w:val="single" w:sz="4" w:space="0" w:color="000000"/>
              <w:right w:val="single" w:sz="4" w:space="0" w:color="000000"/>
            </w:tcBorders>
            <w:shd w:val="clear" w:color="auto" w:fill="auto"/>
            <w:vAlign w:val="center"/>
          </w:tcPr>
          <w:p w14:paraId="5CD1ADEC"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4,85</w:t>
            </w:r>
          </w:p>
        </w:tc>
        <w:tc>
          <w:tcPr>
            <w:tcW w:w="1275" w:type="dxa"/>
            <w:tcBorders>
              <w:bottom w:val="single" w:sz="4" w:space="0" w:color="000000"/>
              <w:right w:val="single" w:sz="4" w:space="0" w:color="000000"/>
            </w:tcBorders>
          </w:tcPr>
          <w:p w14:paraId="730A142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2,63</w:t>
            </w:r>
          </w:p>
        </w:tc>
        <w:tc>
          <w:tcPr>
            <w:tcW w:w="1417" w:type="dxa"/>
            <w:tcBorders>
              <w:bottom w:val="single" w:sz="4" w:space="0" w:color="000000"/>
              <w:right w:val="single" w:sz="4" w:space="0" w:color="000000"/>
            </w:tcBorders>
          </w:tcPr>
          <w:p w14:paraId="64B4A2D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2,40</w:t>
            </w:r>
          </w:p>
        </w:tc>
      </w:tr>
      <w:tr w:rsidR="00EB699B" w14:paraId="602F7179" w14:textId="77777777">
        <w:trPr>
          <w:trHeight w:val="212"/>
        </w:trPr>
        <w:tc>
          <w:tcPr>
            <w:tcW w:w="4297" w:type="dxa"/>
            <w:tcBorders>
              <w:left w:val="single" w:sz="4" w:space="0" w:color="000000"/>
              <w:bottom w:val="single" w:sz="4" w:space="0" w:color="000000"/>
              <w:right w:val="single" w:sz="4" w:space="0" w:color="000000"/>
            </w:tcBorders>
            <w:shd w:val="clear" w:color="auto" w:fill="auto"/>
            <w:vAlign w:val="center"/>
          </w:tcPr>
          <w:p w14:paraId="1DD02FF3"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Информация о туристских объектах</w:t>
            </w:r>
          </w:p>
        </w:tc>
        <w:tc>
          <w:tcPr>
            <w:tcW w:w="1275" w:type="dxa"/>
            <w:tcBorders>
              <w:bottom w:val="single" w:sz="4" w:space="0" w:color="000000"/>
              <w:right w:val="single" w:sz="4" w:space="0" w:color="000000"/>
            </w:tcBorders>
            <w:shd w:val="clear" w:color="auto" w:fill="auto"/>
            <w:vAlign w:val="center"/>
          </w:tcPr>
          <w:p w14:paraId="56CC313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0,05</w:t>
            </w:r>
          </w:p>
        </w:tc>
        <w:tc>
          <w:tcPr>
            <w:tcW w:w="993" w:type="dxa"/>
            <w:tcBorders>
              <w:bottom w:val="single" w:sz="4" w:space="0" w:color="000000"/>
              <w:right w:val="single" w:sz="4" w:space="0" w:color="000000"/>
            </w:tcBorders>
            <w:shd w:val="clear" w:color="auto" w:fill="auto"/>
            <w:vAlign w:val="center"/>
          </w:tcPr>
          <w:p w14:paraId="72887882"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6,14</w:t>
            </w:r>
          </w:p>
        </w:tc>
        <w:tc>
          <w:tcPr>
            <w:tcW w:w="1275" w:type="dxa"/>
            <w:tcBorders>
              <w:bottom w:val="single" w:sz="4" w:space="0" w:color="000000"/>
              <w:right w:val="single" w:sz="4" w:space="0" w:color="000000"/>
            </w:tcBorders>
          </w:tcPr>
          <w:p w14:paraId="788408DC"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2,45</w:t>
            </w:r>
          </w:p>
        </w:tc>
        <w:tc>
          <w:tcPr>
            <w:tcW w:w="1417" w:type="dxa"/>
            <w:tcBorders>
              <w:bottom w:val="single" w:sz="4" w:space="0" w:color="000000"/>
              <w:right w:val="single" w:sz="4" w:space="0" w:color="000000"/>
            </w:tcBorders>
          </w:tcPr>
          <w:p w14:paraId="7C54E70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3,04</w:t>
            </w:r>
          </w:p>
        </w:tc>
      </w:tr>
      <w:tr w:rsidR="00EB699B" w14:paraId="197401E9" w14:textId="77777777">
        <w:trPr>
          <w:trHeight w:val="243"/>
        </w:trPr>
        <w:tc>
          <w:tcPr>
            <w:tcW w:w="4297" w:type="dxa"/>
            <w:tcBorders>
              <w:left w:val="single" w:sz="4" w:space="0" w:color="000000"/>
              <w:bottom w:val="single" w:sz="4" w:space="0" w:color="000000"/>
              <w:right w:val="single" w:sz="4" w:space="0" w:color="000000"/>
            </w:tcBorders>
            <w:shd w:val="clear" w:color="auto" w:fill="auto"/>
            <w:vAlign w:val="center"/>
          </w:tcPr>
          <w:p w14:paraId="172113E3"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Несколько блюд на завтрак, привычных туристам</w:t>
            </w:r>
          </w:p>
        </w:tc>
        <w:tc>
          <w:tcPr>
            <w:tcW w:w="1275" w:type="dxa"/>
            <w:tcBorders>
              <w:bottom w:val="single" w:sz="4" w:space="0" w:color="000000"/>
              <w:right w:val="single" w:sz="4" w:space="0" w:color="000000"/>
            </w:tcBorders>
            <w:shd w:val="clear" w:color="auto" w:fill="auto"/>
            <w:vAlign w:val="center"/>
          </w:tcPr>
          <w:p w14:paraId="6B04B8A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0,5</w:t>
            </w:r>
          </w:p>
        </w:tc>
        <w:tc>
          <w:tcPr>
            <w:tcW w:w="993" w:type="dxa"/>
            <w:tcBorders>
              <w:bottom w:val="single" w:sz="4" w:space="0" w:color="000000"/>
              <w:right w:val="single" w:sz="4" w:space="0" w:color="000000"/>
            </w:tcBorders>
            <w:shd w:val="clear" w:color="auto" w:fill="auto"/>
            <w:vAlign w:val="center"/>
          </w:tcPr>
          <w:p w14:paraId="2F2C48D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3,45</w:t>
            </w:r>
          </w:p>
        </w:tc>
        <w:tc>
          <w:tcPr>
            <w:tcW w:w="1275" w:type="dxa"/>
            <w:tcBorders>
              <w:bottom w:val="single" w:sz="4" w:space="0" w:color="000000"/>
              <w:right w:val="single" w:sz="4" w:space="0" w:color="000000"/>
            </w:tcBorders>
          </w:tcPr>
          <w:p w14:paraId="50F425A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1,98</w:t>
            </w:r>
          </w:p>
        </w:tc>
        <w:tc>
          <w:tcPr>
            <w:tcW w:w="1417" w:type="dxa"/>
            <w:tcBorders>
              <w:bottom w:val="single" w:sz="4" w:space="0" w:color="000000"/>
              <w:right w:val="single" w:sz="4" w:space="0" w:color="000000"/>
            </w:tcBorders>
          </w:tcPr>
          <w:p w14:paraId="4155F3BA"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1,48</w:t>
            </w:r>
          </w:p>
        </w:tc>
      </w:tr>
      <w:tr w:rsidR="00EB699B" w14:paraId="68AB4575" w14:textId="77777777">
        <w:trPr>
          <w:trHeight w:val="243"/>
        </w:trPr>
        <w:tc>
          <w:tcPr>
            <w:tcW w:w="4297" w:type="dxa"/>
            <w:tcBorders>
              <w:left w:val="single" w:sz="4" w:space="0" w:color="000000"/>
              <w:bottom w:val="single" w:sz="4" w:space="0" w:color="000000"/>
              <w:right w:val="single" w:sz="4" w:space="0" w:color="000000"/>
            </w:tcBorders>
            <w:shd w:val="clear" w:color="auto" w:fill="auto"/>
            <w:vAlign w:val="center"/>
          </w:tcPr>
          <w:p w14:paraId="127A0B3C"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Организация транспорта по городу</w:t>
            </w:r>
          </w:p>
        </w:tc>
        <w:tc>
          <w:tcPr>
            <w:tcW w:w="1275" w:type="dxa"/>
            <w:tcBorders>
              <w:bottom w:val="single" w:sz="4" w:space="0" w:color="000000"/>
              <w:right w:val="single" w:sz="4" w:space="0" w:color="000000"/>
            </w:tcBorders>
            <w:shd w:val="clear" w:color="auto" w:fill="auto"/>
            <w:vAlign w:val="center"/>
          </w:tcPr>
          <w:p w14:paraId="6F0DAA20"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0,01</w:t>
            </w:r>
          </w:p>
        </w:tc>
        <w:tc>
          <w:tcPr>
            <w:tcW w:w="993" w:type="dxa"/>
            <w:tcBorders>
              <w:bottom w:val="single" w:sz="4" w:space="0" w:color="000000"/>
              <w:right w:val="single" w:sz="4" w:space="0" w:color="000000"/>
            </w:tcBorders>
            <w:shd w:val="clear" w:color="auto" w:fill="auto"/>
            <w:vAlign w:val="center"/>
          </w:tcPr>
          <w:p w14:paraId="7A4489B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2,97</w:t>
            </w:r>
          </w:p>
        </w:tc>
        <w:tc>
          <w:tcPr>
            <w:tcW w:w="1275" w:type="dxa"/>
            <w:tcBorders>
              <w:bottom w:val="single" w:sz="4" w:space="0" w:color="000000"/>
              <w:right w:val="single" w:sz="4" w:space="0" w:color="000000"/>
            </w:tcBorders>
          </w:tcPr>
          <w:p w14:paraId="3263B6CD"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1,49</w:t>
            </w:r>
          </w:p>
        </w:tc>
        <w:tc>
          <w:tcPr>
            <w:tcW w:w="1417" w:type="dxa"/>
            <w:tcBorders>
              <w:bottom w:val="single" w:sz="4" w:space="0" w:color="000000"/>
              <w:right w:val="single" w:sz="4" w:space="0" w:color="000000"/>
            </w:tcBorders>
          </w:tcPr>
          <w:p w14:paraId="3668AC6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1,48</w:t>
            </w:r>
          </w:p>
        </w:tc>
      </w:tr>
      <w:tr w:rsidR="00EB699B" w14:paraId="57C033F7" w14:textId="77777777">
        <w:trPr>
          <w:trHeight w:val="243"/>
        </w:trPr>
        <w:tc>
          <w:tcPr>
            <w:tcW w:w="4297" w:type="dxa"/>
            <w:tcBorders>
              <w:left w:val="single" w:sz="4" w:space="0" w:color="000000"/>
              <w:bottom w:val="single" w:sz="4" w:space="0" w:color="000000"/>
              <w:right w:val="single" w:sz="4" w:space="0" w:color="000000"/>
            </w:tcBorders>
            <w:shd w:val="clear" w:color="auto" w:fill="auto"/>
            <w:vAlign w:val="center"/>
          </w:tcPr>
          <w:p w14:paraId="0D948960"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Сотрудник, говорящий на китайском языке</w:t>
            </w:r>
          </w:p>
        </w:tc>
        <w:tc>
          <w:tcPr>
            <w:tcW w:w="1275" w:type="dxa"/>
            <w:tcBorders>
              <w:bottom w:val="single" w:sz="4" w:space="0" w:color="000000"/>
              <w:right w:val="single" w:sz="4" w:space="0" w:color="000000"/>
            </w:tcBorders>
            <w:shd w:val="clear" w:color="auto" w:fill="auto"/>
            <w:vAlign w:val="center"/>
          </w:tcPr>
          <w:p w14:paraId="1666E29F"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0,5</w:t>
            </w:r>
          </w:p>
        </w:tc>
        <w:tc>
          <w:tcPr>
            <w:tcW w:w="993" w:type="dxa"/>
            <w:tcBorders>
              <w:bottom w:val="single" w:sz="4" w:space="0" w:color="000000"/>
              <w:right w:val="single" w:sz="4" w:space="0" w:color="000000"/>
            </w:tcBorders>
            <w:shd w:val="clear" w:color="auto" w:fill="auto"/>
            <w:vAlign w:val="center"/>
          </w:tcPr>
          <w:p w14:paraId="0410B0D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1,89</w:t>
            </w:r>
          </w:p>
        </w:tc>
        <w:tc>
          <w:tcPr>
            <w:tcW w:w="1275" w:type="dxa"/>
            <w:tcBorders>
              <w:bottom w:val="single" w:sz="4" w:space="0" w:color="000000"/>
              <w:right w:val="single" w:sz="4" w:space="0" w:color="000000"/>
            </w:tcBorders>
          </w:tcPr>
          <w:p w14:paraId="0F5C57EF"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1,20</w:t>
            </w:r>
          </w:p>
        </w:tc>
        <w:tc>
          <w:tcPr>
            <w:tcW w:w="1417" w:type="dxa"/>
            <w:tcBorders>
              <w:bottom w:val="single" w:sz="4" w:space="0" w:color="000000"/>
              <w:right w:val="single" w:sz="4" w:space="0" w:color="000000"/>
            </w:tcBorders>
          </w:tcPr>
          <w:p w14:paraId="64A63806"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0,69</w:t>
            </w:r>
          </w:p>
        </w:tc>
      </w:tr>
      <w:tr w:rsidR="00EB699B" w14:paraId="1CEE6A59" w14:textId="77777777">
        <w:trPr>
          <w:trHeight w:val="300"/>
        </w:trPr>
        <w:tc>
          <w:tcPr>
            <w:tcW w:w="4297" w:type="dxa"/>
            <w:tcBorders>
              <w:left w:val="single" w:sz="4" w:space="0" w:color="000000"/>
              <w:bottom w:val="single" w:sz="4" w:space="0" w:color="auto"/>
              <w:right w:val="single" w:sz="4" w:space="0" w:color="000000"/>
            </w:tcBorders>
            <w:shd w:val="clear" w:color="auto" w:fill="auto"/>
            <w:vAlign w:val="center"/>
          </w:tcPr>
          <w:p w14:paraId="03967941" w14:textId="77777777" w:rsidR="00EB699B" w:rsidRDefault="00313B01">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Другое</w:t>
            </w:r>
          </w:p>
        </w:tc>
        <w:tc>
          <w:tcPr>
            <w:tcW w:w="1275" w:type="dxa"/>
            <w:tcBorders>
              <w:bottom w:val="single" w:sz="4" w:space="0" w:color="auto"/>
              <w:right w:val="single" w:sz="4" w:space="0" w:color="000000"/>
            </w:tcBorders>
            <w:shd w:val="clear" w:color="auto" w:fill="auto"/>
            <w:vAlign w:val="center"/>
          </w:tcPr>
          <w:p w14:paraId="3EB6630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0,9</w:t>
            </w:r>
          </w:p>
        </w:tc>
        <w:tc>
          <w:tcPr>
            <w:tcW w:w="993" w:type="dxa"/>
            <w:tcBorders>
              <w:bottom w:val="single" w:sz="4" w:space="0" w:color="auto"/>
              <w:right w:val="single" w:sz="4" w:space="0" w:color="000000"/>
            </w:tcBorders>
            <w:shd w:val="clear" w:color="auto" w:fill="auto"/>
            <w:vAlign w:val="center"/>
          </w:tcPr>
          <w:p w14:paraId="76017754"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1,12</w:t>
            </w:r>
          </w:p>
        </w:tc>
        <w:tc>
          <w:tcPr>
            <w:tcW w:w="1275" w:type="dxa"/>
            <w:tcBorders>
              <w:bottom w:val="single" w:sz="4" w:space="0" w:color="auto"/>
              <w:right w:val="single" w:sz="4" w:space="0" w:color="000000"/>
            </w:tcBorders>
          </w:tcPr>
          <w:p w14:paraId="314BBA6B"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1,01</w:t>
            </w:r>
          </w:p>
        </w:tc>
        <w:tc>
          <w:tcPr>
            <w:tcW w:w="1417" w:type="dxa"/>
            <w:tcBorders>
              <w:bottom w:val="single" w:sz="4" w:space="0" w:color="auto"/>
              <w:right w:val="single" w:sz="4" w:space="0" w:color="000000"/>
            </w:tcBorders>
          </w:tcPr>
          <w:p w14:paraId="413B59BC" w14:textId="77777777" w:rsidR="00EB699B" w:rsidRDefault="00313B01">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0,11</w:t>
            </w:r>
          </w:p>
        </w:tc>
      </w:tr>
    </w:tbl>
    <w:p w14:paraId="0172A523" w14:textId="77777777" w:rsidR="00EB699B" w:rsidRDefault="00313B01">
      <w:pPr>
        <w:widowControl w:val="0"/>
        <w:spacing w:after="0" w:line="240" w:lineRule="auto"/>
        <w:ind w:firstLine="709"/>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Составлено автором</w:t>
      </w:r>
    </w:p>
    <w:p w14:paraId="2635EA29" w14:textId="77777777" w:rsidR="00EB699B" w:rsidRDefault="00EB699B">
      <w:pPr>
        <w:widowControl w:val="0"/>
        <w:spacing w:after="0" w:line="240" w:lineRule="auto"/>
        <w:ind w:firstLine="709"/>
        <w:jc w:val="both"/>
        <w:rPr>
          <w:rFonts w:ascii="Times New Roman" w:eastAsia="Times New Roman" w:hAnsi="Times New Roman" w:cs="Times New Roman"/>
          <w:sz w:val="24"/>
        </w:rPr>
      </w:pPr>
    </w:p>
    <w:p w14:paraId="7D64F471" w14:textId="77777777" w:rsidR="00EB699B" w:rsidRDefault="00313B01">
      <w:pPr>
        <w:widowControl w:val="0"/>
        <w:spacing w:after="0" w:line="240" w:lineRule="auto"/>
        <w:ind w:firstLine="709"/>
        <w:jc w:val="both"/>
        <w:rPr>
          <w:rFonts w:ascii="Times New Roman" w:eastAsia="Times New Roman" w:hAnsi="Times New Roman" w:cs="Times New Roman"/>
          <w:sz w:val="24"/>
        </w:rPr>
      </w:pPr>
      <w:r>
        <w:rPr>
          <w:noProof/>
          <w:lang w:eastAsia="ru-RU"/>
        </w:rPr>
        <w:drawing>
          <wp:inline distT="0" distB="0" distL="114300" distR="114300" wp14:anchorId="14DE4EFA" wp14:editId="2F8897AD">
            <wp:extent cx="5683250" cy="3175279"/>
            <wp:effectExtent l="0" t="0" r="0" b="0"/>
            <wp:docPr id="1035"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5029EAE" w14:textId="77777777" w:rsidR="00EB699B" w:rsidRDefault="00EB699B">
      <w:pPr>
        <w:widowControl w:val="0"/>
        <w:spacing w:after="0" w:line="240" w:lineRule="auto"/>
        <w:ind w:firstLine="709"/>
        <w:jc w:val="both"/>
        <w:rPr>
          <w:rFonts w:ascii="Times New Roman" w:eastAsia="Times New Roman" w:hAnsi="Times New Roman" w:cs="Times New Roman"/>
          <w:sz w:val="24"/>
        </w:rPr>
      </w:pPr>
    </w:p>
    <w:p w14:paraId="708E5299" w14:textId="77777777" w:rsidR="00EB699B" w:rsidRDefault="00313B01">
      <w:pPr>
        <w:widowControl w:val="0"/>
        <w:spacing w:after="0" w:line="240" w:lineRule="auto"/>
        <w:ind w:firstLine="709"/>
        <w:jc w:val="center"/>
        <w:rPr>
          <w:rFonts w:ascii="Times New Roman" w:eastAsia="Times New Roman" w:hAnsi="Times New Roman" w:cs="Times New Roman"/>
          <w:sz w:val="24"/>
        </w:rPr>
      </w:pPr>
      <w:r>
        <w:rPr>
          <w:rFonts w:ascii="Times New Roman" w:eastAsia="Times New Roman" w:hAnsi="Times New Roman" w:cs="Times New Roman"/>
          <w:sz w:val="24"/>
        </w:rPr>
        <w:t xml:space="preserve">Рисунок 3 – Средний показатель выбора гостиничных услуг для китайских туристов и стандартное отклонение между группами респондентов: </w:t>
      </w:r>
      <w:r>
        <w:rPr>
          <w:rFonts w:ascii="Times New Roman" w:eastAsia="Times New Roman" w:hAnsi="Times New Roman" w:cs="Times New Roman"/>
          <w:sz w:val="24"/>
        </w:rPr>
        <w:br/>
        <w:t>представители турфирм, китайские туристы</w:t>
      </w:r>
    </w:p>
    <w:p w14:paraId="1F03AC2C" w14:textId="77777777" w:rsidR="00EB699B" w:rsidRDefault="00313B01">
      <w:pPr>
        <w:widowControl w:val="0"/>
        <w:spacing w:after="0" w:line="240" w:lineRule="auto"/>
        <w:ind w:firstLine="709"/>
        <w:rPr>
          <w:rFonts w:ascii="Times New Roman" w:eastAsia="Times New Roman" w:hAnsi="Times New Roman" w:cs="Times New Roman"/>
          <w:sz w:val="24"/>
        </w:rPr>
      </w:pPr>
      <w:r>
        <w:rPr>
          <w:rFonts w:ascii="Times New Roman" w:eastAsia="Times New Roman" w:hAnsi="Times New Roman" w:cs="Times New Roman"/>
          <w:sz w:val="24"/>
        </w:rPr>
        <w:t>Составлено автором</w:t>
      </w:r>
    </w:p>
    <w:p w14:paraId="6AF0DFBC" w14:textId="77777777" w:rsidR="00EB699B" w:rsidRDefault="00313B01">
      <w:pPr>
        <w:widowControl w:val="0"/>
        <w:spacing w:after="0" w:line="240" w:lineRule="auto"/>
        <w:ind w:firstLine="709"/>
        <w:jc w:val="both"/>
        <w:rPr>
          <w:rFonts w:ascii="Times New Roman" w:hAnsi="Times New Roman" w:cs="Times New Roman"/>
          <w:sz w:val="24"/>
        </w:rPr>
      </w:pPr>
      <w:r>
        <w:rPr>
          <w:rFonts w:ascii="Times New Roman" w:eastAsia="Times New Roman" w:hAnsi="Times New Roman" w:cs="Times New Roman"/>
          <w:sz w:val="24"/>
        </w:rPr>
        <w:t>Согласно данным исследования к наиболее важным факторам обслуживания китайских туристов относятся (ТОП 5):</w:t>
      </w:r>
      <w:r>
        <w:t xml:space="preserve"> </w:t>
      </w:r>
      <w:r>
        <w:rPr>
          <w:rFonts w:ascii="Times New Roman" w:eastAsia="Times New Roman" w:hAnsi="Times New Roman" w:cs="Times New Roman"/>
          <w:sz w:val="24"/>
        </w:rPr>
        <w:t xml:space="preserve">предоставление кипятка для чая, размещение в номерах TWIN, выделение мест для курения, предоставление розетки по стандартам КНР и информационной папки на китайском языке. Важными для турфирм факторами являются </w:t>
      </w:r>
      <w:r>
        <w:rPr>
          <w:rFonts w:ascii="Times New Roman" w:hAnsi="Times New Roman" w:cs="Times New Roman"/>
          <w:sz w:val="24"/>
        </w:rPr>
        <w:lastRenderedPageBreak/>
        <w:t xml:space="preserve">быстрое оформление постановки на миграционный учет, предоставление дополнительного места для детей, организация места для сбора группы в холле гостиницы, предоставление сейфа в номере.  В свою очередь для туристов наиболее важными показателями является разнообразная информация на китайском языке, что подтверждает основные требования программы </w:t>
      </w:r>
      <w:bookmarkStart w:id="20" w:name="_Hlk212411442"/>
      <w:r>
        <w:rPr>
          <w:rFonts w:ascii="Times New Roman" w:hAnsi="Times New Roman" w:cs="Times New Roman"/>
          <w:sz w:val="24"/>
        </w:rPr>
        <w:t>China Friendly</w:t>
      </w:r>
      <w:bookmarkEnd w:id="20"/>
      <w:r>
        <w:rPr>
          <w:rFonts w:ascii="Times New Roman" w:hAnsi="Times New Roman" w:cs="Times New Roman"/>
          <w:sz w:val="24"/>
        </w:rPr>
        <w:t xml:space="preserve">. </w:t>
      </w:r>
    </w:p>
    <w:p w14:paraId="35C421A3" w14:textId="77777777" w:rsidR="00EB699B" w:rsidRDefault="00313B01">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Наиболее высокие данные стандартного отклонения при ответе представителей турфирм и китайских гостей наблюдаются по элементам услуг: размещение в номерах TWIN (7,72), организация мест для курения (4,73), информация о ресторанах (4,53), рекомендации сотрудников отеля по посещению города (3,74), информационная папка на китайском языке (3,59). Полученные в ходе опроса показатели означают, что представленным элементам услуг наблюдаются максимальные расхождения в понимании их важности со стороны представителей турфирм и туристов. К примеру, информация о ресторанах для туристов имеет весьма высокое значение, в то время как сотрудники туркомпаний считают для туриста это не так важно. </w:t>
      </w:r>
    </w:p>
    <w:p w14:paraId="404B4B3F" w14:textId="77777777" w:rsidR="00EB699B" w:rsidRDefault="00313B01">
      <w:pPr>
        <w:spacing w:after="0" w:line="24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Полученные в ходе опроса результаты в качестве актуализации и дополнения к имеющимся требованиям, необходимо включить в систему China Friendly либо отражать в системе внутренних стандартов гостиничного предприятия при обслуживании туристов из КНР. На наш взгляд, особого внимания для стандартизации заслуживают требования по внедрению в гостиницах номеров TWIN, выделению мест для курения, возможности организации караоке (по усмотрению гостиницы, но это повышает ее востребованность среди китайских туристов), предоставлению устной информации от персонала ресепшн, в том числе информации о ресторанах и магазинах и объектах туристского показа. </w:t>
      </w:r>
    </w:p>
    <w:p w14:paraId="23929258" w14:textId="77777777" w:rsidR="00EB699B" w:rsidRDefault="00313B01">
      <w:pPr>
        <w:spacing w:after="0" w:line="240" w:lineRule="auto"/>
        <w:ind w:firstLine="708"/>
        <w:jc w:val="both"/>
        <w:rPr>
          <w:rFonts w:ascii="Times New Roman" w:eastAsia="Times New Roman" w:hAnsi="Times New Roman" w:cs="Times New Roman"/>
          <w:b/>
          <w:bCs/>
          <w:sz w:val="24"/>
        </w:rPr>
      </w:pPr>
      <w:r>
        <w:rPr>
          <w:rFonts w:ascii="Times New Roman" w:eastAsia="Times New Roman" w:hAnsi="Times New Roman" w:cs="Times New Roman"/>
          <w:b/>
          <w:bCs/>
          <w:sz w:val="24"/>
        </w:rPr>
        <w:t>Заключение.</w:t>
      </w:r>
    </w:p>
    <w:p w14:paraId="4905075F" w14:textId="77777777" w:rsidR="00EB699B" w:rsidRDefault="00313B01">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В ходе исследования была проведена актуализация стандартов гостиничного обслуживания туристов из КНР. Выбор в качестве объекта исследования стандартов гостиничного обслуживания при приеме китайских туристов обусловлен устойчивыми тенденциями роста туристского потока из КНР в Российскую Федерацию, относительно высокой  долей рынка в общей структуре въездного туризма и высокими показателями выбора китайскими туристами для посещения приграничных территорий, в том числе ДФО и Приморского края. </w:t>
      </w:r>
    </w:p>
    <w:p w14:paraId="60F89356" w14:textId="77777777" w:rsidR="00EB699B" w:rsidRDefault="00313B01">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Автором проведен анализ систем стандартизации обслуживания в гостиничных предприятиях иностранных туристов в различных странах, который показал подходы в этой области как с позиции применения единой или смешанной системы классификации гостиниц, так и предложения иностранным туристам различных типов гостиниц, использования широкого спектра технологий обслуживания. </w:t>
      </w:r>
    </w:p>
    <w:p w14:paraId="3B39438D" w14:textId="59901BBD" w:rsidR="00EB699B" w:rsidRDefault="00313B01">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Общий анализ стандартов обслуживания иностранных туристов по программам «Friendly» проведен на примере туристов из Индии, Японии, Ближнего Востока.  Систематизированы и </w:t>
      </w:r>
      <w:r w:rsidR="00154740">
        <w:rPr>
          <w:rFonts w:ascii="Times New Roman" w:hAnsi="Times New Roman" w:cs="Times New Roman"/>
          <w:sz w:val="24"/>
          <w:szCs w:val="24"/>
        </w:rPr>
        <w:t>детализированы</w:t>
      </w:r>
      <w:r>
        <w:rPr>
          <w:rFonts w:ascii="Times New Roman" w:hAnsi="Times New Roman" w:cs="Times New Roman"/>
          <w:sz w:val="24"/>
          <w:szCs w:val="24"/>
        </w:rPr>
        <w:t xml:space="preserve"> требовани</w:t>
      </w:r>
      <w:r w:rsidR="00154740">
        <w:rPr>
          <w:rFonts w:ascii="Times New Roman" w:hAnsi="Times New Roman" w:cs="Times New Roman"/>
          <w:sz w:val="24"/>
          <w:szCs w:val="24"/>
        </w:rPr>
        <w:t>я</w:t>
      </w:r>
      <w:r>
        <w:rPr>
          <w:rFonts w:ascii="Times New Roman" w:hAnsi="Times New Roman" w:cs="Times New Roman"/>
          <w:sz w:val="24"/>
          <w:szCs w:val="24"/>
        </w:rPr>
        <w:t xml:space="preserve"> к гостиничным предприятиям при обслуживании китайских туристов по программе China Friendly. В ходе исследования выявлены основные принципы обслуживания: языковое сопровождение, информативность, питание в соответствии с национальными предпочтениями, активное использование цифровых технологий, в том числе удобных для туристов систем оплаты и др. </w:t>
      </w:r>
    </w:p>
    <w:p w14:paraId="1EE154FC" w14:textId="77777777" w:rsidR="00EB699B" w:rsidRDefault="00313B01">
      <w:pPr>
        <w:spacing w:after="0" w:line="240" w:lineRule="auto"/>
        <w:ind w:firstLine="426"/>
        <w:jc w:val="both"/>
        <w:rPr>
          <w:rFonts w:ascii="Times New Roman" w:hAnsi="Times New Roman" w:cs="Times New Roman"/>
          <w:color w:val="000000"/>
          <w:sz w:val="24"/>
          <w:szCs w:val="24"/>
        </w:rPr>
      </w:pPr>
      <w:r>
        <w:rPr>
          <w:rFonts w:ascii="Times New Roman" w:hAnsi="Times New Roman" w:cs="Times New Roman"/>
          <w:color w:val="000000"/>
          <w:sz w:val="24"/>
          <w:szCs w:val="24"/>
        </w:rPr>
        <w:t>Научная новизна исследования заключается в разработанном авторском подходе к формированию внутренних стандартов и процедур в гостиничном предприятии. Рекомендуется при внедрении стандартов распределить их на группы используемых ресурсов и ввести показатели для оценки результативности использования стандартов на основе выявления отклонений и анализа соответствия принятым стандартам.</w:t>
      </w:r>
    </w:p>
    <w:p w14:paraId="45861C71" w14:textId="1009D16D" w:rsidR="00EB699B" w:rsidRDefault="00313B01">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Практическая значимость заключается в актуализации применения стандартов программы </w:t>
      </w:r>
      <w:proofErr w:type="spellStart"/>
      <w:r>
        <w:rPr>
          <w:rFonts w:ascii="Times New Roman" w:hAnsi="Times New Roman" w:cs="Times New Roman"/>
          <w:sz w:val="24"/>
          <w:szCs w:val="24"/>
        </w:rPr>
        <w:t>China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Friendly</w:t>
      </w:r>
      <w:proofErr w:type="spellEnd"/>
      <w:r>
        <w:rPr>
          <w:rFonts w:ascii="Times New Roman" w:hAnsi="Times New Roman" w:cs="Times New Roman"/>
          <w:sz w:val="24"/>
          <w:szCs w:val="24"/>
        </w:rPr>
        <w:t xml:space="preserve"> </w:t>
      </w:r>
      <w:r w:rsidR="00154740">
        <w:rPr>
          <w:rFonts w:ascii="Times New Roman" w:hAnsi="Times New Roman" w:cs="Times New Roman"/>
          <w:sz w:val="24"/>
          <w:szCs w:val="24"/>
        </w:rPr>
        <w:t xml:space="preserve">и подтверждается результатами </w:t>
      </w:r>
      <w:r>
        <w:rPr>
          <w:rFonts w:ascii="Times New Roman" w:hAnsi="Times New Roman" w:cs="Times New Roman"/>
          <w:sz w:val="24"/>
          <w:szCs w:val="24"/>
        </w:rPr>
        <w:t xml:space="preserve">опроса представителей туристских компаний и китайских туристов, размещенных в гостиницах города Владивостока. В рекомендациях подчеркивается внесение выявленных в ходе опроса </w:t>
      </w:r>
      <w:r>
        <w:rPr>
          <w:rFonts w:ascii="Times New Roman" w:hAnsi="Times New Roman" w:cs="Times New Roman"/>
          <w:sz w:val="24"/>
          <w:szCs w:val="24"/>
        </w:rPr>
        <w:lastRenderedPageBreak/>
        <w:t xml:space="preserve">требований в стандарты обслуживания гостиниц, расположенных в приграничных территориях РФ, специализирующихся на приеме китайских туристов из КНР. </w:t>
      </w:r>
    </w:p>
    <w:p w14:paraId="44FDED2C" w14:textId="77777777" w:rsidR="00EB699B" w:rsidRDefault="00313B01">
      <w:pPr>
        <w:spacing w:after="0" w:line="240" w:lineRule="auto"/>
        <w:ind w:firstLine="426"/>
        <w:jc w:val="both"/>
        <w:rPr>
          <w:rFonts w:ascii="Times New Roman" w:hAnsi="Times New Roman" w:cs="Times New Roman"/>
          <w:b/>
          <w:bCs/>
          <w:sz w:val="24"/>
          <w:szCs w:val="24"/>
        </w:rPr>
      </w:pPr>
      <w:r>
        <w:rPr>
          <w:rFonts w:ascii="Times New Roman" w:hAnsi="Times New Roman" w:cs="Times New Roman"/>
          <w:b/>
          <w:bCs/>
          <w:sz w:val="24"/>
          <w:szCs w:val="24"/>
        </w:rPr>
        <w:t>Список источников</w:t>
      </w:r>
    </w:p>
    <w:p w14:paraId="5C808DD2" w14:textId="77777777" w:rsidR="00EB699B" w:rsidRDefault="00313B01">
      <w:pPr>
        <w:spacing w:after="0" w:line="240" w:lineRule="auto"/>
        <w:ind w:firstLine="425"/>
        <w:jc w:val="both"/>
        <w:rPr>
          <w:rFonts w:ascii="Times New Roman" w:hAnsi="Times New Roman" w:cs="Times New Roman"/>
          <w:sz w:val="24"/>
          <w:szCs w:val="24"/>
        </w:rPr>
      </w:pPr>
      <w:r>
        <w:rPr>
          <w:rFonts w:ascii="Times New Roman" w:hAnsi="Times New Roman" w:cs="Times New Roman"/>
          <w:sz w:val="24"/>
          <w:szCs w:val="24"/>
        </w:rPr>
        <w:t>1 Туризм в России: итоги 2024 года // Министерство экономического развития Российской Федерации. – URL: // http://www.turizm_v_rossii_itogi_2024_goda.pdf (дата обращения: 12.09.2025).</w:t>
      </w:r>
    </w:p>
    <w:p w14:paraId="4ACD8D27" w14:textId="77777777" w:rsidR="00EB699B" w:rsidRDefault="00313B01">
      <w:pPr>
        <w:spacing w:after="0" w:line="240" w:lineRule="auto"/>
        <w:ind w:firstLine="425"/>
        <w:jc w:val="both"/>
        <w:rPr>
          <w:rFonts w:ascii="Times New Roman" w:hAnsi="Times New Roman" w:cs="Times New Roman"/>
          <w:sz w:val="24"/>
          <w:szCs w:val="24"/>
        </w:rPr>
      </w:pPr>
      <w:r>
        <w:rPr>
          <w:rFonts w:ascii="Times New Roman" w:hAnsi="Times New Roman" w:cs="Times New Roman"/>
          <w:sz w:val="24"/>
          <w:szCs w:val="24"/>
        </w:rPr>
        <w:t xml:space="preserve">2 Скабеева Л.А. Аспекты разработки стандартов операционных процедур гостиничного предприятия // Сервис +. </w:t>
      </w:r>
      <w:bookmarkStart w:id="21" w:name="_Hlk214205846"/>
      <w:r>
        <w:rPr>
          <w:rFonts w:ascii="Times New Roman" w:hAnsi="Times New Roman" w:cs="Times New Roman"/>
          <w:sz w:val="24"/>
          <w:szCs w:val="24"/>
        </w:rPr>
        <w:t>–</w:t>
      </w:r>
      <w:bookmarkEnd w:id="21"/>
      <w:r>
        <w:rPr>
          <w:rFonts w:ascii="Times New Roman" w:hAnsi="Times New Roman" w:cs="Times New Roman"/>
          <w:sz w:val="24"/>
          <w:szCs w:val="24"/>
        </w:rPr>
        <w:t xml:space="preserve"> 2020. – №2. – URL: https://cyberleninka.ru/article/n/aspekty-razrabotki-standartov-operatsionnyh-protsedur-gostinichnogo-predpriyatiya (дата обращения: 16.11.2025).</w:t>
      </w:r>
    </w:p>
    <w:p w14:paraId="4AACDF2B"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Макарова А. С., Конашина Д. А. Формирование комплекса стандартов гостиничного предприятия в современных условиях // Вестник ассоциации вузов туризма и сервиса. –2020. – №2-2. – URL: https://cyberleninka.ru/article/n/formirovani e-kompleksa-standartov-gostinichnogo-predpriyatiya-v-sovremennyh-usloviyah (дата обращения: 16.11.2025).</w:t>
      </w:r>
    </w:p>
    <w:p w14:paraId="64FA51D4"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Арифуллин М.В. Современные технологии управления качеством гостиничных услуг: теоретические и практические аспекты / Инновационные технологии управления и стратегии территориального развития туризма и сферы гостеприимства. Материалы IV межд. научно-практ. конф. – Москва, 2021. – С. 51-62. – URL: https://elibrary.ru/keyword_items.asp?id=5142911 (дата обращения: 16.11.2025).</w:t>
      </w:r>
    </w:p>
    <w:p w14:paraId="722230B7"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 xml:space="preserve">Щербакова О.Е. Классификация гостиниц в Японии / О.Е. Щербакова // Вестник ассоциации вузов туризма и сервиса. – 2022. – Т.16. №1. </w:t>
      </w:r>
      <w:bookmarkStart w:id="22" w:name="_Hlk214205802"/>
      <w:r>
        <w:rPr>
          <w:rFonts w:ascii="Times New Roman" w:hAnsi="Times New Roman" w:cs="Times New Roman"/>
          <w:sz w:val="24"/>
          <w:szCs w:val="24"/>
        </w:rPr>
        <w:t>–</w:t>
      </w:r>
      <w:bookmarkEnd w:id="22"/>
      <w:r>
        <w:rPr>
          <w:rFonts w:ascii="Times New Roman" w:hAnsi="Times New Roman" w:cs="Times New Roman"/>
          <w:sz w:val="24"/>
          <w:szCs w:val="24"/>
        </w:rPr>
        <w:t xml:space="preserve"> С. 145-157.</w:t>
      </w:r>
    </w:p>
    <w:p w14:paraId="24B3E29B"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Шепеленко О.Н. Особенности гостиничного сервиса в некоторых странах // Евразиятревел. – URL: https://www.eurasiatravel.kz/for-tourists/features-of-hotel-service-in-some-countries.html (дата обращения: 25.05.2025).</w:t>
      </w:r>
    </w:p>
    <w:p w14:paraId="24090D2E"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 xml:space="preserve"> Осипова М. Нихао, или тонкости приёма зарубежных гостей в российских отелях: Текст электронный // ЯндексПутешествия. – URL: https://travel.yandex.ru/pro/nihao-ili-tonkosti-priyoma-zarubezhnyh-gostey-v-rossiyskih-otelyah/ (дата обращения: 25.05.2025).</w:t>
      </w:r>
    </w:p>
    <w:p w14:paraId="0A4B7262"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Никольская Е.Ю. Современные технологии управления в индустрии гостеприимства // Современные технологии управления – 2014: сборник материалов международной научной конференции. Россия. Москва, 14-15 июля 2014 г. / А.Я. Кибанова. – Киров: МЦНИП, 2014. – 2153 с.</w:t>
      </w:r>
    </w:p>
    <w:p w14:paraId="0B6FD6D2"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Николенко П.Г. Организация гостиничного дела / П.Г. Николенко, Е.А. Шамин, Ю.С. Клюева. – Москва: Издательство Юрайт, 2025. – 531 с.</w:t>
      </w:r>
    </w:p>
    <w:p w14:paraId="5C90F920"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Гомилевская Г.А. Продуктовый стандарт в гостиничных сетях в системе франчайзинга / Г.А. Гомилевская, Д.Г. Машинина // Вестник ВГУЭС. – 2022. - №1. – С.80-92. URL: https://portfolio.vvsu.ru/publications/articles/details/tid/3560/material/2149394953 (дата обращения: 12.04.2025).</w:t>
      </w:r>
    </w:p>
    <w:p w14:paraId="40B21B5D"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 xml:space="preserve">Об утверждении Правил предоставления гостиничных услуг в Российской Федерации. Постановление правительства РФ от 18.11.2020 г. №1853 (ред. 27.12.2024) // СПС «КонсультантПлюс». </w:t>
      </w:r>
      <w:bookmarkStart w:id="23" w:name="_Hlk214206071"/>
      <w:r>
        <w:rPr>
          <w:rFonts w:ascii="Times New Roman" w:hAnsi="Times New Roman" w:cs="Times New Roman"/>
          <w:sz w:val="24"/>
          <w:szCs w:val="24"/>
        </w:rPr>
        <w:t xml:space="preserve">– URL: </w:t>
      </w:r>
      <w:bookmarkEnd w:id="23"/>
      <w:r>
        <w:rPr>
          <w:rFonts w:ascii="Times New Roman" w:hAnsi="Times New Roman" w:cs="Times New Roman"/>
          <w:sz w:val="24"/>
          <w:szCs w:val="24"/>
        </w:rPr>
        <w:t>https://www.consultant.ru/document/cons_doc_LAW_368292/ (дата обращения: 12.04.2025).</w:t>
      </w:r>
    </w:p>
    <w:p w14:paraId="0BD0975B"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 xml:space="preserve">Об утверждении Положения о классификации гостиниц. Постановление Правительства РФ от 18 ноября 2020 г. № 1860 / ГАРАНТ.РУ. </w:t>
      </w:r>
      <w:bookmarkStart w:id="24" w:name="_Hlk214206127"/>
      <w:r>
        <w:rPr>
          <w:rFonts w:ascii="Times New Roman" w:hAnsi="Times New Roman" w:cs="Times New Roman"/>
          <w:sz w:val="24"/>
          <w:szCs w:val="24"/>
        </w:rPr>
        <w:t>–</w:t>
      </w:r>
      <w:bookmarkEnd w:id="24"/>
      <w:r>
        <w:rPr>
          <w:rFonts w:ascii="Times New Roman" w:hAnsi="Times New Roman" w:cs="Times New Roman"/>
          <w:sz w:val="24"/>
          <w:szCs w:val="24"/>
        </w:rPr>
        <w:t xml:space="preserve"> URL: https://www.garant.ru/products/ipo/prime/doc/74857806/ (дата обращения: 17.09.2025).</w:t>
      </w:r>
    </w:p>
    <w:p w14:paraId="5C4B25FE"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Хатикова З. В. Внутренние стандарты обслуживания в индустрии гостеприимства // Учёные записки (АГАКИ). – 2017. – №3 (13). – URL: https://cyberleninka.ru/article/n/vnutrennie-standarty-obsluzhivaniya-v-industrii-gostepriimstva (дата обращения: 16.11.2025).</w:t>
      </w:r>
    </w:p>
    <w:p w14:paraId="49FD7A5B"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Официальный сайт программы «China Friendly»: [сайт]. – URL: https://chinafriendly.ru/ (дата обращения: 15.05.2025).</w:t>
      </w:r>
    </w:p>
    <w:p w14:paraId="1C4BE348"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lastRenderedPageBreak/>
        <w:t>Роскачество выдало первый сертификат Indian friendly одной из гостиниц в Москве: [сайт]. – URL: https://mag.russpass.ru/business/rubric/novosti-1/roskachestvo-vydalo-pervyj-sertifikat-india-friendly-odnoj-iz-gostinic-v-moskve (дата обращения: 15.08.2025).</w:t>
      </w:r>
    </w:p>
    <w:p w14:paraId="265AFC0D" w14:textId="77777777" w:rsidR="00EB699B" w:rsidRDefault="00313B01">
      <w:pPr>
        <w:pStyle w:val="a6"/>
        <w:numPr>
          <w:ilvl w:val="0"/>
          <w:numId w:val="12"/>
        </w:numPr>
        <w:spacing w:after="0" w:line="240" w:lineRule="auto"/>
        <w:ind w:left="0" w:firstLine="425"/>
        <w:jc w:val="both"/>
        <w:rPr>
          <w:rFonts w:ascii="Times New Roman" w:hAnsi="Times New Roman" w:cs="Times New Roman"/>
          <w:sz w:val="24"/>
          <w:szCs w:val="24"/>
        </w:rPr>
      </w:pPr>
      <w:r>
        <w:rPr>
          <w:rFonts w:ascii="Times New Roman" w:hAnsi="Times New Roman" w:cs="Times New Roman"/>
          <w:sz w:val="24"/>
          <w:szCs w:val="24"/>
        </w:rPr>
        <w:t>В России начнется сертификация гостиничных и туристических услуг по стандарту Muslim Friendly: [сайт]. – URL: https://roskachestvo.gov.ru/news/v-rossii-nachnetsya-sertifikatsiya-gostinichnykh-i-turisticheskikh-uslug-po-standartu-muslim-friendl/ (дата обращения: 15.08.2025).</w:t>
      </w:r>
    </w:p>
    <w:p w14:paraId="0B844FB9" w14:textId="77777777" w:rsidR="00EB699B" w:rsidRDefault="00313B01">
      <w:pPr>
        <w:spacing w:after="0" w:line="240" w:lineRule="auto"/>
        <w:ind w:firstLine="426"/>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References</w:t>
      </w:r>
    </w:p>
    <w:p w14:paraId="6DF32D3E"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 Tourism in Russia: Results of 2024 // Ministry of Economic Development of the Russian Federation. – URL: // http://www.turizm_v_rossii_itogi_2024_goda.pdf (accessed: 12.09.2025).</w:t>
      </w:r>
    </w:p>
    <w:p w14:paraId="251B96D7"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2 Skabeeva L.A. Aspects of Developing Standards for Hotel Operational Procedures // Service +. – 2020. – No. 2. – URL: https://cyberleninka.ru/article/n/aspekty-razrabotki-standartov-operatsionnyh-protsedur-gostinichnogo-predpriyatiya (accessed: 16.11.2025).</w:t>
      </w:r>
    </w:p>
    <w:p w14:paraId="2E767E90"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3 Makarova A. S., Konashina D. A. Formation of a Complex of Standards for a Hotel Enterprise in Modern Conditions // Bulletin of the Association of Universities of Tourism and Service. –2020. – №2-2. – URL: https://cyberleninka.ru/article/n/formirovani e-kompleksa-standartov-gostinichnogo-predpriyatiya-v-sovremennyh-usloviyah (date of access: 16.11.2025).</w:t>
      </w:r>
    </w:p>
    <w:p w14:paraId="12E22698"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4 Arifullin M.V. Modern Technologies of Quality Management in the Hotel Industry: Theoretical and Practical Aspects / Innovative Technologies of Management and Strategies for the Territorial Development of Tourism and Hospitality. Proceedings of the IV International Scientific and Practical Conference– Moscow, 2021, pp. 51-62. URL: https://elibrary.ru/keyword_items.asp?id=5142911 (date of access: 11/16/2025).</w:t>
      </w:r>
    </w:p>
    <w:p w14:paraId="08EF4540"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5 Shcherbakova O.E. Classification of hotels in Japan / O.E. Shcherbakova // Bulletin of the Association of Universities of Tourism and Service. – 2022. – Vol. 16. No. 1. – Pp. 145-157.</w:t>
      </w:r>
    </w:p>
    <w:p w14:paraId="5E406C49"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6 Shepelenko O.N. Features of Hotel Service in Some Countries // Eurasiatravel. – URL: https://www.eurasiatravel.kz/for-tourists/features-of-hotel-service-in-some-countries.html (accessed: 25.05.2025).</w:t>
      </w:r>
    </w:p>
    <w:p w14:paraId="688703A9"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7 Osipova M. Niharao, or the Subtleties of Receiving Foreign Guests in Russian Hotels: Electronic Text // YandexTravel. – URL: https://travel.yandex.ru/pro/nihao-ili-tonkosti-priyoma-zarubezhnyh-gostey-v-rossiyskih-otelyah/ (accessed: 25.05.2025).</w:t>
      </w:r>
    </w:p>
    <w:p w14:paraId="1EA44DC0"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8 Nikolskaya E.Yu. Modern Management Technologies in the Hospitality Industry // Modern Management Technologies – 2014: Collection of Materials of the International Scientific Conference. Russia. Moscow, July 14-15, 2014 / A.Ya. Kibanova. – Kirov: MCNIP, 2014. – 2153 p.</w:t>
      </w:r>
    </w:p>
    <w:p w14:paraId="2047930C"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9 Nikolenko, P.G. Organization of Hotel Business / P.G. Nikolenko, E.A. Shamin, Yu.S. Klyueva. – Moscow: Yurayt Publishing House, 2025. – 531 p.</w:t>
      </w:r>
    </w:p>
    <w:p w14:paraId="74E0F418"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10 Gomilevskaya, G.A. Product Standard in Hotel Chains in the Franchise System / G.A. Gomilevskaya, D.G. Mashinina // Vestnik VGUES. – 2022. - No. 1. – Pp. 80-92. URL: https://portfolio.vvsu.ru/publications/articles/details/tid/3560/material/2149394953 (accessed: 12.04.2025).</w:t>
      </w:r>
    </w:p>
    <w:p w14:paraId="75013A85"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11 On Approval of the Rules for Providing Hotel Services in the Russian Federation. Decree of the Government of the Russian Federation No. 1853 dated November 18, 2020 (as amended on December 27, 2024) // SPS ConsultantPlus. – URL: https://www.consultant.ru/document/cons_doc_LAW_368292/ (accessed on April 12, 2025).</w:t>
      </w:r>
    </w:p>
    <w:p w14:paraId="4B2EFF9F"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12 On Approval of the Regulations on Hotel Classification. Decree of the Government of the Russian Federation No. 1860 dated November 18, 2020 / GARANT.RU. – URL: https://www.garant.ru/products/ipo/prime/doc/74857806/ (accessed on September 17, 2025).</w:t>
      </w:r>
    </w:p>
    <w:p w14:paraId="6511419D"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13 Khatikova Z. V. Internal Service Standards in the Hospitality Industry // Scientific Notes (AGAKI). – 2017. – No. 3 (13). – URL: https://cyberleninka.ru/article/n/vnutrennie-standarty-obsluzhivaniya-v-industrii-gostepriimstva (accessed: 16.11.2025).</w:t>
      </w:r>
    </w:p>
    <w:p w14:paraId="620F0F7B"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14 Official website of the China Friendly program: [website]. – URL: https://chinafriendly.ru/ (accessed on 15.05.2025).</w:t>
      </w:r>
    </w:p>
    <w:p w14:paraId="76D1CDA7"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15 Roskachestvo issued the first Indian friendly certificate to a hotel in Moscow: [website]. – URL: https://mag.russpass.ru/business/rubric/novosti-1/roskachestvo-vydalo-pervyj-sertifikat-india-friendly-odnoj-iz-gostinic-v-moskve (accessed on 15.08.2025).</w:t>
      </w:r>
    </w:p>
    <w:p w14:paraId="69CB760D" w14:textId="77777777" w:rsidR="00EB699B" w:rsidRDefault="00313B01">
      <w:pPr>
        <w:spacing w:after="0" w:line="240" w:lineRule="auto"/>
        <w:ind w:firstLine="426"/>
        <w:jc w:val="both"/>
        <w:rPr>
          <w:rFonts w:ascii="Times New Roman" w:hAnsi="Times New Roman" w:cs="Times New Roman"/>
          <w:sz w:val="24"/>
          <w:szCs w:val="24"/>
          <w:lang w:val="en-US"/>
        </w:rPr>
      </w:pPr>
      <w:r>
        <w:rPr>
          <w:rFonts w:ascii="Times New Roman" w:hAnsi="Times New Roman" w:cs="Times New Roman"/>
          <w:sz w:val="24"/>
          <w:szCs w:val="24"/>
          <w:lang w:val="en-US"/>
        </w:rPr>
        <w:t>16 Russia will begin certifying hotel and tourism services according to the Muslim Friendly standard: [website]. – URL: https://roskachestvo.gov.ru/news/v-rossii-nachnetsya-sertifikatsiya-gostinichnykh-i-turisticheskikh-uslug-po-standartu-muslim-friendl/ (accessed on 15.08.2025).</w:t>
      </w:r>
    </w:p>
    <w:sectPr w:rsidR="00EB69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DengXian">
    <w:altName w:val="等线"/>
    <w:panose1 w:val="00000000000000000000"/>
    <w:charset w:val="86"/>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6C2C5CC0"/>
    <w:lvl w:ilvl="0">
      <w:start w:val="4"/>
      <w:numFmt w:val="bullet"/>
      <w:suff w:val="space"/>
      <w:lvlText w:val="–"/>
      <w:lvlJc w:val="left"/>
      <w:pPr>
        <w:tabs>
          <w:tab w:val="left" w:pos="0"/>
        </w:tabs>
        <w:ind w:left="0" w:firstLine="709"/>
      </w:pPr>
      <w:rPr>
        <w:rFonts w:ascii="Times New Roman" w:hAnsi="Times New Roman" w:cs="Times New Roman"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1" w15:restartNumberingAfterBreak="0">
    <w:nsid w:val="00000002"/>
    <w:multiLevelType w:val="hybridMultilevel"/>
    <w:tmpl w:val="EE62AA30"/>
    <w:lvl w:ilvl="0" w:tplc="8E340B14">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0000003"/>
    <w:multiLevelType w:val="multilevel"/>
    <w:tmpl w:val="C9380C7A"/>
    <w:lvl w:ilvl="0">
      <w:start w:val="1"/>
      <w:numFmt w:val="bullet"/>
      <w:suff w:val="space"/>
      <w:lvlText w:val=""/>
      <w:lvlJc w:val="left"/>
      <w:pPr>
        <w:tabs>
          <w:tab w:val="left" w:pos="1"/>
        </w:tabs>
        <w:ind w:left="1" w:firstLine="709"/>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3" w15:restartNumberingAfterBreak="0">
    <w:nsid w:val="00000004"/>
    <w:multiLevelType w:val="multilevel"/>
    <w:tmpl w:val="00C0015C"/>
    <w:lvl w:ilvl="0">
      <w:start w:val="1"/>
      <w:numFmt w:val="bullet"/>
      <w:suff w:val="space"/>
      <w:lvlText w:val=""/>
      <w:lvlJc w:val="left"/>
      <w:pPr>
        <w:tabs>
          <w:tab w:val="left" w:pos="0"/>
        </w:tabs>
        <w:ind w:left="0" w:firstLine="709"/>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4" w15:restartNumberingAfterBreak="0">
    <w:nsid w:val="00000005"/>
    <w:multiLevelType w:val="hybridMultilevel"/>
    <w:tmpl w:val="488C82BC"/>
    <w:lvl w:ilvl="0" w:tplc="7F88FEA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05D2A800"/>
    <w:lvl w:ilvl="0" w:tplc="D6843BFE">
      <w:start w:val="6"/>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0000007"/>
    <w:multiLevelType w:val="multilevel"/>
    <w:tmpl w:val="A37673DA"/>
    <w:lvl w:ilvl="0">
      <w:start w:val="1"/>
      <w:numFmt w:val="bullet"/>
      <w:suff w:val="space"/>
      <w:lvlText w:val=""/>
      <w:lvlJc w:val="left"/>
      <w:pPr>
        <w:tabs>
          <w:tab w:val="left" w:pos="0"/>
        </w:tabs>
        <w:ind w:left="0" w:firstLine="709"/>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7" w15:restartNumberingAfterBreak="0">
    <w:nsid w:val="00000008"/>
    <w:multiLevelType w:val="hybridMultilevel"/>
    <w:tmpl w:val="6CE4E418"/>
    <w:lvl w:ilvl="0" w:tplc="05ACE14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0000009"/>
    <w:multiLevelType w:val="multilevel"/>
    <w:tmpl w:val="5A12CCEA"/>
    <w:lvl w:ilvl="0">
      <w:start w:val="4"/>
      <w:numFmt w:val="bullet"/>
      <w:suff w:val="space"/>
      <w:lvlText w:val="–"/>
      <w:lvlJc w:val="left"/>
      <w:pPr>
        <w:tabs>
          <w:tab w:val="left" w:pos="0"/>
        </w:tabs>
        <w:ind w:left="0" w:firstLine="709"/>
      </w:pPr>
      <w:rPr>
        <w:rFonts w:ascii="Times New Roman" w:hAnsi="Times New Roman" w:cs="Times New Roman" w:hint="default"/>
      </w:rPr>
    </w:lvl>
    <w:lvl w:ilvl="1">
      <w:start w:val="1"/>
      <w:numFmt w:val="bullet"/>
      <w:lvlText w:val="o"/>
      <w:lvlJc w:val="left"/>
      <w:pPr>
        <w:tabs>
          <w:tab w:val="left" w:pos="0"/>
        </w:tabs>
        <w:ind w:left="2149" w:hanging="360"/>
      </w:pPr>
      <w:rPr>
        <w:rFonts w:ascii="Courier New" w:hAnsi="Courier New" w:cs="Courier New" w:hint="default"/>
      </w:rPr>
    </w:lvl>
    <w:lvl w:ilvl="2">
      <w:start w:val="1"/>
      <w:numFmt w:val="bullet"/>
      <w:lvlText w:val=""/>
      <w:lvlJc w:val="left"/>
      <w:pPr>
        <w:tabs>
          <w:tab w:val="left" w:pos="0"/>
        </w:tabs>
        <w:ind w:left="2869" w:hanging="360"/>
      </w:pPr>
      <w:rPr>
        <w:rFonts w:ascii="Wingdings" w:hAnsi="Wingdings" w:cs="Wingdings" w:hint="default"/>
      </w:rPr>
    </w:lvl>
    <w:lvl w:ilvl="3">
      <w:start w:val="1"/>
      <w:numFmt w:val="bullet"/>
      <w:lvlText w:val=""/>
      <w:lvlJc w:val="left"/>
      <w:pPr>
        <w:tabs>
          <w:tab w:val="left" w:pos="0"/>
        </w:tabs>
        <w:ind w:left="3589" w:hanging="360"/>
      </w:pPr>
      <w:rPr>
        <w:rFonts w:ascii="Symbol" w:hAnsi="Symbol" w:cs="Symbol" w:hint="default"/>
      </w:rPr>
    </w:lvl>
    <w:lvl w:ilvl="4">
      <w:start w:val="1"/>
      <w:numFmt w:val="bullet"/>
      <w:lvlText w:val="o"/>
      <w:lvlJc w:val="left"/>
      <w:pPr>
        <w:tabs>
          <w:tab w:val="left" w:pos="0"/>
        </w:tabs>
        <w:ind w:left="4309" w:hanging="360"/>
      </w:pPr>
      <w:rPr>
        <w:rFonts w:ascii="Courier New" w:hAnsi="Courier New" w:cs="Courier New" w:hint="default"/>
      </w:rPr>
    </w:lvl>
    <w:lvl w:ilvl="5">
      <w:start w:val="1"/>
      <w:numFmt w:val="bullet"/>
      <w:lvlText w:val=""/>
      <w:lvlJc w:val="left"/>
      <w:pPr>
        <w:tabs>
          <w:tab w:val="left" w:pos="0"/>
        </w:tabs>
        <w:ind w:left="5029" w:hanging="360"/>
      </w:pPr>
      <w:rPr>
        <w:rFonts w:ascii="Wingdings" w:hAnsi="Wingdings" w:cs="Wingdings" w:hint="default"/>
      </w:rPr>
    </w:lvl>
    <w:lvl w:ilvl="6">
      <w:start w:val="1"/>
      <w:numFmt w:val="bullet"/>
      <w:lvlText w:val=""/>
      <w:lvlJc w:val="left"/>
      <w:pPr>
        <w:tabs>
          <w:tab w:val="left" w:pos="0"/>
        </w:tabs>
        <w:ind w:left="5749" w:hanging="360"/>
      </w:pPr>
      <w:rPr>
        <w:rFonts w:ascii="Symbol" w:hAnsi="Symbol" w:cs="Symbol" w:hint="default"/>
      </w:rPr>
    </w:lvl>
    <w:lvl w:ilvl="7">
      <w:start w:val="1"/>
      <w:numFmt w:val="bullet"/>
      <w:lvlText w:val="o"/>
      <w:lvlJc w:val="left"/>
      <w:pPr>
        <w:tabs>
          <w:tab w:val="left" w:pos="0"/>
        </w:tabs>
        <w:ind w:left="6469" w:hanging="360"/>
      </w:pPr>
      <w:rPr>
        <w:rFonts w:ascii="Courier New" w:hAnsi="Courier New" w:cs="Courier New" w:hint="default"/>
      </w:rPr>
    </w:lvl>
    <w:lvl w:ilvl="8">
      <w:start w:val="1"/>
      <w:numFmt w:val="bullet"/>
      <w:lvlText w:val=""/>
      <w:lvlJc w:val="left"/>
      <w:pPr>
        <w:tabs>
          <w:tab w:val="left" w:pos="0"/>
        </w:tabs>
        <w:ind w:left="7189" w:hanging="360"/>
      </w:pPr>
      <w:rPr>
        <w:rFonts w:ascii="Wingdings" w:hAnsi="Wingdings" w:cs="Wingdings" w:hint="default"/>
      </w:rPr>
    </w:lvl>
  </w:abstractNum>
  <w:abstractNum w:abstractNumId="9" w15:restartNumberingAfterBreak="0">
    <w:nsid w:val="0000000A"/>
    <w:multiLevelType w:val="multilevel"/>
    <w:tmpl w:val="C6263290"/>
    <w:lvl w:ilvl="0">
      <w:start w:val="4"/>
      <w:numFmt w:val="bullet"/>
      <w:suff w:val="space"/>
      <w:lvlText w:val="–"/>
      <w:lvlJc w:val="left"/>
      <w:pPr>
        <w:tabs>
          <w:tab w:val="left" w:pos="0"/>
        </w:tabs>
        <w:ind w:left="0" w:firstLine="709"/>
      </w:pPr>
      <w:rPr>
        <w:rFonts w:ascii="Times New Roman" w:hAnsi="Times New Roman" w:cs="Times New Roman"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10" w15:restartNumberingAfterBreak="0">
    <w:nsid w:val="0000000B"/>
    <w:multiLevelType w:val="multilevel"/>
    <w:tmpl w:val="DC80BF0C"/>
    <w:lvl w:ilvl="0">
      <w:start w:val="1"/>
      <w:numFmt w:val="bullet"/>
      <w:suff w:val="space"/>
      <w:lvlText w:val=""/>
      <w:lvlJc w:val="left"/>
      <w:pPr>
        <w:tabs>
          <w:tab w:val="left" w:pos="0"/>
        </w:tabs>
        <w:ind w:left="0" w:firstLine="709"/>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11" w15:restartNumberingAfterBreak="0">
    <w:nsid w:val="0D406F4F"/>
    <w:multiLevelType w:val="multilevel"/>
    <w:tmpl w:val="1D50CC80"/>
    <w:lvl w:ilvl="0">
      <w:start w:val="1"/>
      <w:numFmt w:val="bullet"/>
      <w:suff w:val="space"/>
      <w:lvlText w:val=""/>
      <w:lvlJc w:val="left"/>
      <w:pPr>
        <w:tabs>
          <w:tab w:val="left" w:pos="0"/>
        </w:tabs>
        <w:ind w:left="0" w:firstLine="709"/>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num w:numId="1">
    <w:abstractNumId w:val="2"/>
  </w:num>
  <w:num w:numId="2">
    <w:abstractNumId w:val="11"/>
  </w:num>
  <w:num w:numId="3">
    <w:abstractNumId w:val="8"/>
  </w:num>
  <w:num w:numId="4">
    <w:abstractNumId w:val="9"/>
  </w:num>
  <w:num w:numId="5">
    <w:abstractNumId w:val="0"/>
  </w:num>
  <w:num w:numId="6">
    <w:abstractNumId w:val="3"/>
  </w:num>
  <w:num w:numId="7">
    <w:abstractNumId w:val="10"/>
  </w:num>
  <w:num w:numId="8">
    <w:abstractNumId w:val="6"/>
  </w:num>
  <w:num w:numId="9">
    <w:abstractNumId w:val="4"/>
  </w:num>
  <w:num w:numId="10">
    <w:abstractNumId w:val="7"/>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99B"/>
    <w:rsid w:val="00050272"/>
    <w:rsid w:val="0009510E"/>
    <w:rsid w:val="00102915"/>
    <w:rsid w:val="00154740"/>
    <w:rsid w:val="00271152"/>
    <w:rsid w:val="00313B01"/>
    <w:rsid w:val="007130C5"/>
    <w:rsid w:val="00725729"/>
    <w:rsid w:val="008644A2"/>
    <w:rsid w:val="008D020F"/>
    <w:rsid w:val="00923AD7"/>
    <w:rsid w:val="009D115E"/>
    <w:rsid w:val="00D1146F"/>
    <w:rsid w:val="00EB699B"/>
    <w:rsid w:val="00FB6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7FC98"/>
  <w15:docId w15:val="{ABFD204B-2DC7-4219-9965-E4F7B9181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pPr>
      <w:suppressAutoHyphens/>
      <w:spacing w:after="0" w:line="240" w:lineRule="auto"/>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59"/>
    <w:pPr>
      <w:suppressAutoHyphens/>
      <w:spacing w:after="0" w:line="240" w:lineRule="auto"/>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rPr>
      <w:color w:val="0563C1"/>
      <w:u w:val="single"/>
    </w:rPr>
  </w:style>
  <w:style w:type="character" w:customStyle="1" w:styleId="10">
    <w:name w:val="Неразрешенное упоминание1"/>
    <w:basedOn w:val="a0"/>
    <w:uiPriority w:val="99"/>
    <w:rPr>
      <w:color w:val="605E5C"/>
      <w:shd w:val="clear" w:color="auto" w:fill="E1DFDD"/>
    </w:rPr>
  </w:style>
  <w:style w:type="paragraph" w:customStyle="1" w:styleId="a5">
    <w:name w:val="Знак"/>
    <w:basedOn w:val="a"/>
    <w:pPr>
      <w:spacing w:line="240" w:lineRule="exact"/>
      <w:ind w:firstLine="709"/>
    </w:pPr>
    <w:rPr>
      <w:rFonts w:ascii="Verdana" w:eastAsia="Times New Roman" w:hAnsi="Verdana" w:cs="Times New Roman"/>
      <w:sz w:val="24"/>
      <w:szCs w:val="24"/>
      <w:lang w:val="en-US"/>
    </w:rPr>
  </w:style>
  <w:style w:type="paragraph" w:styleId="a6">
    <w:name w:val="List Paragraph"/>
    <w:basedOn w:val="a"/>
    <w:uiPriority w:val="34"/>
    <w:qFormat/>
    <w:pPr>
      <w:ind w:left="720"/>
      <w:contextualSpacing/>
    </w:pPr>
  </w:style>
  <w:style w:type="character" w:customStyle="1" w:styleId="2">
    <w:name w:val="Неразрешенное упоминание2"/>
    <w:basedOn w:val="a0"/>
    <w:uiPriority w:val="99"/>
    <w:rPr>
      <w:color w:val="605E5C"/>
      <w:shd w:val="clear" w:color="auto" w:fill="E1DFDD"/>
    </w:rPr>
  </w:style>
  <w:style w:type="character" w:styleId="a7">
    <w:name w:val="annotation reference"/>
    <w:basedOn w:val="a0"/>
    <w:uiPriority w:val="99"/>
    <w:semiHidden/>
    <w:unhideWhenUsed/>
    <w:rsid w:val="00725729"/>
    <w:rPr>
      <w:sz w:val="16"/>
      <w:szCs w:val="16"/>
    </w:rPr>
  </w:style>
  <w:style w:type="paragraph" w:styleId="a8">
    <w:name w:val="annotation text"/>
    <w:basedOn w:val="a"/>
    <w:link w:val="a9"/>
    <w:uiPriority w:val="99"/>
    <w:semiHidden/>
    <w:unhideWhenUsed/>
    <w:rsid w:val="00725729"/>
    <w:pPr>
      <w:spacing w:line="240" w:lineRule="auto"/>
    </w:pPr>
    <w:rPr>
      <w:sz w:val="20"/>
      <w:szCs w:val="20"/>
    </w:rPr>
  </w:style>
  <w:style w:type="character" w:customStyle="1" w:styleId="a9">
    <w:name w:val="Текст примечания Знак"/>
    <w:basedOn w:val="a0"/>
    <w:link w:val="a8"/>
    <w:uiPriority w:val="99"/>
    <w:semiHidden/>
    <w:rsid w:val="00725729"/>
    <w:rPr>
      <w:sz w:val="20"/>
      <w:szCs w:val="20"/>
    </w:rPr>
  </w:style>
  <w:style w:type="paragraph" w:styleId="aa">
    <w:name w:val="annotation subject"/>
    <w:basedOn w:val="a8"/>
    <w:next w:val="a8"/>
    <w:link w:val="ab"/>
    <w:uiPriority w:val="99"/>
    <w:semiHidden/>
    <w:unhideWhenUsed/>
    <w:rsid w:val="00725729"/>
    <w:rPr>
      <w:b/>
      <w:bCs/>
    </w:rPr>
  </w:style>
  <w:style w:type="character" w:customStyle="1" w:styleId="ab">
    <w:name w:val="Тема примечания Знак"/>
    <w:basedOn w:val="a9"/>
    <w:link w:val="aa"/>
    <w:uiPriority w:val="99"/>
    <w:semiHidden/>
    <w:rsid w:val="00725729"/>
    <w:rPr>
      <w:b/>
      <w:bCs/>
      <w:sz w:val="20"/>
      <w:szCs w:val="20"/>
    </w:rPr>
  </w:style>
  <w:style w:type="paragraph" w:styleId="ac">
    <w:name w:val="Balloon Text"/>
    <w:basedOn w:val="a"/>
    <w:link w:val="ad"/>
    <w:uiPriority w:val="99"/>
    <w:semiHidden/>
    <w:unhideWhenUsed/>
    <w:rsid w:val="00725729"/>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7257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chart" Target="charts/chart3.xml"/><Relationship Id="rId5" Type="http://schemas.openxmlformats.org/officeDocument/2006/relationships/webSettings" Target="webSettings.xml"/><Relationship Id="rId10" Type="http://schemas.openxmlformats.org/officeDocument/2006/relationships/oleObject" Target="embeddings/_____Microsoft_Excel_97-20031.xls"/><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Вьезд иностранных туристов</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2019 год</c:v>
                </c:pt>
                <c:pt idx="1">
                  <c:v>2023 год</c:v>
                </c:pt>
                <c:pt idx="2">
                  <c:v>2024 год</c:v>
                </c:pt>
              </c:strCache>
            </c:strRef>
          </c:cat>
          <c:val>
            <c:numRef>
              <c:f>Лист1!$B$2:$B$4</c:f>
              <c:numCache>
                <c:formatCode>General</c:formatCode>
                <c:ptCount val="3"/>
                <c:pt idx="0">
                  <c:v>26100</c:v>
                </c:pt>
                <c:pt idx="1">
                  <c:v>8250</c:v>
                </c:pt>
                <c:pt idx="2">
                  <c:v>9100</c:v>
                </c:pt>
              </c:numCache>
            </c:numRef>
          </c:val>
          <c:extLst xmlns:c16r2="http://schemas.microsoft.com/office/drawing/2015/06/chart">
            <c:ext xmlns:c16="http://schemas.microsoft.com/office/drawing/2014/chart" uri="{C3380CC4-5D6E-409C-BE32-E72D297353CC}">
              <c16:uniqueId val="{00000000-BFBE-493C-924C-0E387A2AFDDB}"/>
            </c:ext>
          </c:extLst>
        </c:ser>
        <c:ser>
          <c:idx val="1"/>
          <c:order val="1"/>
          <c:tx>
            <c:strRef>
              <c:f>Лист1!$C$1</c:f>
              <c:strCache>
                <c:ptCount val="1"/>
                <c:pt idx="0">
                  <c:v>Туристы из дальнего зарубежья</c:v>
                </c:pt>
              </c:strCache>
            </c:strRef>
          </c:tx>
          <c:spPr>
            <a:solidFill>
              <a:schemeClr val="accent2"/>
            </a:solidFill>
            <a:ln>
              <a:noFill/>
            </a:ln>
            <a:effectLst/>
          </c:spPr>
          <c:invertIfNegative val="0"/>
          <c:dLbls>
            <c:dLbl>
              <c:idx val="2"/>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FBE-493C-924C-0E387A2AFDDB}"/>
                </c:ext>
                <c:ext xmlns:c15="http://schemas.microsoft.com/office/drawing/2012/chart" uri="{CE6537A1-D6FC-4f65-9D91-7224C49458BB}">
                  <c15:spPr xmlns:c15="http://schemas.microsoft.com/office/drawing/2012/chart">
                    <a:prstGeom prst="rect">
                      <a:avLst/>
                    </a:prstGeom>
                  </c15:spPr>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2019 год</c:v>
                </c:pt>
                <c:pt idx="1">
                  <c:v>2023 год</c:v>
                </c:pt>
                <c:pt idx="2">
                  <c:v>2024 год</c:v>
                </c:pt>
              </c:strCache>
            </c:strRef>
          </c:cat>
          <c:val>
            <c:numRef>
              <c:f>Лист1!$C$2:$C$4</c:f>
              <c:numCache>
                <c:formatCode>General</c:formatCode>
                <c:ptCount val="3"/>
                <c:pt idx="0">
                  <c:v>9300</c:v>
                </c:pt>
                <c:pt idx="1">
                  <c:v>1770</c:v>
                </c:pt>
                <c:pt idx="2">
                  <c:v>2700</c:v>
                </c:pt>
              </c:numCache>
            </c:numRef>
          </c:val>
          <c:extLst xmlns:c16r2="http://schemas.microsoft.com/office/drawing/2015/06/chart">
            <c:ext xmlns:c16="http://schemas.microsoft.com/office/drawing/2014/chart" uri="{C3380CC4-5D6E-409C-BE32-E72D297353CC}">
              <c16:uniqueId val="{00000002-BFBE-493C-924C-0E387A2AFDDB}"/>
            </c:ext>
          </c:extLst>
        </c:ser>
        <c:ser>
          <c:idx val="2"/>
          <c:order val="2"/>
          <c:tx>
            <c:strRef>
              <c:f>Лист1!$D$1</c:f>
              <c:strCache>
                <c:ptCount val="1"/>
                <c:pt idx="0">
                  <c:v>Китайские туристы</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Лист1!$A$2:$A$4</c:f>
              <c:strCache>
                <c:ptCount val="3"/>
                <c:pt idx="0">
                  <c:v>2019 год</c:v>
                </c:pt>
                <c:pt idx="1">
                  <c:v>2023 год</c:v>
                </c:pt>
                <c:pt idx="2">
                  <c:v>2024 год</c:v>
                </c:pt>
              </c:strCache>
            </c:strRef>
          </c:cat>
          <c:val>
            <c:numRef>
              <c:f>Лист1!$D$2:$D$4</c:f>
              <c:numCache>
                <c:formatCode>General</c:formatCode>
                <c:ptCount val="3"/>
                <c:pt idx="0">
                  <c:v>1200</c:v>
                </c:pt>
                <c:pt idx="1">
                  <c:v>199</c:v>
                </c:pt>
                <c:pt idx="2">
                  <c:v>1120</c:v>
                </c:pt>
              </c:numCache>
            </c:numRef>
          </c:val>
          <c:extLst xmlns:c16r2="http://schemas.microsoft.com/office/drawing/2015/06/chart">
            <c:ext xmlns:c16="http://schemas.microsoft.com/office/drawing/2014/chart" uri="{C3380CC4-5D6E-409C-BE32-E72D297353CC}">
              <c16:uniqueId val="{00000003-BFBE-493C-924C-0E387A2AFDDB}"/>
            </c:ext>
          </c:extLst>
        </c:ser>
        <c:dLbls>
          <c:showLegendKey val="0"/>
          <c:showVal val="0"/>
          <c:showCatName val="0"/>
          <c:showSerName val="0"/>
          <c:showPercent val="0"/>
          <c:showBubbleSize val="0"/>
        </c:dLbls>
        <c:gapWidth val="219"/>
        <c:axId val="739123352"/>
        <c:axId val="739124136"/>
      </c:barChart>
      <c:catAx>
        <c:axId val="739123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39124136"/>
        <c:crosses val="autoZero"/>
        <c:auto val="1"/>
        <c:lblAlgn val="ctr"/>
        <c:lblOffset val="100"/>
        <c:noMultiLvlLbl val="0"/>
      </c:catAx>
      <c:valAx>
        <c:axId val="739124136"/>
        <c:scaling>
          <c:orientation val="minMax"/>
          <c:max val="27000"/>
          <c:min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39123352"/>
        <c:crosses val="autoZero"/>
        <c:crossBetween val="between"/>
        <c:minorUnit val="2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Иностранные туристы всего</c:v>
                </c:pt>
              </c:strCache>
            </c:strRef>
          </c:tx>
          <c:spPr>
            <a:solidFill>
              <a:schemeClr val="accent1"/>
            </a:solidFill>
            <a:ln>
              <a:noFill/>
            </a:ln>
            <a:effectLst/>
          </c:spPr>
          <c:invertIfNegative val="0"/>
          <c:dLbls>
            <c:dLbl>
              <c:idx val="2"/>
              <c:layout>
                <c:manualLayout>
                  <c:x val="-2.3148148148148147E-3"/>
                  <c:y val="-1.283624329567510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FDA8-4E16-82C4-7059CA9DC332}"/>
                </c:ext>
                <c:ext xmlns:c15="http://schemas.microsoft.com/office/drawing/2012/chart" uri="{CE6537A1-D6FC-4f65-9D91-7224C49458BB}"/>
              </c:extLst>
            </c:dLbl>
            <c:dLbl>
              <c:idx val="3"/>
              <c:layout>
                <c:manualLayout>
                  <c:x val="1.3695015871707137E-2"/>
                  <c:y val="-7.2506670352857103E-4"/>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FDA8-4E16-82C4-7059CA9DC332}"/>
                </c:ext>
                <c:ext xmlns:c15="http://schemas.microsoft.com/office/drawing/2012/chart" uri="{CE6537A1-D6FC-4f65-9D91-7224C49458BB}"/>
              </c:extLst>
            </c:dLbl>
            <c:dLbl>
              <c:idx val="4"/>
              <c:layout>
                <c:manualLayout>
                  <c:x val="4.2793832708084213E-2"/>
                  <c:y val="-2.9341728110418791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FDA8-4E16-82C4-7059CA9DC332}"/>
                </c:ext>
                <c:ext xmlns:c15="http://schemas.microsoft.com/office/drawing/2012/chart" uri="{CE6537A1-D6FC-4f65-9D91-7224C49458BB}"/>
              </c:extLst>
            </c:dLbl>
            <c:dLbl>
              <c:idx val="5"/>
              <c:layout>
                <c:manualLayout>
                  <c:x val="4.1181823803438204E-2"/>
                  <c:y val="2.7946365929167158E-3"/>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FDA8-4E16-82C4-7059CA9DC332}"/>
                </c:ext>
                <c:ext xmlns:c15="http://schemas.microsoft.com/office/drawing/2012/chart" uri="{CE6537A1-D6FC-4f65-9D91-7224C49458BB}">
                  <c15:layout>
                    <c:manualLayout>
                      <c:w val="4.8050047408995336E-2"/>
                      <c:h val="8.687007874015748E-2"/>
                    </c:manualLayout>
                  </c15:layout>
                </c:ext>
              </c:extLst>
            </c:dLbl>
            <c:dLbl>
              <c:idx val="6"/>
              <c:layout>
                <c:manualLayout>
                  <c:x val="6.5748031496062995E-2"/>
                  <c:y val="2.415671873410656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FDA8-4E16-82C4-7059CA9DC332}"/>
                </c:ext>
                <c:ext xmlns:c15="http://schemas.microsoft.com/office/drawing/2012/chart" uri="{CE6537A1-D6FC-4f65-9D91-7224C49458BB}"/>
              </c:extLst>
            </c:dLbl>
            <c:dLbl>
              <c:idx val="7"/>
              <c:layout>
                <c:manualLayout>
                  <c:x val="6.8062827225130865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FDA8-4E16-82C4-7059CA9DC332}"/>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Лист1!$A$2:$A$9</c:f>
              <c:strCache>
                <c:ptCount val="8"/>
                <c:pt idx="0">
                  <c:v>ЦФО</c:v>
                </c:pt>
                <c:pt idx="1">
                  <c:v>СЗФО</c:v>
                </c:pt>
                <c:pt idx="2">
                  <c:v>ДФО</c:v>
                </c:pt>
                <c:pt idx="3">
                  <c:v>ПФО</c:v>
                </c:pt>
                <c:pt idx="4">
                  <c:v>СФО</c:v>
                </c:pt>
                <c:pt idx="5">
                  <c:v>ЮФО</c:v>
                </c:pt>
                <c:pt idx="6">
                  <c:v>СКФО</c:v>
                </c:pt>
                <c:pt idx="7">
                  <c:v>УФО</c:v>
                </c:pt>
              </c:strCache>
            </c:strRef>
          </c:cat>
          <c:val>
            <c:numRef>
              <c:f>Лист1!$B$2:$B$9</c:f>
              <c:numCache>
                <c:formatCode>General</c:formatCode>
                <c:ptCount val="8"/>
                <c:pt idx="0">
                  <c:v>3.1</c:v>
                </c:pt>
                <c:pt idx="1">
                  <c:v>0.8</c:v>
                </c:pt>
                <c:pt idx="2">
                  <c:v>0.4</c:v>
                </c:pt>
                <c:pt idx="3">
                  <c:v>0.3</c:v>
                </c:pt>
                <c:pt idx="4">
                  <c:v>0.2</c:v>
                </c:pt>
                <c:pt idx="5">
                  <c:v>0.2</c:v>
                </c:pt>
                <c:pt idx="6">
                  <c:v>0.1</c:v>
                </c:pt>
                <c:pt idx="7">
                  <c:v>0.1</c:v>
                </c:pt>
              </c:numCache>
            </c:numRef>
          </c:val>
          <c:extLst xmlns:c16r2="http://schemas.microsoft.com/office/drawing/2015/06/chart">
            <c:ext xmlns:c16="http://schemas.microsoft.com/office/drawing/2014/chart" uri="{C3380CC4-5D6E-409C-BE32-E72D297353CC}">
              <c16:uniqueId val="{00000006-FDA8-4E16-82C4-7059CA9DC332}"/>
            </c:ext>
          </c:extLst>
        </c:ser>
        <c:ser>
          <c:idx val="1"/>
          <c:order val="1"/>
          <c:tx>
            <c:strRef>
              <c:f>Лист1!$C$1</c:f>
              <c:strCache>
                <c:ptCount val="1"/>
                <c:pt idx="0">
                  <c:v>Туристы из КНР</c:v>
                </c:pt>
              </c:strCache>
            </c:strRef>
          </c:tx>
          <c:spPr>
            <a:solidFill>
              <a:schemeClr val="accent2"/>
            </a:solidFill>
            <a:ln>
              <a:noFill/>
            </a:ln>
            <a:effectLst/>
          </c:spPr>
          <c:invertIfNegative val="0"/>
          <c:dLbls>
            <c:dLbl>
              <c:idx val="0"/>
              <c:layout>
                <c:manualLayout>
                  <c:x val="-4.7992464784159137E-17"/>
                  <c:y val="-1.324942033786021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FDA8-4E16-82C4-7059CA9DC332}"/>
                </c:ext>
                <c:ext xmlns:c15="http://schemas.microsoft.com/office/drawing/2012/chart" uri="{CE6537A1-D6FC-4f65-9D91-7224C49458BB}"/>
              </c:extLst>
            </c:dLbl>
            <c:dLbl>
              <c:idx val="1"/>
              <c:layout>
                <c:manualLayout>
                  <c:x val="0"/>
                  <c:y val="-1.324942033786021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FDA8-4E16-82C4-7059CA9DC332}"/>
                </c:ext>
                <c:ext xmlns:c15="http://schemas.microsoft.com/office/drawing/2012/chart" uri="{CE6537A1-D6FC-4f65-9D91-7224C49458BB}"/>
              </c:extLst>
            </c:dLbl>
            <c:dLbl>
              <c:idx val="2"/>
              <c:layout>
                <c:manualLayout>
                  <c:x val="-7.8534031413612319E-3"/>
                  <c:y val="-1.324942033786021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FDA8-4E16-82C4-7059CA9DC332}"/>
                </c:ext>
                <c:ext xmlns:c15="http://schemas.microsoft.com/office/drawing/2012/chart" uri="{CE6537A1-D6FC-4f65-9D91-7224C49458BB}"/>
              </c:extLst>
            </c:dLbl>
            <c:dLbl>
              <c:idx val="6"/>
              <c:layout>
                <c:manualLayout>
                  <c:x val="-1.1998116196039784E-17"/>
                  <c:y val="-1.324942033786021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FDA8-4E16-82C4-7059CA9DC332}"/>
                </c:ext>
                <c:ext xmlns:c15="http://schemas.microsoft.com/office/drawing/2012/chart" uri="{CE6537A1-D6FC-4f65-9D91-7224C49458BB}"/>
              </c:extLst>
            </c:dLbl>
            <c:dLbl>
              <c:idx val="7"/>
              <c:layout>
                <c:manualLayout>
                  <c:x val="-5.235602094240838E-3"/>
                  <c:y val="-2.649884067572044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FDA8-4E16-82C4-7059CA9DC332}"/>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Лист1!$A$2:$A$9</c:f>
              <c:strCache>
                <c:ptCount val="8"/>
                <c:pt idx="0">
                  <c:v>ЦФО</c:v>
                </c:pt>
                <c:pt idx="1">
                  <c:v>СЗФО</c:v>
                </c:pt>
                <c:pt idx="2">
                  <c:v>ДФО</c:v>
                </c:pt>
                <c:pt idx="3">
                  <c:v>ПФО</c:v>
                </c:pt>
                <c:pt idx="4">
                  <c:v>СФО</c:v>
                </c:pt>
                <c:pt idx="5">
                  <c:v>ЮФО</c:v>
                </c:pt>
                <c:pt idx="6">
                  <c:v>СКФО</c:v>
                </c:pt>
                <c:pt idx="7">
                  <c:v>УФО</c:v>
                </c:pt>
              </c:strCache>
            </c:strRef>
          </c:cat>
          <c:val>
            <c:numRef>
              <c:f>Лист1!$C$2:$C$9</c:f>
              <c:numCache>
                <c:formatCode>General</c:formatCode>
                <c:ptCount val="8"/>
                <c:pt idx="0">
                  <c:v>0.52</c:v>
                </c:pt>
                <c:pt idx="1">
                  <c:v>0.2</c:v>
                </c:pt>
                <c:pt idx="2">
                  <c:v>0.3</c:v>
                </c:pt>
                <c:pt idx="3">
                  <c:v>0.04</c:v>
                </c:pt>
                <c:pt idx="4">
                  <c:v>0.05</c:v>
                </c:pt>
                <c:pt idx="5">
                  <c:v>0.01</c:v>
                </c:pt>
                <c:pt idx="6">
                  <c:v>0.01</c:v>
                </c:pt>
                <c:pt idx="7">
                  <c:v>0.02</c:v>
                </c:pt>
              </c:numCache>
            </c:numRef>
          </c:val>
          <c:extLst xmlns:c16r2="http://schemas.microsoft.com/office/drawing/2015/06/chart">
            <c:ext xmlns:c16="http://schemas.microsoft.com/office/drawing/2014/chart" uri="{C3380CC4-5D6E-409C-BE32-E72D297353CC}">
              <c16:uniqueId val="{0000000C-FDA8-4E16-82C4-7059CA9DC332}"/>
            </c:ext>
          </c:extLst>
        </c:ser>
        <c:ser>
          <c:idx val="2"/>
          <c:order val="2"/>
          <c:tx>
            <c:strRef>
              <c:f>Лист1!$D$1</c:f>
              <c:strCache>
                <c:ptCount val="1"/>
                <c:pt idx="0">
                  <c:v>Столбец3</c:v>
                </c:pt>
              </c:strCache>
            </c:strRef>
          </c:tx>
          <c:spPr>
            <a:solidFill>
              <a:schemeClr val="accent3"/>
            </a:solidFill>
            <a:ln>
              <a:noFill/>
            </a:ln>
            <a:effectLst/>
          </c:spPr>
          <c:invertIfNegative val="0"/>
          <c:cat>
            <c:strRef>
              <c:f>Лист1!$A$2:$A$9</c:f>
              <c:strCache>
                <c:ptCount val="8"/>
                <c:pt idx="0">
                  <c:v>ЦФО</c:v>
                </c:pt>
                <c:pt idx="1">
                  <c:v>СЗФО</c:v>
                </c:pt>
                <c:pt idx="2">
                  <c:v>ДФО</c:v>
                </c:pt>
                <c:pt idx="3">
                  <c:v>ПФО</c:v>
                </c:pt>
                <c:pt idx="4">
                  <c:v>СФО</c:v>
                </c:pt>
                <c:pt idx="5">
                  <c:v>ЮФО</c:v>
                </c:pt>
                <c:pt idx="6">
                  <c:v>СКФО</c:v>
                </c:pt>
                <c:pt idx="7">
                  <c:v>УФО</c:v>
                </c:pt>
              </c:strCache>
            </c:strRef>
          </c:cat>
          <c:val>
            <c:numRef>
              <c:f>Лист1!$D$2:$D$9</c:f>
              <c:numCache>
                <c:formatCode>General</c:formatCode>
                <c:ptCount val="8"/>
              </c:numCache>
            </c:numRef>
          </c:val>
          <c:extLst xmlns:c16r2="http://schemas.microsoft.com/office/drawing/2015/06/chart">
            <c:ext xmlns:c16="http://schemas.microsoft.com/office/drawing/2014/chart" uri="{C3380CC4-5D6E-409C-BE32-E72D297353CC}">
              <c16:uniqueId val="{0000000D-FDA8-4E16-82C4-7059CA9DC332}"/>
            </c:ext>
          </c:extLst>
        </c:ser>
        <c:dLbls>
          <c:showLegendKey val="0"/>
          <c:showVal val="0"/>
          <c:showCatName val="0"/>
          <c:showSerName val="0"/>
          <c:showPercent val="0"/>
          <c:showBubbleSize val="0"/>
        </c:dLbls>
        <c:gapWidth val="150"/>
        <c:axId val="739125312"/>
        <c:axId val="739125704"/>
      </c:barChart>
      <c:catAx>
        <c:axId val="7391253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39125704"/>
        <c:crosses val="autoZero"/>
        <c:auto val="1"/>
        <c:lblAlgn val="ctr"/>
        <c:lblOffset val="100"/>
        <c:noMultiLvlLbl val="0"/>
      </c:catAx>
      <c:valAx>
        <c:axId val="7391257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3912531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Лист14!$V$34:$V$49</c:f>
              <c:strCache>
                <c:ptCount val="16"/>
                <c:pt idx="0">
                  <c:v>Вода питьевая, кипяток </c:v>
                </c:pt>
                <c:pt idx="1">
                  <c:v>Размещение в номерах TWIN</c:v>
                </c:pt>
                <c:pt idx="2">
                  <c:v>Места для курения</c:v>
                </c:pt>
                <c:pt idx="3">
                  <c:v>Электророзетка под стандартам КНР</c:v>
                </c:pt>
                <c:pt idx="4">
                  <c:v>Информационная папка на китайском языке</c:v>
                </c:pt>
                <c:pt idx="5">
                  <c:v>Ежедневная смена белья</c:v>
                </c:pt>
                <c:pt idx="6">
                  <c:v>Караоке</c:v>
                </c:pt>
                <c:pt idx="7">
                  <c:v>Прием оплаты по картам UnionPay, WeChat</c:v>
                </c:pt>
                <c:pt idx="8">
                  <c:v>Информация о ресторанах</c:v>
                </c:pt>
                <c:pt idx="9">
                  <c:v>Рекомендации сотрудников отеля о городе</c:v>
                </c:pt>
                <c:pt idx="10">
                  <c:v>Информация о магазинах</c:v>
                </c:pt>
                <c:pt idx="11">
                  <c:v>Информация о туристских объектах</c:v>
                </c:pt>
                <c:pt idx="12">
                  <c:v>Несколько блюд на завтрак, привычных туристам</c:v>
                </c:pt>
                <c:pt idx="13">
                  <c:v>Организация транспорта по городу</c:v>
                </c:pt>
                <c:pt idx="14">
                  <c:v>Сотрудник, говорящий на китайском языке</c:v>
                </c:pt>
                <c:pt idx="15">
                  <c:v>Другое</c:v>
                </c:pt>
              </c:strCache>
            </c:strRef>
          </c:cat>
          <c:val>
            <c:numRef>
              <c:f>Лист14!$W$34:$W$49</c:f>
              <c:numCache>
                <c:formatCode>General</c:formatCode>
                <c:ptCount val="16"/>
                <c:pt idx="0">
                  <c:v>24.38</c:v>
                </c:pt>
                <c:pt idx="1">
                  <c:v>22.99</c:v>
                </c:pt>
                <c:pt idx="2">
                  <c:v>10.58</c:v>
                </c:pt>
                <c:pt idx="3">
                  <c:v>7.68</c:v>
                </c:pt>
                <c:pt idx="4">
                  <c:v>7.01</c:v>
                </c:pt>
                <c:pt idx="5">
                  <c:v>6.71</c:v>
                </c:pt>
                <c:pt idx="6">
                  <c:v>5.93</c:v>
                </c:pt>
                <c:pt idx="7">
                  <c:v>2.76</c:v>
                </c:pt>
                <c:pt idx="8">
                  <c:v>4.6399999999999997</c:v>
                </c:pt>
                <c:pt idx="9">
                  <c:v>3.82</c:v>
                </c:pt>
                <c:pt idx="10">
                  <c:v>2.63</c:v>
                </c:pt>
                <c:pt idx="11">
                  <c:v>2.4500000000000002</c:v>
                </c:pt>
                <c:pt idx="12">
                  <c:v>1.98</c:v>
                </c:pt>
                <c:pt idx="13">
                  <c:v>1.49</c:v>
                </c:pt>
                <c:pt idx="14">
                  <c:v>1.2</c:v>
                </c:pt>
                <c:pt idx="15">
                  <c:v>1.01</c:v>
                </c:pt>
              </c:numCache>
            </c:numRef>
          </c:val>
          <c:extLst xmlns:c16r2="http://schemas.microsoft.com/office/drawing/2015/06/chart">
            <c:ext xmlns:c16="http://schemas.microsoft.com/office/drawing/2014/chart" uri="{C3380CC4-5D6E-409C-BE32-E72D297353CC}">
              <c16:uniqueId val="{00000000-BFEC-493B-B897-883C62F6FCBF}"/>
            </c:ext>
          </c:extLst>
        </c:ser>
        <c:dLbls>
          <c:showLegendKey val="0"/>
          <c:showVal val="0"/>
          <c:showCatName val="0"/>
          <c:showSerName val="0"/>
          <c:showPercent val="0"/>
          <c:showBubbleSize val="0"/>
        </c:dLbls>
        <c:gapWidth val="219"/>
        <c:overlap val="-27"/>
        <c:axId val="676669936"/>
        <c:axId val="676670720"/>
      </c:barChart>
      <c:lineChart>
        <c:grouping val="standard"/>
        <c:varyColors val="0"/>
        <c:ser>
          <c:idx val="1"/>
          <c:order val="1"/>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Лист14!$V$34:$V$49</c:f>
              <c:strCache>
                <c:ptCount val="16"/>
                <c:pt idx="0">
                  <c:v>Вода питьевая, кипяток </c:v>
                </c:pt>
                <c:pt idx="1">
                  <c:v>Размещение в номерах TWIN</c:v>
                </c:pt>
                <c:pt idx="2">
                  <c:v>Места для курения</c:v>
                </c:pt>
                <c:pt idx="3">
                  <c:v>Электророзетка под стандартам КНР</c:v>
                </c:pt>
                <c:pt idx="4">
                  <c:v>Информационная папка на китайском языке</c:v>
                </c:pt>
                <c:pt idx="5">
                  <c:v>Ежедневная смена белья</c:v>
                </c:pt>
                <c:pt idx="6">
                  <c:v>Караоке</c:v>
                </c:pt>
                <c:pt idx="7">
                  <c:v>Прием оплаты по картам UnionPay, WeChat</c:v>
                </c:pt>
                <c:pt idx="8">
                  <c:v>Информация о ресторанах</c:v>
                </c:pt>
                <c:pt idx="9">
                  <c:v>Рекомендации сотрудников отеля о городе</c:v>
                </c:pt>
                <c:pt idx="10">
                  <c:v>Информация о магазинах</c:v>
                </c:pt>
                <c:pt idx="11">
                  <c:v>Информация о туристских объектах</c:v>
                </c:pt>
                <c:pt idx="12">
                  <c:v>Несколько блюд на завтрак, привычных туристам</c:v>
                </c:pt>
                <c:pt idx="13">
                  <c:v>Организация транспорта по городу</c:v>
                </c:pt>
                <c:pt idx="14">
                  <c:v>Сотрудник, говорящий на китайском языке</c:v>
                </c:pt>
                <c:pt idx="15">
                  <c:v>Другое</c:v>
                </c:pt>
              </c:strCache>
            </c:strRef>
          </c:cat>
          <c:val>
            <c:numRef>
              <c:f>Лист14!$X$34:$X$49</c:f>
              <c:numCache>
                <c:formatCode>General</c:formatCode>
                <c:ptCount val="16"/>
                <c:pt idx="0">
                  <c:v>3.01</c:v>
                </c:pt>
                <c:pt idx="1">
                  <c:v>7.72</c:v>
                </c:pt>
                <c:pt idx="2">
                  <c:v>4.7300000000000004</c:v>
                </c:pt>
                <c:pt idx="3">
                  <c:v>1.5</c:v>
                </c:pt>
                <c:pt idx="4">
                  <c:v>3.59</c:v>
                </c:pt>
                <c:pt idx="5">
                  <c:v>1.61</c:v>
                </c:pt>
                <c:pt idx="6">
                  <c:v>2.2999999999999998</c:v>
                </c:pt>
                <c:pt idx="7">
                  <c:v>1.61</c:v>
                </c:pt>
                <c:pt idx="8">
                  <c:v>4.53</c:v>
                </c:pt>
                <c:pt idx="9">
                  <c:v>3.74</c:v>
                </c:pt>
                <c:pt idx="10">
                  <c:v>2.4</c:v>
                </c:pt>
                <c:pt idx="11">
                  <c:v>3.04</c:v>
                </c:pt>
                <c:pt idx="12">
                  <c:v>1.48</c:v>
                </c:pt>
                <c:pt idx="13">
                  <c:v>1.48</c:v>
                </c:pt>
                <c:pt idx="14">
                  <c:v>0.69</c:v>
                </c:pt>
                <c:pt idx="15">
                  <c:v>0.11</c:v>
                </c:pt>
              </c:numCache>
            </c:numRef>
          </c:val>
          <c:smooth val="0"/>
          <c:extLst xmlns:c16r2="http://schemas.microsoft.com/office/drawing/2015/06/chart">
            <c:ext xmlns:c16="http://schemas.microsoft.com/office/drawing/2014/chart" uri="{C3380CC4-5D6E-409C-BE32-E72D297353CC}">
              <c16:uniqueId val="{00000001-BFEC-493B-B897-883C62F6FCBF}"/>
            </c:ext>
          </c:extLst>
        </c:ser>
        <c:dLbls>
          <c:showLegendKey val="0"/>
          <c:showVal val="0"/>
          <c:showCatName val="0"/>
          <c:showSerName val="0"/>
          <c:showPercent val="0"/>
          <c:showBubbleSize val="0"/>
        </c:dLbls>
        <c:marker val="1"/>
        <c:smooth val="0"/>
        <c:axId val="676669936"/>
        <c:axId val="676670720"/>
      </c:lineChart>
      <c:catAx>
        <c:axId val="676669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676670720"/>
        <c:crosses val="autoZero"/>
        <c:auto val="1"/>
        <c:lblAlgn val="ctr"/>
        <c:lblOffset val="100"/>
        <c:noMultiLvlLbl val="0"/>
      </c:catAx>
      <c:valAx>
        <c:axId val="6766707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676669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D2F2A-A836-46D5-956C-B02BC2B71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5272</Words>
  <Characters>30054</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35256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Гомилевская Галина</cp:lastModifiedBy>
  <cp:revision>2</cp:revision>
  <dcterms:created xsi:type="dcterms:W3CDTF">2025-12-04T07:34:00Z</dcterms:created>
  <dcterms:modified xsi:type="dcterms:W3CDTF">2025-12-04T07:34:00Z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a42a0102e35d4f048de8df8360feaaf3</vt:lpwstr>
  </property>
</Properties>
</file>