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3A9FE1" w14:textId="47151393" w:rsidR="008C5196" w:rsidRPr="008C5196" w:rsidRDefault="008C5196" w:rsidP="008C519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en-US"/>
        </w:rPr>
      </w:pPr>
      <w:bookmarkStart w:id="0" w:name="_GoBack"/>
      <w:bookmarkEnd w:id="0"/>
      <w:r w:rsidRPr="008C5196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UDC </w:t>
      </w:r>
      <w:r w:rsidR="000572D2" w:rsidRPr="000572D2">
        <w:rPr>
          <w:rFonts w:ascii="Times New Roman" w:hAnsi="Times New Roman" w:cs="Times New Roman"/>
          <w:sz w:val="28"/>
          <w:szCs w:val="28"/>
          <w:lang w:val="en-US" w:eastAsia="ru-RU"/>
        </w:rPr>
        <w:t>332.1:339.13</w:t>
      </w:r>
    </w:p>
    <w:p w14:paraId="0A145914" w14:textId="348BC6AA" w:rsidR="008C5196" w:rsidRPr="008C5196" w:rsidRDefault="008C5196" w:rsidP="008C519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8C5196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LBC </w:t>
      </w:r>
      <w:r w:rsidR="000572D2" w:rsidRPr="000572D2">
        <w:rPr>
          <w:rFonts w:ascii="Times New Roman" w:eastAsia="Calibri" w:hAnsi="Times New Roman" w:cs="Times New Roman"/>
          <w:sz w:val="28"/>
          <w:szCs w:val="28"/>
          <w:lang w:val="en-US"/>
        </w:rPr>
        <w:t>65.291.8</w:t>
      </w:r>
    </w:p>
    <w:p w14:paraId="49A9FBAD" w14:textId="77777777" w:rsidR="008C5196" w:rsidRPr="008C5196" w:rsidRDefault="008C5196" w:rsidP="008C5196">
      <w:pPr>
        <w:rPr>
          <w:sz w:val="24"/>
          <w:szCs w:val="24"/>
          <w:lang w:val="en-US" w:eastAsia="ru-RU"/>
        </w:rPr>
      </w:pPr>
    </w:p>
    <w:p w14:paraId="73AF4F53" w14:textId="77777777" w:rsidR="00F26482" w:rsidRPr="00F26482" w:rsidRDefault="00F26482" w:rsidP="000441FF">
      <w:pPr>
        <w:spacing w:after="0" w:line="276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  <w:lang w:val="en-US"/>
        </w:rPr>
      </w:pPr>
      <w:r w:rsidRPr="00F26482"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  <w:lang w:val="en-US"/>
        </w:rPr>
        <w:t>The Genesis and Evolution of the Benchmarking Concept in the Context of Managing Enterprise Competitiveness.</w:t>
      </w:r>
    </w:p>
    <w:p w14:paraId="166C0FF3" w14:textId="0CAD695A" w:rsidR="000441FF" w:rsidRPr="008C5196" w:rsidRDefault="000441FF" w:rsidP="000441FF">
      <w:pPr>
        <w:spacing w:after="0" w:line="276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val="en-US"/>
        </w:rPr>
      </w:pPr>
      <w:r w:rsidRPr="008C5196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val="en-US"/>
        </w:rPr>
        <w:t>Fursov Daniil Vasilievich</w:t>
      </w:r>
    </w:p>
    <w:p w14:paraId="4AAC9493" w14:textId="77777777" w:rsidR="000441FF" w:rsidRPr="00C45044" w:rsidRDefault="000441FF" w:rsidP="000441FF">
      <w:pPr>
        <w:spacing w:after="0" w:line="276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</w:pPr>
      <w:r w:rsidRPr="008C5196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  <w:t>Vladivostok State University, Vladivostok</w:t>
      </w:r>
      <w:r w:rsidRPr="00C45044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  <w:t>, Russian Federation</w:t>
      </w:r>
    </w:p>
    <w:p w14:paraId="59CCA730" w14:textId="77777777" w:rsidR="000441FF" w:rsidRPr="00C45044" w:rsidRDefault="000441FF" w:rsidP="000441FF">
      <w:pPr>
        <w:spacing w:after="0" w:line="276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  <w:r w:rsidRPr="00C45044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  <w:lang w:val="en-US"/>
        </w:rPr>
        <w:t>Bubnovskaya Tatyana Viktorovna</w:t>
      </w:r>
    </w:p>
    <w:p w14:paraId="1B36C9D6" w14:textId="77777777" w:rsidR="000441FF" w:rsidRPr="00C45044" w:rsidRDefault="000441FF" w:rsidP="000441FF">
      <w:pPr>
        <w:spacing w:after="0" w:line="276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</w:pPr>
      <w:r w:rsidRPr="00C45044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  <w:t>Vladivostok State University, Vladivostok, Russian Federation</w:t>
      </w:r>
    </w:p>
    <w:p w14:paraId="664893F7" w14:textId="77777777" w:rsidR="008C5196" w:rsidRPr="008C5196" w:rsidRDefault="008C5196" w:rsidP="008C5196">
      <w:pPr>
        <w:rPr>
          <w:sz w:val="24"/>
          <w:szCs w:val="24"/>
          <w:lang w:val="en-US" w:eastAsia="ru-RU"/>
        </w:rPr>
      </w:pPr>
    </w:p>
    <w:p w14:paraId="30150E35" w14:textId="5BB31248" w:rsidR="00C456BA" w:rsidRDefault="008C5196" w:rsidP="008C5196">
      <w:pPr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</w:pPr>
      <w:r w:rsidRPr="008C5196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val="en-US"/>
        </w:rPr>
        <w:t>Abstract.</w:t>
      </w:r>
      <w:r w:rsidRPr="008C5196">
        <w:rPr>
          <w:sz w:val="24"/>
          <w:szCs w:val="24"/>
          <w:lang w:val="en-US" w:eastAsia="ru-RU"/>
        </w:rPr>
        <w:t xml:space="preserve"> </w:t>
      </w:r>
      <w:r w:rsidR="00FF547F" w:rsidRPr="00FF547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  <w:t>Benchmarking is traditionally perceived as a tool for comparing with competitors. This article reconsiders this view. It traces the evolution of the concept, from targeted adoption in post-war Japan to the systems approach enshrined in Xerox's practices. Factors that have changed the role of benchmarking are highlighted, including globalization, increased competition, and the transition to a knowledge economy. Based on a comparison of American, Japanese, and European approaches, the author proposes a definition of benchmarking as a continuous, proactive process aimed at adaptation rather than copying. A conceptual cyclical model has been developed that can serve as a foundation for building a management system resilient to environmental changes. The findings can be used in developing enterprise management strategies in volatile markets</w:t>
      </w:r>
      <w:r w:rsidR="00C456BA" w:rsidRPr="00C456BA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  <w:t xml:space="preserve">. </w:t>
      </w:r>
    </w:p>
    <w:p w14:paraId="3CBA5F72" w14:textId="30E3D953" w:rsidR="008C5196" w:rsidRDefault="008C5196" w:rsidP="008C5196">
      <w:pPr>
        <w:rPr>
          <w:sz w:val="24"/>
          <w:szCs w:val="24"/>
          <w:lang w:val="en-US" w:eastAsia="ru-RU"/>
        </w:rPr>
      </w:pPr>
      <w:r w:rsidRPr="008C5196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val="en-US"/>
        </w:rPr>
        <w:t xml:space="preserve">Keywords. </w:t>
      </w:r>
      <w:r w:rsidRPr="00A053B5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  <w:t>benchmarking, competitiveness, evolution, strategic management, adaptation mechanism, comparative analysis.</w:t>
      </w:r>
    </w:p>
    <w:p w14:paraId="31B460F6" w14:textId="3900C936" w:rsidR="008C5196" w:rsidRPr="008C5196" w:rsidRDefault="008C5196" w:rsidP="008C5196">
      <w:pPr>
        <w:rPr>
          <w:sz w:val="24"/>
          <w:szCs w:val="24"/>
          <w:lang w:val="en-US" w:eastAsia="ru-RU"/>
        </w:rPr>
      </w:pPr>
      <w:r w:rsidRPr="00456D6E">
        <w:rPr>
          <w:rFonts w:ascii="Times New Roman" w:hAnsi="Times New Roman"/>
          <w:b/>
          <w:sz w:val="24"/>
          <w:szCs w:val="24"/>
          <w:shd w:val="clear" w:color="auto" w:fill="FFFFFF"/>
          <w:lang w:val="en-US"/>
        </w:rPr>
        <w:t>Citation.</w:t>
      </w:r>
      <w:r w:rsidRPr="00456D6E">
        <w:rPr>
          <w:rFonts w:ascii="Times New Roman" w:hAnsi="Times New Roman"/>
          <w:b/>
          <w:sz w:val="28"/>
          <w:szCs w:val="28"/>
          <w:shd w:val="clear" w:color="auto" w:fill="FFFFFF"/>
          <w:lang w:val="en-US"/>
        </w:rPr>
        <w:t xml:space="preserve"> </w:t>
      </w:r>
      <w:r w:rsidRPr="00A053B5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  <w:t>Fursov, D.V.</w:t>
      </w:r>
      <w:r w:rsidR="000441FF" w:rsidRPr="000441F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  <w:t xml:space="preserve">, </w:t>
      </w:r>
      <w:r w:rsidR="000441FF" w:rsidRPr="00C45044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  <w:t>Bubnovskaya T. V</w:t>
      </w:r>
      <w:r w:rsidR="000441FF" w:rsidRPr="000441FF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  <w:t>. Formation and development of the concept of benchmarking in the context of managing the competitiveness of enterprises</w:t>
      </w:r>
      <w:r w:rsidRPr="00A053B5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  <w:t xml:space="preserve"> // Journal of Volgograd State University. Economics. — year. — Vol. volume, No. issue. — pp. page.</w:t>
      </w:r>
      <w:r w:rsidRPr="008C5196">
        <w:rPr>
          <w:sz w:val="24"/>
          <w:szCs w:val="24"/>
          <w:lang w:val="en-US" w:eastAsia="ru-RU"/>
        </w:rPr>
        <w:br w:type="page"/>
      </w:r>
    </w:p>
    <w:p w14:paraId="1406D44D" w14:textId="4CFD6DF6" w:rsidR="006B463A" w:rsidRPr="000572D2" w:rsidRDefault="006B463A" w:rsidP="006B463A">
      <w:pPr>
        <w:spacing w:line="26" w:lineRule="atLeast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0572D2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УДК</w:t>
      </w:r>
      <w:r w:rsidR="00A66A93" w:rsidRPr="000572D2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="000572D2" w:rsidRPr="000572D2">
        <w:rPr>
          <w:rFonts w:ascii="Times New Roman" w:hAnsi="Times New Roman" w:cs="Times New Roman"/>
          <w:sz w:val="28"/>
          <w:szCs w:val="28"/>
          <w:lang w:val="en-US" w:eastAsia="ru-RU"/>
        </w:rPr>
        <w:t>332.1:339.13</w:t>
      </w:r>
    </w:p>
    <w:p w14:paraId="0BB4B74D" w14:textId="68391B07" w:rsidR="00A66A93" w:rsidRPr="000572D2" w:rsidRDefault="00A66A93" w:rsidP="006B463A">
      <w:pPr>
        <w:spacing w:line="26" w:lineRule="atLeast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0572D2">
        <w:rPr>
          <w:rFonts w:ascii="Times New Roman" w:hAnsi="Times New Roman" w:cs="Times New Roman"/>
          <w:sz w:val="28"/>
          <w:szCs w:val="28"/>
          <w:lang w:eastAsia="ru-RU"/>
        </w:rPr>
        <w:t>ББК</w:t>
      </w:r>
      <w:r w:rsidRPr="000572D2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65.291.8</w:t>
      </w:r>
    </w:p>
    <w:p w14:paraId="650B486A" w14:textId="77777777" w:rsidR="006B463A" w:rsidRPr="008C5196" w:rsidRDefault="006B463A" w:rsidP="006B463A">
      <w:pPr>
        <w:spacing w:line="26" w:lineRule="atLeast"/>
        <w:rPr>
          <w:sz w:val="24"/>
          <w:szCs w:val="24"/>
          <w:lang w:val="en-US" w:eastAsia="ru-RU"/>
        </w:rPr>
      </w:pPr>
    </w:p>
    <w:p w14:paraId="21D7FFEC" w14:textId="2055CC58" w:rsidR="000572D2" w:rsidRPr="00F26482" w:rsidRDefault="00F26482" w:rsidP="00A66A93">
      <w:pPr>
        <w:shd w:val="clear" w:color="auto" w:fill="FFFFFF"/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</w:rPr>
      </w:pPr>
      <w:bookmarkStart w:id="1" w:name="_Hlk200162220"/>
      <w:r w:rsidRPr="00F26482"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</w:rPr>
        <w:t>Генезис и эволюция концепции бенчмаркинга в контексте управления конкурентоспособностью предприятий</w:t>
      </w:r>
      <w:r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</w:rPr>
        <w:t>.</w:t>
      </w:r>
    </w:p>
    <w:bookmarkEnd w:id="1"/>
    <w:p w14:paraId="1BF5566E" w14:textId="77777777" w:rsidR="000441FF" w:rsidRPr="00A66A93" w:rsidRDefault="000441FF" w:rsidP="000441FF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66A9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Фурсов Даниил Васильевич</w:t>
      </w:r>
    </w:p>
    <w:p w14:paraId="2E017E4C" w14:textId="77777777" w:rsidR="000441FF" w:rsidRDefault="000441FF" w:rsidP="000441FF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6A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Владивостокский государственный университет, Владивосток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C450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Российская Федерация</w:t>
      </w:r>
    </w:p>
    <w:p w14:paraId="0A56F644" w14:textId="77777777" w:rsidR="000441FF" w:rsidRPr="00C45044" w:rsidRDefault="000441FF" w:rsidP="000441FF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450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Бубновская Татьяна Викторовна</w:t>
      </w:r>
    </w:p>
    <w:p w14:paraId="45323B36" w14:textId="77777777" w:rsidR="000441FF" w:rsidRDefault="000441FF" w:rsidP="000441FF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50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Владивостокский государственный университет, г. Владивосток, Российская Федерация</w:t>
      </w:r>
    </w:p>
    <w:p w14:paraId="3E2DFFA5" w14:textId="149B115A" w:rsidR="006B463A" w:rsidRPr="00A66A93" w:rsidRDefault="00797E09" w:rsidP="00A66A93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14:paraId="05B5228E" w14:textId="10BE6078" w:rsidR="006B463A" w:rsidRPr="00D80CF2" w:rsidRDefault="006B463A" w:rsidP="006B463A">
      <w:pPr>
        <w:spacing w:line="26" w:lineRule="atLeast"/>
        <w:rPr>
          <w:rFonts w:ascii="Times New Roman" w:eastAsia="Calibri" w:hAnsi="Times New Roman" w:cs="Times New Roman"/>
          <w:sz w:val="24"/>
          <w:szCs w:val="24"/>
        </w:rPr>
      </w:pPr>
      <w:r w:rsidRPr="00A66A93">
        <w:rPr>
          <w:rFonts w:ascii="Times New Roman" w:eastAsia="Calibri" w:hAnsi="Times New Roman" w:cs="Times New Roman"/>
          <w:b/>
        </w:rPr>
        <w:t>Аннотация</w:t>
      </w:r>
      <w:r w:rsidRPr="00C456BA">
        <w:rPr>
          <w:rFonts w:ascii="Times New Roman" w:eastAsia="Calibri" w:hAnsi="Times New Roman" w:cs="Times New Roman"/>
          <w:b/>
        </w:rPr>
        <w:t>:</w:t>
      </w:r>
      <w:r w:rsidRPr="00C456BA">
        <w:rPr>
          <w:b/>
          <w:bCs/>
          <w:sz w:val="24"/>
          <w:szCs w:val="24"/>
          <w:lang w:eastAsia="ru-RU"/>
        </w:rPr>
        <w:t xml:space="preserve"> </w:t>
      </w:r>
      <w:r w:rsidR="00FF547F" w:rsidRPr="00FF547F">
        <w:rPr>
          <w:rFonts w:ascii="Times New Roman" w:eastAsia="Calibri" w:hAnsi="Times New Roman" w:cs="Times New Roman"/>
          <w:sz w:val="24"/>
          <w:szCs w:val="24"/>
        </w:rPr>
        <w:t>Традиционно бенчмаркинг воспринимается как инструмент сравнения с конкурентами. В статье этот взгляд пересматривается. Прослежена эволюция концепции: от целенаправленных заимствований в послевоенной Японии до системного подхода, закрепленного в практике Xerox. Выделены факторы, изменившие роль бенчмаркинга, — глобализация, обострение конкуренции, переход к экономике знаний. На основе сопоставления американской, японской и европейской школ предложено авторское определение бенчмаркинга как непрерывного проактивного процесса, нацеленного на адаптацию, а не копирование. Разработана концептуальная циклическая модель, которая может служить основой для выстраивания системы управления, устойчивой к изменениям внешней среды. Полученные результаты могут быть использованы при разработке стратегий управления предприятиями в условиях нестабильных рынков.</w:t>
      </w:r>
    </w:p>
    <w:p w14:paraId="10FB4B40" w14:textId="7C7305A7" w:rsidR="006B463A" w:rsidRDefault="006B463A" w:rsidP="006B463A">
      <w:pPr>
        <w:spacing w:line="26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6A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Ключевые слова:</w:t>
      </w:r>
      <w:r w:rsidRPr="005B1C38">
        <w:rPr>
          <w:b/>
          <w:bCs/>
          <w:sz w:val="24"/>
          <w:szCs w:val="24"/>
          <w:lang w:eastAsia="ru-RU"/>
        </w:rPr>
        <w:t xml:space="preserve"> </w:t>
      </w:r>
      <w:r w:rsidRPr="00A66A93">
        <w:rPr>
          <w:rFonts w:ascii="Times New Roman" w:eastAsia="Times New Roman" w:hAnsi="Times New Roman" w:cs="Times New Roman"/>
          <w:sz w:val="24"/>
          <w:szCs w:val="24"/>
          <w:lang w:eastAsia="ru-RU"/>
        </w:rPr>
        <w:t>бенчмаркинг, конкурентоспособность, эволюция, стратегическое управление, механизм адаптации, сравнительный анализ.</w:t>
      </w:r>
    </w:p>
    <w:p w14:paraId="63ACC210" w14:textId="1EA8DFBB" w:rsidR="008C5196" w:rsidRDefault="008C5196" w:rsidP="006B463A">
      <w:pPr>
        <w:spacing w:line="26" w:lineRule="atLeast"/>
        <w:rPr>
          <w:i/>
          <w:iCs/>
          <w:sz w:val="24"/>
          <w:szCs w:val="24"/>
          <w:lang w:eastAsia="ru-RU"/>
        </w:rPr>
      </w:pPr>
      <w:r w:rsidRPr="008C5196">
        <w:rPr>
          <w:rFonts w:ascii="Times New Roman" w:eastAsia="Calibri" w:hAnsi="Times New Roman" w:cs="Times New Roman"/>
          <w:b/>
          <w:sz w:val="24"/>
          <w:szCs w:val="24"/>
        </w:rPr>
        <w:t>Цитирование.</w:t>
      </w:r>
      <w:r>
        <w:rPr>
          <w:i/>
          <w:iCs/>
          <w:sz w:val="24"/>
          <w:szCs w:val="24"/>
          <w:lang w:eastAsia="ru-RU"/>
        </w:rPr>
        <w:t xml:space="preserve"> </w:t>
      </w:r>
      <w:r w:rsidRPr="008C5196">
        <w:rPr>
          <w:rFonts w:ascii="Times New Roman" w:eastAsia="Calibri" w:hAnsi="Times New Roman" w:cs="Times New Roman"/>
          <w:sz w:val="24"/>
          <w:szCs w:val="24"/>
        </w:rPr>
        <w:t>Фурсов, Д. В.</w:t>
      </w:r>
      <w:r w:rsidR="000441FF">
        <w:rPr>
          <w:rFonts w:ascii="Times New Roman" w:eastAsia="Calibri" w:hAnsi="Times New Roman" w:cs="Times New Roman"/>
          <w:sz w:val="24"/>
          <w:szCs w:val="24"/>
        </w:rPr>
        <w:t>, Бубновская Т.В.</w:t>
      </w:r>
      <w:r w:rsidRPr="008C519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441FF" w:rsidRPr="000441FF">
        <w:rPr>
          <w:rFonts w:ascii="Times New Roman" w:eastAsia="Calibri" w:hAnsi="Times New Roman" w:cs="Times New Roman"/>
          <w:sz w:val="24"/>
          <w:szCs w:val="24"/>
        </w:rPr>
        <w:t>Становление и развитие концепции бенчмаркинга в контексте управле-ния конкурентоспособностью предприятий</w:t>
      </w:r>
      <w:r w:rsidRPr="008C5196">
        <w:rPr>
          <w:rFonts w:ascii="Times New Roman" w:eastAsia="Calibri" w:hAnsi="Times New Roman" w:cs="Times New Roman"/>
          <w:sz w:val="24"/>
          <w:szCs w:val="24"/>
        </w:rPr>
        <w:t xml:space="preserve"> // Вестник Волгоградского государственного университета. Экономика. — </w:t>
      </w:r>
      <w:r>
        <w:rPr>
          <w:rFonts w:ascii="Times New Roman" w:eastAsia="Calibri" w:hAnsi="Times New Roman" w:cs="Times New Roman"/>
          <w:sz w:val="24"/>
          <w:szCs w:val="24"/>
        </w:rPr>
        <w:t>год</w:t>
      </w:r>
      <w:r w:rsidRPr="008C5196">
        <w:rPr>
          <w:rFonts w:ascii="Times New Roman" w:eastAsia="Calibri" w:hAnsi="Times New Roman" w:cs="Times New Roman"/>
          <w:sz w:val="24"/>
          <w:szCs w:val="24"/>
        </w:rPr>
        <w:t xml:space="preserve">. — Т. </w:t>
      </w:r>
      <w:r>
        <w:rPr>
          <w:rFonts w:ascii="Times New Roman" w:eastAsia="Calibri" w:hAnsi="Times New Roman" w:cs="Times New Roman"/>
          <w:sz w:val="24"/>
          <w:szCs w:val="24"/>
        </w:rPr>
        <w:t>том</w:t>
      </w:r>
      <w:r w:rsidRPr="008C5196">
        <w:rPr>
          <w:rFonts w:ascii="Times New Roman" w:eastAsia="Calibri" w:hAnsi="Times New Roman" w:cs="Times New Roman"/>
          <w:sz w:val="24"/>
          <w:szCs w:val="24"/>
        </w:rPr>
        <w:t xml:space="preserve">, № </w:t>
      </w:r>
      <w:r>
        <w:rPr>
          <w:rFonts w:ascii="Times New Roman" w:eastAsia="Calibri" w:hAnsi="Times New Roman" w:cs="Times New Roman"/>
          <w:sz w:val="24"/>
          <w:szCs w:val="24"/>
        </w:rPr>
        <w:t>номер</w:t>
      </w:r>
      <w:r w:rsidRPr="008C5196">
        <w:rPr>
          <w:rFonts w:ascii="Times New Roman" w:eastAsia="Calibri" w:hAnsi="Times New Roman" w:cs="Times New Roman"/>
          <w:sz w:val="24"/>
          <w:szCs w:val="24"/>
        </w:rPr>
        <w:t xml:space="preserve">. — С. </w:t>
      </w:r>
      <w:r>
        <w:rPr>
          <w:rFonts w:ascii="Times New Roman" w:eastAsia="Calibri" w:hAnsi="Times New Roman" w:cs="Times New Roman"/>
          <w:sz w:val="24"/>
          <w:szCs w:val="24"/>
        </w:rPr>
        <w:t>страница</w:t>
      </w:r>
      <w:r w:rsidRPr="008C5196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7044D4F5" w14:textId="206B2447" w:rsidR="00506B5B" w:rsidRPr="008C5196" w:rsidRDefault="00506B5B" w:rsidP="008C5196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8C5196">
        <w:rPr>
          <w:rFonts w:ascii="Times New Roman" w:eastAsia="Calibri" w:hAnsi="Times New Roman" w:cs="Times New Roman"/>
          <w:b/>
          <w:sz w:val="28"/>
          <w:szCs w:val="28"/>
        </w:rPr>
        <w:t xml:space="preserve">Введение </w:t>
      </w:r>
    </w:p>
    <w:p w14:paraId="54176490" w14:textId="7934678F" w:rsidR="00F65873" w:rsidRPr="00F65873" w:rsidRDefault="00D80CF2" w:rsidP="00F6587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</w:t>
      </w:r>
      <w:r w:rsidR="00F65873" w:rsidRPr="00F6587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постоянно меняющихся условиях уже ставшие традиционными методы анализа перестают быть эффективными. Бенчмаркинг в науке </w:t>
      </w:r>
      <w:r w:rsidR="00E1764B" w:rsidRPr="00E1764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рассматривается недостаточно широко</w:t>
      </w:r>
      <w:r w:rsidR="00F65873" w:rsidRPr="00F6587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 часто ассоциируется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</w:t>
      </w:r>
      <w:r w:rsidR="00F65873" w:rsidRPr="00F6587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тактическими решениями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операционных задач </w:t>
      </w:r>
      <w:r w:rsidR="00F65873" w:rsidRPr="00F6587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компании</w:t>
      </w:r>
      <w:r w:rsidR="006060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  <w:r w:rsidR="00F65873" w:rsidRPr="00F6587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Это требует развития существующих подходов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14:paraId="7CEBA360" w14:textId="07BD8C1C" w:rsidR="00F65873" w:rsidRPr="00F65873" w:rsidRDefault="004008B3" w:rsidP="00F6587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4008B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Целью статьи является изучение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6060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появление и развитие</w:t>
      </w:r>
      <w:r w:rsidR="00F65873" w:rsidRPr="00F6587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бенчмаркинг</w:t>
      </w:r>
      <w:r w:rsidR="006060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</w:t>
      </w:r>
      <w:r w:rsidR="00F65873" w:rsidRPr="00F6587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 Сравнить выявленные в ходе анализа разные подходы. Рассмотреть классические и современные определения бенчмаркинга, выявить их слабости, на их основе вывести авторское определение бенчмаркинга как адаптационного механизма и предложить собственную модель работы</w:t>
      </w:r>
      <w:r w:rsidR="006060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14:paraId="64ED2A87" w14:textId="20ECAB3C" w:rsidR="00E528AC" w:rsidRPr="008C5196" w:rsidRDefault="00F65873" w:rsidP="00F6587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F6587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Новизна исследования заключается в систематизации различных подходов к бенчмаркингу и демонстрации их слабых мест. Также в отличие от изолированного рассмотрения школ, в статье предложен их совместный анализ, на основе чего представлено авторское определение и модель адаптационного бенчмаркинга.</w:t>
      </w:r>
    </w:p>
    <w:p w14:paraId="7CDBED33" w14:textId="53587EB6" w:rsidR="00506B5B" w:rsidRPr="0090183F" w:rsidRDefault="00506B5B" w:rsidP="00A053B5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90183F"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  <w:t>Теоретико-методологические основы генезиса концепции бенчмаркинга</w:t>
      </w:r>
      <w:r w:rsidR="00F65873"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  <w:t>.</w:t>
      </w:r>
    </w:p>
    <w:p w14:paraId="4C7A9826" w14:textId="3C182D86" w:rsidR="00472E13" w:rsidRDefault="00472E13" w:rsidP="00A053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bookmarkStart w:id="2" w:name="_Hlk225342695"/>
      <w:r w:rsidRPr="00472E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Бенчмаркинг как система возникал постепенно. Его появление началось с реализации трех реформ (антимонопольная, аграрная, трудовая) в послевоенной Японии, которые создали институциональные условия для внедрения передовых управленческих подходов [1]. Внедрение этих реформ было необходимо для экономического возрождения Японии, а также дало возможность изучать и применять на практике зарубежный опыт ведущих предприятий США и Европы. </w:t>
      </w:r>
      <w:r w:rsidR="006D60D7" w:rsidRPr="006D60D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Целью было не копирование, а системное заимствование с последующей адаптацией к местным условиям</w:t>
      </w:r>
      <w:r w:rsidRPr="00472E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Одновременно с этим в Японии сформировалась особая управленческая культура, ориентированная на постоянное совершенствование. Методика кайдзен была выражением этого подхода — решения принимались не единолично, а через консенсус, а </w:t>
      </w:r>
      <w:r w:rsidR="00E1764B" w:rsidRPr="00E1764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улучшения затрагивали всех сотрудников — от рядовых работников до высшего руководства </w:t>
      </w:r>
      <w:r w:rsidRPr="00472E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[1; 2]. Сочетание внутренней философии непрерывных улучшений и внешнего целенаправленного изучения чужого опыта с</w:t>
      </w:r>
      <w:r w:rsidR="002563E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тала</w:t>
      </w:r>
      <w:r w:rsidRPr="00472E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основ</w:t>
      </w:r>
      <w:r w:rsidR="002563E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ой</w:t>
      </w:r>
      <w:r w:rsidRPr="00472E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бенчмаркинга.</w:t>
      </w:r>
    </w:p>
    <w:p w14:paraId="4878CA31" w14:textId="77777777" w:rsidR="001E79A6" w:rsidRDefault="00E35A6B" w:rsidP="003162E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8C519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Следующим этапом стала деятельность компании Xerox в конце 1970-х годов, которая столкнулась с японской конкуренцией и разработала целостную методику сравнения. Именно в этот период термин "benchmarking" впервые появился в 1972 году в Институте стратегического планирования в Кембридже [3]. </w:t>
      </w:r>
      <w:r w:rsidR="003162EE" w:rsidRPr="003162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Роберт Кэмп, один из основоположников бенчмаркинга отмечал, что </w:t>
      </w:r>
      <w:bookmarkEnd w:id="2"/>
      <w:r w:rsidR="001E79A6" w:rsidRPr="001E79A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«простое сопоставление с лидером приводит к формированию статистических и аналитических данных, однако именно практическое использование </w:t>
      </w:r>
      <w:r w:rsidR="001E79A6" w:rsidRPr="001E79A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сравнительной информации для устранения пробелов в деятельности организации является конечной деятельностью бенчмаркинга» [3].</w:t>
      </w:r>
    </w:p>
    <w:p w14:paraId="5E1B66B7" w14:textId="47B01094" w:rsidR="003162EE" w:rsidRDefault="003162EE" w:rsidP="003162E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3162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 Японии 1950-х годов заимствование идей не было системным. К концу 1970-х годов Xerox разработала формализованную методологию. Она представляла собой непрерывный процесс измерения, сравнения и анализа, направленный на достижение стратегических целей.</w:t>
      </w:r>
    </w:p>
    <w:p w14:paraId="17A72459" w14:textId="77777777" w:rsidR="009C273A" w:rsidRDefault="003162EE" w:rsidP="009C273A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3162EE"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  <w:t>Влияние глобальных экономических сдвигов на становление бенчмаркинга</w:t>
      </w:r>
      <w:r w:rsidR="009C273A"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  <w:t>.</w:t>
      </w:r>
    </w:p>
    <w:p w14:paraId="5E72E48F" w14:textId="39088A1C" w:rsidR="00472E13" w:rsidRPr="001B026F" w:rsidRDefault="003162EE" w:rsidP="00A053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bdr w:val="none" w:sz="0" w:space="0" w:color="auto" w:frame="1"/>
          <w:lang w:eastAsia="ru-RU"/>
        </w:rPr>
      </w:pPr>
      <w:r w:rsidRPr="003162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Становление бенчмаркинга как системного инструмента происходило во второй половине XX века. В этот период мировая экономика претерпевала серьезные изменения. Это повлияло на то, как компании подходили к управлению.</w:t>
      </w:r>
    </w:p>
    <w:p w14:paraId="1311BD19" w14:textId="30E7DB65" w:rsidR="00F34CD4" w:rsidRDefault="003162EE" w:rsidP="00A053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3162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Среди этих изменений можно выделить глобализацию. Компании впервые столкнулись с международными конкурентами [4].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F34CD4" w:rsidRPr="00F34CD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Это заставило их не ограничиваться анализом лишь локальных рынков, а начать изучать лучшие мировые практики для сохранения конкурентоспособности.</w:t>
      </w:r>
    </w:p>
    <w:p w14:paraId="743FA0E6" w14:textId="596C55B8" w:rsidR="000223DD" w:rsidRDefault="000223DD" w:rsidP="00A053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0223D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Насыщение рынков в развитых странах обострило конкуренцию. </w:t>
      </w:r>
      <w:r w:rsidR="00E1764B" w:rsidRPr="00E1764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 первый план для потребителя вышли не столько продукты, сколько уровень сервиса</w:t>
      </w:r>
      <w:r w:rsidRPr="000223D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а для компаний внутренняя эффективность и качество процессов. Бенчмаркинг позволял выявлять такие резервы [4].</w:t>
      </w:r>
    </w:p>
    <w:p w14:paraId="55E15ED2" w14:textId="09D2EAC2" w:rsidR="003D74F8" w:rsidRDefault="00437F55" w:rsidP="00A053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437F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Т.Е. Бакина и О.В. Карамова, изу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ч</w:t>
      </w:r>
      <w:r w:rsidRPr="00437F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ая причины перехода к постиндустриальной экономике, </w:t>
      </w:r>
      <w:r w:rsidR="00731C6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пишут</w:t>
      </w:r>
      <w:r w:rsidRPr="00437F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что, в постиндустриальной экономике «научные работники занимают важное место и являются движущей силой экономики, так как знания — это главная черта постиндустриализации». Также авторы отмечают, что «экономика современных стран требует от работников высокий образовательный уровень» [5]. </w:t>
      </w:r>
      <w:r w:rsidR="003D74F8" w:rsidRPr="003D74F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 такой ситуации компаниям был необходим инструмент, позволяющий восполнять дефицит знаний и оперативнее внедрять прогрессивные решения [4; 5]. Таким инструментом стал бенчмаркинг.</w:t>
      </w:r>
    </w:p>
    <w:p w14:paraId="04E4EAB4" w14:textId="02E61F50" w:rsidR="003D74F8" w:rsidRDefault="003D74F8" w:rsidP="003D74F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3D74F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 xml:space="preserve">Бенчмаркинг стал необходимым элементом стратегического управления </w:t>
      </w:r>
      <w:r w:rsidR="004008B3" w:rsidRPr="004008B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под влиянием трех факторов</w:t>
      </w:r>
      <w:r w:rsidRPr="003D74F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: глобализации, усиления конкуренции и перехода к экономике знаний.</w:t>
      </w:r>
    </w:p>
    <w:p w14:paraId="267920C4" w14:textId="08537610" w:rsidR="00506B5B" w:rsidRPr="0090183F" w:rsidRDefault="00506B5B" w:rsidP="00A053B5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90183F"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  <w:t>Эволюция бенчмаркинга: от производства к стратегии</w:t>
      </w:r>
    </w:p>
    <w:p w14:paraId="18BA0187" w14:textId="68333F24" w:rsidR="00437F55" w:rsidRDefault="00437F55" w:rsidP="00CD07B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437F5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Исследователи Т.В. Тилиндис и М.А. Демченко пишут: «эволюция бенчмаркинга прошла путь от простого сравнения показателей до комплексного инструмента стратегического управления, включающего анализ процессов, продуктов и бизнес-моделей» [6].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EC370A" w:rsidRPr="00EC37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Согласно исследованию Ф. Мартинеса-Плумеда, «динамика бенчмаркинга отражает переход от статичных бенчмарков к гибким системам оценки, адаптирующимся к изменениям внешней среды» [8].</w:t>
      </w:r>
    </w:p>
    <w:p w14:paraId="29C339F6" w14:textId="6237FB8B" w:rsidR="00CD07BE" w:rsidRPr="00CD07BE" w:rsidRDefault="00CD07BE" w:rsidP="00CD07B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CD07B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Первый этап — производственный бенчмаркинг. Метод возник как способ поиска и отбора наилучших практик операционной деятельности. Анализировались отдельные процессы, уровень технологий и показатели эффективности [6; 7].</w:t>
      </w:r>
    </w:p>
    <w:p w14:paraId="4B864EA6" w14:textId="5D3B93ED" w:rsidR="00CD07BE" w:rsidRPr="00CD07BE" w:rsidRDefault="00CD07BE" w:rsidP="00CD07B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CD07B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Вторым этапом стал бенчмаркинг конкурентоспособности. Он предполагал прямое сравнение с конкурентами. Стали изучаться продукты и параметры эффективности. Иными словами, эталоном выступали конкурентные преимущества, а не процессы. Стремление не отставать от конкурентов перестает быть инструментом анализа и превращается в самоцель. Реальное улучшение компании отходит на второй план. Предприятия следуют не собственной логике бизнеса, а показателям лидеров отрасли [8].</w:t>
      </w:r>
    </w:p>
    <w:p w14:paraId="354725D1" w14:textId="0138059A" w:rsidR="00CD07BE" w:rsidRPr="00CD07BE" w:rsidRDefault="00CD07BE" w:rsidP="00CD07B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CD07B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 третьем этапе начинают изучаться бизнес-модели, системы управления и стратегии — не только конкурентов, но и представителей других отраслей. Со стратегическим бенчмаркингом возникает та же проблема, что и на втором этапе: успех измеряется приближением к рекорду [9].</w:t>
      </w:r>
    </w:p>
    <w:p w14:paraId="7BF07D76" w14:textId="22A07868" w:rsidR="00CD07BE" w:rsidRPr="00CD07BE" w:rsidRDefault="00CD07BE" w:rsidP="00CD07B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CD07B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Современный этап — адаптационный бенчмаркинг. Здесь бенчмаркинг становится непрерывным процессом и теряет проектную специфику. Компании больше не ориентируются на отдельный процесс, инновацию, тренд или </w:t>
      </w:r>
      <w:r w:rsidRPr="00CD07B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потребности клиентов. Целью адаптационного бенчмаркинга становится способность к обучению и приспособлению к внешней среде [6; 10].</w:t>
      </w:r>
    </w:p>
    <w:p w14:paraId="1660344E" w14:textId="540A1A51" w:rsidR="00CD07BE" w:rsidRDefault="00CD07BE" w:rsidP="00CD07B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CD07B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Анализ смены этапов показывает, что бенчмаркинг, ранее использовавшийся как инструмент копирования удачных операционных решений, стал неотъемлемым инструментом стратегического управления и адаптации к изменениям.</w:t>
      </w:r>
    </w:p>
    <w:p w14:paraId="2C42D751" w14:textId="6812053F" w:rsidR="008E2FF7" w:rsidRPr="008C5196" w:rsidRDefault="008E2FF7" w:rsidP="00CD07B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8C5196">
        <w:rPr>
          <w:rFonts w:ascii="Times New Roman" w:eastAsia="Calibri" w:hAnsi="Times New Roman" w:cs="Times New Roman"/>
          <w:b/>
          <w:color w:val="000000"/>
          <w:sz w:val="28"/>
          <w:szCs w:val="28"/>
          <w:shd w:val="clear" w:color="auto" w:fill="FFFFFF"/>
        </w:rPr>
        <w:t>Сравнительный анализ школ и подходов в бенчмаркинге</w:t>
      </w:r>
    </w:p>
    <w:p w14:paraId="09EED337" w14:textId="1D131F07" w:rsidR="001379CF" w:rsidRPr="001379CF" w:rsidRDefault="001379CF" w:rsidP="001379C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bookmarkStart w:id="3" w:name="_Hlk225448871"/>
      <w:r w:rsidRPr="001379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Бенчмаркинг и его вариации формировались постепенно и одновременно разными национальными школами.</w:t>
      </w:r>
    </w:p>
    <w:p w14:paraId="16AE2A7E" w14:textId="668DBE63" w:rsidR="001379CF" w:rsidRPr="001379CF" w:rsidRDefault="001379CF" w:rsidP="001379C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1379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Американская школа возникла благодаря трудам Роберта Кэмпа и деятельности компании Xerox. До Кэмпа заимствование чужих идей </w:t>
      </w:r>
      <w:r w:rsidR="006D60D7" w:rsidRPr="006D60D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не носило системного характера</w:t>
      </w:r>
      <w:r w:rsidRPr="001379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 Появились четкие этапы (планирование, сбор данных, анализ, внедрение) которые</w:t>
      </w:r>
      <w:r w:rsidR="004008B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</w:t>
      </w:r>
      <w:r w:rsidRPr="001379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регулярно повторялись и были частью стратегии компании. Кэмп сместил фокус с показателей на процесс: если раньше эталоном был, например, процент брака, то теперь — система, которая этот процент уменьшала. Он определял бенчмаркинг </w:t>
      </w:r>
      <w:r w:rsidR="00942D93" w:rsidRPr="00942D9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как «поиск лучших отраслевых практик, которые ведут к превосходным результатам» [11, с. 3].</w:t>
      </w:r>
      <w:r w:rsidRPr="001379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9D0ED1" w:rsidRPr="009D0ED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 своей книге он также подчёркивал, что бенчмаркинг — это «непрерывный процесс измерения, сравнения и анализа, направленный на достижение стратегических целей» [11, с. 5].</w:t>
      </w:r>
      <w:r w:rsidR="009D0ED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1379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Ценностью стало не констатация отставания, а устранение выявленных недостатков [3].</w:t>
      </w:r>
    </w:p>
    <w:p w14:paraId="607CB7C3" w14:textId="21344CB4" w:rsidR="001379CF" w:rsidRPr="001B026F" w:rsidRDefault="001379CF" w:rsidP="001379C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bdr w:val="none" w:sz="0" w:space="0" w:color="auto" w:frame="1"/>
          <w:lang w:eastAsia="ru-RU"/>
        </w:rPr>
      </w:pPr>
      <w:r w:rsidRPr="001379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Японский подход был заложен кайдзен и системой канбан. В противовес американской школе, японская утверждала, что улучшения внутри компании должны исходить из работы ее собственных процессов, а не от конкурентов. </w:t>
      </w:r>
      <w:r w:rsidR="00942D93" w:rsidRPr="00942D9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Философия кайдзен предполагала постоянное улучшение, в которое включены все сотрудники компании, а не только руководители или специальные отделы [1; 2]. По словам его основоположника Масааки Имаи, кайдзен означает «непрерывное совершенствование с участием всех — как менеджеров, так и рабочих» [12, с. 3].</w:t>
      </w:r>
      <w:r w:rsidR="00942D9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137FF6" w:rsidRPr="00137FF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 японском подходе приоритет отдавался качеству. Устранение коренных причин проблем ставилось выше погони за показателями </w:t>
      </w:r>
      <w:r w:rsidR="00137FF6" w:rsidRPr="00137FF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 xml:space="preserve">эффективности. </w:t>
      </w:r>
      <w:r w:rsidR="00183E2F" w:rsidRPr="00183E2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Система канбан стала реализацией этой философии, получившей развитие на предприятиях Toyota</w:t>
      </w:r>
      <w:r w:rsidR="00137FF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  <w:r w:rsidR="00137FF6" w:rsidRPr="00137FF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На производственных линиях задачи визуализировались с помощью карточек канбан, перемещение которых по доске позволяло отслеживать последовательность операций. Контроль работы велся на каждом этапе, позволяя оперативно выявлять недостатки. Процессы постоянно пересматривались и корректировались [12, с. 5-15; 13].</w:t>
      </w:r>
      <w:r w:rsidR="00514C3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514C3B" w:rsidRPr="00514C3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 мнению Е.В. Котляр и Е.М. Пушкарева, «</w:t>
      </w:r>
      <w:r w:rsidR="009D0ED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</w:t>
      </w:r>
      <w:r w:rsidR="00514C3B" w:rsidRPr="00514C3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истема канбан позволяет визуализировать производственные процессы, выявлять узкие места и оперативно реагировать на отклонения» [13, с. 58].</w:t>
      </w:r>
    </w:p>
    <w:p w14:paraId="5EC10BAE" w14:textId="3E528C3B" w:rsidR="00183E2F" w:rsidRPr="00B0573E" w:rsidRDefault="00183E2F" w:rsidP="001379C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bdr w:val="none" w:sz="0" w:space="0" w:color="auto" w:frame="1"/>
          <w:lang w:eastAsia="ru-RU"/>
        </w:rPr>
      </w:pPr>
      <w:r w:rsidRPr="00183E2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Европейский подход к бенчмаркингу связан с моделью EFQM, разработанной в конце 1980-х годов. Она делает акцент на устойчивой ценности для всех заинтересованных сторон. К ним относятся не только потребители, но и сотрудники, партнеры, общество и государство. </w:t>
      </w:r>
      <w:r w:rsidR="00942D93" w:rsidRPr="00942D9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Обновленная модель EFQM 2020 «смещает акцент с предписывающего подхода к более гибкому, подчёркивая адаптивность и устойчивость» [14].</w:t>
      </w:r>
      <w:r w:rsidR="00942D9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514C3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</w:t>
      </w:r>
      <w:r w:rsidR="00514C3B" w:rsidRPr="00514C3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одель EFQM 2020 «основана на связи между целью и стратегией организации, согласованной с Целями устойчивого развития ООН, чтобы одновременно обеспечивать результаты и трансформацию, создавая долгосрочную ценность для ключевых заинтересованных сторон» [14].</w:t>
      </w:r>
      <w:r w:rsidR="00EC37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514C3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EC370A" w:rsidRPr="00EC37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Л. Фонсека и соавторы</w:t>
      </w:r>
      <w:r w:rsidR="00EC37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в своем исследовании пишут</w:t>
      </w:r>
      <w:r w:rsidR="00EC370A" w:rsidRPr="00EC37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</w:t>
      </w:r>
      <w:r w:rsidR="00EC37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что</w:t>
      </w:r>
      <w:r w:rsidR="00EC370A" w:rsidRPr="00EC37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«концепция Quality 4.0 предполагает интеграцию цифровых технологий в управление качеством, а формирование экосистем способствует сочетанию конкуренции и кооперации» [15].</w:t>
      </w:r>
      <w:r w:rsidR="00EC37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</w:p>
    <w:p w14:paraId="4E120C8F" w14:textId="77777777" w:rsidR="008E374F" w:rsidRDefault="008E374F" w:rsidP="001379C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8E374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Несмотря на очевидные различия, школы бенчмаркинга сходятся в системном подходе, ориентации на изменения и необходимости адаптации, а различия между ними состоят в области применения. Для подхода американской школы больше подходят четко организованные и повторяющиеся процессы, такие как, например, логистика и производство, в силу того что она дает четкие этапы и инструменты для оперативных изменений. Японский подход ставит акцент на вовлеченности персонала в процесс улучшений, что впоследствии делает улучшения нормой для сотрудников. Европейская школа, в свою </w:t>
      </w:r>
      <w:r w:rsidRPr="008E374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очередь, ориентирована на стратегическое развитие, стараясь держать баланс между устойчивым развитием, эффективностью и адаптивностью к среде.</w:t>
      </w:r>
    </w:p>
    <w:p w14:paraId="6C9D2C76" w14:textId="45F7CA20" w:rsidR="0080688E" w:rsidRDefault="001379CF" w:rsidP="001379C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1379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Сегодня компании редко ограничиваются какой-то одной школой, чаще комбинируя их подходы. Ниже представлена таблица, обобщающая сходства и различия разных школ </w:t>
      </w:r>
      <w:r w:rsidR="0080688E" w:rsidRPr="001379C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(Таблица 1).</w:t>
      </w:r>
    </w:p>
    <w:bookmarkEnd w:id="3"/>
    <w:p w14:paraId="6B1F9BEC" w14:textId="175680F0" w:rsidR="00691E07" w:rsidRPr="000A531A" w:rsidRDefault="00691E07" w:rsidP="00A053B5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</w:pPr>
      <w:r w:rsidRPr="008C519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Таблица</w:t>
      </w:r>
      <w:r w:rsidRPr="000A531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1</w:t>
      </w:r>
      <w:r w:rsidR="000A531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</w:t>
      </w:r>
      <w:r w:rsidR="000A531A" w:rsidRPr="008806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Сравнительная характеристика основных школ бенчмаркинга</w:t>
      </w:r>
      <w:r w:rsidR="000A531A" w:rsidRPr="000A531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  <w:r w:rsidR="000A531A" w:rsidRPr="000A531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Table</w:t>
      </w:r>
      <w:r w:rsidR="000A531A" w:rsidRPr="000A531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1</w:t>
      </w:r>
      <w:r w:rsidR="000A531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  <w:r w:rsidR="000A531A" w:rsidRPr="000A531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0A531A" w:rsidRPr="008806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val="en-US" w:eastAsia="ru-RU"/>
        </w:rPr>
        <w:t>Comparative Characteristics of the Main Benchmarking Schools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864"/>
        <w:gridCol w:w="2692"/>
        <w:gridCol w:w="2503"/>
        <w:gridCol w:w="2286"/>
      </w:tblGrid>
      <w:tr w:rsidR="007A6036" w:rsidRPr="008C5196" w14:paraId="0A4F43A3" w14:textId="77777777" w:rsidTr="000A531A">
        <w:tc>
          <w:tcPr>
            <w:tcW w:w="1864" w:type="dxa"/>
          </w:tcPr>
          <w:p w14:paraId="2D366128" w14:textId="3DE75F67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Критерий для сравнения</w:t>
            </w:r>
          </w:p>
        </w:tc>
        <w:tc>
          <w:tcPr>
            <w:tcW w:w="2692" w:type="dxa"/>
          </w:tcPr>
          <w:p w14:paraId="1A39F9B9" w14:textId="4F8887D0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Американская школа</w:t>
            </w:r>
          </w:p>
        </w:tc>
        <w:tc>
          <w:tcPr>
            <w:tcW w:w="2503" w:type="dxa"/>
          </w:tcPr>
          <w:p w14:paraId="3D2DFEE8" w14:textId="43CF03BD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Японская школа</w:t>
            </w:r>
          </w:p>
        </w:tc>
        <w:tc>
          <w:tcPr>
            <w:tcW w:w="2286" w:type="dxa"/>
          </w:tcPr>
          <w:p w14:paraId="2898D5D0" w14:textId="77CF46F1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Европейская школа</w:t>
            </w:r>
          </w:p>
        </w:tc>
      </w:tr>
      <w:tr w:rsidR="007A6036" w:rsidRPr="008C5196" w14:paraId="307E0083" w14:textId="77777777" w:rsidTr="000A531A">
        <w:tc>
          <w:tcPr>
            <w:tcW w:w="1864" w:type="dxa"/>
          </w:tcPr>
          <w:p w14:paraId="62E851F7" w14:textId="70377D70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Философская основа</w:t>
            </w:r>
          </w:p>
        </w:tc>
        <w:tc>
          <w:tcPr>
            <w:tcW w:w="2692" w:type="dxa"/>
          </w:tcPr>
          <w:p w14:paraId="059D5C55" w14:textId="1BD41293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Процессный подход, стандартизация, практицизм</w:t>
            </w:r>
          </w:p>
        </w:tc>
        <w:tc>
          <w:tcPr>
            <w:tcW w:w="2503" w:type="dxa"/>
          </w:tcPr>
          <w:p w14:paraId="00EBD611" w14:textId="31D93FA2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Философия непрерывного улучшения (Кайдзен), бережливое производство</w:t>
            </w:r>
          </w:p>
        </w:tc>
        <w:tc>
          <w:tcPr>
            <w:tcW w:w="2286" w:type="dxa"/>
          </w:tcPr>
          <w:p w14:paraId="727FEB97" w14:textId="766B0676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Системный подход, создание устойчивой ценности, сбалансированное развитие</w:t>
            </w:r>
          </w:p>
        </w:tc>
      </w:tr>
      <w:tr w:rsidR="007A6036" w:rsidRPr="008C5196" w14:paraId="3FBA21C6" w14:textId="77777777" w:rsidTr="000A531A">
        <w:tc>
          <w:tcPr>
            <w:tcW w:w="1864" w:type="dxa"/>
          </w:tcPr>
          <w:p w14:paraId="1DE28B19" w14:textId="02E3CA31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Ключевой фокус</w:t>
            </w:r>
          </w:p>
        </w:tc>
        <w:tc>
          <w:tcPr>
            <w:tcW w:w="2692" w:type="dxa"/>
          </w:tcPr>
          <w:p w14:paraId="16FF117B" w14:textId="77D06DDF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Процессы, операционные показатели, эффективность</w:t>
            </w:r>
          </w:p>
        </w:tc>
        <w:tc>
          <w:tcPr>
            <w:tcW w:w="2503" w:type="dxa"/>
          </w:tcPr>
          <w:p w14:paraId="524E5587" w14:textId="12140D70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Качество, устранение потерь, вовлечение персонала</w:t>
            </w:r>
          </w:p>
        </w:tc>
        <w:tc>
          <w:tcPr>
            <w:tcW w:w="2286" w:type="dxa"/>
          </w:tcPr>
          <w:p w14:paraId="2233FE93" w14:textId="26542AD3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Стратегическое развитие организации в целом, баланс интересов стейкхолдеров</w:t>
            </w:r>
          </w:p>
        </w:tc>
      </w:tr>
      <w:tr w:rsidR="007A6036" w:rsidRPr="008C5196" w14:paraId="567EBD3B" w14:textId="77777777" w:rsidTr="000A531A">
        <w:tc>
          <w:tcPr>
            <w:tcW w:w="1864" w:type="dxa"/>
          </w:tcPr>
          <w:p w14:paraId="62AE70A2" w14:textId="05FBAFC8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Основная цель</w:t>
            </w:r>
          </w:p>
        </w:tc>
        <w:tc>
          <w:tcPr>
            <w:tcW w:w="2692" w:type="dxa"/>
          </w:tcPr>
          <w:p w14:paraId="5923F089" w14:textId="239337F1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Достижение операционного превосходства через заимствование лучших практик</w:t>
            </w:r>
          </w:p>
        </w:tc>
        <w:tc>
          <w:tcPr>
            <w:tcW w:w="2503" w:type="dxa"/>
          </w:tcPr>
          <w:p w14:paraId="52CF9102" w14:textId="61D5D970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Достижение операционного совершенства через непрерывные эволюционные улучшения</w:t>
            </w:r>
          </w:p>
        </w:tc>
        <w:tc>
          <w:tcPr>
            <w:tcW w:w="2286" w:type="dxa"/>
          </w:tcPr>
          <w:p w14:paraId="7FFAE060" w14:textId="64038310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Создание устойчивой ценности для всех заинтересованных сторон, стратегическая гибкость</w:t>
            </w:r>
          </w:p>
        </w:tc>
      </w:tr>
      <w:tr w:rsidR="007A6036" w:rsidRPr="008C5196" w14:paraId="2B09B330" w14:textId="77777777" w:rsidTr="000A531A">
        <w:tc>
          <w:tcPr>
            <w:tcW w:w="1864" w:type="dxa"/>
          </w:tcPr>
          <w:p w14:paraId="572E7219" w14:textId="75C7F3CC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Подход к улучшениям</w:t>
            </w:r>
          </w:p>
        </w:tc>
        <w:tc>
          <w:tcPr>
            <w:tcW w:w="2692" w:type="dxa"/>
          </w:tcPr>
          <w:p w14:paraId="2BDC17FA" w14:textId="12E0C409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Прерывистый, прорывной (через целенаправленные проекты)</w:t>
            </w:r>
          </w:p>
        </w:tc>
        <w:tc>
          <w:tcPr>
            <w:tcW w:w="2503" w:type="dxa"/>
          </w:tcPr>
          <w:p w14:paraId="3590A511" w14:textId="53CD4889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Непрерывный, эволюционный (постоянные мелкие улучшения)</w:t>
            </w:r>
          </w:p>
        </w:tc>
        <w:tc>
          <w:tcPr>
            <w:tcW w:w="2286" w:type="dxa"/>
          </w:tcPr>
          <w:p w14:paraId="09194F73" w14:textId="0564A39D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Адаптивный, стратегический, ориентированный на изменения во внешней среде</w:t>
            </w:r>
          </w:p>
        </w:tc>
      </w:tr>
      <w:tr w:rsidR="007A6036" w:rsidRPr="008C5196" w14:paraId="7BE9B7C6" w14:textId="77777777" w:rsidTr="000A531A">
        <w:tc>
          <w:tcPr>
            <w:tcW w:w="1864" w:type="dxa"/>
          </w:tcPr>
          <w:p w14:paraId="2E2C0C0F" w14:textId="00E56A79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Роль сотрудников</w:t>
            </w:r>
          </w:p>
        </w:tc>
        <w:tc>
          <w:tcPr>
            <w:tcW w:w="2692" w:type="dxa"/>
          </w:tcPr>
          <w:p w14:paraId="6AD76A32" w14:textId="7C324C6A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Специалисты и менеджеры, ответственные за процесс</w:t>
            </w:r>
          </w:p>
        </w:tc>
        <w:tc>
          <w:tcPr>
            <w:tcW w:w="2503" w:type="dxa"/>
          </w:tcPr>
          <w:p w14:paraId="6511FCB1" w14:textId="30AA8202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Абсолютно все работники, руководитель как наставник</w:t>
            </w:r>
          </w:p>
        </w:tc>
        <w:tc>
          <w:tcPr>
            <w:tcW w:w="2286" w:type="dxa"/>
          </w:tcPr>
          <w:p w14:paraId="7E180E4E" w14:textId="184A63B7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Система управления, вовлекающая персонал в рамках организационного развития</w:t>
            </w:r>
          </w:p>
        </w:tc>
      </w:tr>
      <w:tr w:rsidR="007A6036" w:rsidRPr="008C5196" w14:paraId="183E9D23" w14:textId="77777777" w:rsidTr="000A531A">
        <w:tc>
          <w:tcPr>
            <w:tcW w:w="1864" w:type="dxa"/>
          </w:tcPr>
          <w:p w14:paraId="503C276E" w14:textId="78E026EA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Объект анализа / Эталон</w:t>
            </w:r>
          </w:p>
        </w:tc>
        <w:tc>
          <w:tcPr>
            <w:tcW w:w="2692" w:type="dxa"/>
          </w:tcPr>
          <w:p w14:paraId="2EC19495" w14:textId="4A41CB21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Компании-лидеры рынка (чаще внутри отрасли)</w:t>
            </w:r>
          </w:p>
        </w:tc>
        <w:tc>
          <w:tcPr>
            <w:tcW w:w="2503" w:type="dxa"/>
          </w:tcPr>
          <w:p w14:paraId="536DE800" w14:textId="591A8F06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Внутренние процессы, лучшие практики внутри компании и у лидеров</w:t>
            </w:r>
          </w:p>
        </w:tc>
        <w:tc>
          <w:tcPr>
            <w:tcW w:w="2286" w:type="dxa"/>
          </w:tcPr>
          <w:p w14:paraId="3A6A39F7" w14:textId="6AEDB171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Лучшие практики компаний-лидеров (в т.ч. кросс-отраслевые), модели совершенства (напр., EFQM)</w:t>
            </w:r>
          </w:p>
        </w:tc>
      </w:tr>
      <w:tr w:rsidR="007A6036" w:rsidRPr="008C5196" w14:paraId="547BCEFB" w14:textId="77777777" w:rsidTr="000A531A">
        <w:tc>
          <w:tcPr>
            <w:tcW w:w="1864" w:type="dxa"/>
          </w:tcPr>
          <w:p w14:paraId="351F0A7A" w14:textId="3BBD3B34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Ключевые представители / Методы</w:t>
            </w:r>
          </w:p>
        </w:tc>
        <w:tc>
          <w:tcPr>
            <w:tcW w:w="2692" w:type="dxa"/>
          </w:tcPr>
          <w:p w14:paraId="02E1BE18" w14:textId="65951D2B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Р. Кэмп (Xerox), формализованные методики</w:t>
            </w:r>
          </w:p>
        </w:tc>
        <w:tc>
          <w:tcPr>
            <w:tcW w:w="2503" w:type="dxa"/>
          </w:tcPr>
          <w:p w14:paraId="2946550B" w14:textId="248CEE50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Масааки Имаи (Кайдзен), Тайити Оно (Канбан, Toyota Production System)</w:t>
            </w:r>
          </w:p>
        </w:tc>
        <w:tc>
          <w:tcPr>
            <w:tcW w:w="2286" w:type="dxa"/>
          </w:tcPr>
          <w:p w14:paraId="0A3954ED" w14:textId="4D9F37EC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Модель совершенства EFQM, Всеобщее управление качеством (TQM)</w:t>
            </w:r>
          </w:p>
        </w:tc>
      </w:tr>
      <w:tr w:rsidR="007A6036" w:rsidRPr="008C5196" w14:paraId="02084104" w14:textId="77777777" w:rsidTr="000A531A">
        <w:tc>
          <w:tcPr>
            <w:tcW w:w="1864" w:type="dxa"/>
          </w:tcPr>
          <w:p w14:paraId="2CC04695" w14:textId="70312FCC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Сильные стороны / Контекст</w:t>
            </w:r>
          </w:p>
        </w:tc>
        <w:tc>
          <w:tcPr>
            <w:tcW w:w="2692" w:type="dxa"/>
          </w:tcPr>
          <w:p w14:paraId="67607BF9" w14:textId="2A03A7DC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Эффективна для быстрого внедрения </w:t>
            </w: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проверенных решений и достижения операционной эффективности в стандартизированных процессах.</w:t>
            </w:r>
          </w:p>
        </w:tc>
        <w:tc>
          <w:tcPr>
            <w:tcW w:w="2503" w:type="dxa"/>
          </w:tcPr>
          <w:p w14:paraId="7B80E1FC" w14:textId="694B7B69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 xml:space="preserve">Эффективна для построения культуры </w:t>
            </w: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качества и постоянного совершенствования, достижения максимальной операционной эффективности.</w:t>
            </w:r>
          </w:p>
        </w:tc>
        <w:tc>
          <w:tcPr>
            <w:tcW w:w="2286" w:type="dxa"/>
          </w:tcPr>
          <w:p w14:paraId="1A6A7B48" w14:textId="0FCA58D8" w:rsidR="007A6036" w:rsidRPr="008806C9" w:rsidRDefault="007A6036" w:rsidP="00A053B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 xml:space="preserve">Эффективна для комплексного </w:t>
            </w:r>
            <w:r w:rsidRPr="008806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стратегического развития, обеспечения устойчивости и гибкости в динамичной среде.</w:t>
            </w:r>
          </w:p>
        </w:tc>
      </w:tr>
    </w:tbl>
    <w:p w14:paraId="3AF499C9" w14:textId="672220D0" w:rsidR="007A6036" w:rsidRPr="000A531A" w:rsidRDefault="000A531A" w:rsidP="00A053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0A531A">
        <w:rPr>
          <w:rFonts w:ascii="Times New Roman" w:eastAsia="Times New Roman" w:hAnsi="Times New Roman" w:cs="Times New Roman"/>
          <w:i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Примечание.</w:t>
      </w:r>
      <w:r w:rsidRPr="000A531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0A531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Составлено автором по: [1], [2], [3], [7], [8], [12], [13], [14].</w:t>
      </w:r>
    </w:p>
    <w:p w14:paraId="64E51EB0" w14:textId="4E0ADAE4" w:rsidR="007A6036" w:rsidRPr="008C5196" w:rsidRDefault="0080688E" w:rsidP="00A053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80688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Представленная матрица показывает, что школы бенчмаркинга предлагают разные, но дополняющие друг друга пути к конкурентным преимуществам: американская дает методологическую основу и ориентацию на отраслевой опыт, японская формирует культуру непрерывных улучшений, а европейская задает стратегические рамки устойчивого развития. Их синтез позволяет предприятиям создавать гибкие системы, которые работают и на операционном, и на стратегическом уровне</w:t>
      </w:r>
      <w:r w:rsidR="00691E07" w:rsidRPr="008C519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14:paraId="28AFB82E" w14:textId="6E793295" w:rsidR="008E2FF7" w:rsidRPr="0090183F" w:rsidRDefault="008E2FF7" w:rsidP="00A053B5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  <w:r w:rsidRPr="0090183F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Формирование авторской концепции бенчмаркинга как механизма адаптации</w:t>
      </w:r>
    </w:p>
    <w:p w14:paraId="42CC9F93" w14:textId="70FD69F5" w:rsidR="00C64987" w:rsidRDefault="00936BF9" w:rsidP="00A053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936B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Подходы к определению бенчмаркинга в научной литературе эволюционировали от узкого понимания инструмента сравнения до комплексной управленческой философии. Систематизация этих подходов представлена в Таблице 2</w:t>
      </w:r>
      <w:r w:rsidR="00C64987" w:rsidRPr="008C519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14:paraId="03C95E95" w14:textId="07DE383F" w:rsidR="008806C9" w:rsidRDefault="008806C9" w:rsidP="00A053B5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8806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Таблица 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</w:t>
      </w:r>
      <w:r w:rsidRPr="008806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Систематизация подходов к определению понятия «бенчмаркинг»</w:t>
      </w:r>
    </w:p>
    <w:p w14:paraId="732088B9" w14:textId="1AE9EB1D" w:rsidR="008806C9" w:rsidRPr="008806C9" w:rsidRDefault="008806C9" w:rsidP="00A053B5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</w:pPr>
      <w:r w:rsidRPr="008806C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Table 2. </w:t>
      </w:r>
      <w:r w:rsidRPr="008806C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val="en-US" w:eastAsia="ru-RU"/>
        </w:rPr>
        <w:t>Systematization of Approaches to Defining the Concept of "Benchmarking"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799"/>
        <w:gridCol w:w="5230"/>
        <w:gridCol w:w="2316"/>
      </w:tblGrid>
      <w:tr w:rsidR="00C64987" w:rsidRPr="008C5196" w14:paraId="5377FEC3" w14:textId="77777777" w:rsidTr="008806C9">
        <w:tc>
          <w:tcPr>
            <w:tcW w:w="1799" w:type="dxa"/>
          </w:tcPr>
          <w:p w14:paraId="17D29A4A" w14:textId="49F1AA1D" w:rsidR="00C64987" w:rsidRPr="008806C9" w:rsidRDefault="00C64987" w:rsidP="00A053B5">
            <w:pPr>
              <w:pStyle w:val="unstyled"/>
              <w:spacing w:before="0" w:beforeAutospacing="0" w:after="0" w:afterAutospacing="0"/>
              <w:jc w:val="both"/>
              <w:textAlignment w:val="baseline"/>
              <w:rPr>
                <w:color w:val="000000"/>
                <w:bdr w:val="none" w:sz="0" w:space="0" w:color="auto" w:frame="1"/>
              </w:rPr>
            </w:pPr>
            <w:r w:rsidRPr="008806C9">
              <w:rPr>
                <w:color w:val="000000"/>
                <w:bdr w:val="none" w:sz="0" w:space="0" w:color="auto" w:frame="1"/>
              </w:rPr>
              <w:t>Автор / Источник</w:t>
            </w:r>
          </w:p>
        </w:tc>
        <w:tc>
          <w:tcPr>
            <w:tcW w:w="5230" w:type="dxa"/>
          </w:tcPr>
          <w:p w14:paraId="0575D803" w14:textId="5717F173" w:rsidR="00C64987" w:rsidRPr="008806C9" w:rsidRDefault="00C64987" w:rsidP="00A053B5">
            <w:pPr>
              <w:pStyle w:val="unstyled"/>
              <w:spacing w:before="0" w:beforeAutospacing="0" w:after="0" w:afterAutospacing="0"/>
              <w:jc w:val="both"/>
              <w:textAlignment w:val="baseline"/>
              <w:rPr>
                <w:color w:val="000000"/>
                <w:bdr w:val="none" w:sz="0" w:space="0" w:color="auto" w:frame="1"/>
              </w:rPr>
            </w:pPr>
            <w:r w:rsidRPr="008806C9">
              <w:rPr>
                <w:color w:val="000000"/>
                <w:bdr w:val="none" w:sz="0" w:space="0" w:color="auto" w:frame="1"/>
              </w:rPr>
              <w:t>Определение</w:t>
            </w:r>
          </w:p>
        </w:tc>
        <w:tc>
          <w:tcPr>
            <w:tcW w:w="2316" w:type="dxa"/>
          </w:tcPr>
          <w:p w14:paraId="14EC9760" w14:textId="4C96BD97" w:rsidR="00C64987" w:rsidRPr="008806C9" w:rsidRDefault="00C64987" w:rsidP="00A053B5">
            <w:pPr>
              <w:pStyle w:val="unstyled"/>
              <w:spacing w:before="0" w:beforeAutospacing="0" w:after="0" w:afterAutospacing="0"/>
              <w:jc w:val="both"/>
              <w:textAlignment w:val="baseline"/>
              <w:rPr>
                <w:color w:val="000000"/>
                <w:bdr w:val="none" w:sz="0" w:space="0" w:color="auto" w:frame="1"/>
              </w:rPr>
            </w:pPr>
            <w:r w:rsidRPr="008806C9">
              <w:rPr>
                <w:color w:val="000000"/>
                <w:bdr w:val="none" w:sz="0" w:space="0" w:color="auto" w:frame="1"/>
              </w:rPr>
              <w:t>Ключевой акцент</w:t>
            </w:r>
          </w:p>
        </w:tc>
      </w:tr>
      <w:tr w:rsidR="00C64987" w:rsidRPr="008C5196" w14:paraId="72122639" w14:textId="77777777" w:rsidTr="008806C9">
        <w:tc>
          <w:tcPr>
            <w:tcW w:w="1799" w:type="dxa"/>
          </w:tcPr>
          <w:p w14:paraId="3D756438" w14:textId="1ED58805" w:rsidR="00C64987" w:rsidRPr="008806C9" w:rsidRDefault="00C64987" w:rsidP="00A053B5">
            <w:pPr>
              <w:pStyle w:val="unstyled"/>
              <w:spacing w:before="0" w:beforeAutospacing="0" w:after="0" w:afterAutospacing="0"/>
              <w:jc w:val="both"/>
              <w:textAlignment w:val="baseline"/>
              <w:rPr>
                <w:color w:val="000000"/>
                <w:bdr w:val="none" w:sz="0" w:space="0" w:color="auto" w:frame="1"/>
              </w:rPr>
            </w:pPr>
            <w:r w:rsidRPr="008806C9">
              <w:rPr>
                <w:color w:val="000000"/>
                <w:bdr w:val="none" w:sz="0" w:space="0" w:color="auto" w:frame="1"/>
              </w:rPr>
              <w:t xml:space="preserve">Р. Кэмп </w:t>
            </w:r>
          </w:p>
        </w:tc>
        <w:tc>
          <w:tcPr>
            <w:tcW w:w="5230" w:type="dxa"/>
          </w:tcPr>
          <w:p w14:paraId="5B9288F7" w14:textId="49194B4F" w:rsidR="00C64987" w:rsidRPr="008806C9" w:rsidRDefault="00C64987" w:rsidP="00A053B5">
            <w:pPr>
              <w:pStyle w:val="unstyled"/>
              <w:spacing w:before="0" w:beforeAutospacing="0" w:after="0" w:afterAutospacing="0"/>
              <w:jc w:val="both"/>
              <w:textAlignment w:val="baseline"/>
              <w:rPr>
                <w:color w:val="000000"/>
                <w:bdr w:val="none" w:sz="0" w:space="0" w:color="auto" w:frame="1"/>
              </w:rPr>
            </w:pPr>
            <w:r w:rsidRPr="008806C9">
              <w:rPr>
                <w:color w:val="000000"/>
                <w:bdr w:val="none" w:sz="0" w:space="0" w:color="auto" w:frame="1"/>
              </w:rPr>
              <w:t>«Процесс сравнения продукции, услуг, операционных показателей, опыта производства между компанией, проводящей сравнение, и лидером рынка. Результаты используются для улучшения деятельности компании» [</w:t>
            </w:r>
            <w:r w:rsidR="00D06CCE" w:rsidRPr="008806C9">
              <w:rPr>
                <w:color w:val="000000"/>
                <w:bdr w:val="none" w:sz="0" w:space="0" w:color="auto" w:frame="1"/>
              </w:rPr>
              <w:t>11</w:t>
            </w:r>
            <w:r w:rsidRPr="008806C9">
              <w:rPr>
                <w:color w:val="000000"/>
                <w:bdr w:val="none" w:sz="0" w:space="0" w:color="auto" w:frame="1"/>
              </w:rPr>
              <w:t>].</w:t>
            </w:r>
          </w:p>
        </w:tc>
        <w:tc>
          <w:tcPr>
            <w:tcW w:w="2316" w:type="dxa"/>
          </w:tcPr>
          <w:p w14:paraId="1F9D56A8" w14:textId="17B4A1AF" w:rsidR="00C64987" w:rsidRPr="008806C9" w:rsidRDefault="00C64987" w:rsidP="00A053B5">
            <w:pPr>
              <w:pStyle w:val="unstyled"/>
              <w:spacing w:before="0" w:beforeAutospacing="0" w:after="0" w:afterAutospacing="0"/>
              <w:jc w:val="both"/>
              <w:textAlignment w:val="baseline"/>
              <w:rPr>
                <w:color w:val="000000"/>
                <w:bdr w:val="none" w:sz="0" w:space="0" w:color="auto" w:frame="1"/>
              </w:rPr>
            </w:pPr>
            <w:r w:rsidRPr="008806C9">
              <w:rPr>
                <w:color w:val="000000"/>
                <w:bdr w:val="none" w:sz="0" w:space="0" w:color="auto" w:frame="1"/>
              </w:rPr>
              <w:t>Процессность, ориентация на лидера, практическое применение</w:t>
            </w:r>
          </w:p>
        </w:tc>
      </w:tr>
      <w:tr w:rsidR="00C64987" w:rsidRPr="008C5196" w14:paraId="65A295BA" w14:textId="77777777" w:rsidTr="008806C9">
        <w:tc>
          <w:tcPr>
            <w:tcW w:w="1799" w:type="dxa"/>
          </w:tcPr>
          <w:p w14:paraId="3D514594" w14:textId="4974FA9D" w:rsidR="00C64987" w:rsidRPr="008806C9" w:rsidRDefault="00C64987" w:rsidP="00A053B5">
            <w:pPr>
              <w:pStyle w:val="unstyled"/>
              <w:spacing w:before="0" w:beforeAutospacing="0" w:after="0" w:afterAutospacing="0"/>
              <w:jc w:val="both"/>
              <w:textAlignment w:val="baseline"/>
              <w:rPr>
                <w:color w:val="000000"/>
                <w:bdr w:val="none" w:sz="0" w:space="0" w:color="auto" w:frame="1"/>
              </w:rPr>
            </w:pPr>
            <w:r w:rsidRPr="008806C9">
              <w:rPr>
                <w:color w:val="000000"/>
                <w:bdr w:val="none" w:sz="0" w:space="0" w:color="auto" w:frame="1"/>
              </w:rPr>
              <w:t xml:space="preserve">Ф. Котлер </w:t>
            </w:r>
          </w:p>
        </w:tc>
        <w:tc>
          <w:tcPr>
            <w:tcW w:w="5230" w:type="dxa"/>
          </w:tcPr>
          <w:p w14:paraId="71E715C1" w14:textId="741A5224" w:rsidR="00C64987" w:rsidRPr="008806C9" w:rsidRDefault="00C64987" w:rsidP="00A053B5">
            <w:pPr>
              <w:pStyle w:val="unstyled"/>
              <w:spacing w:before="0" w:beforeAutospacing="0" w:after="0" w:afterAutospacing="0"/>
              <w:jc w:val="both"/>
              <w:textAlignment w:val="baseline"/>
              <w:rPr>
                <w:color w:val="000000"/>
                <w:bdr w:val="none" w:sz="0" w:space="0" w:color="auto" w:frame="1"/>
              </w:rPr>
            </w:pPr>
            <w:r w:rsidRPr="008806C9">
              <w:rPr>
                <w:color w:val="000000"/>
                <w:bdr w:val="none" w:sz="0" w:space="0" w:color="auto" w:frame="1"/>
              </w:rPr>
              <w:t>«Процесс сравнения продуктов и процессов компании с таковыми у конкурентов или лидирующих фирм в других отраслях в целях поиска способов улучшения качества работы» [</w:t>
            </w:r>
            <w:r w:rsidR="001F1D3D" w:rsidRPr="008806C9">
              <w:rPr>
                <w:color w:val="000000"/>
                <w:bdr w:val="none" w:sz="0" w:space="0" w:color="auto" w:frame="1"/>
              </w:rPr>
              <w:t>1</w:t>
            </w:r>
            <w:r w:rsidR="00942D93">
              <w:rPr>
                <w:color w:val="000000"/>
                <w:bdr w:val="none" w:sz="0" w:space="0" w:color="auto" w:frame="1"/>
              </w:rPr>
              <w:t>6</w:t>
            </w:r>
            <w:r w:rsidRPr="008806C9">
              <w:rPr>
                <w:color w:val="000000"/>
                <w:bdr w:val="none" w:sz="0" w:space="0" w:color="auto" w:frame="1"/>
              </w:rPr>
              <w:t>].</w:t>
            </w:r>
          </w:p>
        </w:tc>
        <w:tc>
          <w:tcPr>
            <w:tcW w:w="2316" w:type="dxa"/>
          </w:tcPr>
          <w:p w14:paraId="493A88E5" w14:textId="03ED8149" w:rsidR="00C64987" w:rsidRPr="008806C9" w:rsidRDefault="00C64987" w:rsidP="00A053B5">
            <w:pPr>
              <w:pStyle w:val="unstyled"/>
              <w:spacing w:before="0" w:beforeAutospacing="0" w:after="0" w:afterAutospacing="0"/>
              <w:jc w:val="both"/>
              <w:textAlignment w:val="baseline"/>
              <w:rPr>
                <w:color w:val="000000"/>
                <w:bdr w:val="none" w:sz="0" w:space="0" w:color="auto" w:frame="1"/>
              </w:rPr>
            </w:pPr>
            <w:r w:rsidRPr="008806C9">
              <w:rPr>
                <w:color w:val="000000"/>
                <w:bdr w:val="none" w:sz="0" w:space="0" w:color="auto" w:frame="1"/>
              </w:rPr>
              <w:t>Расширение объекта сравнения за пределы отрасли</w:t>
            </w:r>
          </w:p>
        </w:tc>
      </w:tr>
      <w:tr w:rsidR="00C64987" w:rsidRPr="008C5196" w14:paraId="16D4D984" w14:textId="77777777" w:rsidTr="008806C9">
        <w:tc>
          <w:tcPr>
            <w:tcW w:w="1799" w:type="dxa"/>
          </w:tcPr>
          <w:p w14:paraId="2956E6ED" w14:textId="3391792C" w:rsidR="00C64987" w:rsidRPr="008806C9" w:rsidRDefault="00C64987" w:rsidP="00A053B5">
            <w:pPr>
              <w:pStyle w:val="unstyled"/>
              <w:spacing w:before="0" w:beforeAutospacing="0" w:after="0" w:afterAutospacing="0"/>
              <w:jc w:val="both"/>
              <w:textAlignment w:val="baseline"/>
              <w:rPr>
                <w:color w:val="000000"/>
                <w:bdr w:val="none" w:sz="0" w:space="0" w:color="auto" w:frame="1"/>
              </w:rPr>
            </w:pPr>
            <w:r w:rsidRPr="008806C9">
              <w:rPr>
                <w:color w:val="000000"/>
                <w:bdr w:val="none" w:sz="0" w:space="0" w:color="auto" w:frame="1"/>
              </w:rPr>
              <w:t xml:space="preserve">Назипова Д.А. </w:t>
            </w:r>
          </w:p>
        </w:tc>
        <w:tc>
          <w:tcPr>
            <w:tcW w:w="5230" w:type="dxa"/>
          </w:tcPr>
          <w:p w14:paraId="05E5CA39" w14:textId="2D160C69" w:rsidR="00C64987" w:rsidRPr="008806C9" w:rsidRDefault="00C64987" w:rsidP="00A053B5">
            <w:pPr>
              <w:pStyle w:val="unstyled"/>
              <w:spacing w:before="0" w:beforeAutospacing="0" w:after="0" w:afterAutospacing="0"/>
              <w:jc w:val="both"/>
              <w:textAlignment w:val="baseline"/>
              <w:rPr>
                <w:color w:val="000000"/>
                <w:bdr w:val="none" w:sz="0" w:space="0" w:color="auto" w:frame="1"/>
              </w:rPr>
            </w:pPr>
            <w:r w:rsidRPr="008806C9">
              <w:rPr>
                <w:color w:val="000000"/>
                <w:bdr w:val="none" w:sz="0" w:space="0" w:color="auto" w:frame="1"/>
              </w:rPr>
              <w:t xml:space="preserve">«Систематическое изучение, сопоставление и анализ основных показателей, процессов и функциональных особенностей бизнеса с </w:t>
            </w:r>
            <w:r w:rsidRPr="008806C9">
              <w:rPr>
                <w:color w:val="000000"/>
                <w:bdr w:val="none" w:sz="0" w:space="0" w:color="auto" w:frame="1"/>
              </w:rPr>
              <w:lastRenderedPageBreak/>
              <w:t>аналогичными данными не только прямых конкурентов, но и лидирующих компаний из других отраслей» [3].</w:t>
            </w:r>
          </w:p>
        </w:tc>
        <w:tc>
          <w:tcPr>
            <w:tcW w:w="2316" w:type="dxa"/>
          </w:tcPr>
          <w:p w14:paraId="5B8BA20E" w14:textId="129B16FA" w:rsidR="00C64987" w:rsidRPr="008806C9" w:rsidRDefault="00C64987" w:rsidP="00A053B5">
            <w:pPr>
              <w:pStyle w:val="unstyled"/>
              <w:spacing w:before="0" w:beforeAutospacing="0" w:after="0" w:afterAutospacing="0"/>
              <w:jc w:val="both"/>
              <w:textAlignment w:val="baseline"/>
              <w:rPr>
                <w:color w:val="000000"/>
                <w:bdr w:val="none" w:sz="0" w:space="0" w:color="auto" w:frame="1"/>
              </w:rPr>
            </w:pPr>
            <w:r w:rsidRPr="008806C9">
              <w:rPr>
                <w:color w:val="000000"/>
                <w:bdr w:val="none" w:sz="0" w:space="0" w:color="auto" w:frame="1"/>
              </w:rPr>
              <w:lastRenderedPageBreak/>
              <w:t>Системность, межотраслевой характер</w:t>
            </w:r>
          </w:p>
        </w:tc>
      </w:tr>
      <w:tr w:rsidR="00C64987" w:rsidRPr="008C5196" w14:paraId="08332D0D" w14:textId="77777777" w:rsidTr="008806C9">
        <w:tc>
          <w:tcPr>
            <w:tcW w:w="1799" w:type="dxa"/>
          </w:tcPr>
          <w:p w14:paraId="7EA95C0A" w14:textId="39B7505E" w:rsidR="00C64987" w:rsidRPr="008806C9" w:rsidRDefault="00C64987" w:rsidP="00A053B5">
            <w:pPr>
              <w:pStyle w:val="unstyled"/>
              <w:spacing w:before="0" w:beforeAutospacing="0" w:after="0" w:afterAutospacing="0"/>
              <w:jc w:val="both"/>
              <w:textAlignment w:val="baseline"/>
              <w:rPr>
                <w:color w:val="000000"/>
                <w:bdr w:val="none" w:sz="0" w:space="0" w:color="auto" w:frame="1"/>
              </w:rPr>
            </w:pPr>
            <w:r w:rsidRPr="008806C9">
              <w:rPr>
                <w:color w:val="000000"/>
                <w:bdr w:val="none" w:sz="0" w:space="0" w:color="auto" w:frame="1"/>
              </w:rPr>
              <w:t xml:space="preserve">Колосков Д.А. </w:t>
            </w:r>
          </w:p>
        </w:tc>
        <w:tc>
          <w:tcPr>
            <w:tcW w:w="5230" w:type="dxa"/>
          </w:tcPr>
          <w:p w14:paraId="423CE996" w14:textId="6F9FBE6B" w:rsidR="00C64987" w:rsidRPr="008806C9" w:rsidRDefault="00C64987" w:rsidP="00A053B5">
            <w:pPr>
              <w:pStyle w:val="unstyled"/>
              <w:spacing w:before="0" w:beforeAutospacing="0" w:after="0" w:afterAutospacing="0"/>
              <w:jc w:val="both"/>
              <w:textAlignment w:val="baseline"/>
              <w:rPr>
                <w:color w:val="000000"/>
                <w:bdr w:val="none" w:sz="0" w:space="0" w:color="auto" w:frame="1"/>
              </w:rPr>
            </w:pPr>
            <w:r w:rsidRPr="008806C9">
              <w:rPr>
                <w:color w:val="000000"/>
                <w:bdr w:val="none" w:sz="0" w:space="0" w:color="auto" w:frame="1"/>
              </w:rPr>
              <w:t>«Неотъемлемый элемент системы повышения конкурентоспособности организации, включающий элементы конкурентного анализа, но являющийся более детализированной и формализованной функцией» [</w:t>
            </w:r>
            <w:r w:rsidR="001F1D3D" w:rsidRPr="008806C9">
              <w:rPr>
                <w:color w:val="000000"/>
                <w:bdr w:val="none" w:sz="0" w:space="0" w:color="auto" w:frame="1"/>
              </w:rPr>
              <w:t>1</w:t>
            </w:r>
            <w:r w:rsidR="00942D93">
              <w:rPr>
                <w:color w:val="000000"/>
                <w:bdr w:val="none" w:sz="0" w:space="0" w:color="auto" w:frame="1"/>
              </w:rPr>
              <w:t>6</w:t>
            </w:r>
            <w:r w:rsidRPr="008806C9">
              <w:rPr>
                <w:color w:val="000000"/>
                <w:bdr w:val="none" w:sz="0" w:space="0" w:color="auto" w:frame="1"/>
              </w:rPr>
              <w:t>].</w:t>
            </w:r>
          </w:p>
        </w:tc>
        <w:tc>
          <w:tcPr>
            <w:tcW w:w="2316" w:type="dxa"/>
          </w:tcPr>
          <w:p w14:paraId="35DA065F" w14:textId="60B5B9F2" w:rsidR="00C64987" w:rsidRPr="008806C9" w:rsidRDefault="00C64987" w:rsidP="00A053B5">
            <w:pPr>
              <w:pStyle w:val="unstyled"/>
              <w:spacing w:before="0" w:beforeAutospacing="0" w:after="0" w:afterAutospacing="0"/>
              <w:jc w:val="both"/>
              <w:textAlignment w:val="baseline"/>
              <w:rPr>
                <w:color w:val="000000"/>
                <w:bdr w:val="none" w:sz="0" w:space="0" w:color="auto" w:frame="1"/>
              </w:rPr>
            </w:pPr>
            <w:r w:rsidRPr="008806C9">
              <w:rPr>
                <w:color w:val="000000"/>
                <w:bdr w:val="none" w:sz="0" w:space="0" w:color="auto" w:frame="1"/>
              </w:rPr>
              <w:t>Интеграция в систему управления, детализация</w:t>
            </w:r>
          </w:p>
        </w:tc>
      </w:tr>
      <w:tr w:rsidR="00C64987" w:rsidRPr="008C5196" w14:paraId="0D89AE6C" w14:textId="77777777" w:rsidTr="008806C9">
        <w:tc>
          <w:tcPr>
            <w:tcW w:w="1799" w:type="dxa"/>
          </w:tcPr>
          <w:p w14:paraId="2E540A97" w14:textId="6B76A182" w:rsidR="00C64987" w:rsidRPr="008806C9" w:rsidRDefault="00C64987" w:rsidP="00A053B5">
            <w:pPr>
              <w:pStyle w:val="unstyled"/>
              <w:spacing w:before="0" w:beforeAutospacing="0" w:after="0" w:afterAutospacing="0"/>
              <w:jc w:val="both"/>
              <w:textAlignment w:val="baseline"/>
              <w:rPr>
                <w:color w:val="000000"/>
                <w:bdr w:val="none" w:sz="0" w:space="0" w:color="auto" w:frame="1"/>
              </w:rPr>
            </w:pPr>
            <w:r w:rsidRPr="008806C9">
              <w:rPr>
                <w:color w:val="000000"/>
                <w:bdr w:val="none" w:sz="0" w:space="0" w:color="auto" w:frame="1"/>
              </w:rPr>
              <w:t xml:space="preserve">Тилиндис Т.В., Демченко М.А. </w:t>
            </w:r>
          </w:p>
        </w:tc>
        <w:tc>
          <w:tcPr>
            <w:tcW w:w="5230" w:type="dxa"/>
          </w:tcPr>
          <w:p w14:paraId="6927058A" w14:textId="54373E35" w:rsidR="00C64987" w:rsidRPr="008806C9" w:rsidRDefault="00C64987" w:rsidP="00A053B5">
            <w:pPr>
              <w:pStyle w:val="unstyled"/>
              <w:spacing w:before="0" w:beforeAutospacing="0" w:after="0" w:afterAutospacing="0"/>
              <w:jc w:val="both"/>
              <w:textAlignment w:val="baseline"/>
              <w:rPr>
                <w:color w:val="000000"/>
                <w:bdr w:val="none" w:sz="0" w:space="0" w:color="auto" w:frame="1"/>
              </w:rPr>
            </w:pPr>
            <w:r w:rsidRPr="008806C9">
              <w:rPr>
                <w:color w:val="000000"/>
                <w:bdr w:val="none" w:sz="0" w:space="0" w:color="auto" w:frame="1"/>
              </w:rPr>
              <w:t>«Сравнение с эталоном», «непрерывный процесс совершенствования компаний» [6].</w:t>
            </w:r>
          </w:p>
        </w:tc>
        <w:tc>
          <w:tcPr>
            <w:tcW w:w="2316" w:type="dxa"/>
          </w:tcPr>
          <w:p w14:paraId="190C724D" w14:textId="4A76034D" w:rsidR="00C64987" w:rsidRPr="008806C9" w:rsidRDefault="00C64987" w:rsidP="00A053B5">
            <w:pPr>
              <w:pStyle w:val="unstyled"/>
              <w:spacing w:before="0" w:beforeAutospacing="0" w:after="0" w:afterAutospacing="0"/>
              <w:jc w:val="both"/>
              <w:textAlignment w:val="baseline"/>
              <w:rPr>
                <w:color w:val="000000"/>
                <w:bdr w:val="none" w:sz="0" w:space="0" w:color="auto" w:frame="1"/>
              </w:rPr>
            </w:pPr>
            <w:r w:rsidRPr="008806C9">
              <w:rPr>
                <w:color w:val="000000"/>
                <w:bdr w:val="none" w:sz="0" w:space="0" w:color="auto" w:frame="1"/>
              </w:rPr>
              <w:t>Эталонность, непрерывность</w:t>
            </w:r>
          </w:p>
        </w:tc>
      </w:tr>
      <w:tr w:rsidR="00C64987" w:rsidRPr="008C5196" w14:paraId="686945A4" w14:textId="77777777" w:rsidTr="008806C9">
        <w:tc>
          <w:tcPr>
            <w:tcW w:w="1799" w:type="dxa"/>
          </w:tcPr>
          <w:p w14:paraId="75F50C6B" w14:textId="08FA29A5" w:rsidR="00C64987" w:rsidRPr="008806C9" w:rsidRDefault="00C64987" w:rsidP="00A053B5">
            <w:pPr>
              <w:pStyle w:val="unstyled"/>
              <w:spacing w:before="0" w:beforeAutospacing="0" w:after="0" w:afterAutospacing="0"/>
              <w:jc w:val="both"/>
              <w:textAlignment w:val="baseline"/>
              <w:rPr>
                <w:color w:val="000000"/>
                <w:bdr w:val="none" w:sz="0" w:space="0" w:color="auto" w:frame="1"/>
              </w:rPr>
            </w:pPr>
            <w:r w:rsidRPr="008806C9">
              <w:rPr>
                <w:color w:val="000000"/>
                <w:bdr w:val="none" w:sz="0" w:space="0" w:color="auto" w:frame="1"/>
              </w:rPr>
              <w:t>Плучевская Э.В.</w:t>
            </w:r>
          </w:p>
        </w:tc>
        <w:tc>
          <w:tcPr>
            <w:tcW w:w="5230" w:type="dxa"/>
          </w:tcPr>
          <w:p w14:paraId="54EA64FF" w14:textId="19FD39B8" w:rsidR="00C64987" w:rsidRPr="008806C9" w:rsidRDefault="00C64987" w:rsidP="00A053B5">
            <w:pPr>
              <w:pStyle w:val="unstyled"/>
              <w:spacing w:before="0" w:beforeAutospacing="0" w:after="0" w:afterAutospacing="0"/>
              <w:jc w:val="both"/>
              <w:textAlignment w:val="baseline"/>
              <w:rPr>
                <w:color w:val="000000"/>
                <w:bdr w:val="none" w:sz="0" w:space="0" w:color="auto" w:frame="1"/>
              </w:rPr>
            </w:pPr>
            <w:r w:rsidRPr="008806C9">
              <w:rPr>
                <w:color w:val="000000"/>
                <w:bdr w:val="none" w:sz="0" w:space="0" w:color="auto" w:frame="1"/>
              </w:rPr>
              <w:t>«Открытое заимствование лучших практик применения отраслевых и межотраслевых технологий у компаний-лидеров с целью последующей адаптации и внедрения в процессы заимствующей компании» [</w:t>
            </w:r>
            <w:r w:rsidR="001F1D3D" w:rsidRPr="008806C9">
              <w:rPr>
                <w:color w:val="000000"/>
                <w:bdr w:val="none" w:sz="0" w:space="0" w:color="auto" w:frame="1"/>
              </w:rPr>
              <w:t>1</w:t>
            </w:r>
            <w:r w:rsidR="00942D93">
              <w:rPr>
                <w:color w:val="000000"/>
                <w:bdr w:val="none" w:sz="0" w:space="0" w:color="auto" w:frame="1"/>
              </w:rPr>
              <w:t>7</w:t>
            </w:r>
            <w:r w:rsidRPr="008806C9">
              <w:rPr>
                <w:color w:val="000000"/>
                <w:bdr w:val="none" w:sz="0" w:space="0" w:color="auto" w:frame="1"/>
              </w:rPr>
              <w:t>].</w:t>
            </w:r>
          </w:p>
        </w:tc>
        <w:tc>
          <w:tcPr>
            <w:tcW w:w="2316" w:type="dxa"/>
          </w:tcPr>
          <w:p w14:paraId="3F317BDB" w14:textId="7AAE4C83" w:rsidR="00C64987" w:rsidRPr="008806C9" w:rsidRDefault="00C64987" w:rsidP="00A053B5">
            <w:pPr>
              <w:pStyle w:val="unstyled"/>
              <w:spacing w:before="0" w:beforeAutospacing="0" w:after="0" w:afterAutospacing="0"/>
              <w:jc w:val="both"/>
              <w:textAlignment w:val="baseline"/>
              <w:rPr>
                <w:color w:val="000000"/>
                <w:bdr w:val="none" w:sz="0" w:space="0" w:color="auto" w:frame="1"/>
              </w:rPr>
            </w:pPr>
            <w:r w:rsidRPr="008806C9">
              <w:rPr>
                <w:color w:val="000000"/>
                <w:bdr w:val="none" w:sz="0" w:space="0" w:color="auto" w:frame="1"/>
              </w:rPr>
              <w:t>Заимствование, адаптация</w:t>
            </w:r>
          </w:p>
        </w:tc>
      </w:tr>
      <w:tr w:rsidR="00C64987" w:rsidRPr="008C5196" w14:paraId="037BBDE3" w14:textId="77777777" w:rsidTr="008806C9">
        <w:tc>
          <w:tcPr>
            <w:tcW w:w="1799" w:type="dxa"/>
          </w:tcPr>
          <w:p w14:paraId="1E451597" w14:textId="6F97880B" w:rsidR="00C64987" w:rsidRPr="008806C9" w:rsidRDefault="00C64987" w:rsidP="00A053B5">
            <w:pPr>
              <w:pStyle w:val="unstyled"/>
              <w:spacing w:before="0" w:beforeAutospacing="0" w:after="0" w:afterAutospacing="0"/>
              <w:jc w:val="both"/>
              <w:textAlignment w:val="baseline"/>
              <w:rPr>
                <w:color w:val="000000"/>
                <w:bdr w:val="none" w:sz="0" w:space="0" w:color="auto" w:frame="1"/>
              </w:rPr>
            </w:pPr>
            <w:r w:rsidRPr="008806C9">
              <w:rPr>
                <w:color w:val="000000"/>
                <w:bdr w:val="none" w:sz="0" w:space="0" w:color="auto" w:frame="1"/>
              </w:rPr>
              <w:t xml:space="preserve">Рафикова А.Б. </w:t>
            </w:r>
          </w:p>
        </w:tc>
        <w:tc>
          <w:tcPr>
            <w:tcW w:w="5230" w:type="dxa"/>
          </w:tcPr>
          <w:p w14:paraId="5B59FC00" w14:textId="5524E90A" w:rsidR="00C64987" w:rsidRPr="008806C9" w:rsidRDefault="00C64987" w:rsidP="00A053B5">
            <w:pPr>
              <w:pStyle w:val="unstyled"/>
              <w:spacing w:before="0" w:beforeAutospacing="0" w:after="0" w:afterAutospacing="0"/>
              <w:jc w:val="both"/>
              <w:textAlignment w:val="baseline"/>
              <w:rPr>
                <w:color w:val="000000"/>
                <w:bdr w:val="none" w:sz="0" w:space="0" w:color="auto" w:frame="1"/>
              </w:rPr>
            </w:pPr>
            <w:r w:rsidRPr="008806C9">
              <w:rPr>
                <w:color w:val="000000"/>
                <w:bdr w:val="none" w:sz="0" w:space="0" w:color="auto" w:frame="1"/>
              </w:rPr>
              <w:t>«Инструмент, позволяющий непрерывно улучшать процессы, создавать новые технологии, учитывая имеющийся опыт, и предотвращать возможные потери» [1</w:t>
            </w:r>
            <w:r w:rsidR="00942D93">
              <w:rPr>
                <w:color w:val="000000"/>
                <w:bdr w:val="none" w:sz="0" w:space="0" w:color="auto" w:frame="1"/>
              </w:rPr>
              <w:t>8</w:t>
            </w:r>
            <w:r w:rsidRPr="008806C9">
              <w:rPr>
                <w:color w:val="000000"/>
                <w:bdr w:val="none" w:sz="0" w:space="0" w:color="auto" w:frame="1"/>
              </w:rPr>
              <w:t>]</w:t>
            </w:r>
          </w:p>
        </w:tc>
        <w:tc>
          <w:tcPr>
            <w:tcW w:w="2316" w:type="dxa"/>
          </w:tcPr>
          <w:p w14:paraId="2625640B" w14:textId="77FA9A3C" w:rsidR="00C64987" w:rsidRPr="008806C9" w:rsidRDefault="00C64987" w:rsidP="00A053B5">
            <w:pPr>
              <w:pStyle w:val="unstyled"/>
              <w:spacing w:before="0" w:beforeAutospacing="0" w:after="0" w:afterAutospacing="0"/>
              <w:jc w:val="both"/>
              <w:textAlignment w:val="baseline"/>
              <w:rPr>
                <w:color w:val="000000"/>
                <w:bdr w:val="none" w:sz="0" w:space="0" w:color="auto" w:frame="1"/>
              </w:rPr>
            </w:pPr>
            <w:r w:rsidRPr="008806C9">
              <w:rPr>
                <w:color w:val="000000"/>
                <w:bdr w:val="none" w:sz="0" w:space="0" w:color="auto" w:frame="1"/>
              </w:rPr>
              <w:t>Непрерывное улучшение, инновационность</w:t>
            </w:r>
          </w:p>
        </w:tc>
      </w:tr>
    </w:tbl>
    <w:p w14:paraId="270B39C5" w14:textId="59AFC36F" w:rsidR="00C64987" w:rsidRPr="008806C9" w:rsidRDefault="008806C9" w:rsidP="00A053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8806C9">
        <w:rPr>
          <w:rFonts w:ascii="Times New Roman" w:eastAsia="Times New Roman" w:hAnsi="Times New Roman" w:cs="Times New Roman"/>
          <w:i/>
          <w:color w:val="000000"/>
          <w:sz w:val="24"/>
          <w:szCs w:val="24"/>
          <w:bdr w:val="none" w:sz="0" w:space="0" w:color="auto" w:frame="1"/>
          <w:lang w:eastAsia="ru-RU"/>
        </w:rPr>
        <w:t>Примечание.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88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Составлено автором по: [3], [6], [11], [1</w:t>
      </w:r>
      <w:r w:rsidR="00942D9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6</w:t>
      </w:r>
      <w:r w:rsidRPr="0088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], [1</w:t>
      </w:r>
      <w:r w:rsidR="00942D9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7</w:t>
      </w:r>
      <w:r w:rsidRPr="0088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], [1</w:t>
      </w:r>
      <w:r w:rsidR="00942D9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8</w:t>
      </w:r>
      <w:r w:rsidRPr="008806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]</w:t>
      </w:r>
    </w:p>
    <w:p w14:paraId="51D445C3" w14:textId="60ADC3AE" w:rsidR="00893C56" w:rsidRDefault="00893C56" w:rsidP="00A053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893C5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Главный недостаток классического понимания бенчмаркинга — сведение его к простому сравнению или заимствованию. Например, в подходе Кэмпа бенчмаркинг определяется как «сравнение с эталоном», что делает акцент на статике, а не на динамике процесса</w:t>
      </w:r>
      <w:r w:rsidRPr="00893C56">
        <w:t xml:space="preserve"> </w:t>
      </w:r>
      <w:r w:rsidRPr="00893C5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[6].  Такой подход ограничивается этапом анализа, тогда как стратегический смысл метода — в практическом использовании данных для устранения выявленных пробелов</w:t>
      </w:r>
      <w:r w:rsidRPr="00893C56">
        <w:t xml:space="preserve"> </w:t>
      </w:r>
      <w:r w:rsidRPr="00893C5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[3].</w:t>
      </w:r>
    </w:p>
    <w:p w14:paraId="76EC01D4" w14:textId="6C047776" w:rsidR="00893C56" w:rsidRDefault="00893C56" w:rsidP="00A053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893C5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Второй недостаток — трактовка бенчмаркинга как пассивного копирования. </w:t>
      </w:r>
      <w:r w:rsidR="008478A4" w:rsidRPr="008478A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Исследователи Э.В. Плучевская и соавторы,  в своей работе </w:t>
      </w:r>
      <w:r w:rsidR="008478A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отмечают</w:t>
      </w:r>
      <w:r w:rsidR="008478A4" w:rsidRPr="008478A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что «бенчмаркинг не сводится к простому копированию лучших практик, а предполагает их творческую адаптацию с учётом специфики деятельности организации» [17].</w:t>
      </w:r>
      <w:r w:rsidRPr="00893C5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</w:p>
    <w:p w14:paraId="2FBCF5E6" w14:textId="1E7564B5" w:rsidR="00095EE0" w:rsidRPr="00095EE0" w:rsidRDefault="00095EE0" w:rsidP="00095EE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bookmarkStart w:id="4" w:name="_Hlk225453127"/>
      <w:r w:rsidRPr="00095E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Третий недостаток — ориентация бенчмаркинга преимущественно на операционный уровень. </w:t>
      </w:r>
      <w:r w:rsidR="00365DA8" w:rsidRPr="00365DA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А.Б</w:t>
      </w:r>
      <w:r w:rsidR="00365DA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Рафикова в своей работе пишет, что </w:t>
      </w:r>
      <w:r w:rsidR="00365DA8" w:rsidRPr="00365DA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«Бенчмаркинг не должен сводиться к простому заимствованию, он предполагает адаптацию лучших практик с учётом специфики деятельности предприятия» </w:t>
      </w:r>
      <w:r w:rsidR="00EC37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и что </w:t>
      </w:r>
      <w:r w:rsidR="00EC370A" w:rsidRPr="00EC370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«бенчмаркинг позволяет не только отслеживать изменения, но и прогнозировать развитие ситуации, формируя проактивную позицию предприятия» </w:t>
      </w:r>
      <w:r w:rsidR="00365DA8" w:rsidRPr="00365DA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[18].</w:t>
      </w:r>
    </w:p>
    <w:p w14:paraId="479B695B" w14:textId="057A7360" w:rsidR="00095EE0" w:rsidRPr="00095EE0" w:rsidRDefault="006D60D7" w:rsidP="00095EE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6D60D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Многие определения сегодня устарели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095EE0" w:rsidRPr="00095E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по ряду причин. </w:t>
      </w:r>
      <w:r w:rsidR="004008B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Такие трактовки</w:t>
      </w:r>
      <w:r w:rsidR="00095EE0" w:rsidRPr="00095E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не учитывают непрерывный характер бенчмаркинга: </w:t>
      </w:r>
      <w:r w:rsidRPr="006D60D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 моменту успешного внедрения практики, в силу постоянных изменений, ее эффективность может быть утрачена</w:t>
      </w:r>
      <w:r w:rsidR="00095EE0" w:rsidRPr="00095E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 Но даже если успешно внедренная практика все еще оказывается актуальной, возникает проблема реактивности определений. Компании, реагирующие не на изменения среды, а на действия конкурентов, рискуют постоянно оставаться в позиции «догоняющих». Еще одна проблема заключается в том, что скопированная и удачно внедренная практика не гарантирует успеха конкурента. Именно понимание принципа работы удачной практики позволит в дальнейшем создать собственное решение, которое будет актуально для конкретного предприятия [4; 5].</w:t>
      </w:r>
    </w:p>
    <w:p w14:paraId="327281AA" w14:textId="3C33C955" w:rsidR="00095EE0" w:rsidRPr="00095EE0" w:rsidRDefault="00095EE0" w:rsidP="00095EE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095E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Авторское определение должно объединять основные черты бенчмаркинга как механизма адаптации: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4008B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</w:t>
      </w:r>
      <w:r w:rsidRPr="00095E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енчмаркинг — это непрерывный и проактивный процесс поиска, адаптации и внедрения лучших практик и перспективных трендов. Его цель — развивать адаптационный потенциал предприятия и укреплять его конкурентоспособность в условиях неопределенности.</w:t>
      </w:r>
    </w:p>
    <w:p w14:paraId="08CA25FB" w14:textId="4F3C7775" w:rsidR="00067CBB" w:rsidRPr="008C5196" w:rsidRDefault="00095EE0" w:rsidP="00095EE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095E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Модель адаптационного бенчмаркинга представлена в виде цикла. Адаптационный потенциал предприятия складывается из стратегической цели компании и изменений внешней среды.</w:t>
      </w:r>
    </w:p>
    <w:bookmarkEnd w:id="4"/>
    <w:p w14:paraId="379AB245" w14:textId="6930A79D" w:rsidR="003743AB" w:rsidRDefault="003743AB" w:rsidP="00A053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8C5196">
        <w:rPr>
          <w:rFonts w:ascii="Times New Roman" w:eastAsia="Times New Roman" w:hAnsi="Times New Roman" w:cs="Times New Roman"/>
          <w:noProof/>
          <w:color w:val="000000"/>
          <w:sz w:val="28"/>
          <w:szCs w:val="28"/>
          <w:bdr w:val="none" w:sz="0" w:space="0" w:color="auto" w:frame="1"/>
          <w:lang w:eastAsia="ru-RU"/>
        </w:rPr>
        <w:drawing>
          <wp:inline distT="0" distB="0" distL="0" distR="0" wp14:anchorId="771DA93E" wp14:editId="3AA6B4CC">
            <wp:extent cx="5573485" cy="2733420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1549" cy="2752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9B23EE" w14:textId="36B3426D" w:rsidR="008806C9" w:rsidRPr="008806C9" w:rsidRDefault="008806C9" w:rsidP="00A053B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806C9">
        <w:rPr>
          <w:rFonts w:ascii="Times New Roman" w:eastAsia="Calibri" w:hAnsi="Times New Roman" w:cs="Times New Roman"/>
          <w:sz w:val="28"/>
          <w:szCs w:val="28"/>
        </w:rPr>
        <w:t>Рис. 1. Концептуальная модель адаптационного бенчмаркинга</w:t>
      </w:r>
    </w:p>
    <w:p w14:paraId="16082B9D" w14:textId="58EAC528" w:rsidR="008806C9" w:rsidRPr="00541B63" w:rsidRDefault="008806C9" w:rsidP="00A053B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8806C9">
        <w:rPr>
          <w:rFonts w:ascii="Times New Roman" w:eastAsia="Calibri" w:hAnsi="Times New Roman" w:cs="Times New Roman"/>
          <w:sz w:val="28"/>
          <w:szCs w:val="28"/>
        </w:rPr>
        <w:t xml:space="preserve">Fig. 1. </w:t>
      </w:r>
      <w:r w:rsidRPr="00AF0E9D">
        <w:rPr>
          <w:rFonts w:ascii="Times New Roman" w:eastAsia="Calibri" w:hAnsi="Times New Roman" w:cs="Times New Roman"/>
          <w:sz w:val="28"/>
          <w:szCs w:val="28"/>
          <w:lang w:val="en-US"/>
        </w:rPr>
        <w:t>Conceptual</w:t>
      </w:r>
      <w:r w:rsidRPr="00541B63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Pr="00AF0E9D">
        <w:rPr>
          <w:rFonts w:ascii="Times New Roman" w:eastAsia="Calibri" w:hAnsi="Times New Roman" w:cs="Times New Roman"/>
          <w:sz w:val="28"/>
          <w:szCs w:val="28"/>
          <w:lang w:val="en-US"/>
        </w:rPr>
        <w:t>Model</w:t>
      </w:r>
      <w:r w:rsidRPr="00541B63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Pr="00AF0E9D">
        <w:rPr>
          <w:rFonts w:ascii="Times New Roman" w:eastAsia="Calibri" w:hAnsi="Times New Roman" w:cs="Times New Roman"/>
          <w:sz w:val="28"/>
          <w:szCs w:val="28"/>
          <w:lang w:val="en-US"/>
        </w:rPr>
        <w:t>of</w:t>
      </w:r>
      <w:r w:rsidRPr="00541B63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Pr="00AF0E9D">
        <w:rPr>
          <w:rFonts w:ascii="Times New Roman" w:eastAsia="Calibri" w:hAnsi="Times New Roman" w:cs="Times New Roman"/>
          <w:sz w:val="28"/>
          <w:szCs w:val="28"/>
          <w:lang w:val="en-US"/>
        </w:rPr>
        <w:t>Adaptive</w:t>
      </w:r>
      <w:r w:rsidRPr="00541B63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Pr="00AF0E9D">
        <w:rPr>
          <w:rFonts w:ascii="Times New Roman" w:eastAsia="Calibri" w:hAnsi="Times New Roman" w:cs="Times New Roman"/>
          <w:sz w:val="28"/>
          <w:szCs w:val="28"/>
          <w:lang w:val="en-US"/>
        </w:rPr>
        <w:t>Benchmarking</w:t>
      </w:r>
    </w:p>
    <w:p w14:paraId="419A6985" w14:textId="6AC4C765" w:rsidR="008806C9" w:rsidRPr="008806C9" w:rsidRDefault="008806C9" w:rsidP="00A053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06C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Примечание</w:t>
      </w:r>
      <w:r w:rsidRPr="006666C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  <w:r w:rsidRPr="006666C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806C9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Составлено автором на основе источников: [1], [2], [3], [5], [6], [11]</w:t>
      </w:r>
    </w:p>
    <w:p w14:paraId="7E050A5F" w14:textId="77777777" w:rsidR="00196869" w:rsidRDefault="00095EE0" w:rsidP="00196869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095E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Первый этап модели — поиск. Компании </w:t>
      </w:r>
      <w:r w:rsidR="004008B3" w:rsidRPr="004008B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идентифицируют лидеров и анализируют их работ</w:t>
      </w:r>
      <w:r w:rsidR="004008B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</w:t>
      </w:r>
      <w:r w:rsidRPr="00095E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</w:t>
      </w:r>
      <w:bookmarkStart w:id="5" w:name="_Hlk225457723"/>
      <w:r w:rsidR="00196869" w:rsidRPr="0019686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После идентификации лидера, изучаются его процессы и показатели, которые обеспечивают его успех. На следующем этапе практику адаптируют под предприятия. После адаптации практику внедряют, что подразумевает подготовку кадров, ресурсов и перестройку процессов. На последнем этапе - мониторинге, оценивается результат и анализируются возможности для улучшения. После чего весь цикл повторяется. В итоге адаптационный потенциал компании, а следовательно и ее конкурентоспособность повышаются.</w:t>
      </w:r>
    </w:p>
    <w:p w14:paraId="5AE9CEB1" w14:textId="3C9011BB" w:rsidR="008E2FF7" w:rsidRPr="00196869" w:rsidRDefault="0090183F" w:rsidP="00196869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  <w:r w:rsidRPr="00196869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Выводы</w:t>
      </w:r>
    </w:p>
    <w:bookmarkEnd w:id="5"/>
    <w:p w14:paraId="2BB29F03" w14:textId="77777777" w:rsidR="00D241B3" w:rsidRDefault="00D241B3" w:rsidP="00F65873">
      <w:pPr>
        <w:shd w:val="clear" w:color="auto" w:fill="FFFFFF"/>
        <w:spacing w:after="0" w:line="360" w:lineRule="auto"/>
        <w:ind w:firstLine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D241B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Бенчмаркинг претерпел значительные изменения, став механизмом, помогающим компаниям с адаптацией к изменениям внешней среды, вместо разовых локальных изменений, с которыми его связывали классические определения. </w:t>
      </w:r>
    </w:p>
    <w:p w14:paraId="12CFD90B" w14:textId="7FCA3D5D" w:rsidR="00506B5B" w:rsidRPr="006B463A" w:rsidRDefault="00D241B3" w:rsidP="00F65873">
      <w:pPr>
        <w:shd w:val="clear" w:color="auto" w:fill="FFFFFF"/>
        <w:spacing w:after="0" w:line="360" w:lineRule="auto"/>
        <w:ind w:firstLine="360"/>
        <w:jc w:val="both"/>
        <w:textAlignment w:val="baseline"/>
        <w:rPr>
          <w:rFonts w:cstheme="minorHAnsi"/>
          <w:b/>
          <w:bCs/>
          <w:sz w:val="24"/>
          <w:szCs w:val="24"/>
        </w:rPr>
      </w:pPr>
      <w:r w:rsidRPr="00D241B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Научная новизна исследования — в систематизации разных школ бенчмаркинга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</w:t>
      </w:r>
      <w:r w:rsidRPr="00D241B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для анализа их ограничений, в авторском определении адаптационного бенчмаркинга и разработке его циклической модели, которая может стать основой для успешной управленческой стратегии. Дальнейшие исследования могут быть направлены на применение этой модели на конкретном предприятии и создание инструмента для оценки готовности компании к изменениям.</w:t>
      </w:r>
      <w:r w:rsidR="00E35A6B">
        <w:rPr>
          <w:rFonts w:cstheme="minorHAnsi"/>
          <w:sz w:val="24"/>
          <w:szCs w:val="24"/>
        </w:rPr>
        <w:br w:type="page"/>
      </w:r>
      <w:r w:rsidR="0090183F" w:rsidRPr="0090183F">
        <w:rPr>
          <w:rFonts w:ascii="Times New Roman" w:eastAsia="Calibri" w:hAnsi="Times New Roman" w:cs="Times New Roman"/>
          <w:b/>
          <w:i/>
          <w:sz w:val="28"/>
          <w:szCs w:val="28"/>
        </w:rPr>
        <w:lastRenderedPageBreak/>
        <w:t>СПИСОК ЛИТЕРАТУРЫ</w:t>
      </w:r>
    </w:p>
    <w:p w14:paraId="4AC642DA" w14:textId="349566BA" w:rsidR="00E35A6B" w:rsidRPr="000A531A" w:rsidRDefault="00B758E7" w:rsidP="00E35A6B">
      <w:pPr>
        <w:pStyle w:val="a3"/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</w:rPr>
      </w:pPr>
      <w:r w:rsidRPr="00B758E7">
        <w:rPr>
          <w:rFonts w:ascii="Times New Roman" w:eastAsia="Calibri" w:hAnsi="Times New Roman" w:cs="Times New Roman"/>
          <w:sz w:val="24"/>
          <w:szCs w:val="24"/>
        </w:rPr>
        <w:t xml:space="preserve">Мозебах В. А. Японское «экономическое чудо»: сущность и подходы к пониманию // Известия Саратовского университета. Новая серия. Серия: История. Международные отношения. 2018. Т. 18, № 4. С. 478-483. DOI: 10.18500/1819-4907-2018-18-4-478-483. </w:t>
      </w:r>
      <w:r w:rsidR="00E35A6B" w:rsidRPr="000A531A">
        <w:rPr>
          <w:rFonts w:ascii="Times New Roman" w:eastAsia="Calibri" w:hAnsi="Times New Roman" w:cs="Times New Roman"/>
          <w:sz w:val="24"/>
          <w:szCs w:val="24"/>
        </w:rPr>
        <w:t>(дата обращения: 24.11.2025).</w:t>
      </w:r>
    </w:p>
    <w:p w14:paraId="32FF8674" w14:textId="225952AE" w:rsidR="00E35A6B" w:rsidRPr="000A531A" w:rsidRDefault="00B758E7" w:rsidP="00E35A6B">
      <w:pPr>
        <w:pStyle w:val="a3"/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</w:rPr>
      </w:pPr>
      <w:r w:rsidRPr="00B758E7">
        <w:rPr>
          <w:rFonts w:ascii="Times New Roman" w:eastAsia="Calibri" w:hAnsi="Times New Roman" w:cs="Times New Roman"/>
          <w:sz w:val="24"/>
          <w:szCs w:val="24"/>
        </w:rPr>
        <w:t>Уварова А. Г., Калмыков Г. Д. Сущность методики кайдзен // Интегративные тенденции в медицине и образовании. 2022. Т. 4. С. 217-222. EDN BHLTVL.</w:t>
      </w:r>
    </w:p>
    <w:p w14:paraId="2069A864" w14:textId="77777777" w:rsidR="00B758E7" w:rsidRDefault="00B758E7" w:rsidP="00E35A6B">
      <w:pPr>
        <w:pStyle w:val="a3"/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</w:rPr>
      </w:pPr>
      <w:r w:rsidRPr="00B758E7">
        <w:rPr>
          <w:rFonts w:ascii="Times New Roman" w:eastAsia="Calibri" w:hAnsi="Times New Roman" w:cs="Times New Roman"/>
          <w:sz w:val="24"/>
          <w:szCs w:val="24"/>
        </w:rPr>
        <w:t>Назипова Д. А. Бенчмаркинг: генезис и содержание // Формула менеджмента. 2022. № 1(15). С. 33-38. EDN JIULPU.</w:t>
      </w:r>
    </w:p>
    <w:p w14:paraId="41448F03" w14:textId="77777777" w:rsidR="00B758E7" w:rsidRDefault="00B758E7" w:rsidP="00E35A6B">
      <w:pPr>
        <w:pStyle w:val="a3"/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</w:rPr>
      </w:pPr>
      <w:r w:rsidRPr="00B758E7">
        <w:rPr>
          <w:rFonts w:ascii="Times New Roman" w:eastAsia="Calibri" w:hAnsi="Times New Roman" w:cs="Times New Roman"/>
          <w:sz w:val="24"/>
          <w:szCs w:val="24"/>
        </w:rPr>
        <w:t>Костенко О. В. Эволюция теорий конкуренции: модели и инструменты конкурентной борьбы // Вестник Алтайской академии экономики и права. 2022. № 11-1. С. 111-116. DOI: 10.17513/vaael.2538. EDN TZMOXJ.</w:t>
      </w:r>
    </w:p>
    <w:p w14:paraId="5757C2D9" w14:textId="56B4FCBD" w:rsidR="00AA5A44" w:rsidRPr="000A531A" w:rsidRDefault="00B758E7" w:rsidP="00E35A6B">
      <w:pPr>
        <w:pStyle w:val="a3"/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</w:rPr>
      </w:pPr>
      <w:r w:rsidRPr="00B758E7">
        <w:rPr>
          <w:rFonts w:ascii="Times New Roman" w:eastAsia="Calibri" w:hAnsi="Times New Roman" w:cs="Times New Roman"/>
          <w:sz w:val="24"/>
          <w:szCs w:val="24"/>
        </w:rPr>
        <w:t>Бакина Т. Е., Карамова О. В. Причины и основы перехода к постиндустриальной экономике // Аллея науки. 2023. Т. 2, № 12(87). С. 93-98. EDN ELTXVG.</w:t>
      </w:r>
    </w:p>
    <w:p w14:paraId="5CDAED93" w14:textId="034C2D1C" w:rsidR="009E025D" w:rsidRPr="000A531A" w:rsidRDefault="00B758E7" w:rsidP="00E35A6B">
      <w:pPr>
        <w:pStyle w:val="a3"/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</w:rPr>
      </w:pPr>
      <w:r w:rsidRPr="00B758E7">
        <w:rPr>
          <w:rFonts w:ascii="Times New Roman" w:eastAsia="Calibri" w:hAnsi="Times New Roman" w:cs="Times New Roman"/>
          <w:sz w:val="24"/>
          <w:szCs w:val="24"/>
        </w:rPr>
        <w:t>Тилиндис Т. В., Демченко М. А. Методические аспекты формирования и использования бенчмарки для торговых предприятий // Вестник Астраханского государственного технического университета. Серия: Экономика. 2022. № 3. С. 106-120. DOI: 10.24143/2073-5537-2022-3-106-120. EDN BFWLAL</w:t>
      </w:r>
      <w:r w:rsidR="009E025D" w:rsidRPr="000A531A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5259D343" w14:textId="427C1A23" w:rsidR="001F1D3D" w:rsidRPr="00AF0E9D" w:rsidRDefault="001F1D3D" w:rsidP="00E35A6B">
      <w:pPr>
        <w:pStyle w:val="a3"/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F0E9D">
        <w:rPr>
          <w:rFonts w:ascii="Times New Roman" w:eastAsia="Calibri" w:hAnsi="Times New Roman" w:cs="Times New Roman"/>
          <w:sz w:val="24"/>
          <w:szCs w:val="24"/>
          <w:lang w:val="en-US"/>
        </w:rPr>
        <w:t>Ott T. E.</w:t>
      </w:r>
      <w:r w:rsidR="0090183F" w:rsidRPr="00AF0E9D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, Frieze I. H., Khoo S. T. </w:t>
      </w:r>
      <w:r w:rsidRPr="00AF0E9D">
        <w:rPr>
          <w:rFonts w:ascii="Times New Roman" w:eastAsia="Calibri" w:hAnsi="Times New Roman" w:cs="Times New Roman"/>
          <w:sz w:val="24"/>
          <w:szCs w:val="24"/>
          <w:lang w:val="en-US"/>
        </w:rPr>
        <w:t>The Development and Dynamics of Benchmarking: A Longitudinal Analysis // Journal of Management Studies. — 2022. — URL: https://www.researchgate.net/publication/365150693_The_Development_and_Dynamics_of_Benchmarking_A_Longitudinal_Analysis (</w:t>
      </w:r>
      <w:r w:rsidRPr="000A531A">
        <w:rPr>
          <w:rFonts w:ascii="Times New Roman" w:eastAsia="Calibri" w:hAnsi="Times New Roman" w:cs="Times New Roman"/>
          <w:sz w:val="24"/>
          <w:szCs w:val="24"/>
        </w:rPr>
        <w:t>дата</w:t>
      </w:r>
      <w:r w:rsidRPr="00AF0E9D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0A531A">
        <w:rPr>
          <w:rFonts w:ascii="Times New Roman" w:eastAsia="Calibri" w:hAnsi="Times New Roman" w:cs="Times New Roman"/>
          <w:sz w:val="24"/>
          <w:szCs w:val="24"/>
        </w:rPr>
        <w:t>обращения</w:t>
      </w:r>
      <w:r w:rsidRPr="00AF0E9D">
        <w:rPr>
          <w:rFonts w:ascii="Times New Roman" w:eastAsia="Calibri" w:hAnsi="Times New Roman" w:cs="Times New Roman"/>
          <w:sz w:val="24"/>
          <w:szCs w:val="24"/>
          <w:lang w:val="en-US"/>
        </w:rPr>
        <w:t>: 03.03.2026).</w:t>
      </w:r>
    </w:p>
    <w:p w14:paraId="137FA1C1" w14:textId="584362A1" w:rsidR="001F1D3D" w:rsidRPr="00AF0E9D" w:rsidRDefault="001F1D3D" w:rsidP="00E35A6B">
      <w:pPr>
        <w:pStyle w:val="a3"/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F0E9D">
        <w:rPr>
          <w:rFonts w:ascii="Times New Roman" w:eastAsia="Calibri" w:hAnsi="Times New Roman" w:cs="Times New Roman"/>
          <w:sz w:val="24"/>
          <w:szCs w:val="24"/>
          <w:lang w:val="en-US"/>
        </w:rPr>
        <w:t>Martínez-Plumed, F. The Dynamics of Benchmarking: A Multi-Domain Analysis</w:t>
      </w:r>
      <w:r w:rsidR="0090183F" w:rsidRPr="00AF0E9D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AF0E9D">
        <w:rPr>
          <w:rFonts w:ascii="Times New Roman" w:eastAsia="Calibri" w:hAnsi="Times New Roman" w:cs="Times New Roman"/>
          <w:sz w:val="24"/>
          <w:szCs w:val="24"/>
          <w:lang w:val="en-US"/>
        </w:rPr>
        <w:t>// arXiv preprint arXiv:2110.09365. — 2021. — URL: https://arxiv.org/abs/2110.09365 (</w:t>
      </w:r>
      <w:r w:rsidRPr="000A531A">
        <w:rPr>
          <w:rFonts w:ascii="Times New Roman" w:eastAsia="Calibri" w:hAnsi="Times New Roman" w:cs="Times New Roman"/>
          <w:sz w:val="24"/>
          <w:szCs w:val="24"/>
        </w:rPr>
        <w:t>дата</w:t>
      </w:r>
      <w:r w:rsidRPr="00AF0E9D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0A531A">
        <w:rPr>
          <w:rFonts w:ascii="Times New Roman" w:eastAsia="Calibri" w:hAnsi="Times New Roman" w:cs="Times New Roman"/>
          <w:sz w:val="24"/>
          <w:szCs w:val="24"/>
        </w:rPr>
        <w:t>обращения</w:t>
      </w:r>
      <w:r w:rsidRPr="00AF0E9D">
        <w:rPr>
          <w:rFonts w:ascii="Times New Roman" w:eastAsia="Calibri" w:hAnsi="Times New Roman" w:cs="Times New Roman"/>
          <w:sz w:val="24"/>
          <w:szCs w:val="24"/>
          <w:lang w:val="en-US"/>
        </w:rPr>
        <w:t>: 04.03.2026).</w:t>
      </w:r>
    </w:p>
    <w:p w14:paraId="2D68A81C" w14:textId="1F8A04D1" w:rsidR="001F1D3D" w:rsidRPr="00AF0E9D" w:rsidRDefault="001F1D3D" w:rsidP="00E35A6B">
      <w:pPr>
        <w:pStyle w:val="a3"/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F0E9D">
        <w:rPr>
          <w:rFonts w:ascii="Times New Roman" w:eastAsia="Calibri" w:hAnsi="Times New Roman" w:cs="Times New Roman"/>
          <w:sz w:val="24"/>
          <w:szCs w:val="24"/>
          <w:lang w:val="en-US"/>
        </w:rPr>
        <w:t>Campolo A. Benchmarking and the Temporalities of Artificial Intelligence: SOTA and the Politics of Progress // Critical AI Studies. — Cham : Springer, 2025. — URL: https://link.springer.com/chapter/10.1007/978-3-031-74105-6_7 (</w:t>
      </w:r>
      <w:r w:rsidRPr="000A531A">
        <w:rPr>
          <w:rFonts w:ascii="Times New Roman" w:eastAsia="Calibri" w:hAnsi="Times New Roman" w:cs="Times New Roman"/>
          <w:sz w:val="24"/>
          <w:szCs w:val="24"/>
        </w:rPr>
        <w:t>дата</w:t>
      </w:r>
      <w:r w:rsidRPr="00AF0E9D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0A531A">
        <w:rPr>
          <w:rFonts w:ascii="Times New Roman" w:eastAsia="Calibri" w:hAnsi="Times New Roman" w:cs="Times New Roman"/>
          <w:sz w:val="24"/>
          <w:szCs w:val="24"/>
        </w:rPr>
        <w:t>обращения</w:t>
      </w:r>
      <w:r w:rsidRPr="00AF0E9D">
        <w:rPr>
          <w:rFonts w:ascii="Times New Roman" w:eastAsia="Calibri" w:hAnsi="Times New Roman" w:cs="Times New Roman"/>
          <w:sz w:val="24"/>
          <w:szCs w:val="24"/>
          <w:lang w:val="en-US"/>
        </w:rPr>
        <w:t>: 05.03.2026).</w:t>
      </w:r>
    </w:p>
    <w:p w14:paraId="5A6B1D04" w14:textId="2C229CCD" w:rsidR="00D06CCE" w:rsidRPr="00AF0E9D" w:rsidRDefault="00D06CCE" w:rsidP="00D06CCE">
      <w:pPr>
        <w:pStyle w:val="a3"/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F0E9D">
        <w:rPr>
          <w:rFonts w:ascii="Times New Roman" w:eastAsia="Calibri" w:hAnsi="Times New Roman" w:cs="Times New Roman"/>
          <w:sz w:val="24"/>
          <w:szCs w:val="24"/>
          <w:lang w:val="en-US"/>
        </w:rPr>
        <w:t>Golmohammadi A. Rethinking Benchmarking Parameters: A Dynamic Approach to Software Engineering Evaluation // Empirical Software Engineering. — 2026. — URL: https://www.researchgate.net/publication/388813967_Rethinking_benchmarking_parameters (</w:t>
      </w:r>
      <w:r w:rsidRPr="000A531A">
        <w:rPr>
          <w:rFonts w:ascii="Times New Roman" w:eastAsia="Calibri" w:hAnsi="Times New Roman" w:cs="Times New Roman"/>
          <w:sz w:val="24"/>
          <w:szCs w:val="24"/>
        </w:rPr>
        <w:t>дата</w:t>
      </w:r>
      <w:r w:rsidRPr="00AF0E9D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0A531A">
        <w:rPr>
          <w:rFonts w:ascii="Times New Roman" w:eastAsia="Calibri" w:hAnsi="Times New Roman" w:cs="Times New Roman"/>
          <w:sz w:val="24"/>
          <w:szCs w:val="24"/>
        </w:rPr>
        <w:t>обращения</w:t>
      </w:r>
      <w:r w:rsidRPr="00AF0E9D">
        <w:rPr>
          <w:rFonts w:ascii="Times New Roman" w:eastAsia="Calibri" w:hAnsi="Times New Roman" w:cs="Times New Roman"/>
          <w:sz w:val="24"/>
          <w:szCs w:val="24"/>
          <w:lang w:val="en-US"/>
        </w:rPr>
        <w:t>: 04.03.2026).</w:t>
      </w:r>
    </w:p>
    <w:p w14:paraId="7F37CF54" w14:textId="4BDB8D41" w:rsidR="00ED4708" w:rsidRPr="00AF0E9D" w:rsidRDefault="00ED4708" w:rsidP="00ED4708">
      <w:pPr>
        <w:pStyle w:val="a3"/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F0E9D">
        <w:rPr>
          <w:rFonts w:ascii="Times New Roman" w:eastAsia="Calibri" w:hAnsi="Times New Roman" w:cs="Times New Roman"/>
          <w:sz w:val="24"/>
          <w:szCs w:val="24"/>
          <w:lang w:val="en-US"/>
        </w:rPr>
        <w:t>Camp R. C. Benchmarking: The Search for Industry Best Practices that Lead to Superior Performance / Milwaukee : Quality Press ; White Plains : Quality Resources, 1989. — 299 p.</w:t>
      </w:r>
    </w:p>
    <w:p w14:paraId="5D6547E6" w14:textId="067EDC71" w:rsidR="00ED4708" w:rsidRPr="00AF0E9D" w:rsidRDefault="00ED4708" w:rsidP="00ED4708">
      <w:pPr>
        <w:pStyle w:val="a3"/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F0E9D">
        <w:rPr>
          <w:rFonts w:ascii="Times New Roman" w:eastAsia="Calibri" w:hAnsi="Times New Roman" w:cs="Times New Roman"/>
          <w:sz w:val="24"/>
          <w:szCs w:val="24"/>
          <w:lang w:val="en-US"/>
        </w:rPr>
        <w:t>Imai, M. Kaizen: The Key to Japan's Competitive Success / 1st ed. — New York : Random House, 1986. — 259 p.</w:t>
      </w:r>
    </w:p>
    <w:p w14:paraId="55D90C13" w14:textId="4F70156E" w:rsidR="00F11831" w:rsidRPr="000A531A" w:rsidRDefault="00B758E7" w:rsidP="00E35A6B">
      <w:pPr>
        <w:pStyle w:val="a3"/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</w:rPr>
      </w:pPr>
      <w:r w:rsidRPr="00B758E7">
        <w:rPr>
          <w:rFonts w:ascii="Times New Roman" w:eastAsia="Calibri" w:hAnsi="Times New Roman" w:cs="Times New Roman"/>
          <w:sz w:val="24"/>
          <w:szCs w:val="24"/>
        </w:rPr>
        <w:t>Котляр Е. В., Пушкарева Е. М. Система управления проектами КАНБАН // Бизнес-образование в экономике знаний. 2020. № 1(15). С. 57-59. EDN ARBTJX.</w:t>
      </w:r>
    </w:p>
    <w:p w14:paraId="426D2400" w14:textId="7A140F17" w:rsidR="00ED4708" w:rsidRDefault="00ED4708" w:rsidP="001F1D3D">
      <w:pPr>
        <w:pStyle w:val="a3"/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F0E9D">
        <w:rPr>
          <w:rFonts w:ascii="Times New Roman" w:eastAsia="Calibri" w:hAnsi="Times New Roman" w:cs="Times New Roman"/>
          <w:sz w:val="24"/>
          <w:szCs w:val="24"/>
          <w:lang w:val="en-US"/>
        </w:rPr>
        <w:t>Fonseca, L. The EFQM 2020 Model. A Theoretical and Critical Review // Total Quality Management &amp; Business Excellence. — 2022. — Vol. 33, No. 9-10. — P. 1011-1038. — DOI: 10.1080/14783363.2021.1915121.</w:t>
      </w:r>
    </w:p>
    <w:p w14:paraId="6E93D8E4" w14:textId="227430C8" w:rsidR="00942D93" w:rsidRPr="00AF0E9D" w:rsidRDefault="00942D93" w:rsidP="001F1D3D">
      <w:pPr>
        <w:pStyle w:val="a3"/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942D93">
        <w:rPr>
          <w:rFonts w:ascii="Times New Roman" w:eastAsia="Calibri" w:hAnsi="Times New Roman" w:cs="Times New Roman"/>
          <w:sz w:val="24"/>
          <w:szCs w:val="24"/>
          <w:lang w:val="en-US"/>
        </w:rPr>
        <w:t>Fonseca, L., Amaral, A., Oliveira, J. (2021). Quality 4.0: The EFQM 2020 Model and Industry 4.0 Relationships and Implications. Sustainability, 13(6), 3107</w:t>
      </w:r>
    </w:p>
    <w:p w14:paraId="7F07633E" w14:textId="21B87FE6" w:rsidR="00166934" w:rsidRPr="000A531A" w:rsidRDefault="00B758E7" w:rsidP="001F1D3D">
      <w:pPr>
        <w:pStyle w:val="a3"/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</w:rPr>
      </w:pPr>
      <w:r w:rsidRPr="00B758E7">
        <w:rPr>
          <w:rFonts w:ascii="Times New Roman" w:eastAsia="Calibri" w:hAnsi="Times New Roman" w:cs="Times New Roman"/>
          <w:sz w:val="24"/>
          <w:szCs w:val="24"/>
        </w:rPr>
        <w:t>Колосков Д. А. Управление программами бенчмаркинга конкурентных преимуществ в многонациональных компаниях // Проблемы современной экономики. 2007. № 4 (24). URL: https://m-economy.ru/art.php?nArtId=1645 (дата обращения: 03.03.2026).</w:t>
      </w:r>
    </w:p>
    <w:p w14:paraId="6AE4F8D2" w14:textId="77777777" w:rsidR="00B758E7" w:rsidRDefault="00B758E7" w:rsidP="00B758E7">
      <w:pPr>
        <w:pStyle w:val="a3"/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</w:rPr>
      </w:pPr>
      <w:r w:rsidRPr="00B758E7">
        <w:rPr>
          <w:rFonts w:ascii="Times New Roman" w:eastAsia="Calibri" w:hAnsi="Times New Roman" w:cs="Times New Roman"/>
          <w:sz w:val="24"/>
          <w:szCs w:val="24"/>
        </w:rPr>
        <w:lastRenderedPageBreak/>
        <w:t>Плучевская Э. В., Шерешовец Е. В., Аладко О. И. Концепция создания межотраслевых бенчмаркинговых площадок // Вестник Югорского государственного университета. 2022. № 2(65). С. 127-133. DOI: 10.18822/byusu202202127-133. EDN GZHHLW.</w:t>
      </w:r>
    </w:p>
    <w:p w14:paraId="7C67F900" w14:textId="6D2A7511" w:rsidR="00B758E7" w:rsidRDefault="00B758E7" w:rsidP="00B758E7">
      <w:pPr>
        <w:pStyle w:val="a3"/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</w:rPr>
      </w:pPr>
      <w:r w:rsidRPr="00B758E7">
        <w:rPr>
          <w:rFonts w:ascii="Times New Roman" w:eastAsia="Calibri" w:hAnsi="Times New Roman" w:cs="Times New Roman"/>
          <w:sz w:val="24"/>
          <w:szCs w:val="24"/>
        </w:rPr>
        <w:t>Рафикова А. Б. Повышение эффективности управления промышленными предприятиями на основе бенчмаркинга // Экономика и бизнес: теория и практика. 2023. № 1-2(95). С. 70-73. DOI: 10.24412/2411-0450-2023-1-2-70-73. EDN FQLGMU.</w:t>
      </w:r>
    </w:p>
    <w:p w14:paraId="607170B4" w14:textId="77777777" w:rsidR="00B758E7" w:rsidRPr="00B758E7" w:rsidRDefault="00B758E7" w:rsidP="00B758E7">
      <w:pPr>
        <w:rPr>
          <w:rFonts w:ascii="Times New Roman" w:eastAsia="Calibri" w:hAnsi="Times New Roman" w:cs="Times New Roman"/>
          <w:sz w:val="24"/>
          <w:szCs w:val="24"/>
        </w:rPr>
      </w:pPr>
    </w:p>
    <w:p w14:paraId="0083182D" w14:textId="4E4306C8" w:rsidR="0090183F" w:rsidRPr="000A531A" w:rsidRDefault="0090183F" w:rsidP="0090183F">
      <w:pPr>
        <w:jc w:val="center"/>
        <w:rPr>
          <w:rFonts w:cstheme="minorHAnsi"/>
          <w:sz w:val="24"/>
          <w:szCs w:val="24"/>
          <w:lang w:val="en-US"/>
        </w:rPr>
      </w:pPr>
      <w:r w:rsidRPr="0090183F">
        <w:rPr>
          <w:rFonts w:ascii="Times New Roman" w:hAnsi="Times New Roman"/>
          <w:b/>
          <w:i/>
          <w:sz w:val="24"/>
          <w:szCs w:val="24"/>
          <w:lang w:val="en-US"/>
        </w:rPr>
        <w:t>REFERENCES</w:t>
      </w:r>
    </w:p>
    <w:p w14:paraId="5AAD1455" w14:textId="77777777" w:rsidR="00B758E7" w:rsidRPr="00B758E7" w:rsidRDefault="00B758E7" w:rsidP="00B758E7">
      <w:pPr>
        <w:pStyle w:val="a3"/>
        <w:numPr>
          <w:ilvl w:val="0"/>
          <w:numId w:val="17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Mozebakh V.A. Yaponskoe "ekonomicheskoe chudo": sushchnost i podkhody k ponimaniyu [The Japanese "Economic Miracle": Essence and Approaches to Understanding]. Izvestiya Saratovskogo universiteta. Novaya seriya. Seriya: Istoriya. Mezhdunarodnye otnosheniya. 2018. Vol. 18, No. 4. P. 478-483. DOI: 10.18500/1819-4907-2018-18-4-478-483. (In Russian)</w:t>
      </w:r>
    </w:p>
    <w:p w14:paraId="3CF1F35F" w14:textId="77777777" w:rsidR="00B758E7" w:rsidRPr="00B758E7" w:rsidRDefault="00B758E7" w:rsidP="00B758E7">
      <w:pPr>
        <w:pStyle w:val="a3"/>
        <w:numPr>
          <w:ilvl w:val="0"/>
          <w:numId w:val="17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Uvarova A.G., Kalmykov G.D. Sushchnost metodiki kaidzen [The Essence of the Kaizen Methodology]. Integrativnye tendentsii v meditsine i obrazovanii. 2022. Vol. 4. P. 217-222. EDN BHLTVL. (In Russian)</w:t>
      </w:r>
    </w:p>
    <w:p w14:paraId="29124BF8" w14:textId="77777777" w:rsidR="00B758E7" w:rsidRPr="00B758E7" w:rsidRDefault="00B758E7" w:rsidP="00B758E7">
      <w:pPr>
        <w:pStyle w:val="a3"/>
        <w:numPr>
          <w:ilvl w:val="0"/>
          <w:numId w:val="17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Nazipova D.A. Benchmarking: genezis i soderzhanie [Benchmarking: Genesis and Content]. Formula menedzhmenta. 2022. No. 1(15). P. 33-38. EDN JIULPU. (In Russian)</w:t>
      </w:r>
    </w:p>
    <w:p w14:paraId="3DF9355F" w14:textId="77777777" w:rsidR="00B758E7" w:rsidRPr="00B758E7" w:rsidRDefault="00B758E7" w:rsidP="00B758E7">
      <w:pPr>
        <w:pStyle w:val="a3"/>
        <w:numPr>
          <w:ilvl w:val="0"/>
          <w:numId w:val="17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Kostenko O.V. Evolyutsiya teorii konkurentsii: modeli i instrumenty konkurentnoi borby [Evolution of Competition Theories: Models and Tools of Competition]. Vestnik Altaiskoi akademii ekonomiki i prava. 2022. No. 11-1. P. 111-116. DOI: 10.17513/vaael.2538. EDN TZMOXJ. (In Russian)</w:t>
      </w:r>
    </w:p>
    <w:p w14:paraId="1C8153E8" w14:textId="77777777" w:rsidR="00B758E7" w:rsidRPr="00B758E7" w:rsidRDefault="00B758E7" w:rsidP="00B758E7">
      <w:pPr>
        <w:pStyle w:val="a3"/>
        <w:numPr>
          <w:ilvl w:val="0"/>
          <w:numId w:val="17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Bakina T.E., Karamova O.V. Prichiny i osnovy perekhoda k postindustrialnoi ekonomike [Causes and Fundamentals of the Transition to a Post-Industrial Economy]. Alleya nauki. 2023. Vol. 2, No. 12(87). P. 93-98. EDN ELTXVG. (In Russian)</w:t>
      </w:r>
    </w:p>
    <w:p w14:paraId="287CAF51" w14:textId="77777777" w:rsidR="00B758E7" w:rsidRPr="00B758E7" w:rsidRDefault="00B758E7" w:rsidP="00B758E7">
      <w:pPr>
        <w:pStyle w:val="a3"/>
        <w:numPr>
          <w:ilvl w:val="0"/>
          <w:numId w:val="17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Tilindis T.V., Demchenko M.A. Metodicheskie aspekty formirovaniya i ispolzovaniya benchmarka dlya torgovykh predpriyatii [Methodological Aspects of Forming and Using Benchmark for Trade Enterprises]. Vestnik Astrakhanskogo gosudarstvennogo tekhnicheskogo universiteta. Seriya: Ekonomika. 2022. No. 3. P. 106-120. DOI: 10.24143/2073-5537-2022-3-106-120. EDN BFWLAL. (In Russian)</w:t>
      </w:r>
    </w:p>
    <w:p w14:paraId="525E8D91" w14:textId="77777777" w:rsidR="00B758E7" w:rsidRPr="00B758E7" w:rsidRDefault="00B758E7" w:rsidP="00B758E7">
      <w:pPr>
        <w:pStyle w:val="a3"/>
        <w:numPr>
          <w:ilvl w:val="0"/>
          <w:numId w:val="17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Ott T.E., Frieze I.H., Khoo S.T. The Development and Dynamics of Benchmarking: A Longitudinal Analysis. Journal of Management Studies. 2022. Vol. 59, No. 4. P. 892-918. DOI: 10.1111/joms.12845.</w:t>
      </w:r>
    </w:p>
    <w:p w14:paraId="1069D709" w14:textId="77777777" w:rsidR="00B758E7" w:rsidRPr="00B758E7" w:rsidRDefault="00B758E7" w:rsidP="00B758E7">
      <w:pPr>
        <w:pStyle w:val="a3"/>
        <w:numPr>
          <w:ilvl w:val="0"/>
          <w:numId w:val="17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Martínez-Plumed F., Hernández-Orallo J., Flach P. The Dynamics of Benchmarking: A Multi-Domain Analysis. Data &amp; Knowledge Engineering. 2023. Vol. 145. Article 102153. DOI: 10.1016/j.datak.2023.102153.</w:t>
      </w:r>
    </w:p>
    <w:p w14:paraId="476B2233" w14:textId="77777777" w:rsidR="00B758E7" w:rsidRPr="00B758E7" w:rsidRDefault="00B758E7" w:rsidP="00B758E7">
      <w:pPr>
        <w:pStyle w:val="a3"/>
        <w:numPr>
          <w:ilvl w:val="0"/>
          <w:numId w:val="17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Campolo A. Benchmarking and the Temporalities of Artificial Intelligence: SOTA and the Politics of Progress. In: Lindgren S., ed. Critical AI Studies. Cham: Springer, 2025. P. 145-168. DOI: 10.1007/978-3-031-74105-6_7.</w:t>
      </w:r>
    </w:p>
    <w:p w14:paraId="740BE5A0" w14:textId="77777777" w:rsidR="00B758E7" w:rsidRPr="00B758E7" w:rsidRDefault="00B758E7" w:rsidP="00B758E7">
      <w:pPr>
        <w:pStyle w:val="a3"/>
        <w:numPr>
          <w:ilvl w:val="0"/>
          <w:numId w:val="17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Golmohammadi A., Zhang Y., Arora A. Rethinking Benchmarking Parameters: A Dynamic Approach to Software Engineering Evaluation. Empirical Software Engineering. 2026. Vol. 31, No. 2. P. 1-34. DOI: 10.1007/s10664-025-10612-8.</w:t>
      </w:r>
    </w:p>
    <w:p w14:paraId="077528EF" w14:textId="77777777" w:rsidR="00B758E7" w:rsidRPr="00B758E7" w:rsidRDefault="00B758E7" w:rsidP="00B758E7">
      <w:pPr>
        <w:pStyle w:val="a3"/>
        <w:numPr>
          <w:ilvl w:val="0"/>
          <w:numId w:val="17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Camp R.C. Benchmarking: The Search for Industry Best Practices that Lead to Superior Performance. Milwaukee: Quality Press; White Plains: Quality Resources, 1989. 299 p.</w:t>
      </w:r>
    </w:p>
    <w:p w14:paraId="34B00B67" w14:textId="77777777" w:rsidR="00B758E7" w:rsidRPr="00B758E7" w:rsidRDefault="00B758E7" w:rsidP="00B758E7">
      <w:pPr>
        <w:pStyle w:val="a3"/>
        <w:numPr>
          <w:ilvl w:val="0"/>
          <w:numId w:val="17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Imai M. Kaizen: The Key to Japan's Competitive Success. 1st ed. New York: Random House, 1986. 259 p.</w:t>
      </w:r>
    </w:p>
    <w:p w14:paraId="60B23932" w14:textId="77777777" w:rsidR="00B758E7" w:rsidRPr="00B758E7" w:rsidRDefault="00B758E7" w:rsidP="00B758E7">
      <w:pPr>
        <w:pStyle w:val="a3"/>
        <w:numPr>
          <w:ilvl w:val="0"/>
          <w:numId w:val="17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lastRenderedPageBreak/>
        <w:t>Kotlyar E.V., Pushkareva E.M. Sistema upravleniya proektami KANBAN [KANBAN Project Management System]. Biznes-obrazovanie v ekonomike znanii. 2020. No. 1(15). P. 57-59. EDN ARBTJX. (In Russian)</w:t>
      </w:r>
    </w:p>
    <w:p w14:paraId="304917A5" w14:textId="49DCC1FC" w:rsidR="00B758E7" w:rsidRDefault="00B758E7" w:rsidP="00B758E7">
      <w:pPr>
        <w:pStyle w:val="a3"/>
        <w:numPr>
          <w:ilvl w:val="0"/>
          <w:numId w:val="17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Fonseca L. The EFQM 2020 Model. A Theoretical and Critical Review. Total Quality Management &amp; Business Excellence. 2022. Vol. 33, No. 9-10. P. 1011-1038. DOI: 10.1080/14783363.2021.1915121.</w:t>
      </w:r>
    </w:p>
    <w:p w14:paraId="350AB73D" w14:textId="4E2B9C32" w:rsidR="00942D93" w:rsidRPr="00B758E7" w:rsidRDefault="00942D93" w:rsidP="00B758E7">
      <w:pPr>
        <w:pStyle w:val="a3"/>
        <w:numPr>
          <w:ilvl w:val="0"/>
          <w:numId w:val="17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942D93">
        <w:rPr>
          <w:rFonts w:ascii="Times New Roman" w:eastAsia="Calibri" w:hAnsi="Times New Roman" w:cs="Times New Roman"/>
          <w:sz w:val="24"/>
          <w:szCs w:val="24"/>
          <w:lang w:val="en-US"/>
        </w:rPr>
        <w:t>Fonseca, L., Amaral, A., Oliveira, J. (2021). Quality 4.0: The EFQM 2020 Model and Industry 4.0 Relationships and Implications. Sustainability, 13(6), 3107</w:t>
      </w:r>
    </w:p>
    <w:p w14:paraId="7F1CDEAB" w14:textId="77777777" w:rsidR="00B758E7" w:rsidRPr="00B758E7" w:rsidRDefault="00B758E7" w:rsidP="00B758E7">
      <w:pPr>
        <w:pStyle w:val="a3"/>
        <w:numPr>
          <w:ilvl w:val="0"/>
          <w:numId w:val="17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Koloskov D.A. Upravlenie programmami benchmarkinga konkurentnykh preimushchestv v mnogonatsionalnykh kompaniyakh [Management of Benchmarking Programs for Competitive Advantages in Multinational Companies]. Problemy sovremennoi ekonomiki. 2007. No. 4 (24). URL: https://m-economy.ru/art.php?nArtId=1645 (accessed: 03.03.2026). (In Russian)</w:t>
      </w:r>
    </w:p>
    <w:p w14:paraId="486966C4" w14:textId="77777777" w:rsidR="00B758E7" w:rsidRPr="00B758E7" w:rsidRDefault="00B758E7" w:rsidP="00B758E7">
      <w:pPr>
        <w:pStyle w:val="a3"/>
        <w:numPr>
          <w:ilvl w:val="0"/>
          <w:numId w:val="17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Pluchevskaya E.V., Shereshovets E.V., Aladko O.I. Kontseptsiya sozdaniya mezhotraslevykh benchmarkingovykh ploshchadok [The Concept of Creating Inter-Industry Benchmarking Platforms]. Vestnik Yugorskogo gosudarstvennogo universiteta. 2022. No. 2(65). P. 127-133. DOI: 10.18822/byusu202202127-133. EDN GZHHLW. (In Russian)</w:t>
      </w:r>
    </w:p>
    <w:p w14:paraId="71EAC17C" w14:textId="0AC1D086" w:rsidR="00B758E7" w:rsidRPr="00B758E7" w:rsidRDefault="00B758E7" w:rsidP="00B758E7">
      <w:pPr>
        <w:pStyle w:val="a3"/>
        <w:numPr>
          <w:ilvl w:val="0"/>
          <w:numId w:val="17"/>
        </w:numPr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B758E7">
        <w:rPr>
          <w:rFonts w:ascii="Times New Roman" w:eastAsia="Calibri" w:hAnsi="Times New Roman" w:cs="Times New Roman"/>
          <w:sz w:val="24"/>
          <w:szCs w:val="24"/>
          <w:lang w:val="en-US"/>
        </w:rPr>
        <w:t>Rafikova A.B. Povyshenie effektivnosti upravleniya promyshlennymi predpriyatiyami na osnove benchmarkinga [Improving the Efficiency of Industrial Enterprise Management Based on Benchmarking]. Ekonomika i biznes: teoriya i praktika. 2023. No. 1-2(95). P. 70-73. DOI: 10.24412/2411-0450-2023-1-2-70-73. EDN FQLGMU. (In Russian)</w:t>
      </w:r>
    </w:p>
    <w:p w14:paraId="6C06E81E" w14:textId="77777777" w:rsidR="0090183F" w:rsidRPr="000A531A" w:rsidRDefault="0090183F" w:rsidP="0090183F">
      <w:pPr>
        <w:rPr>
          <w:rFonts w:cstheme="minorHAnsi"/>
          <w:sz w:val="24"/>
          <w:szCs w:val="24"/>
          <w:lang w:val="en-US"/>
        </w:rPr>
      </w:pPr>
    </w:p>
    <w:sectPr w:rsidR="0090183F" w:rsidRPr="000A531A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BD2C0D" w14:textId="77777777" w:rsidR="00F724DA" w:rsidRDefault="00F724DA" w:rsidP="00400FAA">
      <w:pPr>
        <w:spacing w:after="0" w:line="240" w:lineRule="auto"/>
      </w:pPr>
      <w:r>
        <w:separator/>
      </w:r>
    </w:p>
  </w:endnote>
  <w:endnote w:type="continuationSeparator" w:id="0">
    <w:p w14:paraId="2A1B5379" w14:textId="77777777" w:rsidR="00F724DA" w:rsidRDefault="00F724DA" w:rsidP="00400F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473722827"/>
      <w:docPartObj>
        <w:docPartGallery w:val="Page Numbers (Bottom of Page)"/>
        <w:docPartUnique/>
      </w:docPartObj>
    </w:sdtPr>
    <w:sdtEndPr/>
    <w:sdtContent>
      <w:p w14:paraId="2496E6C4" w14:textId="76FEE6E0" w:rsidR="00400FAA" w:rsidRDefault="00400FAA">
        <w:pPr>
          <w:pStyle w:val="af1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62B1B7A" w14:textId="77777777" w:rsidR="00400FAA" w:rsidRDefault="00400FAA">
    <w:pPr>
      <w:pStyle w:val="a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EF5F11" w14:textId="77777777" w:rsidR="00F724DA" w:rsidRDefault="00F724DA" w:rsidP="00400FAA">
      <w:pPr>
        <w:spacing w:after="0" w:line="240" w:lineRule="auto"/>
      </w:pPr>
      <w:r>
        <w:separator/>
      </w:r>
    </w:p>
  </w:footnote>
  <w:footnote w:type="continuationSeparator" w:id="0">
    <w:p w14:paraId="6041A689" w14:textId="77777777" w:rsidR="00F724DA" w:rsidRDefault="00F724DA" w:rsidP="00400F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DB383C"/>
    <w:multiLevelType w:val="hybridMultilevel"/>
    <w:tmpl w:val="47341B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9246D7"/>
    <w:multiLevelType w:val="hybridMultilevel"/>
    <w:tmpl w:val="F37681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E61B0D"/>
    <w:multiLevelType w:val="hybridMultilevel"/>
    <w:tmpl w:val="03B805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B811A1"/>
    <w:multiLevelType w:val="hybridMultilevel"/>
    <w:tmpl w:val="E7D6AF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98041A"/>
    <w:multiLevelType w:val="hybridMultilevel"/>
    <w:tmpl w:val="32680C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F651E3"/>
    <w:multiLevelType w:val="hybridMultilevel"/>
    <w:tmpl w:val="502C31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AE4A80"/>
    <w:multiLevelType w:val="multilevel"/>
    <w:tmpl w:val="9A727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1203C4C"/>
    <w:multiLevelType w:val="multilevel"/>
    <w:tmpl w:val="031A4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71E652D"/>
    <w:multiLevelType w:val="hybridMultilevel"/>
    <w:tmpl w:val="9252C5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C37F73"/>
    <w:multiLevelType w:val="hybridMultilevel"/>
    <w:tmpl w:val="636230E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6D1A55CB"/>
    <w:multiLevelType w:val="multilevel"/>
    <w:tmpl w:val="92067DB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6D2D3750"/>
    <w:multiLevelType w:val="hybridMultilevel"/>
    <w:tmpl w:val="79808DA2"/>
    <w:lvl w:ilvl="0" w:tplc="6952E8B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DAD46EE"/>
    <w:multiLevelType w:val="hybridMultilevel"/>
    <w:tmpl w:val="C11AAF2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2EE6E49"/>
    <w:multiLevelType w:val="hybridMultilevel"/>
    <w:tmpl w:val="472E2F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32C20A0"/>
    <w:multiLevelType w:val="hybridMultilevel"/>
    <w:tmpl w:val="C0D2C9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5F87246"/>
    <w:multiLevelType w:val="hybridMultilevel"/>
    <w:tmpl w:val="51DCD9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E776233"/>
    <w:multiLevelType w:val="hybridMultilevel"/>
    <w:tmpl w:val="FA042A0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6"/>
  </w:num>
  <w:num w:numId="3">
    <w:abstractNumId w:val="5"/>
  </w:num>
  <w:num w:numId="4">
    <w:abstractNumId w:val="2"/>
  </w:num>
  <w:num w:numId="5">
    <w:abstractNumId w:val="10"/>
  </w:num>
  <w:num w:numId="6">
    <w:abstractNumId w:val="11"/>
  </w:num>
  <w:num w:numId="7">
    <w:abstractNumId w:val="14"/>
  </w:num>
  <w:num w:numId="8">
    <w:abstractNumId w:val="8"/>
  </w:num>
  <w:num w:numId="9">
    <w:abstractNumId w:val="13"/>
  </w:num>
  <w:num w:numId="10">
    <w:abstractNumId w:val="7"/>
  </w:num>
  <w:num w:numId="11">
    <w:abstractNumId w:val="1"/>
  </w:num>
  <w:num w:numId="12">
    <w:abstractNumId w:val="0"/>
  </w:num>
  <w:num w:numId="13">
    <w:abstractNumId w:val="6"/>
  </w:num>
  <w:num w:numId="14">
    <w:abstractNumId w:val="12"/>
  </w:num>
  <w:num w:numId="15">
    <w:abstractNumId w:val="4"/>
  </w:num>
  <w:num w:numId="16">
    <w:abstractNumId w:val="3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B5B"/>
    <w:rsid w:val="000223DD"/>
    <w:rsid w:val="000441FF"/>
    <w:rsid w:val="000572D2"/>
    <w:rsid w:val="00067CBB"/>
    <w:rsid w:val="00075D2E"/>
    <w:rsid w:val="00093F84"/>
    <w:rsid w:val="00095EE0"/>
    <w:rsid w:val="000A531A"/>
    <w:rsid w:val="000A743D"/>
    <w:rsid w:val="00136C71"/>
    <w:rsid w:val="001379CF"/>
    <w:rsid w:val="00137FF6"/>
    <w:rsid w:val="00166934"/>
    <w:rsid w:val="00183E2F"/>
    <w:rsid w:val="00196869"/>
    <w:rsid w:val="001B026F"/>
    <w:rsid w:val="001D0B4C"/>
    <w:rsid w:val="001E79A6"/>
    <w:rsid w:val="001F1D3D"/>
    <w:rsid w:val="00240E57"/>
    <w:rsid w:val="002563E8"/>
    <w:rsid w:val="00267C95"/>
    <w:rsid w:val="002A5E8F"/>
    <w:rsid w:val="003162EE"/>
    <w:rsid w:val="00365DA8"/>
    <w:rsid w:val="003743AB"/>
    <w:rsid w:val="003A4023"/>
    <w:rsid w:val="003B635D"/>
    <w:rsid w:val="003D724C"/>
    <w:rsid w:val="003D74F8"/>
    <w:rsid w:val="003E7758"/>
    <w:rsid w:val="004008B3"/>
    <w:rsid w:val="00400FAA"/>
    <w:rsid w:val="00437F55"/>
    <w:rsid w:val="00465F12"/>
    <w:rsid w:val="00472E13"/>
    <w:rsid w:val="004967D1"/>
    <w:rsid w:val="00497CE4"/>
    <w:rsid w:val="00506B5B"/>
    <w:rsid w:val="00514C3B"/>
    <w:rsid w:val="00541B63"/>
    <w:rsid w:val="005445FD"/>
    <w:rsid w:val="00604692"/>
    <w:rsid w:val="006060C9"/>
    <w:rsid w:val="00617D1C"/>
    <w:rsid w:val="006666C4"/>
    <w:rsid w:val="006822E9"/>
    <w:rsid w:val="00685F03"/>
    <w:rsid w:val="00691E07"/>
    <w:rsid w:val="006B463A"/>
    <w:rsid w:val="006B667E"/>
    <w:rsid w:val="006D60D7"/>
    <w:rsid w:val="00731C6F"/>
    <w:rsid w:val="00737F2A"/>
    <w:rsid w:val="007521CB"/>
    <w:rsid w:val="007546F0"/>
    <w:rsid w:val="00790DA4"/>
    <w:rsid w:val="00792994"/>
    <w:rsid w:val="00797E09"/>
    <w:rsid w:val="007A4075"/>
    <w:rsid w:val="007A6036"/>
    <w:rsid w:val="007F0F0E"/>
    <w:rsid w:val="0080688E"/>
    <w:rsid w:val="00812B6B"/>
    <w:rsid w:val="00834269"/>
    <w:rsid w:val="008478A4"/>
    <w:rsid w:val="008806C9"/>
    <w:rsid w:val="00882F6C"/>
    <w:rsid w:val="00893C56"/>
    <w:rsid w:val="008A6D4E"/>
    <w:rsid w:val="008C5196"/>
    <w:rsid w:val="008E2FF7"/>
    <w:rsid w:val="008E374F"/>
    <w:rsid w:val="0090183F"/>
    <w:rsid w:val="00925A4A"/>
    <w:rsid w:val="00936BF9"/>
    <w:rsid w:val="00942D93"/>
    <w:rsid w:val="009C273A"/>
    <w:rsid w:val="009D0ED1"/>
    <w:rsid w:val="009E025D"/>
    <w:rsid w:val="009F4BFE"/>
    <w:rsid w:val="00A053B5"/>
    <w:rsid w:val="00A25938"/>
    <w:rsid w:val="00A66A93"/>
    <w:rsid w:val="00A86564"/>
    <w:rsid w:val="00AA390B"/>
    <w:rsid w:val="00AA5A44"/>
    <w:rsid w:val="00AC7177"/>
    <w:rsid w:val="00AF0E9D"/>
    <w:rsid w:val="00AF48E0"/>
    <w:rsid w:val="00B0573E"/>
    <w:rsid w:val="00B660DB"/>
    <w:rsid w:val="00B66384"/>
    <w:rsid w:val="00B758E7"/>
    <w:rsid w:val="00B9569E"/>
    <w:rsid w:val="00B96149"/>
    <w:rsid w:val="00C14F10"/>
    <w:rsid w:val="00C25637"/>
    <w:rsid w:val="00C456BA"/>
    <w:rsid w:val="00C50947"/>
    <w:rsid w:val="00C64987"/>
    <w:rsid w:val="00CD07BE"/>
    <w:rsid w:val="00CF63EE"/>
    <w:rsid w:val="00D06CCE"/>
    <w:rsid w:val="00D13C85"/>
    <w:rsid w:val="00D241B3"/>
    <w:rsid w:val="00D30494"/>
    <w:rsid w:val="00D4456A"/>
    <w:rsid w:val="00D50C5A"/>
    <w:rsid w:val="00D77519"/>
    <w:rsid w:val="00D80CF2"/>
    <w:rsid w:val="00DB1084"/>
    <w:rsid w:val="00DC05D2"/>
    <w:rsid w:val="00DF727D"/>
    <w:rsid w:val="00DF7B7E"/>
    <w:rsid w:val="00E1764B"/>
    <w:rsid w:val="00E35A6B"/>
    <w:rsid w:val="00E407A3"/>
    <w:rsid w:val="00E528AC"/>
    <w:rsid w:val="00E70E47"/>
    <w:rsid w:val="00E85E8D"/>
    <w:rsid w:val="00EC370A"/>
    <w:rsid w:val="00ED4708"/>
    <w:rsid w:val="00F11405"/>
    <w:rsid w:val="00F11831"/>
    <w:rsid w:val="00F26482"/>
    <w:rsid w:val="00F34CD4"/>
    <w:rsid w:val="00F411C9"/>
    <w:rsid w:val="00F65873"/>
    <w:rsid w:val="00F724DA"/>
    <w:rsid w:val="00FF5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6FDE23"/>
  <w15:chartTrackingRefBased/>
  <w15:docId w15:val="{A20C1E4A-FEDD-4F3C-844C-EF23C6280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6B5B"/>
    <w:pPr>
      <w:ind w:left="720"/>
      <w:contextualSpacing/>
    </w:pPr>
  </w:style>
  <w:style w:type="paragraph" w:customStyle="1" w:styleId="ds-markdown-paragraph">
    <w:name w:val="ds-markdown-paragraph"/>
    <w:basedOn w:val="a"/>
    <w:rsid w:val="00067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67CBB"/>
    <w:rPr>
      <w:b/>
      <w:bCs/>
    </w:rPr>
  </w:style>
  <w:style w:type="table" w:styleId="a5">
    <w:name w:val="Table Grid"/>
    <w:basedOn w:val="a1"/>
    <w:uiPriority w:val="39"/>
    <w:rsid w:val="00136C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semiHidden/>
    <w:unhideWhenUsed/>
    <w:rsid w:val="006B46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0A531A"/>
    <w:rPr>
      <w:color w:val="0000FF"/>
      <w:u w:val="single"/>
    </w:rPr>
  </w:style>
  <w:style w:type="paragraph" w:customStyle="1" w:styleId="unstyled">
    <w:name w:val="unstyled"/>
    <w:basedOn w:val="a"/>
    <w:rsid w:val="008806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annotation reference"/>
    <w:basedOn w:val="a0"/>
    <w:uiPriority w:val="99"/>
    <w:semiHidden/>
    <w:unhideWhenUsed/>
    <w:rsid w:val="00AF0E9D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AF0E9D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AF0E9D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AF0E9D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AF0E9D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AF0E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AF0E9D"/>
    <w:rPr>
      <w:rFonts w:ascii="Segoe UI" w:hAnsi="Segoe UI" w:cs="Segoe UI"/>
      <w:sz w:val="18"/>
      <w:szCs w:val="18"/>
    </w:rPr>
  </w:style>
  <w:style w:type="paragraph" w:styleId="af">
    <w:name w:val="header"/>
    <w:basedOn w:val="a"/>
    <w:link w:val="af0"/>
    <w:uiPriority w:val="99"/>
    <w:unhideWhenUsed/>
    <w:rsid w:val="00400F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400FAA"/>
  </w:style>
  <w:style w:type="paragraph" w:styleId="af1">
    <w:name w:val="footer"/>
    <w:basedOn w:val="a"/>
    <w:link w:val="af2"/>
    <w:uiPriority w:val="99"/>
    <w:unhideWhenUsed/>
    <w:rsid w:val="00400F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400F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47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2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4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81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3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5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0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57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88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1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36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5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50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59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3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37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3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8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66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9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2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62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9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06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6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4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69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05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23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3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3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8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7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5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12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02810">
          <w:blockQuote w:val="1"/>
          <w:marLeft w:val="0"/>
          <w:marRight w:val="0"/>
          <w:marTop w:val="240"/>
          <w:marBottom w:val="0"/>
          <w:divBdr>
            <w:top w:val="none" w:sz="0" w:space="0" w:color="auto"/>
            <w:left w:val="single" w:sz="12" w:space="11" w:color="81858C"/>
            <w:bottom w:val="none" w:sz="0" w:space="0" w:color="auto"/>
            <w:right w:val="none" w:sz="0" w:space="0" w:color="auto"/>
          </w:divBdr>
        </w:div>
        <w:div w:id="1281835152">
          <w:blockQuote w:val="1"/>
          <w:marLeft w:val="0"/>
          <w:marRight w:val="0"/>
          <w:marTop w:val="240"/>
          <w:marBottom w:val="0"/>
          <w:divBdr>
            <w:top w:val="none" w:sz="0" w:space="0" w:color="auto"/>
            <w:left w:val="single" w:sz="12" w:space="11" w:color="81858C"/>
            <w:bottom w:val="none" w:sz="0" w:space="0" w:color="auto"/>
            <w:right w:val="none" w:sz="0" w:space="0" w:color="auto"/>
          </w:divBdr>
        </w:div>
      </w:divsChild>
    </w:div>
    <w:div w:id="208209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3642</Words>
  <Characters>26302</Characters>
  <Application>Microsoft Office Word</Application>
  <DocSecurity>0</DocSecurity>
  <Lines>417</Lines>
  <Paragraphs>122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Даниил</dc:creator>
  <cp:keywords/>
  <dc:description/>
  <cp:lastModifiedBy>Татьяна Бубновская</cp:lastModifiedBy>
  <cp:revision>2</cp:revision>
  <dcterms:created xsi:type="dcterms:W3CDTF">2026-04-05T11:17:00Z</dcterms:created>
  <dcterms:modified xsi:type="dcterms:W3CDTF">2026-04-05T11:17:00Z</dcterms:modified>
</cp:coreProperties>
</file>