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B9540" w14:textId="77777777" w:rsidR="00AE7DCE" w:rsidRPr="00E60765" w:rsidRDefault="00AE7DCE" w:rsidP="00E60765">
      <w:pPr>
        <w:tabs>
          <w:tab w:val="num" w:pos="-284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УДК 32.019.51</w:t>
      </w:r>
    </w:p>
    <w:p w14:paraId="07596E94" w14:textId="77777777" w:rsidR="00AE7DCE" w:rsidRPr="00E60765" w:rsidRDefault="00AE7DCE" w:rsidP="00E60765">
      <w:pPr>
        <w:tabs>
          <w:tab w:val="num" w:pos="-284"/>
        </w:tabs>
        <w:spacing w:after="0" w:line="240" w:lineRule="auto"/>
        <w:jc w:val="center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60765"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Технологический суверенитет России</w:t>
      </w:r>
      <w:r w:rsidRPr="00E6076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как</w:t>
      </w:r>
      <w:r w:rsidRPr="00E60765"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модель догоняющего развития? </w:t>
      </w:r>
    </w:p>
    <w:p w14:paraId="0CF3CB55" w14:textId="77777777" w:rsidR="00AE7DCE" w:rsidRPr="00E60765" w:rsidRDefault="00AE7DCE" w:rsidP="00E60765">
      <w:pPr>
        <w:tabs>
          <w:tab w:val="num" w:pos="-284"/>
        </w:tabs>
        <w:spacing w:after="0" w:line="240" w:lineRule="auto"/>
        <w:jc w:val="center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60765"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Военно-политический аспект проблемы</w:t>
      </w:r>
    </w:p>
    <w:p w14:paraId="7FCC2BC1" w14:textId="77777777" w:rsidR="00AE7DCE" w:rsidRPr="00E60765" w:rsidRDefault="00AE7DCE" w:rsidP="00E60765">
      <w:pPr>
        <w:spacing w:before="120"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Тушков Александр Анатольевич,</w:t>
      </w:r>
    </w:p>
    <w:p w14:paraId="56B78DF0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доктор исторических наук, доцент.</w:t>
      </w:r>
    </w:p>
    <w:p w14:paraId="5ACD0FB8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Военная академия Ракетных войск стратегического назначения им. Петра Великого</w:t>
      </w:r>
    </w:p>
    <w:p w14:paraId="07E0F664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Россия, г. Москва</w:t>
      </w:r>
    </w:p>
    <w:p w14:paraId="5C59070F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mail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hyperlink r:id="rId5" w:history="1"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aa</w:t>
        </w:r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_</w:t>
        </w:r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tushkov</w:t>
        </w:r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@</w:t>
        </w:r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mail</w:t>
        </w:r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.</w:t>
        </w:r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ru</w:t>
        </w:r>
      </w:hyperlink>
    </w:p>
    <w:p w14:paraId="5E70B525" w14:textId="77777777" w:rsidR="00AE7DCE" w:rsidRPr="00E60765" w:rsidRDefault="00AE7DCE" w:rsidP="00E60765">
      <w:pPr>
        <w:spacing w:before="120"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Тихонов Михаил Леонидович</w:t>
      </w:r>
    </w:p>
    <w:p w14:paraId="24E23F75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Доктор военных наук</w:t>
      </w:r>
    </w:p>
    <w:p w14:paraId="16A93E61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Военная академия Ракетных войск стратегического назначения им. Петра Великого</w:t>
      </w:r>
    </w:p>
    <w:p w14:paraId="75CABEAA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Россия, г. Москва</w:t>
      </w:r>
    </w:p>
    <w:p w14:paraId="7E017F22" w14:textId="77777777" w:rsidR="00AE7DCE" w:rsidRPr="00E60765" w:rsidRDefault="00AE7DCE" w:rsidP="00E60765">
      <w:pPr>
        <w:spacing w:before="120"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Немчанинов</w:t>
      </w:r>
      <w:proofErr w:type="spellEnd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Александр Сергеевич</w:t>
      </w:r>
    </w:p>
    <w:p w14:paraId="1A773377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Кандидат исторически</w:t>
      </w:r>
      <w:r w:rsidR="008071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наук, докторант</w:t>
      </w:r>
    </w:p>
    <w:p w14:paraId="69FE164C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Военная академия Ракетных войск стратегического назначения им. Петра Великого</w:t>
      </w:r>
    </w:p>
    <w:p w14:paraId="53AA590B" w14:textId="77777777" w:rsidR="00AE7DCE" w:rsidRPr="00E60765" w:rsidRDefault="00AE7DCE" w:rsidP="00E6076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Россия, г. Москва</w:t>
      </w:r>
    </w:p>
    <w:p w14:paraId="4926E95D" w14:textId="77777777" w:rsidR="005C57D2" w:rsidRDefault="00AE7DCE" w:rsidP="00E60765">
      <w:pPr>
        <w:spacing w:before="120"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Аннотация: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B8F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="008C14E8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предлагаемой статье авторы обратились к актуальной проблеме — обеспечение технологического суверенитета России</w:t>
      </w:r>
      <w:r w:rsidR="00807105">
        <w:rPr>
          <w:rFonts w:ascii="Times New Roman" w:hAnsi="Times New Roman" w:cs="Times New Roman"/>
          <w:color w:val="000000" w:themeColor="text1"/>
          <w:sz w:val="24"/>
          <w:szCs w:val="24"/>
        </w:rPr>
        <w:t>. К исследованию поставленной в статье проблемы авторы</w:t>
      </w:r>
      <w:r w:rsidR="00AA36D2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07105">
        <w:rPr>
          <w:rFonts w:ascii="Times New Roman" w:hAnsi="Times New Roman" w:cs="Times New Roman"/>
          <w:color w:val="000000" w:themeColor="text1"/>
          <w:sz w:val="24"/>
          <w:szCs w:val="24"/>
        </w:rPr>
        <w:t>подошли</w:t>
      </w:r>
      <w:r w:rsidR="00AA36D2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807105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позиции анализа </w:t>
      </w:r>
      <w:r w:rsidR="00807105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теории догоняющего развития Фридриха Листа, как родоначальника данной </w:t>
      </w:r>
      <w:r w:rsidR="0080710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концепции. С точки зрения геополитики технологический </w:t>
      </w:r>
      <w:r w:rsidR="00807105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суверенитет</w:t>
      </w:r>
      <w:r w:rsidR="008071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нашей страны имеет стратегическое значение. </w:t>
      </w:r>
      <w:r w:rsidR="00AA36D2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Как д</w:t>
      </w:r>
      <w:r w:rsidR="00AA36D2"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ля России, так и для основных игроков мировой политики принципиальным становится вопрос технологической независимости и безопасности. Данное утверждение </w:t>
      </w:r>
      <w:r w:rsidR="00AA36D2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требует более строгой </w:t>
      </w:r>
      <w:r w:rsidR="0080710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концептуальной </w:t>
      </w:r>
      <w:r w:rsidR="00AA36D2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проработки</w:t>
      </w:r>
      <w:r w:rsidR="0080710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предпринятой авторским коллективом в настоящей статье. </w:t>
      </w:r>
      <w:r w:rsidR="005C57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Рассматривая ее с позиции догоняющего развития, а</w:t>
      </w:r>
      <w:r w:rsidR="00AA36D2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вторы </w:t>
      </w:r>
      <w:r w:rsidR="00AA36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приходят к выводу, что обеспечение технологической независимости от западных поставщиков платформ невозможно, включая </w:t>
      </w:r>
      <w:r w:rsidR="00AA36D2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и военную сферу</w:t>
      </w:r>
      <w:r w:rsidR="00AA36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. При этом данная проблема не имеет простого решения, особенно в условиях проведения политическим руководством страны СВО и обеспечении безопасности государства. Проведение специальной военной операции подтвердило то, что решать возникающие проблемы </w:t>
      </w:r>
      <w:r w:rsidR="003F1226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необходимо </w:t>
      </w:r>
      <w:r w:rsidR="00AA36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в </w:t>
      </w:r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условиях обострения отношений с коллективным Западом, расширения спектра рестрикций.</w:t>
      </w:r>
    </w:p>
    <w:p w14:paraId="74D383FA" w14:textId="77777777" w:rsidR="00AE7DCE" w:rsidRPr="00E60765" w:rsidRDefault="00AE7DCE" w:rsidP="00E60765">
      <w:pPr>
        <w:tabs>
          <w:tab w:val="num" w:pos="-284"/>
        </w:tabs>
        <w:spacing w:before="120"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Ключевые слова: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технологическая платформа, технологический суверенитет, Россия, платформа платформ, теория догоняющего развития</w:t>
      </w:r>
    </w:p>
    <w:p w14:paraId="717AFCF0" w14:textId="77777777" w:rsidR="00AE7DCE" w:rsidRPr="00E60765" w:rsidRDefault="00AE7DCE" w:rsidP="00913808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Сегодня мы с </w:t>
      </w:r>
      <w:r w:rsidR="005C57D2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полной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уверенностью можем утверждать, что эпоха формирования технологических платформ, в том числе и в военной сфере, — наступила. А это значит, что высокие технологии переходят в геополитическую плоскость и приобретают для России стратегическое значение. 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Для нашей страны, как и для основных игроков мировой политики, принципиальным становится вопрос технологической независимости и безопасности, что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требует рефлексии и более строгой проработки данного концепта.</w:t>
      </w:r>
    </w:p>
    <w:p w14:paraId="16466B6A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дискурсивной практике т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ермин </w:t>
      </w:r>
      <w:r w:rsidRPr="00E60765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  <w:bdr w:val="none" w:sz="0" w:space="0" w:color="auto"/>
          <w:lang w:eastAsia="en-US"/>
        </w:rPr>
        <w:t>«технологическая платформа»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, как и термин </w:t>
      </w:r>
      <w:r w:rsidRPr="00E60765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  <w:bdr w:val="none" w:sz="0" w:space="0" w:color="auto"/>
          <w:lang w:eastAsia="en-US"/>
        </w:rPr>
        <w:t>«технологический суверенитет»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стали использоваться относительно недавно и пока не имеют устоявшегося толкования. При обсуждении общей проблематики, касающейся </w:t>
      </w:r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обозначе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нных вопросов, эксперты и политики понимают интерпретативность </w:t>
      </w:r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предложе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нных терминологий и не воспринимают ее в качестве обсценной лексики. </w:t>
      </w:r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Ч</w:t>
      </w:r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тобы уйти от излишнего </w:t>
      </w:r>
      <w:proofErr w:type="spellStart"/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шарпизма</w:t>
      </w:r>
      <w:proofErr w:type="spellEnd"/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,</w:t>
      </w:r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для научной дискуссии </w:t>
      </w:r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необходим</w:t>
      </w:r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а</w:t>
      </w:r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терминологическая чёткость</w:t>
      </w:r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, для чего</w:t>
      </w:r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</w:t>
      </w:r>
      <w:r w:rsidR="005C57D2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важно </w:t>
      </w:r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определить общий </w:t>
      </w:r>
      <w:proofErr w:type="spellStart"/>
      <w:r w:rsidR="005C57D2" w:rsidRPr="00E60765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bdr w:val="none" w:sz="0" w:space="0" w:color="auto"/>
          <w:lang w:eastAsia="en-US"/>
        </w:rPr>
        <w:t>сигнификат</w:t>
      </w:r>
      <w:proofErr w:type="spellEnd"/>
      <w:r w:rsidR="005C57D2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проблематики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. </w:t>
      </w:r>
    </w:p>
    <w:p w14:paraId="26938E76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Ряд авторов, в частности А. Терехов и С. Ткаченко, определяют технологическую платформу как массив технологических средств, используемых в качестве основы, на которой создаются устройства, процессы и технологии [1]. Как заметили авторы, когда предмет дискуссии становится узкоспециальным и в его фокусе оказываются профессио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lastRenderedPageBreak/>
        <w:t xml:space="preserve">нальные вопросы, </w:t>
      </w:r>
      <w:proofErr w:type="gramStart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то</w:t>
      </w:r>
      <w:proofErr w:type="gram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что такое «платформа», какие именно «технологии» она подразумевает и идёт ли речь о явлениях глобальных/универсальных или же разделённых на национальные сегменты, проблем, не возникает [1]. </w:t>
      </w:r>
    </w:p>
    <w:p w14:paraId="05CD0D40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В целом, у экспертов не возникает проблем и с понятийным аппаратом, касающегося общего подхода к толкованию технологического суверенитета. Однако, исходя из предметной области, в научном и политическом дискурсе точки зрения значительно разнятся, нередко переходя через </w:t>
      </w:r>
      <w:proofErr w:type="spellStart"/>
      <w:r w:rsidRPr="00E607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интенсиональное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или </w:t>
      </w:r>
      <w:proofErr w:type="spellStart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э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кстенсиональное</w:t>
      </w:r>
      <w:proofErr w:type="spellEnd"/>
      <w:r w:rsidRPr="00E607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толкование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. В первом случае часть учёных полагают, что «технологический суверенитет» можно интерпретировать как «способность страны (группы стран) автономно генерировать технологические и научные знания или использовать технологические возможности, разработанные внешними игроками, за счёт активизации надёжных партнёрских отношений»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[2]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. Во втором </w:t>
      </w:r>
      <w:r w:rsidR="00CD33C4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случае иное толкование: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«необходимость для страны развивать или сохранять в отношении ключевых технологий собственную автономию или же иметь как можно более низкий уровень структурной зависимости»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[2]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.</w:t>
      </w:r>
    </w:p>
    <w:p w14:paraId="26821590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В современных условиях важнейшую роль играет экономическая и политическая независимость от транснациональных корпораций, как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субъекта в политическом пространстве. В самом общем виде можно определить данный феномен как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финансово-промышленное объединение, независимо от страны происхождения и собственности, включая частную, публичную или смешанную, которой принадлежит или контролирует комплексы производства, обслуживания, находящиеся за пределами страны базирования головного офиса. Главное дополнение: действующее в системе принятия решений, позволяющих проводить согласованную политику и общую стратегию, способную оказывать существенное влияние на деятельность других [3, с.66].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781E976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Ни один подход нас устроить не может по определению: нет аспекта, характеризующего современный мир конкурирующих держав, обладающих субъектностью и передовыми технологиями. Кроме того, обладая </w:t>
      </w:r>
      <w:proofErr w:type="spellStart"/>
      <w:r w:rsidRPr="00E60765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bdr w:val="none" w:sz="0" w:space="0" w:color="auto"/>
          <w:lang w:eastAsia="en-US"/>
        </w:rPr>
        <w:t>гиперонимом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, данные термины для нас представляют </w:t>
      </w:r>
      <w:proofErr w:type="spellStart"/>
      <w:r w:rsidRPr="00E60765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bdr w:val="none" w:sz="0" w:space="0" w:color="auto"/>
          <w:lang w:eastAsia="en-US"/>
        </w:rPr>
        <w:t>контрарность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, полностью исключающие военно-политический аспект проблемы: отсутствует категория, которая определяет субъектность государства, а также отсутствует понимание стратегического уровня его технологического развития. </w:t>
      </w:r>
    </w:p>
    <w:p w14:paraId="7DE63DE3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Реплицируя данные определения, мы можем сформулировать свое суждение относительно искомой проблемы.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Парадоксальность ситуации требует рассматривать ее более пристально, учитывая все аспекты.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Надо признать два факта: во-первых, к настоящему моменту мир стоит на пороге всеобъемлющей технологической перезагрузки, при которой важнейшим у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словием выживания и обеспечения безопасности любого государства в средне- и дальнесрочной перспективе будет достижение технологического суверенитета. С другой стороны,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сегодня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нет такого государства, которое бы достигла технологического суверенитета. Во-вторых, на первый план выходят п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латформы, которые будут представлять собой реконструированное здание мировой экономики. Именно они должны включать общую платформу взаимодействия</w:t>
      </w:r>
      <w:r w:rsidR="00F92C46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. Ее основа —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сотрудничеств</w:t>
      </w:r>
      <w:r w:rsidR="00F92C46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о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 между континентальными институтами развития человеческого капитала и инноваций [4].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Платформы всё чаще используются на уровне стран и в разных регионах. При этом используется платформенная бизнес-модель, как ключевой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актор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конкурентной борьбе. 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Отождествляя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платформы 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качестве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бизнес-модел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таких глобальных компаний, как Apple, Amazon,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Alibaba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Facebook и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Tencent</w:t>
      </w:r>
      <w:proofErr w:type="spellEnd"/>
      <w:r w:rsidR="00F92C46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можно убедиться, что 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их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рыночная капитализация составляет триллионы долларов</w:t>
      </w:r>
      <w:r w:rsidR="00F92C46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Но при 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э</w:t>
      </w:r>
      <w:r w:rsidR="00F92C46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том и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рыночная капитализация значительной части крупнейших компаний мира </w:t>
      </w:r>
      <w:r w:rsidR="00F92C46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многократно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увеличивается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[4]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Причем экономика работы данных платформ основана на сетевых эффектах</w:t>
      </w:r>
      <w:r w:rsidR="00F92C46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Они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связаны с увеличением стоимости услуг в результате </w:t>
      </w:r>
      <w:r w:rsidR="00F92C46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роста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числа пользователей/клиентов/участников. При этом вариативность услуг растёт за счёт формирования диверсифицированной экосистемы</w:t>
      </w:r>
      <w:r w:rsidR="00F92C46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Причем она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также стремится взаимно усилить различные сегменты </w:t>
      </w:r>
      <w:r w:rsidR="0037169A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деятельности своей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сети. </w:t>
      </w:r>
    </w:p>
    <w:p w14:paraId="04E12E7F" w14:textId="77777777" w:rsidR="00AE7DCE" w:rsidRPr="00E60765" w:rsidRDefault="0037169A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Большинство</w:t>
      </w:r>
      <w:r w:rsidR="00AE7DCE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экспертов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полагаю</w:t>
      </w:r>
      <w:r w:rsidR="00AE7DCE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т, что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такие </w:t>
      </w:r>
      <w:r w:rsidR="00AE7DCE"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эффекты 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работе платформ </w:t>
      </w:r>
      <w:r w:rsidR="00AE7DCE"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могут наблюдаться не только на уровне корпораций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. Главная их заслуга в том, что они обладают 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>способностью</w:t>
      </w:r>
      <w:r w:rsidR="00AE7DCE"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воспроизводиться и реализовываться в качестве стратегии на уровне стран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и региональной </w:t>
      </w:r>
      <w:r w:rsidR="00AE7DCE"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интеграции.</w:t>
      </w:r>
      <w:r w:rsidR="00AE7DCE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 К примеру, страны </w:t>
      </w:r>
      <w:r w:rsidR="00AE7DCE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Азиатско-Тихоокеанского региона. 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Экономический рост Китая расширяет рынки для корпораций по всему региону. Его технологические компании, такие как Huawei, 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Alibaba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Ping’an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Tencent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предоставляют бизнес-модели, технологии и капитал для региона. К</w:t>
      </w:r>
      <w:r w:rsidR="00AF5EDA">
        <w:rPr>
          <w:rFonts w:ascii="Times New Roman" w:hAnsi="Times New Roman" w:cs="Times New Roman"/>
          <w:color w:val="000000" w:themeColor="text1"/>
          <w:sz w:val="24"/>
          <w:szCs w:val="24"/>
        </w:rPr>
        <w:t>итай, к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ак крупнейшая экономика Азии, обладающая чётким и инклюзивным видением того, что делать с порождаемыми глобализацией проблемами и возможностями, сыграл важную роль в развитии двух основных региональных платформ — Всеобъемлющего регионального экономического партнёрства (ВРЭП) и Шанхайской организации сотрудничества (ШОС)</w:t>
      </w:r>
      <w:r w:rsidR="00AF5EDA">
        <w:rPr>
          <w:rFonts w:ascii="Times New Roman" w:hAnsi="Times New Roman" w:cs="Times New Roman"/>
          <w:color w:val="000000" w:themeColor="text1"/>
          <w:sz w:val="24"/>
          <w:szCs w:val="24"/>
        </w:rPr>
        <w:t>. Кроме того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, в развитии глобальной инициативы «Пояс и путь», которую лучше всего понимать, как платформу платформ</w:t>
      </w:r>
      <w:r w:rsidR="00AF5E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Пекин, как автор инициативы, играет ключевую роль </w:t>
      </w:r>
      <w:r w:rsidR="00AE7DCE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[5].</w:t>
      </w:r>
    </w:p>
    <w:p w14:paraId="4DC16985" w14:textId="77777777" w:rsidR="00BB1551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Возникает вопрос о целесообразности участия нашей страны в такой бизнес-модели, как 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платформа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При этом открытыми остаются вопросы военно-технологического сотрудничества. И если 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принимать участие,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то в каких пределах. И кто установит эти пределы в условиях повсеместных рестрикций. Отсутствие в России собственной микроэлектронной промышленности 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обще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известно. Для ее постройки необходимо 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немногое —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совершить технологическую революцию. Но ограничения, наложенные на импорт полупроводникового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hi-tech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создают искусственные барьеры</w:t>
      </w:r>
      <w:r w:rsidR="00AF5EDA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для развития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Так, в 2022 г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.,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оединенных Штатах Америки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приня</w:t>
      </w:r>
      <w:r w:rsidR="00CD33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закон «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Creating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Helpful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Incentives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Produce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Semiconductors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Act» (Закон о стимулировании развития производства полупроводников). 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Стоимость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CHIPS Act 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—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52 млрд долларов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Эта сумма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отпущен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развитие собственного производства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При этом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более 24 млрд 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запланированы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налоговые льготы. Основная цель данного закона в реструктуризации производства микрочипов в Соединенных Штатах и запрет на поставки в Россию и Китай передовых графических процессоров американской Nvidia, используемых в постройке суперкомпьютеров. В итоге — 70-75 процентов полупроводников американцы делают в Тайване. </w:t>
      </w:r>
      <w:r w:rsidR="00BB155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Все предпринятые 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Вашингтоном</w:t>
      </w:r>
      <w:r w:rsidR="00BB155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меры должны притормозить развитие искусственного интеллекта. В марте 2023 года CHIPS Act ужесточили меры в отношении китайских производителей. Был введён запрет на инвестиции в производство чипов топологии менее 28 нанометров. Пекин попытался ответить ассиметрично и ввёл контроль на экспорт галлия и германия, широко используемых в микроэлектронике. Как минимум, это заставит Запад серьёзно вложиться в добычу и переработку редкоземельных металлов 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—</w:t>
      </w:r>
      <w:r w:rsidR="00BB155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данный момент Китай монопольно правит на рынке. Битва вокруг полупроводников только разгорается</w:t>
      </w:r>
      <w:r w:rsidR="00BB1551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[6]</w:t>
      </w:r>
      <w:r w:rsidR="006F24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FF9F3AD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Несмотря на это, первый отечественный сверхпроводниковый 8-кубитный процессор разработали специалисты Дизайн-центра квантового проектирования НИТУ МИСИС при участии сотрудников Российского квантового центра (РУЦ). Процесс изготовления впервые отработан и реализован коллективом ученых лаборатории искусственных квантовых систем МФТИ в сотрудничестве с коллегами из МИСИС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[</w:t>
      </w:r>
      <w:r w:rsidR="00BB1551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7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]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305FDF5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Результатом понимания того, что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концепция технологического суверенитета уже начала формироваться как в научной среде, так и среди политиков и практиков, стало то, что ее элементы поэтапно внедряются в жизнь. Так, работа по обеспечению технологического суверенитета, как одного из шести целевых направлений, намеченных российским правительством, становиться реальностью. В частности, подписано постановление, определяющее приоритетные направления проектов, реализация которых будет способствовать достижению данной цели. Кроме того, это позволит провести структурную адаптацию экономики к сегодняшним реалиям, в том числе в военной сфере. Опыт боевого использования сил и средств в специальной военной операции показал жизненную необходимость в структурной перестройке всей совокупности задействованных ресурсов и экономической базы.</w:t>
      </w:r>
    </w:p>
    <w:p w14:paraId="17EC45C5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онимая стратегическую значимость технологического суверенитета, российское п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равительство наметило 13 приоритетных направлений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развития</w:t>
      </w:r>
      <w:r w:rsidR="009E72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экономики</w:t>
      </w:r>
      <w:r w:rsidR="00AF5E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Это —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авиационная промышленность; автомобилестроение; железнодорожное машиностроение; ме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дицинская промышленность; нефтегазовое машиностроение; сельскохозяйственное машиностроение; специализированное машиностроение; станкоинструментальная промышленность; судостроение; фармацевтика; химическая промышленность; электроника и энергетика. К примеру, в сфере авиапрома будут реализовываться проекты по созданию беспилотников, космических аппаратов, граждански самолетов и спутников. К приоритетным направлениям </w:t>
      </w:r>
      <w:r w:rsidR="00B02D1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российским правительством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отнесены те отрасли, где уровень локализации производства составляет менее 50%. Именно сюда включены отраслевые направления, которые являются критическими для обеспечения технологического суверенитета. </w:t>
      </w:r>
    </w:p>
    <w:p w14:paraId="5E3D5F06" w14:textId="77777777" w:rsidR="00B02D11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Ответственность за технологическое развитие президент России В. Путин возложил на вице-премьеров. Тему высоких технологий он звучал еще раз и</w:t>
      </w:r>
      <w:r w:rsidR="00F57FAD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рамках своего послания в кач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естве главы государства. Как заметила заместитель Министра науки и высшего образования Российской Федерации Д. Кирьянова, концепция технологического развития страны разрабатывается до 2030 года. </w:t>
      </w:r>
      <w:r w:rsidR="00B02D1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 ее мнению с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уверенитет возможен только при </w:t>
      </w:r>
      <w:r w:rsidR="00B02D1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соблюдении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паритет</w:t>
      </w:r>
      <w:r w:rsidR="00B02D1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 дружественными странами в критических технологиях</w:t>
      </w:r>
      <w:r w:rsidR="00B02D1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а также при обеспечении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технологическо</w:t>
      </w:r>
      <w:r w:rsidR="00B02D1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лидерств</w:t>
      </w:r>
      <w:r w:rsidR="00B02D11"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сквозных технологиях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[</w:t>
      </w:r>
      <w:r w:rsidR="00BB1551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8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].  </w:t>
      </w:r>
    </w:p>
    <w:p w14:paraId="73734C75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Для решения таких задач требуется прочная финансовая и технологическая база, которой ряд стран, в отличие от России, по понятным причинам, не обладают. В результате в основе любых технологических новаций этих стран зачастую лежат западные технологии. Крупнейшие мировые компании, такие как 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Microsoft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IBM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Pr="00E6076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Google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под предлогом внедрения и локализации своих инновационных технических решений стремятся прочно закрепиться на перспективн</w:t>
      </w:r>
      <w:r w:rsidR="009E72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ых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рынк</w:t>
      </w:r>
      <w:r w:rsidR="009E72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ах. В частности, африканском рынке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Данный процесс имеет противоречивое значение: с</w:t>
      </w:r>
      <w:r w:rsidRPr="00E6076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E6076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одной стороны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подобные инициативы играют положительную роль и стимулируют развитие технологий, а </w:t>
      </w:r>
      <w:r w:rsidRPr="00E6076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с другой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—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ставят под угрозу технологический суверенитет таких стран. </w:t>
      </w:r>
    </w:p>
    <w:p w14:paraId="29491832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В отличие от приведенного примера лидерство нашей страны в технологической сфере возможно и </w:t>
      </w:r>
      <w:r w:rsidR="009E721F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уже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обеспечивается в отдельных отраслях экономики. В частности, з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аместитель генерального директора по развитию и международному бизнесу АО «Наука и инновации» ГК «Росатом» Петр Зеленов сказал, что корпорации удалось, несмотря на санкции, остаться на лидирующей позиции среди ядерщиков мира: «Мир разучился делать что-то, что умеет наша атомная отрасль. Или никогда и не умел. По нашему корневому бизнесу – по строительству атомных станций за рубежом, по ядерному топливу – мы действительно впереди планеты всей. Мы и жили все последние годы, исходя из парадигмы, что нужно обеспечивать технологический суверенитет и переходить к экспорту технологий и продуктов. Наши стратегические цели невозможны без внедрения науки и новых технологий»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 [</w:t>
      </w:r>
      <w:r w:rsidR="00BB1551"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8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]. </w:t>
      </w:r>
    </w:p>
    <w:p w14:paraId="7431FB05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Не вдаваясь в детали, Россия сегодня обеспечивает технологическое лидерство по ряду позиций военно-промышленного комплекса. В том числе в производстве отдельных видов вооружения. Так, с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истемы радиоэлектронной борьбы (РЭБ) российского производства доминируют в противоборстве с украинской военной кампанией по обеспечению беспилотной зоны не только в районе проведения СВО, но и на территории всей Украины. Как пишет газета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The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New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York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Times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, ссылаясь на аналитиков, российские системы эффективно глушат украинские дроны, заставляя их разбиваться: «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Российские военные оправдали свою репутацию одних из лучших в мире в области радиоэлектронной борьбы... Россия внедряла инновации, создавая небольшое, мобильное электронное </w:t>
      </w:r>
      <w:proofErr w:type="gramStart"/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оружие»[</w:t>
      </w:r>
      <w:proofErr w:type="gramEnd"/>
      <w:r w:rsidR="00BB1551"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9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]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 признанию бывшего американского чиновника и автора статей о технологиях и безопасности Центра стратегических и инновационных исследований в Вашингтоне Джеймса Льюиса Россия быстрее, чем ожидал Запад отреагирует на вызовы в зоне СВО, чем вызвало беспокойство у НАТО. Российский эксперт Александр Бережный (исполнительный директор фирмы Quantum) отметил, что 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90 процентов американских и европейских систем, поступающих на Украину, не готовы к вызову радиоэлектронной борьбы.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свою очередь китайские эксперты в докладе оборонного аналитического центра за ноябрь 2022 года указывают, что «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боевые возможности ВС РФ по борьбе с беспилотниками пре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lastRenderedPageBreak/>
        <w:t>восходят возможности армии США» [</w:t>
      </w:r>
      <w:r w:rsidR="00BB1551"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9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]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Сегодня превосходство российского оружия над оружием НАТО, в том числе высокоточного, систем </w:t>
      </w:r>
      <w:proofErr w:type="spellStart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противобатарейной</w:t>
      </w:r>
      <w:proofErr w:type="spellEnd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борьбы, авиационной и бронетехники, а также противоминного и минного оружия,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неоспоримо, что показал опыт специальной военной операции. </w:t>
      </w:r>
    </w:p>
    <w:p w14:paraId="3C77EC3F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Если мы п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од стратегией снижения рисков подразумеваем развитие партнёрских отношений, в основе которых лежит доверие, экономические интересы, исторические связи, общие ценности и конкурентные преимущества, то в военно-технологической сфере выступает иное, инклюзивное качество, </w:t>
      </w:r>
      <w:proofErr w:type="gramStart"/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—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60765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технологическая</w:t>
      </w:r>
      <w:proofErr w:type="gramEnd"/>
      <w:r w:rsidRPr="00E60765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bdr w:val="none" w:sz="0" w:space="0" w:color="auto"/>
          <w:lang w:eastAsia="en-US"/>
        </w:rPr>
        <w:t xml:space="preserve"> субъектность государства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. Именно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партнёрство позволяет государствам обеспечивать экономическую безопасность и свои национальные интересы. К примеру, Россия рассматривает возможность партнёрство в области полупроводников, разработки технологий </w:t>
      </w:r>
      <w:r w:rsidRPr="00E60765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6G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биотехнологий с Японией, Южной Кореей, США и Тайванем, где у них есть конкурентные преимущества. Однако ограничения, принятые США законом CHIPS Act, не дают возможности практическому воплощению данных замыслов. </w:t>
      </w:r>
    </w:p>
    <w:p w14:paraId="5FAF096C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Но при конфликте интересов или нарастании конфронтационных тенденций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—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происходит разрыв устойчивых связей. Тогда существует ли партнерство в военно-технологической сфере? Нам представляется, что в данной парадигме в качестве анализа выходит категория </w:t>
      </w:r>
      <w:r w:rsidRPr="00E60765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bdr w:val="none" w:sz="0" w:space="0" w:color="auto"/>
          <w:lang w:eastAsia="en-US"/>
        </w:rPr>
        <w:t xml:space="preserve">«технологическая платформа» или «платформа платформ»,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обеспечивающая устойчивые технологические связи заинтересованных сторон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—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законные экономические интересы и интересы безопасности. К примеру, когда возникает проблема безопасности цепочек поставок важнейших полезных ископаемых, таких как литий, кремний, редкоземельные материалы и так далее, обеспечивающих бесперебойное функционирование военно-промышленного комплекса. В данном случае помимо обеспечения общих ценностей и своих национальных интересов, касающихся военно-технологических аспектов, государства объединяют свои конкурентные преимущества, используя многосторонние институциональные рамки. </w:t>
      </w:r>
    </w:p>
    <w:p w14:paraId="59095A96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Пример этому — соприкосновение точек развития частного бизнеса и государства. В результате такого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сотрудничества возникла современная индустрия ИКТ. И здесь уже невозможно провести размежевание между двумя главными элементами: частной инициативой и государственным интересом, когда доминирование экономики над политикой, к примеру, в сфере в развитии цифровых технологий перестало быть миссией исключительно бизнеса</w:t>
      </w:r>
      <w:r w:rsidRPr="00E60765">
        <w:rPr>
          <w:rFonts w:ascii="Times New Roman" w:eastAsiaTheme="minorHAnsi" w:hAnsi="Times New Roman" w:cs="Times New Roman"/>
          <w:i/>
          <w:iCs/>
          <w:color w:val="000000" w:themeColor="text1"/>
          <w:sz w:val="24"/>
          <w:szCs w:val="24"/>
          <w:bdr w:val="none" w:sz="0" w:space="0" w:color="auto"/>
          <w:lang w:eastAsia="en-US"/>
        </w:rPr>
        <w:t>.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На передний план вышли такие понятия, как «информационная безопасность», «информационное противоборство», «кибероружие» и т.д. Как итог: возникла новая политико-экономическая реальность или парадигма </w:t>
      </w:r>
      <w:r w:rsidRPr="009E721F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технологических платформ</w:t>
      </w:r>
      <w:r w:rsidRPr="00E60765">
        <w:rPr>
          <w:rFonts w:ascii="Times New Roman" w:eastAsiaTheme="minorHAnsi" w:hAnsi="Times New Roman" w:cs="Times New Roman"/>
          <w:i/>
          <w:color w:val="000000" w:themeColor="text1"/>
          <w:sz w:val="24"/>
          <w:szCs w:val="24"/>
          <w:bdr w:val="none" w:sz="0" w:space="0" w:color="auto"/>
          <w:lang w:eastAsia="en-US"/>
        </w:rPr>
        <w:t>,</w:t>
      </w:r>
      <w:r w:rsidRPr="00E60765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  <w:bdr w:val="none" w:sz="0" w:space="0" w:color="auto"/>
          <w:lang w:eastAsia="en-US"/>
        </w:rPr>
        <w:t xml:space="preserve">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когда экспертное сообщество и практики пришли к выводу, что их развитие непосредственным образом влияет на безопасность государства и общества. Иными словами союз бизнеса с политической властью в создании национальной технологической платформы структурируется по такой схеме: </w:t>
      </w:r>
    </w:p>
    <w:p w14:paraId="56E50AFA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– политическая поддержка со стороны правительства на начальных этапах формирования и реализации инновационных проектов частного бизнеса;</w:t>
      </w:r>
    </w:p>
    <w:p w14:paraId="2BE2F489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– практическая поддержка проектов в высокотехнологической сфере на всех этапах их реализации;</w:t>
      </w:r>
    </w:p>
    <w:p w14:paraId="3CCBEBD5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– готовность правительства и бизнеса к совместному вложению собственные средства в перспективные проекты.</w:t>
      </w:r>
    </w:p>
    <w:p w14:paraId="76232FD4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Возвращаясь к первоначально поставленной проблеме — </w:t>
      </w:r>
      <w:r w:rsidRPr="00E60765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>технологическо</w:t>
      </w:r>
      <w:r w:rsidR="009E721F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>му</w:t>
      </w:r>
      <w:r w:rsidRPr="00E60765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суверенитет</w:t>
      </w:r>
      <w:r w:rsidR="009E721F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>у</w:t>
      </w:r>
      <w:r w:rsidRPr="00E60765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России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как</w:t>
      </w:r>
      <w:r w:rsidRPr="00E60765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модели догоняющего развития можно констатировать то, что в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основе данной теории лежит интерес исследователей к изучению явлений и процессов в текущей социально-экономической жизни. Кроме того, понимание процесса сменяющих друг друга режимов и экономических долгосрочных моделей формируют среду, в которой их построение невозможно. Нам представляется, что цель данной теории в поиске и выявлении политико-экономических условий, позволяющих сократить отставание от лидеров в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lastRenderedPageBreak/>
        <w:t>глобальной системе. Фридрих Лист, как родоначальник теории догоняющего развития, видел именно в этом ее основное предназначение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[</w:t>
      </w:r>
      <w:r w:rsidR="00BB1551"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10</w:t>
      </w:r>
      <w:r w:rsidRPr="00E6076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]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. </w:t>
      </w:r>
    </w:p>
    <w:p w14:paraId="3EEED5F8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Обозначив некоторые вопросы, касающиеся </w:t>
      </w:r>
      <w:r w:rsidRPr="00E60765">
        <w:rPr>
          <w:rStyle w:val="apple-converted-space"/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технологического суверенитета России и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создания национальной технологической платформы важно уточнить, что обеспечение технологической независимости от западных поставщиков платформ невозможно, включая </w:t>
      </w:r>
      <w:r w:rsidRPr="00E60765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и военную сферу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. Важно уточнить еще один аспект решения данной проблемы. Она не имеет простого решения, так как политическое руководство страны всецело сосредоточено на обеспечении безопасности государства в СВО. При этом решать возникающие проблемы </w:t>
      </w:r>
      <w:r w:rsidR="009E721F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в условиях обострения отношений с коллективным Западом и расширения спектра рестрикций, </w:t>
      </w:r>
      <w:r w:rsidR="005D592A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необходимо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в процессе догоняющего развития.</w:t>
      </w:r>
    </w:p>
    <w:p w14:paraId="6B9371F8" w14:textId="77777777" w:rsidR="00AE7DCE" w:rsidRPr="00E60765" w:rsidRDefault="00AE7DCE" w:rsidP="00E6076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881FFF" w14:textId="77777777" w:rsidR="00AE7DCE" w:rsidRPr="00E60765" w:rsidRDefault="00E60765" w:rsidP="00E607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/>
          <w:caps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b/>
          <w:caps/>
          <w:color w:val="000000" w:themeColor="text1"/>
          <w:sz w:val="24"/>
          <w:szCs w:val="24"/>
          <w:bdr w:val="none" w:sz="0" w:space="0" w:color="auto"/>
          <w:lang w:eastAsia="en-US"/>
        </w:rPr>
        <w:t>Библиографический список</w:t>
      </w:r>
    </w:p>
    <w:p w14:paraId="0B403881" w14:textId="77777777" w:rsidR="00AE7DCE" w:rsidRPr="00E60765" w:rsidRDefault="00AE7DCE" w:rsidP="00E607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</w:p>
    <w:p w14:paraId="39C46F8D" w14:textId="77777777" w:rsidR="00AE7DCE" w:rsidRPr="00E60765" w:rsidRDefault="00AE7DCE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Терехов А., Ткаченко С. Россия и конкуренция технологических платформ: политэкономия рынка ИКТ // Доклад Международного дискуссионного клуба «Валдай», май 2021 г.</w:t>
      </w:r>
    </w:p>
    <w:p w14:paraId="3FF84106" w14:textId="77777777" w:rsidR="00AE7DCE" w:rsidRPr="00E60765" w:rsidRDefault="00AE7DCE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</w:pP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 xml:space="preserve">Crespi F., Caravella S., Menghini M., Salvatori Ch. European Technological Sovereignty: An Emerging Framework for Policy Strategy // </w:t>
      </w:r>
      <w:proofErr w:type="spellStart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Intereconomics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 xml:space="preserve">. </w:t>
      </w:r>
      <w:r w:rsidRPr="00CD33C4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2021.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V</w:t>
      </w:r>
      <w:r w:rsidRPr="00CD33C4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. 56.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№ 6. Р. 348–354.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URL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: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https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://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www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.</w:t>
      </w:r>
      <w:proofErr w:type="spellStart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intereconomics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.</w:t>
      </w:r>
      <w:proofErr w:type="spellStart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eu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/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contents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/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year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/2021/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number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/6/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article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/</w:t>
      </w:r>
      <w:proofErr w:type="spellStart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european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-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technological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-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sovereignty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-</w:t>
      </w:r>
      <w:proofErr w:type="spellStart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anemerging</w:t>
      </w:r>
      <w:proofErr w:type="spellEnd"/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-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framework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-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for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-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policy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-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strategy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.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html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(дата обращения 01.11.2023)</w:t>
      </w:r>
    </w:p>
    <w:p w14:paraId="31E363FD" w14:textId="77777777" w:rsidR="00AE7DCE" w:rsidRPr="00E60765" w:rsidRDefault="00AE7DCE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Лопатин, Е.Ю. Актуализация дефиниции «Транснациональная корпорация» в современных условиях // Международный научно-исследовательский журнал. - 2015. №№ 7(38). С. 64-67.</w:t>
      </w:r>
    </w:p>
    <w:p w14:paraId="7B7FAE75" w14:textId="77777777" w:rsidR="00AE7DCE" w:rsidRPr="00E60765" w:rsidRDefault="00AE7DCE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Лисовик</w:t>
      </w:r>
      <w:proofErr w:type="spellEnd"/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Я., </w:t>
      </w:r>
      <w:hyperlink r:id="rId6" w:history="1">
        <w:r w:rsidRPr="00E60765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Энди Мок</w:t>
        </w:r>
      </w:hyperlink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 </w:t>
      </w:r>
      <w:hyperlink r:id="rId7" w:history="1">
        <w:r w:rsidRPr="00E60765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Степанова</w:t>
        </w:r>
      </w:hyperlink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 </w:t>
      </w:r>
      <w:r w:rsidRPr="00E607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Мир платформ: от корпораций к регионам: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URL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: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https://ru.valdaiclub.com/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reports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mir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platform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ot</w:t>
      </w:r>
      <w:proofErr w:type="spellEnd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korporatsiy</w:t>
      </w:r>
      <w:proofErr w:type="spellEnd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regionam</w:t>
      </w:r>
      <w:proofErr w:type="spellEnd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(дата обращения 05.12.2023)</w:t>
      </w:r>
    </w:p>
    <w:p w14:paraId="6C54BEA1" w14:textId="77777777" w:rsidR="00AE7DCE" w:rsidRPr="00E60765" w:rsidRDefault="00AE7DCE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Тушков А.А, Оселедец А.Г. Проблемы фрактального моделирования современной платформы платформ (к вопросу о развитии азиатской компоненты лидерства) // Сборник статей ВУНЦ ДФВУ. Владивосток, 2021. № 6. С. 46-51.</w:t>
      </w:r>
    </w:p>
    <w:p w14:paraId="0A2217B5" w14:textId="77777777" w:rsidR="00AE06F6" w:rsidRPr="00E60765" w:rsidRDefault="00BB1551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ind w:left="1134" w:hanging="35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Федоров Е.  </w:t>
      </w:r>
      <w:r w:rsidRPr="00E60765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>Суверенные чипы: Россия в мировой полупроводниковой битве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URL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: </w:t>
      </w:r>
      <w:hyperlink r:id="rId8" w:history="1">
        <w:r w:rsidRPr="00E60765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https://topwar.ru/223102-suverennye-chipy-rossija-v-mirovoj-poluprovodnikovoj-bitve.html</w:t>
        </w:r>
      </w:hyperlink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(дата обращения 10.10.2023)</w:t>
      </w:r>
    </w:p>
    <w:p w14:paraId="58F43FE9" w14:textId="77777777" w:rsidR="00AE7DCE" w:rsidRPr="00E60765" w:rsidRDefault="00AE06F6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Егорова Е. Это прорыв! В России впервые провели эксперимент с 8-кубитным квантовым процессором 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URL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: https://hi-tech.mail.ru/news/104518-v-rossii-proveli-eksperiment-s-8-kubitnyim-protsessorom/ (дата обращения 05.12.2023)</w:t>
      </w:r>
    </w:p>
    <w:p w14:paraId="2D44C096" w14:textId="77777777" w:rsidR="00F57FAD" w:rsidRPr="00E60765" w:rsidRDefault="00AE7DCE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Технологический суверенитет: как Россия становится независимой от иностранных инноваций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URL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: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https://www.mk.ru/economics/2023/04/05/tekhnologicheskiy-suverenitet-kak-rossiya-stanovitsya-nezavisimoy-ot-inostrannykh-innovaciy.html</w:t>
      </w:r>
      <w:r w:rsidR="00F57FAD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(дата обращения 05.12.2023)</w:t>
      </w:r>
    </w:p>
    <w:p w14:paraId="419D0665" w14:textId="77777777" w:rsidR="00AE7DCE" w:rsidRPr="00E60765" w:rsidRDefault="006D3DC7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0765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NYT: российские средства РЭБ заставляют дроны ВСУ разбиваться.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 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URL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: 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https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://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ren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tv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news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rossii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/1163577-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nyt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rossiiskie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sredstva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reb</w:t>
      </w:r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zastavliaiut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drony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vsu</w:t>
      </w:r>
      <w:proofErr w:type="spellEnd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="00AE7DCE" w:rsidRPr="00E6076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razbivatsia</w:t>
      </w:r>
      <w:proofErr w:type="spellEnd"/>
      <w:r w:rsidR="00F57FAD"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7FAD"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(дата обращения 05.12.2023)</w:t>
      </w:r>
    </w:p>
    <w:p w14:paraId="400B2A9B" w14:textId="77777777" w:rsidR="00F57FAD" w:rsidRPr="00E60765" w:rsidRDefault="00025A1A" w:rsidP="00E60765">
      <w:pPr>
        <w:pStyle w:val="a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>Цеделин</w:t>
      </w:r>
      <w:proofErr w:type="spellEnd"/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Л.И. промышленная политика по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Фридриху Листу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// Вестник Института экономики Российской академии наук. № 4, 2014.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val="en-US" w:eastAsia="en-US"/>
        </w:rPr>
        <w:t>URL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 xml:space="preserve">: </w:t>
      </w:r>
      <w:r w:rsidRPr="00E607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https://cyberleninka.ru/article/n/promyshlennaya-politika-po-fridrihu-listu/viewer </w:t>
      </w:r>
      <w:r w:rsidRPr="00E60765">
        <w:rPr>
          <w:rFonts w:ascii="Times New Roman" w:eastAsiaTheme="minorHAnsi" w:hAnsi="Times New Roman" w:cs="Times New Roman"/>
          <w:color w:val="000000" w:themeColor="text1"/>
          <w:sz w:val="24"/>
          <w:szCs w:val="24"/>
          <w:bdr w:val="none" w:sz="0" w:space="0" w:color="auto"/>
          <w:lang w:eastAsia="en-US"/>
        </w:rPr>
        <w:t>(дата обращения 05.12.2023)</w:t>
      </w:r>
    </w:p>
    <w:p w14:paraId="076E54F4" w14:textId="77777777" w:rsidR="00C75949" w:rsidRPr="00E60765" w:rsidRDefault="00C75949" w:rsidP="00E60765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75949" w:rsidRPr="00E60765" w:rsidSect="00C7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41932"/>
    <w:multiLevelType w:val="multilevel"/>
    <w:tmpl w:val="7D803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5E5087"/>
    <w:multiLevelType w:val="multilevel"/>
    <w:tmpl w:val="3030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FA1D72"/>
    <w:multiLevelType w:val="multilevel"/>
    <w:tmpl w:val="A0740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B36391"/>
    <w:multiLevelType w:val="hybridMultilevel"/>
    <w:tmpl w:val="9516ED98"/>
    <w:lvl w:ilvl="0" w:tplc="2DCAE9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C034160"/>
    <w:multiLevelType w:val="hybridMultilevel"/>
    <w:tmpl w:val="92DC7024"/>
    <w:lvl w:ilvl="0" w:tplc="2DCAE9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5576A84"/>
    <w:multiLevelType w:val="multilevel"/>
    <w:tmpl w:val="21727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F77432"/>
    <w:multiLevelType w:val="multilevel"/>
    <w:tmpl w:val="F1EED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3129676">
    <w:abstractNumId w:val="1"/>
  </w:num>
  <w:num w:numId="2" w16cid:durableId="1377074916">
    <w:abstractNumId w:val="6"/>
  </w:num>
  <w:num w:numId="3" w16cid:durableId="1190416728">
    <w:abstractNumId w:val="0"/>
  </w:num>
  <w:num w:numId="4" w16cid:durableId="1133524640">
    <w:abstractNumId w:val="2"/>
  </w:num>
  <w:num w:numId="5" w16cid:durableId="874075580">
    <w:abstractNumId w:val="5"/>
  </w:num>
  <w:num w:numId="6" w16cid:durableId="1234118702">
    <w:abstractNumId w:val="3"/>
  </w:num>
  <w:num w:numId="7" w16cid:durableId="7127743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DCE"/>
    <w:rsid w:val="00025A1A"/>
    <w:rsid w:val="001815E0"/>
    <w:rsid w:val="001C7A05"/>
    <w:rsid w:val="0037169A"/>
    <w:rsid w:val="003F1226"/>
    <w:rsid w:val="005942ED"/>
    <w:rsid w:val="005C57D2"/>
    <w:rsid w:val="005D592A"/>
    <w:rsid w:val="006D3DC7"/>
    <w:rsid w:val="006F24A3"/>
    <w:rsid w:val="00727DFB"/>
    <w:rsid w:val="00784266"/>
    <w:rsid w:val="00807105"/>
    <w:rsid w:val="00822B71"/>
    <w:rsid w:val="008C14E8"/>
    <w:rsid w:val="00913808"/>
    <w:rsid w:val="009E721F"/>
    <w:rsid w:val="00A405F8"/>
    <w:rsid w:val="00AA36D2"/>
    <w:rsid w:val="00AE06F6"/>
    <w:rsid w:val="00AE7DCE"/>
    <w:rsid w:val="00AF5EDA"/>
    <w:rsid w:val="00B02D11"/>
    <w:rsid w:val="00BB1551"/>
    <w:rsid w:val="00BD21A2"/>
    <w:rsid w:val="00C253EA"/>
    <w:rsid w:val="00C465EE"/>
    <w:rsid w:val="00C73EBD"/>
    <w:rsid w:val="00C75949"/>
    <w:rsid w:val="00CC6EEB"/>
    <w:rsid w:val="00CD33C4"/>
    <w:rsid w:val="00CE4261"/>
    <w:rsid w:val="00E0681E"/>
    <w:rsid w:val="00E52B8F"/>
    <w:rsid w:val="00E60765"/>
    <w:rsid w:val="00F16CAE"/>
    <w:rsid w:val="00F57FAD"/>
    <w:rsid w:val="00F9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F9719"/>
  <w15:docId w15:val="{6518CD90-5594-44EF-A247-7D2C9A76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E7DC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eastAsia="ru-RU"/>
    </w:rPr>
  </w:style>
  <w:style w:type="paragraph" w:styleId="1">
    <w:name w:val="heading 1"/>
    <w:basedOn w:val="a"/>
    <w:link w:val="10"/>
    <w:uiPriority w:val="9"/>
    <w:qFormat/>
    <w:rsid w:val="00AE7D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bdr w:val="none" w:sz="0" w:space="0" w:color="auto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7D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7DCE"/>
    <w:rPr>
      <w:rFonts w:ascii="Times New Roman" w:eastAsia="Times New Roman" w:hAnsi="Times New Roman" w:cs="Times New Roman"/>
      <w:b/>
      <w:bCs/>
      <w:kern w:val="36"/>
      <w:sz w:val="48"/>
      <w:szCs w:val="48"/>
      <w:u w:color="00000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E7D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u w:color="000000"/>
      <w:bdr w:val="nil"/>
      <w:lang w:eastAsia="ru-RU"/>
    </w:rPr>
  </w:style>
  <w:style w:type="character" w:styleId="a3">
    <w:name w:val="Hyperlink"/>
    <w:uiPriority w:val="99"/>
    <w:rsid w:val="00AE7DCE"/>
    <w:rPr>
      <w:u w:val="single"/>
    </w:rPr>
  </w:style>
  <w:style w:type="character" w:customStyle="1" w:styleId="apple-converted-space">
    <w:name w:val="apple-converted-space"/>
    <w:rsid w:val="00AE7DCE"/>
    <w:rPr>
      <w:lang w:val="ru-RU"/>
    </w:rPr>
  </w:style>
  <w:style w:type="paragraph" w:styleId="a4">
    <w:name w:val="Normal (Web)"/>
    <w:basedOn w:val="a"/>
    <w:uiPriority w:val="99"/>
    <w:unhideWhenUsed/>
    <w:rsid w:val="00AE7D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a5">
    <w:name w:val="Strong"/>
    <w:basedOn w:val="a0"/>
    <w:uiPriority w:val="22"/>
    <w:qFormat/>
    <w:rsid w:val="00AE7DCE"/>
    <w:rPr>
      <w:b/>
      <w:bCs/>
    </w:rPr>
  </w:style>
  <w:style w:type="character" w:styleId="a6">
    <w:name w:val="Emphasis"/>
    <w:basedOn w:val="a0"/>
    <w:uiPriority w:val="20"/>
    <w:qFormat/>
    <w:rsid w:val="00AE7DCE"/>
    <w:rPr>
      <w:i/>
      <w:iCs/>
    </w:rPr>
  </w:style>
  <w:style w:type="paragraph" w:styleId="a7">
    <w:name w:val="footnote text"/>
    <w:basedOn w:val="a"/>
    <w:link w:val="a8"/>
    <w:uiPriority w:val="99"/>
    <w:semiHidden/>
    <w:unhideWhenUsed/>
    <w:rsid w:val="00AE7DCE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AE7DCE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ru-RU"/>
    </w:rPr>
  </w:style>
  <w:style w:type="character" w:styleId="a9">
    <w:name w:val="footnote reference"/>
    <w:basedOn w:val="a0"/>
    <w:uiPriority w:val="99"/>
    <w:semiHidden/>
    <w:unhideWhenUsed/>
    <w:rsid w:val="00AE7DCE"/>
    <w:rPr>
      <w:vertAlign w:val="superscript"/>
    </w:rPr>
  </w:style>
  <w:style w:type="paragraph" w:styleId="aa">
    <w:name w:val="List Paragraph"/>
    <w:basedOn w:val="a"/>
    <w:uiPriority w:val="34"/>
    <w:qFormat/>
    <w:rsid w:val="00AE7DCE"/>
    <w:pPr>
      <w:ind w:left="720"/>
      <w:contextualSpacing/>
    </w:pPr>
  </w:style>
  <w:style w:type="paragraph" w:styleId="ab">
    <w:name w:val="Subtitle"/>
    <w:basedOn w:val="a"/>
    <w:link w:val="ac"/>
    <w:qFormat/>
    <w:rsid w:val="00AE7DCE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color w:val="auto"/>
      <w:sz w:val="28"/>
      <w:szCs w:val="20"/>
      <w:bdr w:val="none" w:sz="0" w:space="0" w:color="auto"/>
    </w:rPr>
  </w:style>
  <w:style w:type="character" w:customStyle="1" w:styleId="ac">
    <w:name w:val="Подзаголовок Знак"/>
    <w:basedOn w:val="a0"/>
    <w:link w:val="ab"/>
    <w:rsid w:val="00AE7DCE"/>
    <w:rPr>
      <w:rFonts w:ascii="Times New Roman" w:eastAsia="Times New Roman" w:hAnsi="Times New Roman" w:cs="Times New Roman"/>
      <w:sz w:val="28"/>
      <w:szCs w:val="20"/>
      <w:u w:color="000000"/>
      <w:lang w:eastAsia="ru-RU"/>
    </w:rPr>
  </w:style>
  <w:style w:type="paragraph" w:styleId="ad">
    <w:name w:val="header"/>
    <w:basedOn w:val="a"/>
    <w:link w:val="ae"/>
    <w:uiPriority w:val="99"/>
    <w:unhideWhenUsed/>
    <w:rsid w:val="00AE7D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E7DCE"/>
    <w:rPr>
      <w:rFonts w:ascii="Calibri" w:eastAsia="Arial Unicode MS" w:hAnsi="Calibri" w:cs="Arial Unicode MS"/>
      <w:color w:val="000000"/>
      <w:u w:color="000000"/>
      <w:bdr w:val="nil"/>
      <w:lang w:eastAsia="ru-RU"/>
    </w:rPr>
  </w:style>
  <w:style w:type="paragraph" w:styleId="af">
    <w:name w:val="footer"/>
    <w:basedOn w:val="a"/>
    <w:link w:val="af0"/>
    <w:uiPriority w:val="99"/>
    <w:unhideWhenUsed/>
    <w:rsid w:val="00AE7D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E7DCE"/>
    <w:rPr>
      <w:rFonts w:ascii="Calibri" w:eastAsia="Arial Unicode MS" w:hAnsi="Calibri" w:cs="Arial Unicode MS"/>
      <w:color w:val="000000"/>
      <w:u w:color="00000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pwar.ru/223102-suverennye-chipy-rossija-v-mirovoj-poluprovodnikovoj-bitv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valdaiclub.com/about/experts/2258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valdaiclub.com/about/experts/22586/" TargetMode="External"/><Relationship Id="rId5" Type="http://schemas.openxmlformats.org/officeDocument/2006/relationships/hyperlink" Target="mailto:aa_tushkov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3369</Words>
  <Characters>19205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Александр Тушков</cp:lastModifiedBy>
  <cp:revision>2</cp:revision>
  <dcterms:created xsi:type="dcterms:W3CDTF">2023-12-24T17:35:00Z</dcterms:created>
  <dcterms:modified xsi:type="dcterms:W3CDTF">2023-12-24T17:35:00Z</dcterms:modified>
</cp:coreProperties>
</file>