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025" w:rsidRPr="00965025" w:rsidRDefault="00965025" w:rsidP="00965025">
      <w:pPr>
        <w:shd w:val="clear" w:color="auto" w:fill="FFFFFF"/>
        <w:spacing w:after="100" w:afterAutospacing="1" w:line="240" w:lineRule="auto"/>
        <w:ind w:left="709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2B207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УДК 336.</w:t>
      </w:r>
      <w:r w:rsidR="009D3FE4" w:rsidRPr="002B207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71</w:t>
      </w:r>
    </w:p>
    <w:p w:rsidR="00A63BCF" w:rsidRPr="00965025" w:rsidRDefault="00A63BCF" w:rsidP="00A63B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  <w:r w:rsidRPr="002B207C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Самарина Наталья Сергеевна</w:t>
      </w:r>
      <w:r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</w:p>
    <w:p w:rsidR="00A63BCF" w:rsidRPr="0095668E" w:rsidRDefault="00A63BCF" w:rsidP="00A63B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доцент, кандидат экономических наук</w:t>
      </w:r>
    </w:p>
    <w:p w:rsidR="00965025" w:rsidRPr="0095668E" w:rsidRDefault="00965025" w:rsidP="009650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Медведева Дарья Васильевна</w:t>
      </w:r>
    </w:p>
    <w:p w:rsidR="00965025" w:rsidRPr="0095668E" w:rsidRDefault="00965025" w:rsidP="009650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бакалавр кафедры</w:t>
      </w:r>
    </w:p>
    <w:p w:rsidR="00A63BCF" w:rsidRPr="00965025" w:rsidRDefault="00965025" w:rsidP="00A63BC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  <w:r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  <w:r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«</w:t>
      </w:r>
      <w:r w:rsidR="00A63BCF"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Экономика </w:t>
      </w:r>
      <w:r w:rsidR="00A63BCF"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и управление</w:t>
      </w:r>
      <w:r w:rsidR="00A63BCF"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»</w:t>
      </w:r>
    </w:p>
    <w:p w:rsidR="00965025" w:rsidRPr="0095668E" w:rsidRDefault="00965025" w:rsidP="009650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ФГБОУ </w:t>
      </w:r>
      <w:r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ВО</w:t>
      </w:r>
      <w:r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«</w:t>
      </w:r>
      <w:r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Владивостокский государственный </w:t>
      </w:r>
      <w:r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университет</w:t>
      </w:r>
      <w:r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</w:p>
    <w:p w:rsidR="00965025" w:rsidRPr="00965025" w:rsidRDefault="00965025" w:rsidP="009650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  <w:r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экономики и сервиса</w:t>
      </w:r>
      <w:r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»</w:t>
      </w:r>
    </w:p>
    <w:p w:rsidR="00965025" w:rsidRPr="00965025" w:rsidRDefault="00965025" w:rsidP="009650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  <w:proofErr w:type="spellStart"/>
      <w:r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e-mail</w:t>
      </w:r>
      <w:proofErr w:type="spellEnd"/>
      <w:r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: </w:t>
      </w:r>
      <w:r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val="en-US" w:eastAsia="ru-RU"/>
        </w:rPr>
        <w:t>dasha199905year@list.ru</w:t>
      </w:r>
    </w:p>
    <w:p w:rsidR="00965025" w:rsidRPr="00965025" w:rsidRDefault="00965025" w:rsidP="0096502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  <w:r w:rsidRPr="00965025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Россия, </w:t>
      </w:r>
      <w:r w:rsidRPr="0095668E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Владивосток</w:t>
      </w:r>
    </w:p>
    <w:p w:rsidR="00965025" w:rsidRPr="00965025" w:rsidRDefault="00965025" w:rsidP="0096502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965025">
        <w:rPr>
          <w:rFonts w:ascii="Georgia" w:eastAsia="Times New Roman" w:hAnsi="Georgia" w:cs="Arial"/>
          <w:color w:val="777777"/>
          <w:sz w:val="24"/>
          <w:szCs w:val="24"/>
          <w:lang w:val="en-US" w:eastAsia="ru-RU"/>
        </w:rPr>
        <w:t> </w:t>
      </w:r>
    </w:p>
    <w:p w:rsidR="00965025" w:rsidRPr="00965025" w:rsidRDefault="00965025" w:rsidP="0096502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777777"/>
          <w:sz w:val="23"/>
          <w:szCs w:val="23"/>
          <w:lang w:eastAsia="ru-RU"/>
        </w:rPr>
      </w:pPr>
      <w:r w:rsidRPr="00965025">
        <w:rPr>
          <w:rFonts w:ascii="Georgia" w:eastAsia="Times New Roman" w:hAnsi="Georgia" w:cs="Arial"/>
          <w:color w:val="777777"/>
          <w:sz w:val="24"/>
          <w:szCs w:val="24"/>
          <w:lang w:val="en-US" w:eastAsia="ru-RU"/>
        </w:rPr>
        <w:t> </w:t>
      </w:r>
    </w:p>
    <w:p w:rsidR="00965025" w:rsidRDefault="00965025" w:rsidP="00965025">
      <w:pPr>
        <w:shd w:val="clear" w:color="auto" w:fill="FFFFFF"/>
        <w:spacing w:after="100" w:afterAutospacing="1" w:line="240" w:lineRule="auto"/>
        <w:ind w:left="709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5668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Кредитоспособность заемщиков как элемент обеспечения </w:t>
      </w:r>
      <w:r w:rsidR="00552E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              </w:t>
      </w:r>
      <w:r w:rsidRPr="0095668E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экономической безопасности коммерческого банка на примере ПАО АКБ «Приморье»</w:t>
      </w:r>
    </w:p>
    <w:p w:rsidR="00965025" w:rsidRPr="007954AD" w:rsidRDefault="0095668E" w:rsidP="007954AD">
      <w:pPr>
        <w:shd w:val="clear" w:color="auto" w:fill="FFFFFF"/>
        <w:spacing w:after="100" w:afterAutospacing="1" w:line="24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 xml:space="preserve">Creditworthiness of borrowers as the </w:t>
      </w:r>
      <w:r w:rsidR="00552E4F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 xml:space="preserve">element for maintaining economic security of a commercial bank on the example of PJSCB </w:t>
      </w:r>
      <w:r w:rsidR="00552E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proofErr w:type="spellStart"/>
      <w:r w:rsidR="00552E4F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Primorye</w:t>
      </w:r>
      <w:proofErr w:type="spellEnd"/>
      <w:r w:rsidR="00552E4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</w:p>
    <w:p w:rsidR="00965025" w:rsidRPr="00965025" w:rsidRDefault="00965025" w:rsidP="00552E4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3"/>
          <w:lang w:eastAsia="ru-RU"/>
        </w:rPr>
      </w:pPr>
      <w:r w:rsidRPr="009650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Аннотац</w:t>
      </w:r>
      <w:r w:rsidR="00552E4F" w:rsidRPr="00552E4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ия:</w:t>
      </w:r>
      <w:r w:rsidR="007954A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7954AD">
        <w:rPr>
          <w:rFonts w:ascii="Times New Roman" w:hAnsi="Times New Roman" w:cs="Times New Roman"/>
          <w:sz w:val="28"/>
        </w:rPr>
        <w:t>Банковский сектор – важный элемент финансовой системы. Устойчивость банковской сферы напрямую влияет на национальную эконом</w:t>
      </w:r>
      <w:r w:rsidR="007954AD">
        <w:rPr>
          <w:rFonts w:ascii="Times New Roman" w:hAnsi="Times New Roman" w:cs="Times New Roman"/>
          <w:sz w:val="28"/>
        </w:rPr>
        <w:t>и</w:t>
      </w:r>
      <w:r w:rsidR="007954AD">
        <w:rPr>
          <w:rFonts w:ascii="Times New Roman" w:hAnsi="Times New Roman" w:cs="Times New Roman"/>
          <w:sz w:val="28"/>
        </w:rPr>
        <w:t>ку. Для коммерческих банков наибольшую роль играет финансовая безопа</w:t>
      </w:r>
      <w:r w:rsidR="007954AD">
        <w:rPr>
          <w:rFonts w:ascii="Times New Roman" w:hAnsi="Times New Roman" w:cs="Times New Roman"/>
          <w:sz w:val="28"/>
        </w:rPr>
        <w:t>с</w:t>
      </w:r>
      <w:r w:rsidR="007954AD">
        <w:rPr>
          <w:rFonts w:ascii="Times New Roman" w:hAnsi="Times New Roman" w:cs="Times New Roman"/>
          <w:sz w:val="28"/>
        </w:rPr>
        <w:t>ность, так как она отражает конечный финансовый результат, является следс</w:t>
      </w:r>
      <w:r w:rsidR="007954AD">
        <w:rPr>
          <w:rFonts w:ascii="Times New Roman" w:hAnsi="Times New Roman" w:cs="Times New Roman"/>
          <w:sz w:val="28"/>
        </w:rPr>
        <w:t>т</w:t>
      </w:r>
      <w:r w:rsidR="007954AD">
        <w:rPr>
          <w:rFonts w:ascii="Times New Roman" w:hAnsi="Times New Roman" w:cs="Times New Roman"/>
          <w:sz w:val="28"/>
        </w:rPr>
        <w:t xml:space="preserve">вием всех принятых управленческих решений. </w:t>
      </w:r>
      <w:r w:rsidR="007954AD" w:rsidRPr="007954AD">
        <w:rPr>
          <w:rFonts w:ascii="Times New Roman" w:hAnsi="Times New Roman" w:cs="Times New Roman"/>
          <w:sz w:val="28"/>
        </w:rPr>
        <w:t>Одним из основных направл</w:t>
      </w:r>
      <w:r w:rsidR="007954AD" w:rsidRPr="007954AD">
        <w:rPr>
          <w:rFonts w:ascii="Times New Roman" w:hAnsi="Times New Roman" w:cs="Times New Roman"/>
          <w:sz w:val="28"/>
        </w:rPr>
        <w:t>е</w:t>
      </w:r>
      <w:r w:rsidR="007954AD" w:rsidRPr="007954AD">
        <w:rPr>
          <w:rFonts w:ascii="Times New Roman" w:hAnsi="Times New Roman" w:cs="Times New Roman"/>
          <w:sz w:val="28"/>
        </w:rPr>
        <w:t>ний деятельности является кредитование, именно поэтому кредитоспосо</w:t>
      </w:r>
      <w:r w:rsidR="007954AD" w:rsidRPr="007954AD">
        <w:rPr>
          <w:rFonts w:ascii="Times New Roman" w:hAnsi="Times New Roman" w:cs="Times New Roman"/>
          <w:sz w:val="28"/>
        </w:rPr>
        <w:t>б</w:t>
      </w:r>
      <w:r w:rsidR="007954AD" w:rsidRPr="007954AD">
        <w:rPr>
          <w:rFonts w:ascii="Times New Roman" w:hAnsi="Times New Roman" w:cs="Times New Roman"/>
          <w:sz w:val="28"/>
        </w:rPr>
        <w:t>ность заемщиков играет важную роль в обеспечении экономической безопа</w:t>
      </w:r>
      <w:r w:rsidR="007954AD" w:rsidRPr="007954AD">
        <w:rPr>
          <w:rFonts w:ascii="Times New Roman" w:hAnsi="Times New Roman" w:cs="Times New Roman"/>
          <w:sz w:val="28"/>
        </w:rPr>
        <w:t>с</w:t>
      </w:r>
      <w:r w:rsidR="007954AD" w:rsidRPr="007954AD">
        <w:rPr>
          <w:rFonts w:ascii="Times New Roman" w:hAnsi="Times New Roman" w:cs="Times New Roman"/>
          <w:sz w:val="28"/>
        </w:rPr>
        <w:t>ности. Кредитоспособность – это способность клиента своевременно и в полном об</w:t>
      </w:r>
      <w:r w:rsidR="007954AD" w:rsidRPr="007954AD">
        <w:rPr>
          <w:rFonts w:ascii="Times New Roman" w:hAnsi="Times New Roman" w:cs="Times New Roman"/>
          <w:sz w:val="28"/>
        </w:rPr>
        <w:t>ъ</w:t>
      </w:r>
      <w:r w:rsidR="007954AD" w:rsidRPr="007954AD">
        <w:rPr>
          <w:rFonts w:ascii="Times New Roman" w:hAnsi="Times New Roman" w:cs="Times New Roman"/>
          <w:sz w:val="28"/>
        </w:rPr>
        <w:t>еме рассчитываться по своему основному долгу и процентам. Банки должны оценивать заемщика не только на настоящий момент, но и рассчитывать пр</w:t>
      </w:r>
      <w:r w:rsidR="007954AD" w:rsidRPr="007954AD">
        <w:rPr>
          <w:rFonts w:ascii="Times New Roman" w:hAnsi="Times New Roman" w:cs="Times New Roman"/>
          <w:sz w:val="28"/>
        </w:rPr>
        <w:t>о</w:t>
      </w:r>
      <w:r w:rsidR="007954AD" w:rsidRPr="007954AD">
        <w:rPr>
          <w:rFonts w:ascii="Times New Roman" w:hAnsi="Times New Roman" w:cs="Times New Roman"/>
          <w:sz w:val="28"/>
        </w:rPr>
        <w:t>гнозные показатели, чтобы не допустить его банкротства. Кредитный риск – один из важнейших рисков с точки зрения регулирования любого коммерческ</w:t>
      </w:r>
      <w:r w:rsidR="007954AD" w:rsidRPr="007954AD">
        <w:rPr>
          <w:rFonts w:ascii="Times New Roman" w:hAnsi="Times New Roman" w:cs="Times New Roman"/>
          <w:sz w:val="28"/>
        </w:rPr>
        <w:t>о</w:t>
      </w:r>
      <w:r w:rsidR="007954AD" w:rsidRPr="007954AD">
        <w:rPr>
          <w:rFonts w:ascii="Times New Roman" w:hAnsi="Times New Roman" w:cs="Times New Roman"/>
          <w:sz w:val="28"/>
        </w:rPr>
        <w:t>го банка. Возникновение убытков в результате непогашения значительного объема ссуд является результатом неэффективной работы кредитного подра</w:t>
      </w:r>
      <w:r w:rsidR="007954AD" w:rsidRPr="007954AD">
        <w:rPr>
          <w:rFonts w:ascii="Times New Roman" w:hAnsi="Times New Roman" w:cs="Times New Roman"/>
          <w:sz w:val="28"/>
        </w:rPr>
        <w:t>з</w:t>
      </w:r>
      <w:r w:rsidR="007954AD" w:rsidRPr="007954AD">
        <w:rPr>
          <w:rFonts w:ascii="Times New Roman" w:hAnsi="Times New Roman" w:cs="Times New Roman"/>
          <w:sz w:val="28"/>
        </w:rPr>
        <w:t>деления</w:t>
      </w:r>
      <w:r w:rsidR="007954AD">
        <w:rPr>
          <w:rFonts w:ascii="Times New Roman" w:hAnsi="Times New Roman" w:cs="Times New Roman"/>
          <w:sz w:val="28"/>
        </w:rPr>
        <w:t xml:space="preserve"> и негативно влияет на финансовый результат, а также на экономич</w:t>
      </w:r>
      <w:r w:rsidR="007954AD">
        <w:rPr>
          <w:rFonts w:ascii="Times New Roman" w:hAnsi="Times New Roman" w:cs="Times New Roman"/>
          <w:sz w:val="28"/>
        </w:rPr>
        <w:t>е</w:t>
      </w:r>
      <w:r w:rsidR="007954AD">
        <w:rPr>
          <w:rFonts w:ascii="Times New Roman" w:hAnsi="Times New Roman" w:cs="Times New Roman"/>
          <w:sz w:val="28"/>
        </w:rPr>
        <w:t>скую безопасность.</w:t>
      </w:r>
    </w:p>
    <w:p w:rsidR="00965025" w:rsidRPr="00965025" w:rsidRDefault="0009051A" w:rsidP="000905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3"/>
          <w:lang w:eastAsia="ru-RU"/>
        </w:rPr>
      </w:pPr>
      <w:r w:rsidRPr="000905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Ключевы</w:t>
      </w:r>
      <w:r w:rsidR="00965025" w:rsidRPr="009650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е сло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ва: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кредитоспособность, методика, кредитный риск, эк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номическая безопасность, заемщик</w:t>
      </w:r>
    </w:p>
    <w:p w:rsidR="00681AD7" w:rsidRDefault="00965025" w:rsidP="007954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  <w:proofErr w:type="spellStart"/>
      <w:r w:rsidRPr="009650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Annotation</w:t>
      </w:r>
      <w:proofErr w:type="spellEnd"/>
      <w:r w:rsidR="000905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="007954A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7954AD" w:rsidRPr="00681AD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The banking sector is the important element of the financial sy</w:t>
      </w:r>
      <w:r w:rsidR="007954AD" w:rsidRPr="00681AD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s</w:t>
      </w:r>
      <w:r w:rsidR="007954AD" w:rsidRPr="00681AD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tem. </w:t>
      </w:r>
      <w:r w:rsidR="00681AD7" w:rsidRPr="00681AD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The stability of the banking sector directly impact on the national eco</w:t>
      </w:r>
      <w:r w:rsidR="00681AD7" w:rsidRPr="00681AD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n</w:t>
      </w:r>
      <w:r w:rsidR="00681AD7" w:rsidRPr="00681AD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omy. The financial security plays a huge role for commercial banks because it reflects the ou</w:t>
      </w:r>
      <w:r w:rsidR="00681AD7" w:rsidRPr="00681AD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t</w:t>
      </w:r>
      <w:r w:rsidR="00681AD7" w:rsidRPr="00681AD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come of bank’s management decision. One of the main bank’s a</w:t>
      </w:r>
      <w:r w:rsidR="00681AD7" w:rsidRPr="00681AD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c</w:t>
      </w:r>
      <w:r w:rsidR="00681AD7" w:rsidRPr="00681AD7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tivities is lending that’s why creditworthiness of borrowers plays an important role </w:t>
      </w:r>
      <w:r w:rsidR="00B649B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in maintaining ec</w:t>
      </w:r>
      <w:r w:rsidR="00B649B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o</w:t>
      </w:r>
      <w:r w:rsidR="00B649BE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nomic security. </w:t>
      </w:r>
    </w:p>
    <w:p w:rsidR="00B649BE" w:rsidRPr="00681AD7" w:rsidRDefault="00B649BE" w:rsidP="007954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lastRenderedPageBreak/>
        <w:t xml:space="preserve">Creditworthiness is a client’s ability to pay off debt. Banks must </w:t>
      </w:r>
      <w:r w:rsidR="0078368F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analyze bo</w:t>
      </w:r>
      <w:r w:rsidR="0078368F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r</w:t>
      </w:r>
      <w:r w:rsidR="0078368F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rowers not only at the moment but also calculate forecast indicators in order to pr</w:t>
      </w:r>
      <w:r w:rsidR="0078368F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e</w:t>
      </w:r>
      <w:r w:rsidR="0078368F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vent client’s bankruptcy. Credit risk is one of the most important risks in terms of any bank’s regulation. The occurrence of losses as the result of </w:t>
      </w:r>
      <w:r w:rsidR="005271BC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loans’ </w:t>
      </w:r>
      <w:r w:rsidR="0078368F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non-repayment </w:t>
      </w:r>
      <w:r w:rsidR="005271BC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is the result of ineffective work of the credit department. It negatively affects the fina</w:t>
      </w:r>
      <w:r w:rsidR="005271BC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n</w:t>
      </w:r>
      <w:r w:rsidR="005271BC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cial result as well as economic security. </w:t>
      </w:r>
    </w:p>
    <w:p w:rsidR="005E4B79" w:rsidRPr="002B207C" w:rsidRDefault="00965025" w:rsidP="002B207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9650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Key</w:t>
      </w:r>
      <w:proofErr w:type="spellEnd"/>
      <w:r w:rsidRPr="009650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6502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words</w:t>
      </w:r>
      <w:proofErr w:type="spellEnd"/>
      <w:r w:rsidR="000905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: </w:t>
      </w:r>
      <w:r w:rsidR="0009051A" w:rsidRPr="0009051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creditworthiness, methods, credit risk, economic security, borro</w:t>
      </w:r>
      <w:r w:rsidR="0009051A" w:rsidRPr="0009051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w</w:t>
      </w:r>
      <w:r w:rsidR="0009051A" w:rsidRPr="0009051A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er</w:t>
      </w:r>
    </w:p>
    <w:p w:rsidR="00B01FA5" w:rsidRDefault="00B01FA5" w:rsidP="002B207C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Банковская система – главная составляющая финансового сектора любой национальной экономики. Состояние банковского сектора напрямую влияет на экономический рост, направляя денежные потоки в различные отрасли экон</w:t>
      </w:r>
      <w:r>
        <w:rPr>
          <w:rFonts w:ascii="Times New Roman" w:hAnsi="Times New Roman" w:cs="Times New Roman"/>
          <w:sz w:val="28"/>
          <w:szCs w:val="30"/>
        </w:rPr>
        <w:t>о</w:t>
      </w:r>
      <w:r>
        <w:rPr>
          <w:rFonts w:ascii="Times New Roman" w:hAnsi="Times New Roman" w:cs="Times New Roman"/>
          <w:sz w:val="28"/>
          <w:szCs w:val="30"/>
        </w:rPr>
        <w:t xml:space="preserve">мики. </w:t>
      </w:r>
    </w:p>
    <w:p w:rsidR="00B01FA5" w:rsidRDefault="00B01FA5" w:rsidP="00B01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Согласно годовому отчету Банка России за 2020 год число кредитных о</w:t>
      </w:r>
      <w:r>
        <w:rPr>
          <w:rFonts w:ascii="Times New Roman" w:hAnsi="Times New Roman" w:cs="Times New Roman"/>
          <w:sz w:val="28"/>
          <w:szCs w:val="30"/>
        </w:rPr>
        <w:t>р</w:t>
      </w:r>
      <w:r>
        <w:rPr>
          <w:rFonts w:ascii="Times New Roman" w:hAnsi="Times New Roman" w:cs="Times New Roman"/>
          <w:sz w:val="28"/>
          <w:szCs w:val="30"/>
        </w:rPr>
        <w:t>ганизаций в сравнении с 2019 годом сократилось на 8%</w:t>
      </w:r>
      <w:r w:rsidR="009D3FE4">
        <w:rPr>
          <w:rFonts w:ascii="Times New Roman" w:hAnsi="Times New Roman" w:cs="Times New Roman"/>
          <w:sz w:val="28"/>
          <w:szCs w:val="30"/>
        </w:rPr>
        <w:t xml:space="preserve"> </w:t>
      </w:r>
      <w:r w:rsidR="009D3FE4">
        <w:rPr>
          <w:rFonts w:ascii="Times New Roman" w:hAnsi="Times New Roman" w:cs="Times New Roman"/>
          <w:sz w:val="28"/>
          <w:szCs w:val="30"/>
          <w:lang w:val="en-US"/>
        </w:rPr>
        <w:t>[</w:t>
      </w:r>
      <w:r w:rsidR="009D3FE4">
        <w:rPr>
          <w:rFonts w:ascii="Times New Roman" w:hAnsi="Times New Roman" w:cs="Times New Roman"/>
          <w:sz w:val="28"/>
          <w:szCs w:val="30"/>
        </w:rPr>
        <w:t>1</w:t>
      </w:r>
      <w:r w:rsidR="009D3FE4">
        <w:rPr>
          <w:rFonts w:ascii="Times New Roman" w:hAnsi="Times New Roman" w:cs="Times New Roman"/>
          <w:sz w:val="28"/>
          <w:szCs w:val="30"/>
          <w:lang w:val="en-US"/>
        </w:rPr>
        <w:t>]</w:t>
      </w:r>
      <w:r>
        <w:rPr>
          <w:rFonts w:ascii="Times New Roman" w:hAnsi="Times New Roman" w:cs="Times New Roman"/>
          <w:sz w:val="28"/>
          <w:szCs w:val="30"/>
        </w:rPr>
        <w:t>. Такое снижение обусловлено аннулированием и отзывом лицензий в результате несоблюдения законодательства, регулирующего банковскую деятельность, а также финанс</w:t>
      </w:r>
      <w:r>
        <w:rPr>
          <w:rFonts w:ascii="Times New Roman" w:hAnsi="Times New Roman" w:cs="Times New Roman"/>
          <w:sz w:val="28"/>
          <w:szCs w:val="30"/>
        </w:rPr>
        <w:t>о</w:t>
      </w:r>
      <w:r>
        <w:rPr>
          <w:rFonts w:ascii="Times New Roman" w:hAnsi="Times New Roman" w:cs="Times New Roman"/>
          <w:sz w:val="28"/>
          <w:szCs w:val="30"/>
        </w:rPr>
        <w:t xml:space="preserve">вой неустойчивости. Главная причина нарушений такого характера – низкий уровень обеспечения экономической безопасности. </w:t>
      </w:r>
    </w:p>
    <w:p w:rsidR="00B01FA5" w:rsidRDefault="00B01FA5" w:rsidP="00B01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В условиях мирового кризиса, действия санкций, нестабильности на внутреннем рынке, а также низкой платежеспособности населения банковская сфера наиболее уязвима. Банки подвергаются угрозам, которые негативно влияют на финансовые показатели. </w:t>
      </w:r>
    </w:p>
    <w:p w:rsidR="00B01FA5" w:rsidRDefault="00B01FA5" w:rsidP="00B01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Экономическая безопасность коммерческого банка – это комплексная система, включающая в себя защиту всех аспектов деятельности организации. Стоит отметить, что одним из главных банковских продуктов является кред</w:t>
      </w:r>
      <w:r>
        <w:rPr>
          <w:rFonts w:ascii="Times New Roman" w:hAnsi="Times New Roman" w:cs="Times New Roman"/>
          <w:sz w:val="28"/>
          <w:szCs w:val="30"/>
        </w:rPr>
        <w:t>и</w:t>
      </w:r>
      <w:r>
        <w:rPr>
          <w:rFonts w:ascii="Times New Roman" w:hAnsi="Times New Roman" w:cs="Times New Roman"/>
          <w:sz w:val="28"/>
          <w:szCs w:val="30"/>
        </w:rPr>
        <w:t>тование. Качество кредитного портфеля напрямую влияет на доходы банка. Для создания системы экономической безопасности разрабатываются методики, п</w:t>
      </w:r>
      <w:r>
        <w:rPr>
          <w:rFonts w:ascii="Times New Roman" w:hAnsi="Times New Roman" w:cs="Times New Roman"/>
          <w:sz w:val="28"/>
          <w:szCs w:val="30"/>
        </w:rPr>
        <w:t>о</w:t>
      </w:r>
      <w:r>
        <w:rPr>
          <w:rFonts w:ascii="Times New Roman" w:hAnsi="Times New Roman" w:cs="Times New Roman"/>
          <w:sz w:val="28"/>
          <w:szCs w:val="30"/>
        </w:rPr>
        <w:t xml:space="preserve">зволяющие оценить кредитоспособность потенциальных заемщиков. </w:t>
      </w:r>
    </w:p>
    <w:p w:rsidR="00E97C79" w:rsidRPr="002B207C" w:rsidRDefault="00E97C79" w:rsidP="002B207C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Рассмотрим текущую ситуацию на рынке кредитования в России. Еж</w:t>
      </w:r>
      <w:r>
        <w:rPr>
          <w:rFonts w:ascii="Times New Roman" w:hAnsi="Times New Roman" w:cs="Times New Roman"/>
          <w:sz w:val="28"/>
          <w:szCs w:val="30"/>
        </w:rPr>
        <w:t>е</w:t>
      </w:r>
      <w:r>
        <w:rPr>
          <w:rFonts w:ascii="Times New Roman" w:hAnsi="Times New Roman" w:cs="Times New Roman"/>
          <w:sz w:val="28"/>
          <w:szCs w:val="30"/>
        </w:rPr>
        <w:t xml:space="preserve">годно Центральный Банк России выпускает «Статистический бюллетень», где содержится информация о финансовом секторе в разрезе </w:t>
      </w:r>
      <w:r w:rsidRPr="00CD565F">
        <w:rPr>
          <w:rFonts w:ascii="Times New Roman" w:hAnsi="Times New Roman" w:cs="Times New Roman"/>
          <w:sz w:val="28"/>
          <w:szCs w:val="30"/>
        </w:rPr>
        <w:t xml:space="preserve">года </w:t>
      </w:r>
      <w:r w:rsidRPr="00CD565F">
        <w:rPr>
          <w:rFonts w:ascii="Times New Roman" w:hAnsi="Times New Roman" w:cs="Times New Roman"/>
          <w:sz w:val="28"/>
          <w:szCs w:val="30"/>
          <w:lang w:val="en-US"/>
        </w:rPr>
        <w:t>[</w:t>
      </w:r>
      <w:r w:rsidR="009D3FE4">
        <w:rPr>
          <w:rFonts w:ascii="Times New Roman" w:hAnsi="Times New Roman" w:cs="Times New Roman"/>
          <w:sz w:val="28"/>
          <w:szCs w:val="30"/>
        </w:rPr>
        <w:t>2</w:t>
      </w:r>
      <w:r w:rsidRPr="00CD565F">
        <w:rPr>
          <w:rFonts w:ascii="Times New Roman" w:hAnsi="Times New Roman" w:cs="Times New Roman"/>
          <w:sz w:val="28"/>
          <w:szCs w:val="30"/>
          <w:lang w:val="en-US"/>
        </w:rPr>
        <w:t>]</w:t>
      </w:r>
      <w:r w:rsidRPr="00CD565F">
        <w:rPr>
          <w:rFonts w:ascii="Times New Roman" w:hAnsi="Times New Roman" w:cs="Times New Roman"/>
          <w:sz w:val="28"/>
          <w:szCs w:val="30"/>
        </w:rPr>
        <w:t>. Рассмотрим</w:t>
      </w:r>
      <w:r>
        <w:rPr>
          <w:rFonts w:ascii="Times New Roman" w:hAnsi="Times New Roman" w:cs="Times New Roman"/>
          <w:sz w:val="28"/>
          <w:szCs w:val="30"/>
        </w:rPr>
        <w:t xml:space="preserve"> таблицу </w:t>
      </w:r>
      <w:r w:rsidR="009D3FE4">
        <w:rPr>
          <w:rFonts w:ascii="Times New Roman" w:hAnsi="Times New Roman" w:cs="Times New Roman"/>
          <w:sz w:val="28"/>
          <w:szCs w:val="30"/>
        </w:rPr>
        <w:t>1</w:t>
      </w:r>
      <w:r>
        <w:rPr>
          <w:rFonts w:ascii="Times New Roman" w:hAnsi="Times New Roman" w:cs="Times New Roman"/>
          <w:sz w:val="28"/>
          <w:szCs w:val="30"/>
        </w:rPr>
        <w:t>.</w:t>
      </w:r>
    </w:p>
    <w:p w:rsidR="00E97C79" w:rsidRDefault="00E97C79" w:rsidP="00E97C79">
      <w:pPr>
        <w:spacing w:after="0" w:line="240" w:lineRule="auto"/>
        <w:jc w:val="both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 xml:space="preserve">Таблица </w:t>
      </w:r>
      <w:r w:rsidR="009D3FE4">
        <w:rPr>
          <w:rFonts w:ascii="Times New Roman" w:hAnsi="Times New Roman" w:cs="Times New Roman"/>
          <w:sz w:val="28"/>
          <w:szCs w:val="30"/>
        </w:rPr>
        <w:t>1</w:t>
      </w:r>
      <w:r>
        <w:rPr>
          <w:rFonts w:ascii="Times New Roman" w:hAnsi="Times New Roman" w:cs="Times New Roman"/>
          <w:sz w:val="28"/>
          <w:szCs w:val="30"/>
        </w:rPr>
        <w:t xml:space="preserve"> – Объем выданных кредитов за 2020 год</w:t>
      </w:r>
    </w:p>
    <w:p w:rsidR="00E97C79" w:rsidRDefault="00E97C79" w:rsidP="00E97C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30"/>
        </w:rPr>
      </w:pPr>
      <w:r>
        <w:rPr>
          <w:rFonts w:ascii="Times New Roman" w:hAnsi="Times New Roman" w:cs="Times New Roman"/>
          <w:sz w:val="28"/>
          <w:szCs w:val="30"/>
        </w:rPr>
        <w:t>В миллионах рублей</w:t>
      </w:r>
    </w:p>
    <w:tbl>
      <w:tblPr>
        <w:tblW w:w="9763" w:type="dxa"/>
        <w:tblInd w:w="91" w:type="dxa"/>
        <w:tblLayout w:type="fixed"/>
        <w:tblLook w:val="04A0"/>
      </w:tblPr>
      <w:tblGrid>
        <w:gridCol w:w="1292"/>
        <w:gridCol w:w="1276"/>
        <w:gridCol w:w="1134"/>
        <w:gridCol w:w="1417"/>
        <w:gridCol w:w="993"/>
        <w:gridCol w:w="1275"/>
        <w:gridCol w:w="1135"/>
        <w:gridCol w:w="1241"/>
      </w:tblGrid>
      <w:tr w:rsidR="007D0A94" w:rsidRPr="00C253B4" w:rsidTr="007D0A94">
        <w:trPr>
          <w:trHeight w:val="1249"/>
        </w:trPr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0A94" w:rsidRPr="00C253B4" w:rsidRDefault="007D0A94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0A94" w:rsidRPr="00C253B4" w:rsidRDefault="007D0A94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Физические лица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0A94" w:rsidRPr="00C253B4" w:rsidRDefault="007D0A94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Корпоративные клие</w:t>
            </w: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D0A94" w:rsidRPr="00C253B4" w:rsidRDefault="007D0A94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Кредитные организ</w:t>
            </w: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ции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0A94" w:rsidRPr="00C253B4" w:rsidRDefault="007D0A94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</w:tr>
      <w:tr w:rsidR="00E97C79" w:rsidRPr="00C253B4" w:rsidTr="007D0A94">
        <w:trPr>
          <w:trHeight w:val="300"/>
        </w:trPr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C79" w:rsidRPr="00C253B4" w:rsidRDefault="00E97C79" w:rsidP="00E97C7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Доля, 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Доля, 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Доля, %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</w:t>
            </w:r>
          </w:p>
        </w:tc>
      </w:tr>
      <w:tr w:rsidR="00E97C79" w:rsidRPr="00C253B4" w:rsidTr="007D0A94">
        <w:trPr>
          <w:trHeight w:val="583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01.01.2020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17 568 169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29 742 572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55,58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6 203 354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11,59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53 514 095</w:t>
            </w:r>
          </w:p>
        </w:tc>
      </w:tr>
      <w:tr w:rsidR="00E97C79" w:rsidRPr="00C253B4" w:rsidTr="007D0A94">
        <w:trPr>
          <w:trHeight w:val="300"/>
        </w:trPr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01.12.2020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19 801 255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33 374 109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6 252 150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10,52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C253B4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3B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59 427 514</w:t>
            </w:r>
          </w:p>
        </w:tc>
      </w:tr>
    </w:tbl>
    <w:p w:rsidR="00E97C79" w:rsidRDefault="00E97C79" w:rsidP="002B207C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Исходя из таблицы, можно сделать вывод, что в период с 1 января по 1 декабря 2020 год общим объем выданных кредитов увеличился. Наибольшую долю занимает кредитование корпоративных клиентов – более 55%, к концу года доля увеличивается до 56%.</w:t>
      </w:r>
    </w:p>
    <w:p w:rsidR="00E97C79" w:rsidRPr="009D3FE4" w:rsidRDefault="00E97C79" w:rsidP="009D3FE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Коммерческие банки всегда идут на риск при кредитовании предприятий, так как в условиях нестабильной экономической ситуации не все организации способны в полном объеме погасить свою задолженность, в результате чего возникает просроченная ссудная задолженность. Рассмотрим таблицу 2.</w:t>
      </w:r>
    </w:p>
    <w:p w:rsidR="00E97C79" w:rsidRDefault="009D3FE4" w:rsidP="009D3FE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Таблица 2 </w:t>
      </w:r>
      <w:r w:rsidR="00E97C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– Объем задолженности по кредитам за 2020 год</w:t>
      </w:r>
    </w:p>
    <w:p w:rsidR="00E97C79" w:rsidRDefault="00E97C79" w:rsidP="00E97C79">
      <w:pPr>
        <w:spacing w:after="0" w:line="240" w:lineRule="auto"/>
        <w:ind w:firstLine="709"/>
        <w:jc w:val="right"/>
        <w:rPr>
          <w:rFonts w:ascii="Times New Roman" w:hAnsi="Times New Roman" w:cs="Times New Roman"/>
          <w:iCs/>
          <w:sz w:val="28"/>
          <w:szCs w:val="30"/>
        </w:rPr>
      </w:pPr>
      <w:r>
        <w:rPr>
          <w:rFonts w:ascii="Times New Roman" w:hAnsi="Times New Roman" w:cs="Times New Roman"/>
          <w:iCs/>
          <w:sz w:val="28"/>
          <w:szCs w:val="30"/>
        </w:rPr>
        <w:t>В миллионах рублей</w:t>
      </w:r>
    </w:p>
    <w:tbl>
      <w:tblPr>
        <w:tblW w:w="9656" w:type="dxa"/>
        <w:tblInd w:w="91" w:type="dxa"/>
        <w:tblLook w:val="04A0"/>
      </w:tblPr>
      <w:tblGrid>
        <w:gridCol w:w="1540"/>
        <w:gridCol w:w="1388"/>
        <w:gridCol w:w="2386"/>
        <w:gridCol w:w="1388"/>
        <w:gridCol w:w="2954"/>
      </w:tblGrid>
      <w:tr w:rsidR="00E97C79" w:rsidRPr="008A65A1" w:rsidTr="00083507">
        <w:trPr>
          <w:trHeight w:val="411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</w:t>
            </w:r>
          </w:p>
        </w:tc>
        <w:tc>
          <w:tcPr>
            <w:tcW w:w="81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Задолженность</w:t>
            </w:r>
          </w:p>
        </w:tc>
      </w:tr>
      <w:tr w:rsidR="00E97C79" w:rsidRPr="008A65A1" w:rsidTr="00083507">
        <w:trPr>
          <w:trHeight w:val="333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C79" w:rsidRPr="008A65A1" w:rsidRDefault="00E97C79" w:rsidP="00E97C7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7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Задолженность физических лиц</w:t>
            </w:r>
          </w:p>
        </w:tc>
        <w:tc>
          <w:tcPr>
            <w:tcW w:w="43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Задолженность корпоративных клиентов</w:t>
            </w:r>
          </w:p>
        </w:tc>
      </w:tr>
      <w:tr w:rsidR="00E97C79" w:rsidRPr="008A65A1" w:rsidTr="00083507">
        <w:trPr>
          <w:trHeight w:val="539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97C79" w:rsidRPr="008A65A1" w:rsidRDefault="00E97C79" w:rsidP="00E97C7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нее просроченная задолженность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нее просроченная задо</w:t>
            </w: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</w:t>
            </w: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женность</w:t>
            </w:r>
          </w:p>
        </w:tc>
      </w:tr>
      <w:tr w:rsidR="00E97C79" w:rsidRPr="008A65A1" w:rsidTr="00E97C79">
        <w:trPr>
          <w:trHeight w:val="587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8A65A1" w:rsidRDefault="00E97C79" w:rsidP="00E97C7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01.01.2020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17 650 729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764 532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39 003 692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2 756 666</w:t>
            </w:r>
          </w:p>
        </w:tc>
      </w:tr>
      <w:tr w:rsidR="00E97C79" w:rsidRPr="008A65A1" w:rsidTr="00E97C79">
        <w:trPr>
          <w:trHeight w:val="30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8A65A1" w:rsidRDefault="00E97C79" w:rsidP="00E97C7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01.12.2020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19 915 578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942 411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44 793 069</w:t>
            </w:r>
          </w:p>
        </w:tc>
        <w:tc>
          <w:tcPr>
            <w:tcW w:w="2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7C79" w:rsidRPr="008A65A1" w:rsidRDefault="00E97C79" w:rsidP="00E97C7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A65A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3 171 593</w:t>
            </w:r>
          </w:p>
        </w:tc>
      </w:tr>
    </w:tbl>
    <w:p w:rsidR="00E97C79" w:rsidRDefault="00E97C79" w:rsidP="002B207C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4A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Исходя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таблицы, можно отметить, что объем просроченной задолже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ности по корпоративному кредитованию гораздо выше розничного и в течение года он растет.</w:t>
      </w:r>
    </w:p>
    <w:p w:rsidR="00E97C79" w:rsidRDefault="00E97C79" w:rsidP="00E97C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связи с ростом просроченной задолженности коммерческие банки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нуждены применять санкции относительно своих клиентов, а также разрабат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вать методы оценки своих потенциальных заемщиков.</w:t>
      </w:r>
    </w:p>
    <w:p w:rsidR="00E97C79" w:rsidRPr="00426B47" w:rsidRDefault="00E97C79" w:rsidP="002B207C">
      <w:pPr>
        <w:pStyle w:val="a3"/>
        <w:shd w:val="clear" w:color="auto" w:fill="FFFFFF"/>
        <w:spacing w:before="120" w:beforeAutospacing="0" w:after="0" w:afterAutospacing="0"/>
        <w:ind w:firstLine="709"/>
        <w:jc w:val="both"/>
        <w:rPr>
          <w:bCs/>
          <w:sz w:val="28"/>
          <w:szCs w:val="28"/>
        </w:rPr>
      </w:pPr>
      <w:r w:rsidRPr="00426B47">
        <w:rPr>
          <w:bCs/>
          <w:sz w:val="28"/>
          <w:szCs w:val="28"/>
        </w:rPr>
        <w:t>Публичное акционерное общество акционерный коммерческий банк «Приморье» (сокращенно – ПАО АКБ «Приморье») был зарегистрирован Ба</w:t>
      </w:r>
      <w:r w:rsidRPr="00426B47">
        <w:rPr>
          <w:bCs/>
          <w:sz w:val="28"/>
          <w:szCs w:val="28"/>
        </w:rPr>
        <w:t>н</w:t>
      </w:r>
      <w:r w:rsidRPr="00426B47">
        <w:rPr>
          <w:bCs/>
          <w:sz w:val="28"/>
          <w:szCs w:val="28"/>
        </w:rPr>
        <w:t>ком России 27 июля 1994 г. Банк является одним из крупнейших региональных банков России. Головной офис Банка располагается во Владивостоке, отдел</w:t>
      </w:r>
      <w:r w:rsidRPr="00426B47">
        <w:rPr>
          <w:bCs/>
          <w:sz w:val="28"/>
          <w:szCs w:val="28"/>
        </w:rPr>
        <w:t>е</w:t>
      </w:r>
      <w:r w:rsidRPr="00426B47">
        <w:rPr>
          <w:bCs/>
          <w:sz w:val="28"/>
          <w:szCs w:val="28"/>
        </w:rPr>
        <w:t>ния Банка расположены в городах Приморского края, в Хабаровске, Южно-Сахалинске, Иркутске. Также представительство Банка «Приморье» действует в </w:t>
      </w:r>
      <w:proofErr w:type="gramStart"/>
      <w:r w:rsidRPr="00426B47">
        <w:rPr>
          <w:bCs/>
          <w:sz w:val="28"/>
          <w:szCs w:val="28"/>
        </w:rPr>
        <w:t>г</w:t>
      </w:r>
      <w:proofErr w:type="gramEnd"/>
      <w:r w:rsidRPr="00426B47">
        <w:rPr>
          <w:bCs/>
          <w:sz w:val="28"/>
          <w:szCs w:val="28"/>
        </w:rPr>
        <w:t>. Магадане. С июля 2020 года первый офис Банка «Приморье» работает в Москве</w:t>
      </w:r>
      <w:r>
        <w:rPr>
          <w:bCs/>
          <w:sz w:val="28"/>
          <w:szCs w:val="28"/>
        </w:rPr>
        <w:t>, в 2021 году планируется открытие офиса в Санкт-Петербурге</w:t>
      </w:r>
      <w:r w:rsidRPr="00426B47">
        <w:rPr>
          <w:bCs/>
          <w:sz w:val="28"/>
          <w:szCs w:val="28"/>
        </w:rPr>
        <w:t xml:space="preserve"> </w:t>
      </w:r>
      <w:r w:rsidRPr="00426B47">
        <w:rPr>
          <w:bCs/>
          <w:sz w:val="28"/>
          <w:szCs w:val="28"/>
          <w:lang w:val="en-US"/>
        </w:rPr>
        <w:t>[</w:t>
      </w:r>
      <w:r w:rsidR="009D3FE4">
        <w:rPr>
          <w:bCs/>
          <w:sz w:val="28"/>
          <w:szCs w:val="28"/>
        </w:rPr>
        <w:t>3</w:t>
      </w:r>
      <w:r w:rsidRPr="00426B47">
        <w:rPr>
          <w:bCs/>
          <w:sz w:val="28"/>
          <w:szCs w:val="28"/>
          <w:lang w:val="en-US"/>
        </w:rPr>
        <w:t>]</w:t>
      </w:r>
      <w:r w:rsidRPr="00426B47">
        <w:rPr>
          <w:bCs/>
          <w:sz w:val="28"/>
          <w:szCs w:val="28"/>
        </w:rPr>
        <w:t>.</w:t>
      </w:r>
    </w:p>
    <w:p w:rsidR="00E97C79" w:rsidRPr="00426B47" w:rsidRDefault="00E97C79" w:rsidP="002B207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426B47">
        <w:rPr>
          <w:bCs/>
          <w:sz w:val="28"/>
          <w:szCs w:val="28"/>
        </w:rPr>
        <w:t>Деятельность регулируется ЦБ РФ и осуществляется на основе лицензии на осуществление банковский операций № 3001 (от 11.12.2015 г.).</w:t>
      </w:r>
      <w:r w:rsidR="002B207C">
        <w:rPr>
          <w:bCs/>
          <w:sz w:val="28"/>
          <w:szCs w:val="28"/>
        </w:rPr>
        <w:t xml:space="preserve"> </w:t>
      </w:r>
      <w:r w:rsidRPr="00426B47">
        <w:rPr>
          <w:bCs/>
          <w:sz w:val="28"/>
          <w:szCs w:val="28"/>
        </w:rPr>
        <w:t xml:space="preserve">Согласно крупнейшему кредитному рейтинговому агентству «Эксперт РА» ПАО АКБ «Приморье» присвоен рейтинг кредитоспособности </w:t>
      </w:r>
      <w:proofErr w:type="spellStart"/>
      <w:r w:rsidRPr="00426B47">
        <w:rPr>
          <w:bCs/>
          <w:sz w:val="28"/>
          <w:szCs w:val="28"/>
          <w:lang w:val="en-US"/>
        </w:rPr>
        <w:t>ruB</w:t>
      </w:r>
      <w:proofErr w:type="spellEnd"/>
      <w:r w:rsidRPr="00426B47">
        <w:rPr>
          <w:bCs/>
          <w:sz w:val="28"/>
          <w:szCs w:val="28"/>
          <w:lang w:val="en-US"/>
        </w:rPr>
        <w:t>+</w:t>
      </w:r>
      <w:r w:rsidR="002B207C">
        <w:rPr>
          <w:bCs/>
          <w:sz w:val="28"/>
          <w:szCs w:val="28"/>
        </w:rPr>
        <w:t xml:space="preserve"> </w:t>
      </w:r>
      <w:r w:rsidRPr="00426B47">
        <w:rPr>
          <w:bCs/>
          <w:sz w:val="28"/>
          <w:szCs w:val="28"/>
          <w:lang w:val="en-US"/>
        </w:rPr>
        <w:t>[</w:t>
      </w:r>
      <w:r w:rsidR="009D3FE4">
        <w:rPr>
          <w:bCs/>
          <w:sz w:val="28"/>
          <w:szCs w:val="28"/>
        </w:rPr>
        <w:t>4</w:t>
      </w:r>
      <w:r w:rsidRPr="00426B47">
        <w:rPr>
          <w:bCs/>
          <w:sz w:val="28"/>
          <w:szCs w:val="28"/>
          <w:lang w:val="en-US"/>
        </w:rPr>
        <w:t>]</w:t>
      </w:r>
      <w:r w:rsidRPr="00426B47">
        <w:rPr>
          <w:bCs/>
          <w:sz w:val="28"/>
          <w:szCs w:val="28"/>
        </w:rPr>
        <w:t>.</w:t>
      </w:r>
    </w:p>
    <w:p w:rsidR="00E97C79" w:rsidRDefault="00E97C79" w:rsidP="00E97C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Рассмотрим кредитный портфель ПАО АКБ «Приморье». На 1 января 2020 года общий объем выданных ссуд юридическим лицам составил 10 970 614 тыс. руб., физическим лицам – 1 206 082 тыс.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руб</w:t>
      </w:r>
      <w:proofErr w:type="spellEnd"/>
      <w:r w:rsidR="002B20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B20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[</w:t>
      </w:r>
      <w:r w:rsidR="002B20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2B207C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]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E97C79" w:rsidRDefault="00E97C79" w:rsidP="00E97C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1 января 2021 года сумма кредитов корпоративным клиентам выросла до 11 141 427 тыс. руб., а физическим лицам до 1 311 977 тыс. руб.</w:t>
      </w:r>
    </w:p>
    <w:p w:rsidR="00E97C79" w:rsidRDefault="00E97C79" w:rsidP="00E97C79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lastRenderedPageBreak/>
        <w:t>Если рассматривать заемщиков ПАО АКБ «Приморье» с точки зрения видов экономической деятельности, то наибольший удельный вес в 2020 году приходится на следующие предприятия:</w:t>
      </w:r>
    </w:p>
    <w:p w:rsidR="00E97C79" w:rsidRDefault="00E97C79" w:rsidP="00E97C79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1 Оптовая и розничная торговля, ремонт автотранспортных средств, б</w:t>
      </w:r>
      <w:r>
        <w:rPr>
          <w:b w:val="0"/>
          <w:kern w:val="0"/>
          <w:sz w:val="28"/>
          <w:szCs w:val="28"/>
        </w:rPr>
        <w:t>ы</w:t>
      </w:r>
      <w:r>
        <w:rPr>
          <w:b w:val="0"/>
          <w:kern w:val="0"/>
          <w:sz w:val="28"/>
          <w:szCs w:val="28"/>
        </w:rPr>
        <w:t>товых изделий и предметов личного использования – 23%.</w:t>
      </w:r>
    </w:p>
    <w:p w:rsidR="00E97C79" w:rsidRDefault="00E97C79" w:rsidP="00E97C79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2 Лизинговые компании составляют 19%.</w:t>
      </w:r>
    </w:p>
    <w:p w:rsidR="00E97C79" w:rsidRDefault="00E97C79" w:rsidP="00E97C79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3 Обрабатывающие производства – около 15%.</w:t>
      </w:r>
    </w:p>
    <w:p w:rsidR="00E97C79" w:rsidRDefault="00E97C79" w:rsidP="00E97C79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4 Строительство – 13%.</w:t>
      </w:r>
    </w:p>
    <w:p w:rsidR="00E97C79" w:rsidRDefault="00E97C79" w:rsidP="00E97C79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5</w:t>
      </w:r>
      <w:proofErr w:type="gramStart"/>
      <w:r>
        <w:rPr>
          <w:b w:val="0"/>
          <w:kern w:val="0"/>
          <w:sz w:val="28"/>
          <w:szCs w:val="28"/>
        </w:rPr>
        <w:t xml:space="preserve"> </w:t>
      </w:r>
      <w:r w:rsidR="002B207C">
        <w:rPr>
          <w:b w:val="0"/>
          <w:kern w:val="0"/>
          <w:sz w:val="28"/>
          <w:szCs w:val="28"/>
        </w:rPr>
        <w:t>П</w:t>
      </w:r>
      <w:proofErr w:type="gramEnd"/>
      <w:r w:rsidR="002B207C">
        <w:rPr>
          <w:b w:val="0"/>
          <w:kern w:val="0"/>
          <w:sz w:val="28"/>
          <w:szCs w:val="28"/>
        </w:rPr>
        <w:t>рочие виды деятельности – 30%.</w:t>
      </w:r>
    </w:p>
    <w:p w:rsidR="002B207C" w:rsidRDefault="00E97C79" w:rsidP="002B207C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По итогам 2020 года общий объем просроченной задолженности орган</w:t>
      </w:r>
      <w:r>
        <w:rPr>
          <w:b w:val="0"/>
          <w:kern w:val="0"/>
          <w:sz w:val="28"/>
          <w:szCs w:val="28"/>
        </w:rPr>
        <w:t>и</w:t>
      </w:r>
      <w:r>
        <w:rPr>
          <w:b w:val="0"/>
          <w:kern w:val="0"/>
          <w:sz w:val="28"/>
          <w:szCs w:val="28"/>
        </w:rPr>
        <w:t>заций в Банке составил 2 480 833 тыс. руб., 1 395 314 тыс. руб. из которых пр</w:t>
      </w:r>
      <w:r>
        <w:rPr>
          <w:b w:val="0"/>
          <w:kern w:val="0"/>
          <w:sz w:val="28"/>
          <w:szCs w:val="28"/>
        </w:rPr>
        <w:t>и</w:t>
      </w:r>
      <w:r>
        <w:rPr>
          <w:b w:val="0"/>
          <w:kern w:val="0"/>
          <w:sz w:val="28"/>
          <w:szCs w:val="28"/>
        </w:rPr>
        <w:t>ходится на реструктурированные юридические лица. Это практически 97% от общего объема просроченной задолженности.</w:t>
      </w:r>
    </w:p>
    <w:p w:rsidR="002B207C" w:rsidRDefault="00E97C79" w:rsidP="002B207C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 xml:space="preserve">Рассмотрим </w:t>
      </w:r>
      <w:r w:rsidR="002B207C">
        <w:rPr>
          <w:b w:val="0"/>
          <w:kern w:val="0"/>
          <w:sz w:val="28"/>
          <w:szCs w:val="28"/>
        </w:rPr>
        <w:t>подход к оценке кредитоспособности заемщиков в ПАО АКБ «Приморье».</w:t>
      </w:r>
      <w:r>
        <w:rPr>
          <w:b w:val="0"/>
          <w:kern w:val="0"/>
          <w:sz w:val="28"/>
          <w:szCs w:val="28"/>
        </w:rPr>
        <w:t xml:space="preserve"> </w:t>
      </w:r>
    </w:p>
    <w:p w:rsidR="00AF2886" w:rsidRDefault="00AF2886" w:rsidP="002B207C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При рассмотрении заявки кредитный специалист направляет запросы в другие службы, отделы и департаменты банка для комплексного анализа п</w:t>
      </w:r>
      <w:r>
        <w:rPr>
          <w:b w:val="0"/>
          <w:kern w:val="0"/>
          <w:sz w:val="28"/>
          <w:szCs w:val="28"/>
        </w:rPr>
        <w:t>о</w:t>
      </w:r>
      <w:r>
        <w:rPr>
          <w:b w:val="0"/>
          <w:kern w:val="0"/>
          <w:sz w:val="28"/>
          <w:szCs w:val="28"/>
        </w:rPr>
        <w:t xml:space="preserve">тенциального заемщика. </w:t>
      </w:r>
    </w:p>
    <w:p w:rsidR="00AF2886" w:rsidRDefault="00E97C79" w:rsidP="00AF2886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Главным этапом рассмотрения заявки является анализ финансового п</w:t>
      </w:r>
      <w:r>
        <w:rPr>
          <w:b w:val="0"/>
          <w:kern w:val="0"/>
          <w:sz w:val="28"/>
          <w:szCs w:val="28"/>
        </w:rPr>
        <w:t>о</w:t>
      </w:r>
      <w:r>
        <w:rPr>
          <w:b w:val="0"/>
          <w:kern w:val="0"/>
          <w:sz w:val="28"/>
          <w:szCs w:val="28"/>
        </w:rPr>
        <w:t>ложения – анализ бухгалтерского баланса, отчета о финансовых результатах, дебиторской и кредиторской задолженности, крупных статей отчетности с ра</w:t>
      </w:r>
      <w:r>
        <w:rPr>
          <w:b w:val="0"/>
          <w:kern w:val="0"/>
          <w:sz w:val="28"/>
          <w:szCs w:val="28"/>
        </w:rPr>
        <w:t>с</w:t>
      </w:r>
      <w:r>
        <w:rPr>
          <w:b w:val="0"/>
          <w:kern w:val="0"/>
          <w:sz w:val="28"/>
          <w:szCs w:val="28"/>
        </w:rPr>
        <w:t>шифровками на предмет их экономической сути.</w:t>
      </w:r>
      <w:r w:rsidR="002B207C">
        <w:rPr>
          <w:b w:val="0"/>
          <w:kern w:val="0"/>
          <w:sz w:val="28"/>
          <w:szCs w:val="28"/>
        </w:rPr>
        <w:t xml:space="preserve"> </w:t>
      </w:r>
      <w:r>
        <w:rPr>
          <w:b w:val="0"/>
          <w:kern w:val="0"/>
          <w:sz w:val="28"/>
          <w:szCs w:val="28"/>
        </w:rPr>
        <w:t>Анализ достаточности исто</w:t>
      </w:r>
      <w:r>
        <w:rPr>
          <w:b w:val="0"/>
          <w:kern w:val="0"/>
          <w:sz w:val="28"/>
          <w:szCs w:val="28"/>
        </w:rPr>
        <w:t>ч</w:t>
      </w:r>
      <w:r w:rsidR="00AF2886">
        <w:rPr>
          <w:b w:val="0"/>
          <w:kern w:val="0"/>
          <w:sz w:val="28"/>
          <w:szCs w:val="28"/>
        </w:rPr>
        <w:t>ников погашения кредита</w:t>
      </w:r>
      <w:r>
        <w:rPr>
          <w:b w:val="0"/>
          <w:kern w:val="0"/>
          <w:sz w:val="28"/>
          <w:szCs w:val="28"/>
        </w:rPr>
        <w:t xml:space="preserve"> проводится путем сравнения объема ссудной задо</w:t>
      </w:r>
      <w:r>
        <w:rPr>
          <w:b w:val="0"/>
          <w:kern w:val="0"/>
          <w:sz w:val="28"/>
          <w:szCs w:val="28"/>
        </w:rPr>
        <w:t>л</w:t>
      </w:r>
      <w:r>
        <w:rPr>
          <w:b w:val="0"/>
          <w:kern w:val="0"/>
          <w:sz w:val="28"/>
          <w:szCs w:val="28"/>
        </w:rPr>
        <w:t xml:space="preserve">женности с размером среднемесячной выручки. Помимо этого, Банк проводит оценку обеспечения. </w:t>
      </w:r>
      <w:proofErr w:type="spellStart"/>
      <w:r>
        <w:rPr>
          <w:b w:val="0"/>
          <w:kern w:val="0"/>
          <w:sz w:val="28"/>
          <w:szCs w:val="28"/>
        </w:rPr>
        <w:t>Высокорискованными</w:t>
      </w:r>
      <w:proofErr w:type="spellEnd"/>
      <w:r>
        <w:rPr>
          <w:b w:val="0"/>
          <w:kern w:val="0"/>
          <w:sz w:val="28"/>
          <w:szCs w:val="28"/>
        </w:rPr>
        <w:t xml:space="preserve"> сделками являются сделки, офор</w:t>
      </w:r>
      <w:r>
        <w:rPr>
          <w:b w:val="0"/>
          <w:kern w:val="0"/>
          <w:sz w:val="28"/>
          <w:szCs w:val="28"/>
        </w:rPr>
        <w:t>м</w:t>
      </w:r>
      <w:r>
        <w:rPr>
          <w:b w:val="0"/>
          <w:kern w:val="0"/>
          <w:sz w:val="28"/>
          <w:szCs w:val="28"/>
        </w:rPr>
        <w:t>ленные только под залог товаров в обороте, только под поручительство или без обеспечения.</w:t>
      </w:r>
      <w:r w:rsidR="00AF2886">
        <w:rPr>
          <w:b w:val="0"/>
          <w:kern w:val="0"/>
          <w:sz w:val="28"/>
          <w:szCs w:val="28"/>
        </w:rPr>
        <w:t xml:space="preserve"> </w:t>
      </w:r>
    </w:p>
    <w:p w:rsidR="00AF2886" w:rsidRDefault="00AF2886" w:rsidP="00AF2886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Главным элементом анализа является оценка финансового состояния кл</w:t>
      </w:r>
      <w:r>
        <w:rPr>
          <w:b w:val="0"/>
          <w:kern w:val="0"/>
          <w:sz w:val="28"/>
          <w:szCs w:val="28"/>
        </w:rPr>
        <w:t>и</w:t>
      </w:r>
      <w:r>
        <w:rPr>
          <w:b w:val="0"/>
          <w:kern w:val="0"/>
          <w:sz w:val="28"/>
          <w:szCs w:val="28"/>
        </w:rPr>
        <w:t>ента (хорошее, среднее, плохое), а также определение категории ссуды с учетом качества обслуживания долга.</w:t>
      </w:r>
    </w:p>
    <w:p w:rsidR="00E97C79" w:rsidRDefault="00E97C79" w:rsidP="00AF2886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Рассмотрим методику оценки финансового положения заемщиков.</w:t>
      </w:r>
    </w:p>
    <w:p w:rsidR="00E97C79" w:rsidRDefault="00E97C79" w:rsidP="002B207C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Первый этап – это анализ количественных показателей деятельности з</w:t>
      </w:r>
      <w:r>
        <w:rPr>
          <w:b w:val="0"/>
          <w:kern w:val="0"/>
          <w:sz w:val="28"/>
          <w:szCs w:val="28"/>
        </w:rPr>
        <w:t>а</w:t>
      </w:r>
      <w:r>
        <w:rPr>
          <w:b w:val="0"/>
          <w:kern w:val="0"/>
          <w:sz w:val="28"/>
          <w:szCs w:val="28"/>
        </w:rPr>
        <w:t>емщика. Он основывается на проведении экспертной оценки и рассмотрении в динамике валюты баланса, чистых активов, выручки, денежных потоков и о</w:t>
      </w:r>
      <w:r>
        <w:rPr>
          <w:b w:val="0"/>
          <w:kern w:val="0"/>
          <w:sz w:val="28"/>
          <w:szCs w:val="28"/>
        </w:rPr>
        <w:t>с</w:t>
      </w:r>
      <w:r>
        <w:rPr>
          <w:b w:val="0"/>
          <w:kern w:val="0"/>
          <w:sz w:val="28"/>
          <w:szCs w:val="28"/>
        </w:rPr>
        <w:t xml:space="preserve">тальных показателей. </w:t>
      </w:r>
    </w:p>
    <w:p w:rsidR="00AF2886" w:rsidRDefault="00E97C79" w:rsidP="00AF2886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Второй этап – это анализ качественных показателей. В него включены три группы показателей: коэффициенты финансовой устойчивости, коэффиц</w:t>
      </w:r>
      <w:r>
        <w:rPr>
          <w:b w:val="0"/>
          <w:kern w:val="0"/>
          <w:sz w:val="28"/>
          <w:szCs w:val="28"/>
        </w:rPr>
        <w:t>и</w:t>
      </w:r>
      <w:r>
        <w:rPr>
          <w:b w:val="0"/>
          <w:kern w:val="0"/>
          <w:sz w:val="28"/>
          <w:szCs w:val="28"/>
        </w:rPr>
        <w:t>енты платежеспособности и коэффициенты оборачиваемости и рентабельности.</w:t>
      </w:r>
      <w:r w:rsidR="00AF2886">
        <w:rPr>
          <w:b w:val="0"/>
          <w:kern w:val="0"/>
          <w:sz w:val="28"/>
          <w:szCs w:val="28"/>
        </w:rPr>
        <w:t xml:space="preserve"> Каждый коэффициент имеет свой вес, который службами Банка пересматрив</w:t>
      </w:r>
      <w:r w:rsidR="00AF2886">
        <w:rPr>
          <w:b w:val="0"/>
          <w:kern w:val="0"/>
          <w:sz w:val="28"/>
          <w:szCs w:val="28"/>
        </w:rPr>
        <w:t>а</w:t>
      </w:r>
      <w:r w:rsidR="00AF2886">
        <w:rPr>
          <w:b w:val="0"/>
          <w:kern w:val="0"/>
          <w:sz w:val="28"/>
          <w:szCs w:val="28"/>
        </w:rPr>
        <w:t xml:space="preserve">ется ежегодно. </w:t>
      </w:r>
      <w:r>
        <w:rPr>
          <w:b w:val="0"/>
          <w:kern w:val="0"/>
          <w:sz w:val="28"/>
          <w:szCs w:val="28"/>
        </w:rPr>
        <w:t xml:space="preserve">В результате суммирования всех показателей с учетом их весов получаем </w:t>
      </w:r>
      <w:r>
        <w:rPr>
          <w:b w:val="0"/>
          <w:kern w:val="0"/>
          <w:sz w:val="28"/>
          <w:szCs w:val="28"/>
          <w:lang w:val="en-US"/>
        </w:rPr>
        <w:t>S1</w:t>
      </w:r>
      <w:r>
        <w:rPr>
          <w:b w:val="0"/>
          <w:kern w:val="0"/>
          <w:sz w:val="28"/>
          <w:szCs w:val="28"/>
        </w:rPr>
        <w:t xml:space="preserve">. </w:t>
      </w:r>
      <w:proofErr w:type="gramStart"/>
      <w:r>
        <w:rPr>
          <w:b w:val="0"/>
          <w:kern w:val="0"/>
          <w:sz w:val="28"/>
          <w:szCs w:val="28"/>
        </w:rPr>
        <w:t>Сумма баллов распределяется следующим образом: 1 категория – 10 баллов, 2 категория – 20 баллов, 3 категория – 30 баллов, 4 категория – 40 баллов, 5 категория – 50 баллов и для 6 категории – 60 баллов.</w:t>
      </w:r>
      <w:proofErr w:type="gramEnd"/>
    </w:p>
    <w:p w:rsidR="00321564" w:rsidRDefault="00AF2886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 w:rsidRPr="00AF2886">
        <w:rPr>
          <w:b w:val="0"/>
          <w:kern w:val="0"/>
          <w:sz w:val="28"/>
          <w:szCs w:val="28"/>
        </w:rPr>
        <w:t>S2</w:t>
      </w:r>
      <w:r>
        <w:rPr>
          <w:b w:val="0"/>
          <w:kern w:val="0"/>
          <w:sz w:val="28"/>
          <w:szCs w:val="28"/>
        </w:rPr>
        <w:t xml:space="preserve"> включает в себя п</w:t>
      </w:r>
      <w:r w:rsidRPr="00AF2886">
        <w:rPr>
          <w:b w:val="0"/>
          <w:kern w:val="0"/>
          <w:sz w:val="28"/>
          <w:szCs w:val="28"/>
        </w:rPr>
        <w:t>оказатель обеспеченности запасов источниками</w:t>
      </w:r>
      <w:r>
        <w:rPr>
          <w:b w:val="0"/>
          <w:kern w:val="0"/>
          <w:sz w:val="28"/>
          <w:szCs w:val="28"/>
        </w:rPr>
        <w:t>, к</w:t>
      </w:r>
      <w:r w:rsidRPr="00AF2886">
        <w:rPr>
          <w:b w:val="0"/>
          <w:kern w:val="0"/>
          <w:sz w:val="28"/>
          <w:szCs w:val="28"/>
        </w:rPr>
        <w:t>о</w:t>
      </w:r>
      <w:r w:rsidRPr="00AF2886">
        <w:rPr>
          <w:b w:val="0"/>
          <w:kern w:val="0"/>
          <w:sz w:val="28"/>
          <w:szCs w:val="28"/>
        </w:rPr>
        <w:t>эффициент платежеспособности</w:t>
      </w:r>
      <w:r>
        <w:rPr>
          <w:b w:val="0"/>
          <w:kern w:val="0"/>
          <w:sz w:val="28"/>
          <w:szCs w:val="28"/>
        </w:rPr>
        <w:t xml:space="preserve">, </w:t>
      </w:r>
      <w:r w:rsidRPr="00AF2886">
        <w:rPr>
          <w:b w:val="0"/>
          <w:kern w:val="0"/>
          <w:sz w:val="28"/>
          <w:szCs w:val="28"/>
        </w:rPr>
        <w:t xml:space="preserve"> </w:t>
      </w:r>
      <w:r>
        <w:rPr>
          <w:b w:val="0"/>
          <w:kern w:val="0"/>
          <w:sz w:val="28"/>
          <w:szCs w:val="28"/>
        </w:rPr>
        <w:t>р</w:t>
      </w:r>
      <w:r w:rsidRPr="00AF2886">
        <w:rPr>
          <w:b w:val="0"/>
          <w:kern w:val="0"/>
          <w:sz w:val="28"/>
          <w:szCs w:val="28"/>
        </w:rPr>
        <w:t>ентабельность собственного капитала</w:t>
      </w:r>
      <w:r>
        <w:rPr>
          <w:b w:val="0"/>
          <w:kern w:val="0"/>
          <w:sz w:val="28"/>
          <w:szCs w:val="28"/>
        </w:rPr>
        <w:t>,</w:t>
      </w:r>
      <w:r w:rsidRPr="00AF2886">
        <w:rPr>
          <w:b w:val="0"/>
          <w:kern w:val="0"/>
          <w:sz w:val="28"/>
          <w:szCs w:val="28"/>
        </w:rPr>
        <w:t xml:space="preserve"> </w:t>
      </w:r>
      <w:r>
        <w:rPr>
          <w:b w:val="0"/>
          <w:kern w:val="0"/>
          <w:sz w:val="28"/>
          <w:szCs w:val="28"/>
        </w:rPr>
        <w:t>к</w:t>
      </w:r>
      <w:r w:rsidRPr="00AF2886">
        <w:rPr>
          <w:b w:val="0"/>
          <w:kern w:val="0"/>
          <w:sz w:val="28"/>
          <w:szCs w:val="28"/>
        </w:rPr>
        <w:t>о</w:t>
      </w:r>
      <w:r w:rsidRPr="00AF2886">
        <w:rPr>
          <w:b w:val="0"/>
          <w:kern w:val="0"/>
          <w:sz w:val="28"/>
          <w:szCs w:val="28"/>
        </w:rPr>
        <w:lastRenderedPageBreak/>
        <w:t>эффициент оборачиваемости оборотных средств</w:t>
      </w:r>
      <w:r>
        <w:rPr>
          <w:b w:val="0"/>
          <w:kern w:val="0"/>
          <w:sz w:val="28"/>
          <w:szCs w:val="28"/>
        </w:rPr>
        <w:t>,</w:t>
      </w:r>
      <w:r w:rsidRPr="00AF2886">
        <w:rPr>
          <w:b w:val="0"/>
          <w:kern w:val="0"/>
          <w:sz w:val="28"/>
          <w:szCs w:val="28"/>
        </w:rPr>
        <w:t xml:space="preserve"> </w:t>
      </w:r>
      <w:r>
        <w:rPr>
          <w:b w:val="0"/>
          <w:kern w:val="0"/>
          <w:sz w:val="28"/>
          <w:szCs w:val="28"/>
        </w:rPr>
        <w:t>к</w:t>
      </w:r>
      <w:r w:rsidRPr="00AF2886">
        <w:rPr>
          <w:b w:val="0"/>
          <w:kern w:val="0"/>
          <w:sz w:val="28"/>
          <w:szCs w:val="28"/>
        </w:rPr>
        <w:t>оэффициент оборачиваем</w:t>
      </w:r>
      <w:r w:rsidRPr="00AF2886">
        <w:rPr>
          <w:b w:val="0"/>
          <w:kern w:val="0"/>
          <w:sz w:val="28"/>
          <w:szCs w:val="28"/>
        </w:rPr>
        <w:t>о</w:t>
      </w:r>
      <w:r w:rsidRPr="00AF2886">
        <w:rPr>
          <w:b w:val="0"/>
          <w:kern w:val="0"/>
          <w:sz w:val="28"/>
          <w:szCs w:val="28"/>
        </w:rPr>
        <w:t>сти дебиторской задолженности</w:t>
      </w:r>
      <w:r>
        <w:rPr>
          <w:b w:val="0"/>
          <w:kern w:val="0"/>
          <w:sz w:val="28"/>
          <w:szCs w:val="28"/>
        </w:rPr>
        <w:t xml:space="preserve">. </w:t>
      </w:r>
      <w:proofErr w:type="gramStart"/>
      <w:r>
        <w:rPr>
          <w:b w:val="0"/>
          <w:kern w:val="0"/>
          <w:sz w:val="28"/>
          <w:szCs w:val="28"/>
          <w:lang w:val="en-US"/>
        </w:rPr>
        <w:t xml:space="preserve">S3 – </w:t>
      </w:r>
      <w:r>
        <w:rPr>
          <w:b w:val="0"/>
          <w:kern w:val="0"/>
          <w:sz w:val="28"/>
          <w:szCs w:val="28"/>
        </w:rPr>
        <w:t>это дополнительные факторы оценки риска (</w:t>
      </w:r>
      <w:r w:rsidR="00321564">
        <w:rPr>
          <w:b w:val="0"/>
          <w:kern w:val="0"/>
          <w:sz w:val="28"/>
          <w:szCs w:val="28"/>
        </w:rPr>
        <w:t>их сотрудники проставляют вручную).</w:t>
      </w:r>
      <w:proofErr w:type="gramEnd"/>
    </w:p>
    <w:p w:rsidR="00E97C79" w:rsidRPr="00865540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Совокупная сумма баллов (</w:t>
      </w:r>
      <w:r>
        <w:rPr>
          <w:b w:val="0"/>
          <w:kern w:val="0"/>
          <w:sz w:val="28"/>
          <w:szCs w:val="28"/>
          <w:lang w:val="en-US"/>
        </w:rPr>
        <w:t>S1+S2+S3)</w:t>
      </w:r>
      <w:r>
        <w:rPr>
          <w:b w:val="0"/>
          <w:kern w:val="0"/>
          <w:sz w:val="28"/>
          <w:szCs w:val="28"/>
        </w:rPr>
        <w:t xml:space="preserve"> влияет на конечную оценку фина</w:t>
      </w:r>
      <w:r>
        <w:rPr>
          <w:b w:val="0"/>
          <w:kern w:val="0"/>
          <w:sz w:val="28"/>
          <w:szCs w:val="28"/>
        </w:rPr>
        <w:t>н</w:t>
      </w:r>
      <w:r>
        <w:rPr>
          <w:b w:val="0"/>
          <w:kern w:val="0"/>
          <w:sz w:val="28"/>
          <w:szCs w:val="28"/>
        </w:rPr>
        <w:t>сового положения. Если число баллов не превышает 10, финансовое положение может быть признано хорошим. Если более 10, но меньше 69 – средним. При сумме баллов от 70 до 113 финансовое положение признается плохим.</w:t>
      </w:r>
    </w:p>
    <w:p w:rsidR="00E97C79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Следующим шагом является оценка качества обслуживания долга зае</w:t>
      </w:r>
      <w:r>
        <w:rPr>
          <w:b w:val="0"/>
          <w:kern w:val="0"/>
          <w:sz w:val="28"/>
          <w:szCs w:val="28"/>
        </w:rPr>
        <w:t>м</w:t>
      </w:r>
      <w:r>
        <w:rPr>
          <w:b w:val="0"/>
          <w:kern w:val="0"/>
          <w:sz w:val="28"/>
          <w:szCs w:val="28"/>
        </w:rPr>
        <w:t>щиком. Оно признается хорошим при выполнении следующих условий:</w:t>
      </w:r>
    </w:p>
    <w:p w:rsidR="00E97C79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1 Платежи по основному долгу и процентам осуществляются в полном объеме и своевременно.</w:t>
      </w:r>
    </w:p>
    <w:p w:rsidR="00E97C79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2</w:t>
      </w:r>
      <w:proofErr w:type="gramStart"/>
      <w:r>
        <w:rPr>
          <w:b w:val="0"/>
          <w:kern w:val="0"/>
          <w:sz w:val="28"/>
          <w:szCs w:val="28"/>
        </w:rPr>
        <w:t xml:space="preserve"> И</w:t>
      </w:r>
      <w:proofErr w:type="gramEnd"/>
      <w:r>
        <w:rPr>
          <w:b w:val="0"/>
          <w:kern w:val="0"/>
          <w:sz w:val="28"/>
          <w:szCs w:val="28"/>
        </w:rPr>
        <w:t>меется случай просроченного платежа в течение последних 1,5 лет продолжительностью до 5 дней включительно.</w:t>
      </w:r>
    </w:p>
    <w:p w:rsidR="00E97C79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Качество обслуживания долга признается средним при выполнении хотя бы одного из следующих условий:</w:t>
      </w:r>
    </w:p>
    <w:p w:rsidR="00E97C79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1</w:t>
      </w:r>
      <w:proofErr w:type="gramStart"/>
      <w:r>
        <w:rPr>
          <w:b w:val="0"/>
          <w:kern w:val="0"/>
          <w:sz w:val="28"/>
          <w:szCs w:val="28"/>
        </w:rPr>
        <w:t xml:space="preserve"> И</w:t>
      </w:r>
      <w:proofErr w:type="gramEnd"/>
      <w:r>
        <w:rPr>
          <w:b w:val="0"/>
          <w:kern w:val="0"/>
          <w:sz w:val="28"/>
          <w:szCs w:val="28"/>
        </w:rPr>
        <w:t>меется случай просроченного платежа в течение последних 1,5 лет продолжительностью от 6 до 30 календарных дней включительно.</w:t>
      </w:r>
    </w:p>
    <w:p w:rsidR="00E97C79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2 Платежи осуществляются за счет денежных средств (или иного имущ</w:t>
      </w:r>
      <w:r>
        <w:rPr>
          <w:b w:val="0"/>
          <w:kern w:val="0"/>
          <w:sz w:val="28"/>
          <w:szCs w:val="28"/>
        </w:rPr>
        <w:t>е</w:t>
      </w:r>
      <w:r>
        <w:rPr>
          <w:b w:val="0"/>
          <w:kern w:val="0"/>
          <w:sz w:val="28"/>
          <w:szCs w:val="28"/>
        </w:rPr>
        <w:t>ства), предоставленного заемщику банком прямо или косвенно (через третьи лица).</w:t>
      </w:r>
    </w:p>
    <w:p w:rsidR="00E97C79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3 Ссуда прямо или косвенно предоставлена заемщику в целях погашения долга по ранее предоставленной ссуде.</w:t>
      </w:r>
    </w:p>
    <w:p w:rsidR="00E97C79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4 Ссуда, предоставленная юридическим лицам, от 6 до 30 календарных дней включительно (после истечения срока качество обслуживания признается хорошим).</w:t>
      </w:r>
    </w:p>
    <w:p w:rsidR="00E97C79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Обслуживание долга признается неудовлетворительным, если:</w:t>
      </w:r>
    </w:p>
    <w:p w:rsidR="00E97C79" w:rsidRDefault="00F0388D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 xml:space="preserve">1 У </w:t>
      </w:r>
      <w:r w:rsidR="00E97C79">
        <w:rPr>
          <w:b w:val="0"/>
          <w:kern w:val="0"/>
          <w:sz w:val="28"/>
          <w:szCs w:val="28"/>
        </w:rPr>
        <w:t>заемщика наблюдаются просроченные платежи за последние 1,5 года продолжительностью свыше 30 календарных дней.</w:t>
      </w:r>
    </w:p>
    <w:p w:rsidR="00E97C79" w:rsidRDefault="00E97C79" w:rsidP="0032156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2 Качество обслуживания долга не соответствует требованиям Полож</w:t>
      </w:r>
      <w:r>
        <w:rPr>
          <w:b w:val="0"/>
          <w:kern w:val="0"/>
          <w:sz w:val="28"/>
          <w:szCs w:val="28"/>
        </w:rPr>
        <w:t>е</w:t>
      </w:r>
      <w:r>
        <w:rPr>
          <w:b w:val="0"/>
          <w:kern w:val="0"/>
          <w:sz w:val="28"/>
          <w:szCs w:val="28"/>
        </w:rPr>
        <w:t>ния Банка России №590-П.</w:t>
      </w:r>
    </w:p>
    <w:p w:rsidR="00F0388D" w:rsidRDefault="00321564" w:rsidP="00F0388D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По результатам проведенной оценки определяется категория качества и норма резервирования по ссуде. Она зависит от качества обслуживания долга, финансового положения и совокупной суммы баллов качественных показат</w:t>
      </w:r>
      <w:r>
        <w:rPr>
          <w:b w:val="0"/>
          <w:kern w:val="0"/>
          <w:sz w:val="28"/>
          <w:szCs w:val="28"/>
        </w:rPr>
        <w:t>е</w:t>
      </w:r>
      <w:r>
        <w:rPr>
          <w:b w:val="0"/>
          <w:kern w:val="0"/>
          <w:sz w:val="28"/>
          <w:szCs w:val="28"/>
        </w:rPr>
        <w:t>лей.</w:t>
      </w:r>
    </w:p>
    <w:p w:rsidR="00F0388D" w:rsidRDefault="00F0388D" w:rsidP="00F0388D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Стоит отметить, что обеспечение экономической безопасности ПАО АКБ «Приморье» проводит на должном уровне. Банк Приморье имеет диверсифиц</w:t>
      </w:r>
      <w:r>
        <w:rPr>
          <w:b w:val="0"/>
          <w:kern w:val="0"/>
          <w:sz w:val="28"/>
          <w:szCs w:val="28"/>
        </w:rPr>
        <w:t>и</w:t>
      </w:r>
      <w:r>
        <w:rPr>
          <w:b w:val="0"/>
          <w:kern w:val="0"/>
          <w:sz w:val="28"/>
          <w:szCs w:val="28"/>
        </w:rPr>
        <w:t>рованный кредитный портфель, снижающий кредитные риски. Процесс оценки кредитоспособности заемщиков включает в себя участие всех подразделений, связанных с рисками и их прогнозом. Сотрудники производят постоянный м</w:t>
      </w:r>
      <w:r>
        <w:rPr>
          <w:b w:val="0"/>
          <w:kern w:val="0"/>
          <w:sz w:val="28"/>
          <w:szCs w:val="28"/>
        </w:rPr>
        <w:t>о</w:t>
      </w:r>
      <w:r>
        <w:rPr>
          <w:b w:val="0"/>
          <w:kern w:val="0"/>
          <w:sz w:val="28"/>
          <w:szCs w:val="28"/>
        </w:rPr>
        <w:t>ниторинг качества обслуживания долга, а также рыночной ситуации для опр</w:t>
      </w:r>
      <w:r>
        <w:rPr>
          <w:b w:val="0"/>
          <w:kern w:val="0"/>
          <w:sz w:val="28"/>
          <w:szCs w:val="28"/>
        </w:rPr>
        <w:t>е</w:t>
      </w:r>
      <w:r>
        <w:rPr>
          <w:b w:val="0"/>
          <w:kern w:val="0"/>
          <w:sz w:val="28"/>
          <w:szCs w:val="28"/>
        </w:rPr>
        <w:t>деления тревожных сигналов в деятельности организации. В целом система управления кредитными рисками по рассматриваемым ссудам всегда соотн</w:t>
      </w:r>
      <w:r>
        <w:rPr>
          <w:b w:val="0"/>
          <w:kern w:val="0"/>
          <w:sz w:val="28"/>
          <w:szCs w:val="28"/>
        </w:rPr>
        <w:t>о</w:t>
      </w:r>
      <w:r>
        <w:rPr>
          <w:b w:val="0"/>
          <w:kern w:val="0"/>
          <w:sz w:val="28"/>
          <w:szCs w:val="28"/>
        </w:rPr>
        <w:t>сится с доходностью сделки и её целесообразности.</w:t>
      </w:r>
    </w:p>
    <w:p w:rsidR="00F0388D" w:rsidRDefault="00F0388D" w:rsidP="00F0388D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lastRenderedPageBreak/>
        <w:t>Можно отметить, что в действующей методике ПАО АКБ «Приморье» выявлен главный недостаток – отсутствие дополнительных факторов оценки, характеризующих отраслевую особенность.</w:t>
      </w:r>
    </w:p>
    <w:p w:rsidR="00BE5184" w:rsidRDefault="00BE5184" w:rsidP="00F0388D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Предлагается ввести факторы для крупнейших категорий заемщиков в банке. Для строительных компаний - параметры оценки инвестиционного пр</w:t>
      </w:r>
      <w:r>
        <w:rPr>
          <w:b w:val="0"/>
          <w:kern w:val="0"/>
          <w:sz w:val="28"/>
          <w:szCs w:val="28"/>
        </w:rPr>
        <w:t>о</w:t>
      </w:r>
      <w:r>
        <w:rPr>
          <w:b w:val="0"/>
          <w:kern w:val="0"/>
          <w:sz w:val="28"/>
          <w:szCs w:val="28"/>
        </w:rPr>
        <w:t>ек</w:t>
      </w:r>
      <w:r w:rsidR="00E12B74">
        <w:rPr>
          <w:b w:val="0"/>
          <w:kern w:val="0"/>
          <w:sz w:val="28"/>
          <w:szCs w:val="28"/>
        </w:rPr>
        <w:t>та</w:t>
      </w:r>
      <w:r>
        <w:rPr>
          <w:b w:val="0"/>
          <w:kern w:val="0"/>
          <w:sz w:val="28"/>
          <w:szCs w:val="28"/>
        </w:rPr>
        <w:t xml:space="preserve"> </w:t>
      </w:r>
      <w:r w:rsidR="00E12B74">
        <w:rPr>
          <w:b w:val="0"/>
          <w:kern w:val="0"/>
          <w:sz w:val="28"/>
          <w:szCs w:val="28"/>
        </w:rPr>
        <w:t>(</w:t>
      </w:r>
      <w:r>
        <w:rPr>
          <w:b w:val="0"/>
          <w:kern w:val="0"/>
          <w:sz w:val="28"/>
          <w:szCs w:val="28"/>
        </w:rPr>
        <w:t>срок окупаемости, срок строительства</w:t>
      </w:r>
      <w:r w:rsidR="00E12B74">
        <w:rPr>
          <w:b w:val="0"/>
          <w:kern w:val="0"/>
          <w:sz w:val="28"/>
          <w:szCs w:val="28"/>
        </w:rPr>
        <w:t>)</w:t>
      </w:r>
      <w:r>
        <w:rPr>
          <w:b w:val="0"/>
          <w:kern w:val="0"/>
          <w:sz w:val="28"/>
          <w:szCs w:val="28"/>
        </w:rPr>
        <w:t xml:space="preserve">. </w:t>
      </w:r>
    </w:p>
    <w:p w:rsidR="00F0388D" w:rsidRDefault="00BE5184" w:rsidP="00F0388D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Для лизинговых компаний – параметры качества и структуры лизингов</w:t>
      </w:r>
      <w:r>
        <w:rPr>
          <w:b w:val="0"/>
          <w:kern w:val="0"/>
          <w:sz w:val="28"/>
          <w:szCs w:val="28"/>
        </w:rPr>
        <w:t>о</w:t>
      </w:r>
      <w:r>
        <w:rPr>
          <w:b w:val="0"/>
          <w:kern w:val="0"/>
          <w:sz w:val="28"/>
          <w:szCs w:val="28"/>
        </w:rPr>
        <w:t>го портфеля.</w:t>
      </w:r>
    </w:p>
    <w:p w:rsidR="00BE5184" w:rsidRDefault="00BE5184" w:rsidP="00F0388D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Для организаций оптовой и розничной торговли – параметры оценки т</w:t>
      </w:r>
      <w:r>
        <w:rPr>
          <w:b w:val="0"/>
          <w:kern w:val="0"/>
          <w:sz w:val="28"/>
          <w:szCs w:val="28"/>
        </w:rPr>
        <w:t>е</w:t>
      </w:r>
      <w:r>
        <w:rPr>
          <w:b w:val="0"/>
          <w:kern w:val="0"/>
          <w:sz w:val="28"/>
          <w:szCs w:val="28"/>
        </w:rPr>
        <w:t>кущей деятельности.</w:t>
      </w:r>
    </w:p>
    <w:p w:rsidR="00BE5184" w:rsidRPr="000F5923" w:rsidRDefault="00E12B74" w:rsidP="00F0388D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 xml:space="preserve">Предлагаемые дополнительные факторы оценки будут проставляться в программе сотрудниками кредитного отдела вручную в зависимости от оценки финансового </w:t>
      </w:r>
      <w:r w:rsidR="000F5923">
        <w:rPr>
          <w:b w:val="0"/>
          <w:kern w:val="0"/>
          <w:sz w:val="28"/>
          <w:szCs w:val="28"/>
        </w:rPr>
        <w:t>положения заемщика,</w:t>
      </w:r>
      <w:r w:rsidR="000F5923">
        <w:rPr>
          <w:b w:val="0"/>
          <w:kern w:val="0"/>
          <w:sz w:val="28"/>
          <w:szCs w:val="28"/>
          <w:lang w:val="en-US"/>
        </w:rPr>
        <w:t xml:space="preserve"> </w:t>
      </w:r>
      <w:r w:rsidR="000F5923">
        <w:rPr>
          <w:b w:val="0"/>
          <w:kern w:val="0"/>
          <w:sz w:val="28"/>
          <w:szCs w:val="28"/>
        </w:rPr>
        <w:t>и влиять на конечный результат анализа.</w:t>
      </w:r>
    </w:p>
    <w:p w:rsidR="00F0388D" w:rsidRDefault="00F0388D" w:rsidP="00E12B74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  <w:r>
        <w:rPr>
          <w:b w:val="0"/>
          <w:kern w:val="0"/>
          <w:sz w:val="28"/>
          <w:szCs w:val="28"/>
        </w:rPr>
        <w:t>Таким образом, при внедрении предложенных факторов в методику оце</w:t>
      </w:r>
      <w:r>
        <w:rPr>
          <w:b w:val="0"/>
          <w:kern w:val="0"/>
          <w:sz w:val="28"/>
          <w:szCs w:val="28"/>
        </w:rPr>
        <w:t>н</w:t>
      </w:r>
      <w:r>
        <w:rPr>
          <w:b w:val="0"/>
          <w:kern w:val="0"/>
          <w:sz w:val="28"/>
          <w:szCs w:val="28"/>
        </w:rPr>
        <w:t>ки кредитоспособности заемщиков Банк Приморье снизит кредитные риски. Факторы соотносятся с наиболее крупными клиентами банка, однако в дал</w:t>
      </w:r>
      <w:r>
        <w:rPr>
          <w:b w:val="0"/>
          <w:kern w:val="0"/>
          <w:sz w:val="28"/>
          <w:szCs w:val="28"/>
        </w:rPr>
        <w:t>ь</w:t>
      </w:r>
      <w:r>
        <w:rPr>
          <w:b w:val="0"/>
          <w:kern w:val="0"/>
          <w:sz w:val="28"/>
          <w:szCs w:val="28"/>
        </w:rPr>
        <w:t>нейшем возможна разработка дополнительных параметров для других отра</w:t>
      </w:r>
      <w:r>
        <w:rPr>
          <w:b w:val="0"/>
          <w:kern w:val="0"/>
          <w:sz w:val="28"/>
          <w:szCs w:val="28"/>
        </w:rPr>
        <w:t>с</w:t>
      </w:r>
      <w:r>
        <w:rPr>
          <w:b w:val="0"/>
          <w:kern w:val="0"/>
          <w:sz w:val="28"/>
          <w:szCs w:val="28"/>
        </w:rPr>
        <w:t>лей, корректирующих анализ финансового положения. Каждая компания даже в рамках собственной отрасли уникальна. Так как индивидуальное рассмотрение каждого потенциального заемщика и описание всех особенностей – это труд</w:t>
      </w:r>
      <w:r>
        <w:rPr>
          <w:b w:val="0"/>
          <w:kern w:val="0"/>
          <w:sz w:val="28"/>
          <w:szCs w:val="28"/>
        </w:rPr>
        <w:t>о</w:t>
      </w:r>
      <w:r>
        <w:rPr>
          <w:b w:val="0"/>
          <w:kern w:val="0"/>
          <w:sz w:val="28"/>
          <w:szCs w:val="28"/>
        </w:rPr>
        <w:t>емкий процесс, предлагается расширить спектр показателей оценки. Нововв</w:t>
      </w:r>
      <w:r>
        <w:rPr>
          <w:b w:val="0"/>
          <w:kern w:val="0"/>
          <w:sz w:val="28"/>
          <w:szCs w:val="28"/>
        </w:rPr>
        <w:t>е</w:t>
      </w:r>
      <w:r>
        <w:rPr>
          <w:b w:val="0"/>
          <w:kern w:val="0"/>
          <w:sz w:val="28"/>
          <w:szCs w:val="28"/>
        </w:rPr>
        <w:t>дения в методику позволят на начальных этапах выявлять проблемных заемщ</w:t>
      </w:r>
      <w:r>
        <w:rPr>
          <w:b w:val="0"/>
          <w:kern w:val="0"/>
          <w:sz w:val="28"/>
          <w:szCs w:val="28"/>
        </w:rPr>
        <w:t>и</w:t>
      </w:r>
      <w:r>
        <w:rPr>
          <w:b w:val="0"/>
          <w:kern w:val="0"/>
          <w:sz w:val="28"/>
          <w:szCs w:val="28"/>
        </w:rPr>
        <w:t>ков, снизить трудоемкость процесса оценки кредитоспособности, сократить б</w:t>
      </w:r>
      <w:r>
        <w:rPr>
          <w:b w:val="0"/>
          <w:kern w:val="0"/>
          <w:sz w:val="28"/>
          <w:szCs w:val="28"/>
        </w:rPr>
        <w:t>у</w:t>
      </w:r>
      <w:r>
        <w:rPr>
          <w:b w:val="0"/>
          <w:kern w:val="0"/>
          <w:sz w:val="28"/>
          <w:szCs w:val="28"/>
        </w:rPr>
        <w:t>дущие отчисления в обязательный резерв. Также снизится объем просроченной задолженности и улучшится качество кредитного портфеля.</w:t>
      </w:r>
    </w:p>
    <w:p w:rsidR="00F0388D" w:rsidRDefault="00F0388D" w:rsidP="00F0388D">
      <w:pPr>
        <w:pStyle w:val="1"/>
        <w:spacing w:before="0" w:beforeAutospacing="0" w:after="0" w:afterAutospacing="0"/>
        <w:ind w:firstLine="709"/>
        <w:jc w:val="both"/>
        <w:rPr>
          <w:b w:val="0"/>
          <w:kern w:val="0"/>
          <w:sz w:val="28"/>
          <w:szCs w:val="28"/>
        </w:rPr>
      </w:pPr>
    </w:p>
    <w:p w:rsidR="00B01FA5" w:rsidRDefault="00E45650" w:rsidP="00B01F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E45650">
        <w:rPr>
          <w:rFonts w:ascii="Times New Roman" w:hAnsi="Times New Roman" w:cs="Times New Roman"/>
          <w:b/>
          <w:sz w:val="28"/>
        </w:rPr>
        <w:t>Библиографический список:</w:t>
      </w:r>
    </w:p>
    <w:p w:rsidR="00E45650" w:rsidRDefault="00E45650" w:rsidP="00B01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Годовой отчет Банка России</w:t>
      </w:r>
      <w:r w:rsidR="001C2F9D">
        <w:rPr>
          <w:rFonts w:ascii="Times New Roman" w:hAnsi="Times New Roman" w:cs="Times New Roman"/>
          <w:sz w:val="28"/>
        </w:rPr>
        <w:t xml:space="preserve">. </w:t>
      </w:r>
      <w:r w:rsidR="001C2F9D" w:rsidRPr="0033573A">
        <w:rPr>
          <w:sz w:val="28"/>
        </w:rPr>
        <w:t>–</w:t>
      </w:r>
      <w:r w:rsidR="001C2F9D">
        <w:rPr>
          <w:sz w:val="28"/>
        </w:rPr>
        <w:t xml:space="preserve"> </w:t>
      </w:r>
      <w:r w:rsidR="001C2F9D" w:rsidRPr="001C2F9D">
        <w:rPr>
          <w:rFonts w:ascii="Times New Roman" w:hAnsi="Times New Roman" w:cs="Times New Roman"/>
          <w:sz w:val="28"/>
        </w:rPr>
        <w:t>Текст: электронный //  Официальный сайт Банка России: [сайт]. – 2020.</w:t>
      </w:r>
      <w:r w:rsidR="001C2F9D">
        <w:rPr>
          <w:sz w:val="28"/>
        </w:rPr>
        <w:t xml:space="preserve"> </w:t>
      </w:r>
      <w:r w:rsidR="001C2F9D" w:rsidRPr="001C2F9D">
        <w:rPr>
          <w:rFonts w:ascii="Times New Roman" w:hAnsi="Times New Roman" w:cs="Times New Roman"/>
          <w:sz w:val="28"/>
        </w:rPr>
        <w:t>– URL:</w:t>
      </w:r>
      <w:r w:rsidR="001C2F9D">
        <w:rPr>
          <w:sz w:val="28"/>
        </w:rPr>
        <w:t xml:space="preserve"> </w:t>
      </w:r>
      <w:r w:rsidRPr="00E45650">
        <w:rPr>
          <w:rFonts w:ascii="Times New Roman" w:hAnsi="Times New Roman" w:cs="Times New Roman"/>
          <w:sz w:val="28"/>
        </w:rPr>
        <w:t>https://cbr.ru/Collection/Collection/File/32268/ar_2020.pdf</w:t>
      </w:r>
      <w:r w:rsidR="001C2F9D">
        <w:rPr>
          <w:rFonts w:ascii="Times New Roman" w:hAnsi="Times New Roman" w:cs="Times New Roman"/>
          <w:sz w:val="28"/>
        </w:rPr>
        <w:t>.</w:t>
      </w:r>
    </w:p>
    <w:p w:rsidR="00E45650" w:rsidRDefault="00E45650" w:rsidP="00B01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</w:t>
      </w:r>
      <w:r w:rsidR="00367795">
        <w:rPr>
          <w:rFonts w:ascii="Times New Roman" w:hAnsi="Times New Roman" w:cs="Times New Roman"/>
          <w:sz w:val="28"/>
        </w:rPr>
        <w:t xml:space="preserve"> </w:t>
      </w:r>
      <w:r w:rsidR="00367795" w:rsidRPr="00367795">
        <w:rPr>
          <w:rFonts w:ascii="Times New Roman" w:hAnsi="Times New Roman" w:cs="Times New Roman"/>
          <w:sz w:val="28"/>
        </w:rPr>
        <w:t xml:space="preserve">Статистический бюллетень Банка России. – Текст: электронный //  Официальный сайт Банка России: [сайт]. – 2020. – URL: </w:t>
      </w:r>
      <w:hyperlink r:id="rId4" w:anchor="a_118431" w:history="1">
        <w:r w:rsidR="00367795" w:rsidRPr="00367795">
          <w:rPr>
            <w:rFonts w:ascii="Times New Roman" w:hAnsi="Times New Roman" w:cs="Times New Roman"/>
            <w:sz w:val="28"/>
          </w:rPr>
          <w:t>https://www.cbr.ru/statistics/bbs/statisticheskiy-byulleten-banka-rossii/#a_118431</w:t>
        </w:r>
      </w:hyperlink>
      <w:r w:rsidR="00367795">
        <w:rPr>
          <w:rFonts w:ascii="Times New Roman" w:hAnsi="Times New Roman" w:cs="Times New Roman"/>
          <w:sz w:val="28"/>
        </w:rPr>
        <w:t>.</w:t>
      </w:r>
    </w:p>
    <w:p w:rsidR="00E45650" w:rsidRDefault="00E45650" w:rsidP="00B01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</w:t>
      </w:r>
      <w:r w:rsidR="00367795">
        <w:rPr>
          <w:rFonts w:ascii="Times New Roman" w:hAnsi="Times New Roman" w:cs="Times New Roman"/>
          <w:sz w:val="28"/>
        </w:rPr>
        <w:t xml:space="preserve"> О ПАО АКБ «Приморье». </w:t>
      </w:r>
      <w:r w:rsidR="00367795" w:rsidRPr="0033573A">
        <w:rPr>
          <w:rFonts w:ascii="Times New Roman" w:hAnsi="Times New Roman" w:cs="Times New Roman"/>
          <w:sz w:val="28"/>
        </w:rPr>
        <w:t>–</w:t>
      </w:r>
      <w:r w:rsidR="00367795">
        <w:rPr>
          <w:rFonts w:ascii="Times New Roman" w:hAnsi="Times New Roman" w:cs="Times New Roman"/>
          <w:sz w:val="28"/>
        </w:rPr>
        <w:t xml:space="preserve"> Текст: электронный //  Официальный сайт Банка  Приморье: </w:t>
      </w:r>
      <w:r w:rsidR="00367795">
        <w:rPr>
          <w:rFonts w:ascii="Times New Roman" w:hAnsi="Times New Roman" w:cs="Times New Roman"/>
          <w:sz w:val="28"/>
          <w:lang w:val="en-US"/>
        </w:rPr>
        <w:t>[</w:t>
      </w:r>
      <w:r w:rsidR="00367795">
        <w:rPr>
          <w:rFonts w:ascii="Times New Roman" w:hAnsi="Times New Roman" w:cs="Times New Roman"/>
          <w:sz w:val="28"/>
        </w:rPr>
        <w:t>сайт</w:t>
      </w:r>
      <w:r w:rsidR="00367795">
        <w:rPr>
          <w:rFonts w:ascii="Times New Roman" w:hAnsi="Times New Roman" w:cs="Times New Roman"/>
          <w:sz w:val="28"/>
          <w:lang w:val="en-US"/>
        </w:rPr>
        <w:t>]</w:t>
      </w:r>
      <w:r w:rsidR="00367795">
        <w:rPr>
          <w:rFonts w:ascii="Times New Roman" w:hAnsi="Times New Roman" w:cs="Times New Roman"/>
          <w:sz w:val="28"/>
        </w:rPr>
        <w:t xml:space="preserve">. </w:t>
      </w:r>
      <w:r w:rsidR="00367795" w:rsidRPr="0033573A">
        <w:rPr>
          <w:rFonts w:ascii="Times New Roman" w:hAnsi="Times New Roman" w:cs="Times New Roman"/>
          <w:sz w:val="28"/>
        </w:rPr>
        <w:t>–</w:t>
      </w:r>
      <w:r w:rsidR="00367795">
        <w:rPr>
          <w:rFonts w:ascii="Times New Roman" w:hAnsi="Times New Roman" w:cs="Times New Roman"/>
          <w:sz w:val="28"/>
        </w:rPr>
        <w:t xml:space="preserve"> </w:t>
      </w:r>
      <w:r w:rsidR="00367795">
        <w:rPr>
          <w:rFonts w:ascii="Times New Roman" w:hAnsi="Times New Roman" w:cs="Times New Roman"/>
          <w:sz w:val="28"/>
          <w:lang w:val="en-US"/>
        </w:rPr>
        <w:t>URL</w:t>
      </w:r>
      <w:r w:rsidR="00367795">
        <w:rPr>
          <w:rFonts w:ascii="Times New Roman" w:hAnsi="Times New Roman" w:cs="Times New Roman"/>
          <w:sz w:val="28"/>
        </w:rPr>
        <w:t xml:space="preserve">: </w:t>
      </w:r>
      <w:r w:rsidR="00367795" w:rsidRPr="000205AA">
        <w:rPr>
          <w:rFonts w:ascii="Times New Roman" w:hAnsi="Times New Roman" w:cs="Times New Roman"/>
          <w:sz w:val="28"/>
        </w:rPr>
        <w:t>http://old.primbank.ru/about/</w:t>
      </w:r>
      <w:r w:rsidR="00367795">
        <w:rPr>
          <w:rFonts w:ascii="Times New Roman" w:hAnsi="Times New Roman" w:cs="Times New Roman"/>
          <w:sz w:val="28"/>
        </w:rPr>
        <w:t>.</w:t>
      </w:r>
    </w:p>
    <w:p w:rsidR="00E45650" w:rsidRDefault="00E45650" w:rsidP="00B01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="00367795">
        <w:rPr>
          <w:rFonts w:ascii="Times New Roman" w:hAnsi="Times New Roman" w:cs="Times New Roman"/>
          <w:sz w:val="28"/>
        </w:rPr>
        <w:t xml:space="preserve"> ПАО АКБ «Приморье». </w:t>
      </w:r>
      <w:r w:rsidR="00367795" w:rsidRPr="0033573A">
        <w:rPr>
          <w:rFonts w:ascii="Times New Roman" w:hAnsi="Times New Roman" w:cs="Times New Roman"/>
          <w:sz w:val="28"/>
        </w:rPr>
        <w:t>–</w:t>
      </w:r>
      <w:r w:rsidR="00367795">
        <w:rPr>
          <w:rFonts w:ascii="Times New Roman" w:hAnsi="Times New Roman" w:cs="Times New Roman"/>
          <w:sz w:val="28"/>
        </w:rPr>
        <w:t xml:space="preserve"> Текст: электронный // </w:t>
      </w:r>
      <w:r w:rsidR="00367795" w:rsidRPr="00D211A8">
        <w:rPr>
          <w:rFonts w:ascii="Times New Roman" w:hAnsi="Times New Roman" w:cs="Times New Roman"/>
          <w:sz w:val="28"/>
        </w:rPr>
        <w:t>Кредитное рейтинг</w:t>
      </w:r>
      <w:r w:rsidR="00367795" w:rsidRPr="00D211A8">
        <w:rPr>
          <w:rFonts w:ascii="Times New Roman" w:hAnsi="Times New Roman" w:cs="Times New Roman"/>
          <w:sz w:val="28"/>
        </w:rPr>
        <w:t>о</w:t>
      </w:r>
      <w:r w:rsidR="00367795" w:rsidRPr="00D211A8">
        <w:rPr>
          <w:rFonts w:ascii="Times New Roman" w:hAnsi="Times New Roman" w:cs="Times New Roman"/>
          <w:sz w:val="28"/>
        </w:rPr>
        <w:t>вое агентство «Эксперт РА»</w:t>
      </w:r>
      <w:r w:rsidR="00367795">
        <w:rPr>
          <w:rFonts w:ascii="Times New Roman" w:hAnsi="Times New Roman" w:cs="Times New Roman"/>
          <w:sz w:val="28"/>
        </w:rPr>
        <w:t xml:space="preserve">: </w:t>
      </w:r>
      <w:r w:rsidR="00367795">
        <w:rPr>
          <w:rFonts w:ascii="Times New Roman" w:hAnsi="Times New Roman" w:cs="Times New Roman"/>
          <w:sz w:val="28"/>
          <w:lang w:val="en-US"/>
        </w:rPr>
        <w:t>[</w:t>
      </w:r>
      <w:r w:rsidR="00367795">
        <w:rPr>
          <w:rFonts w:ascii="Times New Roman" w:hAnsi="Times New Roman" w:cs="Times New Roman"/>
          <w:sz w:val="28"/>
        </w:rPr>
        <w:t>сайт</w:t>
      </w:r>
      <w:r w:rsidR="00367795">
        <w:rPr>
          <w:rFonts w:ascii="Times New Roman" w:hAnsi="Times New Roman" w:cs="Times New Roman"/>
          <w:sz w:val="28"/>
          <w:lang w:val="en-US"/>
        </w:rPr>
        <w:t>]</w:t>
      </w:r>
      <w:r w:rsidR="00367795">
        <w:rPr>
          <w:rFonts w:ascii="Times New Roman" w:hAnsi="Times New Roman" w:cs="Times New Roman"/>
          <w:sz w:val="28"/>
        </w:rPr>
        <w:t xml:space="preserve">. </w:t>
      </w:r>
      <w:r w:rsidR="00367795" w:rsidRPr="0033573A">
        <w:rPr>
          <w:rFonts w:ascii="Times New Roman" w:hAnsi="Times New Roman" w:cs="Times New Roman"/>
          <w:sz w:val="28"/>
        </w:rPr>
        <w:t>–</w:t>
      </w:r>
      <w:r w:rsidR="00367795">
        <w:rPr>
          <w:rFonts w:ascii="Times New Roman" w:hAnsi="Times New Roman" w:cs="Times New Roman"/>
          <w:sz w:val="28"/>
        </w:rPr>
        <w:t xml:space="preserve"> 2020. </w:t>
      </w:r>
      <w:r w:rsidR="00367795" w:rsidRPr="0033573A">
        <w:rPr>
          <w:rFonts w:ascii="Times New Roman" w:hAnsi="Times New Roman" w:cs="Times New Roman"/>
          <w:sz w:val="28"/>
        </w:rPr>
        <w:t>–</w:t>
      </w:r>
      <w:r w:rsidR="00367795">
        <w:rPr>
          <w:rFonts w:ascii="Times New Roman" w:hAnsi="Times New Roman" w:cs="Times New Roman"/>
          <w:sz w:val="28"/>
        </w:rPr>
        <w:t xml:space="preserve"> </w:t>
      </w:r>
      <w:r w:rsidR="00367795">
        <w:rPr>
          <w:rFonts w:ascii="Times New Roman" w:hAnsi="Times New Roman" w:cs="Times New Roman"/>
          <w:sz w:val="28"/>
          <w:lang w:val="en-US"/>
        </w:rPr>
        <w:t>URL</w:t>
      </w:r>
      <w:r w:rsidR="00367795">
        <w:rPr>
          <w:rFonts w:ascii="Times New Roman" w:hAnsi="Times New Roman" w:cs="Times New Roman"/>
          <w:sz w:val="28"/>
        </w:rPr>
        <w:t xml:space="preserve">: </w:t>
      </w:r>
      <w:r w:rsidR="00367795" w:rsidRPr="00B60C57">
        <w:rPr>
          <w:rFonts w:ascii="Times New Roman" w:hAnsi="Times New Roman" w:cs="Times New Roman"/>
          <w:sz w:val="28"/>
        </w:rPr>
        <w:t>https://www.raexpert.ru/database/companies/akb_primore/</w:t>
      </w:r>
      <w:r w:rsidR="00367795">
        <w:rPr>
          <w:rFonts w:ascii="Times New Roman" w:hAnsi="Times New Roman" w:cs="Times New Roman"/>
          <w:sz w:val="28"/>
        </w:rPr>
        <w:t>.</w:t>
      </w:r>
    </w:p>
    <w:p w:rsidR="00E45650" w:rsidRDefault="00E45650" w:rsidP="00B01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</w:t>
      </w:r>
      <w:r w:rsidR="00367795">
        <w:rPr>
          <w:rFonts w:ascii="Times New Roman" w:hAnsi="Times New Roman" w:cs="Times New Roman"/>
          <w:sz w:val="28"/>
        </w:rPr>
        <w:t xml:space="preserve"> Финансовая отчетность Банка Приморья за 2020 год. </w:t>
      </w:r>
      <w:r w:rsidR="00367795" w:rsidRPr="0033573A">
        <w:rPr>
          <w:rFonts w:ascii="Times New Roman" w:hAnsi="Times New Roman" w:cs="Times New Roman"/>
          <w:sz w:val="28"/>
        </w:rPr>
        <w:t>–</w:t>
      </w:r>
      <w:r w:rsidR="00367795">
        <w:rPr>
          <w:rFonts w:ascii="Times New Roman" w:hAnsi="Times New Roman" w:cs="Times New Roman"/>
          <w:sz w:val="28"/>
        </w:rPr>
        <w:t xml:space="preserve"> Текст: эле</w:t>
      </w:r>
      <w:r w:rsidR="00367795">
        <w:rPr>
          <w:rFonts w:ascii="Times New Roman" w:hAnsi="Times New Roman" w:cs="Times New Roman"/>
          <w:sz w:val="28"/>
        </w:rPr>
        <w:t>к</w:t>
      </w:r>
      <w:r w:rsidR="00367795">
        <w:rPr>
          <w:rFonts w:ascii="Times New Roman" w:hAnsi="Times New Roman" w:cs="Times New Roman"/>
          <w:sz w:val="28"/>
        </w:rPr>
        <w:t xml:space="preserve">тронный //  Официальный сайт Банка  Приморье: </w:t>
      </w:r>
      <w:r w:rsidR="00367795">
        <w:rPr>
          <w:rFonts w:ascii="Times New Roman" w:hAnsi="Times New Roman" w:cs="Times New Roman"/>
          <w:sz w:val="28"/>
          <w:lang w:val="en-US"/>
        </w:rPr>
        <w:t>[</w:t>
      </w:r>
      <w:r w:rsidR="00367795">
        <w:rPr>
          <w:rFonts w:ascii="Times New Roman" w:hAnsi="Times New Roman" w:cs="Times New Roman"/>
          <w:sz w:val="28"/>
        </w:rPr>
        <w:t>сайт</w:t>
      </w:r>
      <w:r w:rsidR="00367795">
        <w:rPr>
          <w:rFonts w:ascii="Times New Roman" w:hAnsi="Times New Roman" w:cs="Times New Roman"/>
          <w:sz w:val="28"/>
          <w:lang w:val="en-US"/>
        </w:rPr>
        <w:t>]</w:t>
      </w:r>
      <w:r w:rsidR="00367795">
        <w:rPr>
          <w:rFonts w:ascii="Times New Roman" w:hAnsi="Times New Roman" w:cs="Times New Roman"/>
          <w:sz w:val="28"/>
        </w:rPr>
        <w:t xml:space="preserve">. </w:t>
      </w:r>
      <w:r w:rsidR="00367795" w:rsidRPr="0033573A">
        <w:rPr>
          <w:rFonts w:ascii="Times New Roman" w:hAnsi="Times New Roman" w:cs="Times New Roman"/>
          <w:sz w:val="28"/>
        </w:rPr>
        <w:t>–</w:t>
      </w:r>
      <w:r w:rsidR="00367795">
        <w:rPr>
          <w:rFonts w:ascii="Times New Roman" w:hAnsi="Times New Roman" w:cs="Times New Roman"/>
          <w:sz w:val="28"/>
        </w:rPr>
        <w:t xml:space="preserve"> </w:t>
      </w:r>
      <w:r w:rsidR="00367795">
        <w:rPr>
          <w:rFonts w:ascii="Times New Roman" w:hAnsi="Times New Roman" w:cs="Times New Roman"/>
          <w:sz w:val="28"/>
          <w:lang w:val="en-US"/>
        </w:rPr>
        <w:t>URL</w:t>
      </w:r>
      <w:r w:rsidR="00367795">
        <w:rPr>
          <w:rFonts w:ascii="Times New Roman" w:hAnsi="Times New Roman" w:cs="Times New Roman"/>
          <w:sz w:val="28"/>
        </w:rPr>
        <w:t xml:space="preserve">:  </w:t>
      </w:r>
      <w:r w:rsidR="00367795" w:rsidRPr="00747144">
        <w:rPr>
          <w:rFonts w:ascii="Times New Roman" w:hAnsi="Times New Roman" w:cs="Times New Roman"/>
          <w:sz w:val="28"/>
        </w:rPr>
        <w:t>http://old.primbank.ru/about/information-disclosure/fin-reports/</w:t>
      </w:r>
      <w:r w:rsidR="00367795">
        <w:rPr>
          <w:rFonts w:ascii="Times New Roman" w:hAnsi="Times New Roman" w:cs="Times New Roman"/>
          <w:sz w:val="28"/>
        </w:rPr>
        <w:t>.</w:t>
      </w:r>
    </w:p>
    <w:p w:rsidR="00E45650" w:rsidRPr="00E45650" w:rsidRDefault="00E45650" w:rsidP="00B01F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E45650" w:rsidRPr="00E45650" w:rsidSect="0095668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965025"/>
    <w:rsid w:val="00083507"/>
    <w:rsid w:val="0009051A"/>
    <w:rsid w:val="000F5923"/>
    <w:rsid w:val="0010065B"/>
    <w:rsid w:val="001C2F9D"/>
    <w:rsid w:val="002B207C"/>
    <w:rsid w:val="00321564"/>
    <w:rsid w:val="00367795"/>
    <w:rsid w:val="005271BC"/>
    <w:rsid w:val="00552E4F"/>
    <w:rsid w:val="005E4B79"/>
    <w:rsid w:val="00681AD7"/>
    <w:rsid w:val="0078368F"/>
    <w:rsid w:val="007954AD"/>
    <w:rsid w:val="007D0A94"/>
    <w:rsid w:val="0093047D"/>
    <w:rsid w:val="0095668E"/>
    <w:rsid w:val="00965025"/>
    <w:rsid w:val="009D3FE4"/>
    <w:rsid w:val="00A63BCF"/>
    <w:rsid w:val="00AF2886"/>
    <w:rsid w:val="00B01FA5"/>
    <w:rsid w:val="00B649BE"/>
    <w:rsid w:val="00BE5184"/>
    <w:rsid w:val="00D62E5E"/>
    <w:rsid w:val="00E12B74"/>
    <w:rsid w:val="00E45650"/>
    <w:rsid w:val="00E97C79"/>
    <w:rsid w:val="00F0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B79"/>
  </w:style>
  <w:style w:type="paragraph" w:styleId="1">
    <w:name w:val="heading 1"/>
    <w:basedOn w:val="a"/>
    <w:link w:val="10"/>
    <w:qFormat/>
    <w:rsid w:val="00E97C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1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7C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4">
    <w:name w:val="Table Grid"/>
    <w:basedOn w:val="a1"/>
    <w:uiPriority w:val="39"/>
    <w:rsid w:val="00E97C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1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br.ru/statistics/bbs/statisticheskiy-byulleten-banka-ross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2196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 PC</dc:creator>
  <cp:lastModifiedBy>Acer PC</cp:lastModifiedBy>
  <cp:revision>5</cp:revision>
  <dcterms:created xsi:type="dcterms:W3CDTF">2021-05-28T09:22:00Z</dcterms:created>
  <dcterms:modified xsi:type="dcterms:W3CDTF">2021-05-30T07:47:00Z</dcterms:modified>
</cp:coreProperties>
</file>