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6A5CB2" w14:textId="1F34CF49" w:rsidR="00234CF7" w:rsidRPr="00234CF7" w:rsidRDefault="00234CF7" w:rsidP="00234CF7">
      <w:pPr>
        <w:spacing w:after="0" w:line="240" w:lineRule="auto"/>
        <w:contextualSpacing/>
        <w:rPr>
          <w:rFonts w:ascii="Times New Roman" w:eastAsia="Times New Roman" w:hAnsi="Times New Roman" w:cs="Times New Roman"/>
          <w:b/>
          <w:i/>
          <w:u w:val="single"/>
          <w:lang w:eastAsia="ru-RU"/>
        </w:rPr>
      </w:pPr>
      <w:r w:rsidRPr="00234CF7">
        <w:rPr>
          <w:rFonts w:ascii="Times New Roman" w:eastAsia="Times New Roman" w:hAnsi="Times New Roman" w:cs="Times New Roman"/>
          <w:b/>
          <w:i/>
          <w:u w:val="single"/>
          <w:lang w:eastAsia="ru-RU"/>
        </w:rPr>
        <w:t>НАУЧНАЯ СТАТЬЯ</w:t>
      </w:r>
    </w:p>
    <w:p w14:paraId="4800ED66" w14:textId="77777777" w:rsidR="00234CF7" w:rsidRPr="00234CF7" w:rsidRDefault="00234CF7" w:rsidP="00DE0C67">
      <w:pPr>
        <w:contextualSpacing/>
        <w:rPr>
          <w:rFonts w:eastAsia="Times New Roman"/>
          <w:b/>
          <w:i/>
          <w:u w:val="single"/>
        </w:rPr>
      </w:pPr>
    </w:p>
    <w:p w14:paraId="05F806EF" w14:textId="07F56683" w:rsidR="00DE0C67" w:rsidRDefault="00DE0C67" w:rsidP="00DE0C67">
      <w:pPr>
        <w:rPr>
          <w:rFonts w:ascii="Times New Roman" w:hAnsi="Times New Roman" w:cs="Times New Roman"/>
          <w:b/>
          <w:bCs/>
        </w:rPr>
      </w:pPr>
      <w:r w:rsidRPr="00DE0C67">
        <w:rPr>
          <w:rFonts w:ascii="Times New Roman" w:hAnsi="Times New Roman" w:cs="Times New Roman"/>
          <w:b/>
          <w:bCs/>
        </w:rPr>
        <w:t>УДК: 332.1:339.17</w:t>
      </w:r>
    </w:p>
    <w:p w14:paraId="0D0C69D8" w14:textId="77777777" w:rsidR="001C3A7B" w:rsidRPr="00234CF7" w:rsidRDefault="001C3A7B" w:rsidP="001C3A7B">
      <w:pPr>
        <w:spacing w:after="0" w:line="240" w:lineRule="auto"/>
        <w:jc w:val="right"/>
        <w:rPr>
          <w:rFonts w:ascii="Times New Roman" w:eastAsia="Calibri" w:hAnsi="Times New Roman" w:cs="Times New Roman"/>
          <w:sz w:val="24"/>
          <w:szCs w:val="24"/>
          <w:lang w:eastAsia="ru-RU"/>
        </w:rPr>
      </w:pPr>
      <w:r w:rsidRPr="00234CF7">
        <w:rPr>
          <w:rFonts w:ascii="Times New Roman" w:eastAsia="Calibri" w:hAnsi="Times New Roman" w:cs="Times New Roman"/>
          <w:sz w:val="24"/>
          <w:szCs w:val="24"/>
          <w:lang w:eastAsia="ru-RU"/>
        </w:rPr>
        <w:t>Дата: поступления статьи: ХХ.ХХ.ХХХХ</w:t>
      </w:r>
    </w:p>
    <w:p w14:paraId="30453C45" w14:textId="77777777" w:rsidR="001C3A7B" w:rsidRPr="00234CF7" w:rsidRDefault="001C3A7B" w:rsidP="001C3A7B">
      <w:pPr>
        <w:spacing w:after="0" w:line="240" w:lineRule="auto"/>
        <w:jc w:val="right"/>
        <w:rPr>
          <w:rFonts w:ascii="Times New Roman" w:eastAsia="Calibri" w:hAnsi="Times New Roman" w:cs="Times New Roman"/>
          <w:sz w:val="24"/>
          <w:szCs w:val="24"/>
          <w:lang w:eastAsia="ru-RU"/>
        </w:rPr>
      </w:pPr>
      <w:r w:rsidRPr="00234CF7">
        <w:rPr>
          <w:rFonts w:ascii="Times New Roman" w:eastAsia="Calibri" w:hAnsi="Times New Roman" w:cs="Times New Roman"/>
          <w:sz w:val="24"/>
          <w:szCs w:val="24"/>
          <w:lang w:eastAsia="ru-RU"/>
        </w:rPr>
        <w:t>после рецензирования: ХХ.ХХ.ХХХХ</w:t>
      </w:r>
    </w:p>
    <w:p w14:paraId="07D31D9B" w14:textId="71B224DC" w:rsidR="001C3A7B" w:rsidRPr="00234CF7" w:rsidRDefault="001C3A7B" w:rsidP="001C3A7B">
      <w:pPr>
        <w:spacing w:after="0" w:line="240" w:lineRule="auto"/>
        <w:jc w:val="right"/>
        <w:rPr>
          <w:rFonts w:ascii="Times New Roman" w:eastAsia="Calibri" w:hAnsi="Times New Roman" w:cs="Times New Roman"/>
          <w:sz w:val="24"/>
          <w:szCs w:val="24"/>
          <w:lang w:eastAsia="ru-RU"/>
        </w:rPr>
      </w:pPr>
      <w:r w:rsidRPr="00234CF7">
        <w:rPr>
          <w:rFonts w:ascii="Times New Roman" w:eastAsia="Calibri" w:hAnsi="Times New Roman" w:cs="Times New Roman"/>
          <w:sz w:val="24"/>
          <w:szCs w:val="24"/>
          <w:lang w:eastAsia="ru-RU"/>
        </w:rPr>
        <w:t>принятия статьи: ХХ.ХХ.ХХХХ</w:t>
      </w:r>
    </w:p>
    <w:p w14:paraId="144B128A" w14:textId="77777777" w:rsidR="0042575D" w:rsidRDefault="0042575D" w:rsidP="00DE0C67">
      <w:pPr>
        <w:jc w:val="center"/>
        <w:rPr>
          <w:rFonts w:ascii="Times New Roman" w:hAnsi="Times New Roman" w:cs="Times New Roman"/>
          <w:b/>
          <w:bCs/>
        </w:rPr>
      </w:pPr>
    </w:p>
    <w:p w14:paraId="6EACC5A0" w14:textId="3E8BCD2D" w:rsidR="00DE0C67" w:rsidRPr="00234CF7" w:rsidRDefault="00DE0C67" w:rsidP="00234CF7">
      <w:pPr>
        <w:spacing w:after="0" w:line="240" w:lineRule="auto"/>
        <w:ind w:right="-1"/>
        <w:jc w:val="center"/>
        <w:rPr>
          <w:rFonts w:ascii="Times New Roman" w:eastAsia="Calibri" w:hAnsi="Times New Roman" w:cs="Times New Roman"/>
          <w:b/>
          <w:sz w:val="21"/>
          <w:szCs w:val="21"/>
          <w:lang w:eastAsia="ru-RU"/>
        </w:rPr>
      </w:pPr>
      <w:r w:rsidRPr="00234CF7">
        <w:rPr>
          <w:rFonts w:ascii="Times New Roman" w:eastAsia="Calibri" w:hAnsi="Times New Roman" w:cs="Times New Roman"/>
          <w:b/>
          <w:sz w:val="21"/>
          <w:szCs w:val="21"/>
          <w:lang w:eastAsia="ru-RU"/>
        </w:rPr>
        <w:t>Специфика региональных рынков как детерминанта адаптационного потенциала предприятий торговли</w:t>
      </w:r>
    </w:p>
    <w:p w14:paraId="32785198" w14:textId="77777777" w:rsidR="001C3A7B" w:rsidRPr="00234CF7" w:rsidRDefault="001C3A7B" w:rsidP="001C3A7B">
      <w:pPr>
        <w:spacing w:after="0" w:line="240" w:lineRule="auto"/>
        <w:jc w:val="right"/>
        <w:rPr>
          <w:rFonts w:ascii="Times New Roman" w:eastAsia="Times New Roman" w:hAnsi="Times New Roman" w:cs="Times New Roman"/>
          <w:color w:val="000000"/>
          <w:sz w:val="21"/>
          <w:szCs w:val="21"/>
          <w:lang w:eastAsia="ru-RU"/>
        </w:rPr>
      </w:pPr>
      <w:r w:rsidRPr="00234CF7">
        <w:rPr>
          <w:rFonts w:ascii="Times New Roman" w:eastAsia="Times New Roman" w:hAnsi="Times New Roman" w:cs="Times New Roman"/>
          <w:color w:val="000000"/>
          <w:sz w:val="21"/>
          <w:szCs w:val="21"/>
          <w:lang w:eastAsia="ru-RU"/>
        </w:rPr>
        <w:t>Бубновская Татьяна Викторовна</w:t>
      </w:r>
    </w:p>
    <w:p w14:paraId="4CDF10FB" w14:textId="77777777" w:rsidR="001C3A7B" w:rsidRPr="00234CF7" w:rsidRDefault="001C3A7B" w:rsidP="001C3A7B">
      <w:pPr>
        <w:spacing w:after="0" w:line="240" w:lineRule="auto"/>
        <w:jc w:val="right"/>
        <w:rPr>
          <w:rFonts w:ascii="Times New Roman" w:eastAsia="Times New Roman" w:hAnsi="Times New Roman" w:cs="Times New Roman"/>
          <w:color w:val="000000"/>
          <w:sz w:val="21"/>
          <w:szCs w:val="21"/>
          <w:lang w:eastAsia="ru-RU"/>
        </w:rPr>
      </w:pPr>
      <w:r w:rsidRPr="00234CF7">
        <w:rPr>
          <w:rFonts w:ascii="Times New Roman" w:eastAsia="Times New Roman" w:hAnsi="Times New Roman" w:cs="Times New Roman"/>
          <w:color w:val="000000"/>
          <w:sz w:val="21"/>
          <w:szCs w:val="21"/>
          <w:lang w:eastAsia="ru-RU"/>
        </w:rPr>
        <w:t>Владивостокский государственный университет,</w:t>
      </w:r>
    </w:p>
    <w:p w14:paraId="249B4214" w14:textId="77777777" w:rsidR="001C3A7B" w:rsidRPr="00234CF7" w:rsidRDefault="001C3A7B" w:rsidP="001C3A7B">
      <w:pPr>
        <w:spacing w:after="0" w:line="240" w:lineRule="auto"/>
        <w:jc w:val="right"/>
        <w:rPr>
          <w:rFonts w:ascii="Times New Roman" w:eastAsia="Times New Roman" w:hAnsi="Times New Roman" w:cs="Times New Roman"/>
          <w:color w:val="000000"/>
          <w:sz w:val="21"/>
          <w:szCs w:val="21"/>
          <w:lang w:eastAsia="ru-RU"/>
        </w:rPr>
      </w:pPr>
      <w:r w:rsidRPr="00234CF7">
        <w:rPr>
          <w:rFonts w:ascii="Times New Roman" w:eastAsia="Times New Roman" w:hAnsi="Times New Roman" w:cs="Times New Roman"/>
          <w:color w:val="000000"/>
          <w:sz w:val="21"/>
          <w:szCs w:val="21"/>
          <w:lang w:eastAsia="ru-RU"/>
        </w:rPr>
        <w:t>г. Владивосток, Российская Федерация</w:t>
      </w:r>
    </w:p>
    <w:p w14:paraId="7342CB62" w14:textId="77777777" w:rsidR="001C3A7B" w:rsidRPr="00211F11" w:rsidRDefault="001C3A7B" w:rsidP="001C3A7B">
      <w:pPr>
        <w:spacing w:after="0" w:line="240" w:lineRule="auto"/>
        <w:jc w:val="right"/>
        <w:rPr>
          <w:rFonts w:ascii="Times New Roman" w:eastAsia="Times New Roman" w:hAnsi="Times New Roman" w:cs="Times New Roman"/>
          <w:color w:val="000000"/>
          <w:sz w:val="21"/>
          <w:szCs w:val="21"/>
          <w:lang w:eastAsia="ru-RU"/>
        </w:rPr>
      </w:pPr>
      <w:r w:rsidRPr="00234CF7">
        <w:rPr>
          <w:rFonts w:ascii="Times New Roman" w:eastAsia="Times New Roman" w:hAnsi="Times New Roman" w:cs="Times New Roman"/>
          <w:color w:val="000000"/>
          <w:sz w:val="21"/>
          <w:szCs w:val="21"/>
          <w:lang w:val="en-US" w:eastAsia="ru-RU"/>
        </w:rPr>
        <w:t>E</w:t>
      </w:r>
      <w:r w:rsidRPr="00211F11">
        <w:rPr>
          <w:rFonts w:ascii="Times New Roman" w:eastAsia="Times New Roman" w:hAnsi="Times New Roman" w:cs="Times New Roman"/>
          <w:color w:val="000000"/>
          <w:sz w:val="21"/>
          <w:szCs w:val="21"/>
          <w:lang w:eastAsia="ru-RU"/>
        </w:rPr>
        <w:t>-</w:t>
      </w:r>
      <w:r w:rsidRPr="00234CF7">
        <w:rPr>
          <w:rFonts w:ascii="Times New Roman" w:eastAsia="Times New Roman" w:hAnsi="Times New Roman" w:cs="Times New Roman"/>
          <w:color w:val="000000"/>
          <w:sz w:val="21"/>
          <w:szCs w:val="21"/>
          <w:lang w:val="en-US" w:eastAsia="ru-RU"/>
        </w:rPr>
        <w:t>mail</w:t>
      </w:r>
      <w:r w:rsidRPr="00211F11">
        <w:rPr>
          <w:rFonts w:ascii="Times New Roman" w:eastAsia="Times New Roman" w:hAnsi="Times New Roman" w:cs="Times New Roman"/>
          <w:color w:val="000000"/>
          <w:sz w:val="21"/>
          <w:szCs w:val="21"/>
          <w:lang w:eastAsia="ru-RU"/>
        </w:rPr>
        <w:t xml:space="preserve">: </w:t>
      </w:r>
      <w:r w:rsidRPr="00234CF7">
        <w:rPr>
          <w:rFonts w:ascii="Times New Roman" w:eastAsia="Times New Roman" w:hAnsi="Times New Roman" w:cs="Times New Roman"/>
          <w:color w:val="000000"/>
          <w:sz w:val="21"/>
          <w:szCs w:val="21"/>
          <w:lang w:val="en-US" w:eastAsia="ru-RU"/>
        </w:rPr>
        <w:t>Tatyana</w:t>
      </w:r>
      <w:r w:rsidRPr="00211F11">
        <w:rPr>
          <w:rFonts w:ascii="Times New Roman" w:eastAsia="Times New Roman" w:hAnsi="Times New Roman" w:cs="Times New Roman"/>
          <w:color w:val="000000"/>
          <w:sz w:val="21"/>
          <w:szCs w:val="21"/>
          <w:lang w:eastAsia="ru-RU"/>
        </w:rPr>
        <w:t>.</w:t>
      </w:r>
      <w:proofErr w:type="spellStart"/>
      <w:r w:rsidRPr="00234CF7">
        <w:rPr>
          <w:rFonts w:ascii="Times New Roman" w:eastAsia="Times New Roman" w:hAnsi="Times New Roman" w:cs="Times New Roman"/>
          <w:color w:val="000000"/>
          <w:sz w:val="21"/>
          <w:szCs w:val="21"/>
          <w:lang w:val="en-US" w:eastAsia="ru-RU"/>
        </w:rPr>
        <w:t>Bubnovskaya</w:t>
      </w:r>
      <w:proofErr w:type="spellEnd"/>
      <w:r w:rsidRPr="00211F11">
        <w:rPr>
          <w:rFonts w:ascii="Times New Roman" w:eastAsia="Times New Roman" w:hAnsi="Times New Roman" w:cs="Times New Roman"/>
          <w:color w:val="000000"/>
          <w:sz w:val="21"/>
          <w:szCs w:val="21"/>
          <w:lang w:eastAsia="ru-RU"/>
        </w:rPr>
        <w:t>@</w:t>
      </w:r>
      <w:proofErr w:type="spellStart"/>
      <w:r w:rsidRPr="00234CF7">
        <w:rPr>
          <w:rFonts w:ascii="Times New Roman" w:eastAsia="Times New Roman" w:hAnsi="Times New Roman" w:cs="Times New Roman"/>
          <w:color w:val="000000"/>
          <w:sz w:val="21"/>
          <w:szCs w:val="21"/>
          <w:lang w:val="en-US" w:eastAsia="ru-RU"/>
        </w:rPr>
        <w:t>vvsu</w:t>
      </w:r>
      <w:proofErr w:type="spellEnd"/>
      <w:r w:rsidRPr="00211F11">
        <w:rPr>
          <w:rFonts w:ascii="Times New Roman" w:eastAsia="Times New Roman" w:hAnsi="Times New Roman" w:cs="Times New Roman"/>
          <w:color w:val="000000"/>
          <w:sz w:val="21"/>
          <w:szCs w:val="21"/>
          <w:lang w:eastAsia="ru-RU"/>
        </w:rPr>
        <w:t>.</w:t>
      </w:r>
      <w:proofErr w:type="spellStart"/>
      <w:r w:rsidRPr="00234CF7">
        <w:rPr>
          <w:rFonts w:ascii="Times New Roman" w:eastAsia="Times New Roman" w:hAnsi="Times New Roman" w:cs="Times New Roman"/>
          <w:color w:val="000000"/>
          <w:sz w:val="21"/>
          <w:szCs w:val="21"/>
          <w:lang w:val="en-US" w:eastAsia="ru-RU"/>
        </w:rPr>
        <w:t>ru</w:t>
      </w:r>
      <w:proofErr w:type="spellEnd"/>
    </w:p>
    <w:p w14:paraId="648171CD" w14:textId="77777777" w:rsidR="001C3A7B" w:rsidRPr="00234CF7" w:rsidRDefault="001C3A7B" w:rsidP="001C3A7B">
      <w:pPr>
        <w:spacing w:after="0" w:line="240" w:lineRule="auto"/>
        <w:jc w:val="right"/>
        <w:rPr>
          <w:rFonts w:ascii="Times New Roman" w:eastAsia="Times New Roman" w:hAnsi="Times New Roman" w:cs="Times New Roman"/>
          <w:color w:val="000000"/>
          <w:sz w:val="21"/>
          <w:szCs w:val="21"/>
          <w:lang w:eastAsia="ru-RU"/>
        </w:rPr>
      </w:pPr>
      <w:r w:rsidRPr="00234CF7">
        <w:rPr>
          <w:rFonts w:ascii="Times New Roman" w:eastAsia="Times New Roman" w:hAnsi="Times New Roman" w:cs="Times New Roman"/>
          <w:color w:val="000000"/>
          <w:sz w:val="21"/>
          <w:szCs w:val="21"/>
          <w:lang w:eastAsia="ru-RU"/>
        </w:rPr>
        <w:t>ORCID: 0000-0002-4625-5434.</w:t>
      </w:r>
    </w:p>
    <w:p w14:paraId="3AF80E1D" w14:textId="77777777" w:rsidR="001C3A7B" w:rsidRPr="00234CF7" w:rsidRDefault="001C3A7B" w:rsidP="001C3A7B">
      <w:pPr>
        <w:spacing w:after="0" w:line="240" w:lineRule="auto"/>
        <w:jc w:val="center"/>
        <w:rPr>
          <w:rFonts w:ascii="Times New Roman" w:eastAsia="Times New Roman" w:hAnsi="Times New Roman" w:cs="Times New Roman"/>
          <w:color w:val="000000"/>
          <w:sz w:val="21"/>
          <w:szCs w:val="21"/>
          <w:lang w:eastAsia="ru-RU"/>
        </w:rPr>
      </w:pPr>
    </w:p>
    <w:p w14:paraId="561FAAD4" w14:textId="54F7A169" w:rsidR="001C3A7B" w:rsidRPr="00234CF7" w:rsidRDefault="001C3A7B" w:rsidP="001C3A7B">
      <w:pPr>
        <w:spacing w:after="0" w:line="240" w:lineRule="auto"/>
        <w:ind w:left="5664" w:firstLine="708"/>
        <w:jc w:val="center"/>
        <w:rPr>
          <w:rFonts w:ascii="Times New Roman" w:eastAsia="Times New Roman" w:hAnsi="Times New Roman" w:cs="Times New Roman"/>
          <w:color w:val="000000"/>
          <w:sz w:val="21"/>
          <w:szCs w:val="21"/>
          <w:lang w:eastAsia="ru-RU"/>
        </w:rPr>
      </w:pPr>
      <w:r w:rsidRPr="00234CF7">
        <w:rPr>
          <w:rFonts w:ascii="Times New Roman" w:eastAsia="Times New Roman" w:hAnsi="Times New Roman" w:cs="Times New Roman"/>
          <w:color w:val="000000"/>
          <w:sz w:val="21"/>
          <w:szCs w:val="21"/>
          <w:lang w:eastAsia="ru-RU"/>
        </w:rPr>
        <w:t>Фурсов Даниил Васильевич</w:t>
      </w:r>
    </w:p>
    <w:p w14:paraId="17E96068" w14:textId="77777777" w:rsidR="001C3A7B" w:rsidRPr="00234CF7" w:rsidRDefault="001C3A7B" w:rsidP="001C3A7B">
      <w:pPr>
        <w:spacing w:after="0" w:line="240" w:lineRule="auto"/>
        <w:jc w:val="right"/>
        <w:rPr>
          <w:rFonts w:ascii="Times New Roman" w:eastAsia="Times New Roman" w:hAnsi="Times New Roman" w:cs="Times New Roman"/>
          <w:color w:val="000000"/>
          <w:sz w:val="21"/>
          <w:szCs w:val="21"/>
          <w:lang w:eastAsia="ru-RU"/>
        </w:rPr>
      </w:pPr>
      <w:r w:rsidRPr="00234CF7">
        <w:rPr>
          <w:rFonts w:ascii="Times New Roman" w:eastAsia="Times New Roman" w:hAnsi="Times New Roman" w:cs="Times New Roman"/>
          <w:color w:val="000000"/>
          <w:sz w:val="21"/>
          <w:szCs w:val="21"/>
          <w:lang w:eastAsia="ru-RU"/>
        </w:rPr>
        <w:t>Владивостокский государственный университет,</w:t>
      </w:r>
    </w:p>
    <w:p w14:paraId="6F244401" w14:textId="6B6A37B2" w:rsidR="001C3A7B" w:rsidRPr="00234CF7" w:rsidRDefault="001C3A7B" w:rsidP="001C3A7B">
      <w:pPr>
        <w:spacing w:after="0" w:line="240" w:lineRule="auto"/>
        <w:jc w:val="right"/>
        <w:rPr>
          <w:rFonts w:ascii="Times New Roman" w:eastAsia="Times New Roman" w:hAnsi="Times New Roman" w:cs="Times New Roman"/>
          <w:color w:val="000000"/>
          <w:sz w:val="21"/>
          <w:szCs w:val="21"/>
          <w:lang w:eastAsia="ru-RU"/>
        </w:rPr>
      </w:pPr>
      <w:r w:rsidRPr="00234CF7">
        <w:rPr>
          <w:rFonts w:ascii="Times New Roman" w:eastAsia="Times New Roman" w:hAnsi="Times New Roman" w:cs="Times New Roman"/>
          <w:color w:val="000000"/>
          <w:sz w:val="21"/>
          <w:szCs w:val="21"/>
          <w:lang w:eastAsia="ru-RU"/>
        </w:rPr>
        <w:t xml:space="preserve"> г. Владивосток, Российская Федерация</w:t>
      </w:r>
    </w:p>
    <w:p w14:paraId="5D51CC7A" w14:textId="77777777" w:rsidR="001C3A7B" w:rsidRPr="00211F11" w:rsidRDefault="001C3A7B" w:rsidP="001C3A7B">
      <w:pPr>
        <w:spacing w:after="0" w:line="240" w:lineRule="auto"/>
        <w:jc w:val="right"/>
        <w:rPr>
          <w:rFonts w:ascii="Times New Roman" w:eastAsia="Times New Roman" w:hAnsi="Times New Roman" w:cs="Times New Roman"/>
          <w:color w:val="000000"/>
          <w:sz w:val="21"/>
          <w:szCs w:val="21"/>
          <w:lang w:eastAsia="ru-RU"/>
        </w:rPr>
      </w:pPr>
      <w:r w:rsidRPr="00234CF7">
        <w:rPr>
          <w:rFonts w:ascii="Times New Roman" w:eastAsia="Times New Roman" w:hAnsi="Times New Roman" w:cs="Times New Roman"/>
          <w:color w:val="000000"/>
          <w:sz w:val="21"/>
          <w:szCs w:val="21"/>
          <w:lang w:val="en-US" w:eastAsia="ru-RU"/>
        </w:rPr>
        <w:t>E</w:t>
      </w:r>
      <w:r w:rsidRPr="00211F11">
        <w:rPr>
          <w:rFonts w:ascii="Times New Roman" w:eastAsia="Times New Roman" w:hAnsi="Times New Roman" w:cs="Times New Roman"/>
          <w:color w:val="000000"/>
          <w:sz w:val="21"/>
          <w:szCs w:val="21"/>
          <w:lang w:eastAsia="ru-RU"/>
        </w:rPr>
        <w:t>-</w:t>
      </w:r>
      <w:r w:rsidRPr="00234CF7">
        <w:rPr>
          <w:rFonts w:ascii="Times New Roman" w:eastAsia="Times New Roman" w:hAnsi="Times New Roman" w:cs="Times New Roman"/>
          <w:color w:val="000000"/>
          <w:sz w:val="21"/>
          <w:szCs w:val="21"/>
          <w:lang w:val="en-US" w:eastAsia="ru-RU"/>
        </w:rPr>
        <w:t>mail</w:t>
      </w:r>
      <w:r w:rsidRPr="00211F11">
        <w:rPr>
          <w:rFonts w:ascii="Times New Roman" w:eastAsia="Times New Roman" w:hAnsi="Times New Roman" w:cs="Times New Roman"/>
          <w:color w:val="000000"/>
          <w:sz w:val="21"/>
          <w:szCs w:val="21"/>
          <w:lang w:eastAsia="ru-RU"/>
        </w:rPr>
        <w:t xml:space="preserve">: </w:t>
      </w:r>
      <w:proofErr w:type="spellStart"/>
      <w:r w:rsidRPr="00234CF7">
        <w:rPr>
          <w:rFonts w:ascii="Times New Roman" w:eastAsia="Times New Roman" w:hAnsi="Times New Roman" w:cs="Times New Roman"/>
          <w:color w:val="000000"/>
          <w:sz w:val="21"/>
          <w:szCs w:val="21"/>
          <w:lang w:val="en-US" w:eastAsia="ru-RU"/>
        </w:rPr>
        <w:t>gagarin</w:t>
      </w:r>
      <w:proofErr w:type="spellEnd"/>
      <w:r w:rsidRPr="00211F11">
        <w:rPr>
          <w:rFonts w:ascii="Times New Roman" w:eastAsia="Times New Roman" w:hAnsi="Times New Roman" w:cs="Times New Roman"/>
          <w:color w:val="000000"/>
          <w:sz w:val="21"/>
          <w:szCs w:val="21"/>
          <w:lang w:eastAsia="ru-RU"/>
        </w:rPr>
        <w:t>12345</w:t>
      </w:r>
      <w:proofErr w:type="spellStart"/>
      <w:r w:rsidRPr="00234CF7">
        <w:rPr>
          <w:rFonts w:ascii="Times New Roman" w:eastAsia="Times New Roman" w:hAnsi="Times New Roman" w:cs="Times New Roman"/>
          <w:color w:val="000000"/>
          <w:sz w:val="21"/>
          <w:szCs w:val="21"/>
          <w:lang w:val="en-US" w:eastAsia="ru-RU"/>
        </w:rPr>
        <w:t>bodgan</w:t>
      </w:r>
      <w:proofErr w:type="spellEnd"/>
      <w:r w:rsidRPr="00211F11">
        <w:rPr>
          <w:rFonts w:ascii="Times New Roman" w:eastAsia="Times New Roman" w:hAnsi="Times New Roman" w:cs="Times New Roman"/>
          <w:color w:val="000000"/>
          <w:sz w:val="21"/>
          <w:szCs w:val="21"/>
          <w:lang w:eastAsia="ru-RU"/>
        </w:rPr>
        <w:t>@</w:t>
      </w:r>
      <w:proofErr w:type="spellStart"/>
      <w:r w:rsidRPr="00234CF7">
        <w:rPr>
          <w:rFonts w:ascii="Times New Roman" w:eastAsia="Times New Roman" w:hAnsi="Times New Roman" w:cs="Times New Roman"/>
          <w:color w:val="000000"/>
          <w:sz w:val="21"/>
          <w:szCs w:val="21"/>
          <w:lang w:val="en-US" w:eastAsia="ru-RU"/>
        </w:rPr>
        <w:t>gmail</w:t>
      </w:r>
      <w:proofErr w:type="spellEnd"/>
      <w:r w:rsidRPr="00211F11">
        <w:rPr>
          <w:rFonts w:ascii="Times New Roman" w:eastAsia="Times New Roman" w:hAnsi="Times New Roman" w:cs="Times New Roman"/>
          <w:color w:val="000000"/>
          <w:sz w:val="21"/>
          <w:szCs w:val="21"/>
          <w:lang w:eastAsia="ru-RU"/>
        </w:rPr>
        <w:t>.</w:t>
      </w:r>
      <w:r w:rsidRPr="00234CF7">
        <w:rPr>
          <w:rFonts w:ascii="Times New Roman" w:eastAsia="Times New Roman" w:hAnsi="Times New Roman" w:cs="Times New Roman"/>
          <w:color w:val="000000"/>
          <w:sz w:val="21"/>
          <w:szCs w:val="21"/>
          <w:lang w:val="en-US" w:eastAsia="ru-RU"/>
        </w:rPr>
        <w:t>com</w:t>
      </w:r>
    </w:p>
    <w:p w14:paraId="261E56BD" w14:textId="7E5748ED" w:rsidR="001C3A7B" w:rsidRPr="00211F11" w:rsidRDefault="001C3A7B" w:rsidP="001C3A7B">
      <w:pPr>
        <w:spacing w:after="0" w:line="240" w:lineRule="auto"/>
        <w:jc w:val="right"/>
        <w:rPr>
          <w:rFonts w:ascii="Times New Roman" w:eastAsia="Times New Roman" w:hAnsi="Times New Roman" w:cs="Times New Roman"/>
          <w:color w:val="000000"/>
          <w:sz w:val="21"/>
          <w:szCs w:val="21"/>
          <w:lang w:eastAsia="ru-RU"/>
        </w:rPr>
      </w:pPr>
      <w:r w:rsidRPr="00234CF7">
        <w:rPr>
          <w:rFonts w:ascii="Times New Roman" w:eastAsia="Times New Roman" w:hAnsi="Times New Roman" w:cs="Times New Roman"/>
          <w:color w:val="000000"/>
          <w:sz w:val="21"/>
          <w:szCs w:val="21"/>
          <w:lang w:val="en-US" w:eastAsia="ru-RU"/>
        </w:rPr>
        <w:t>ORCID</w:t>
      </w:r>
      <w:r w:rsidRPr="00211F11">
        <w:rPr>
          <w:rFonts w:ascii="Times New Roman" w:eastAsia="Times New Roman" w:hAnsi="Times New Roman" w:cs="Times New Roman"/>
          <w:color w:val="000000"/>
          <w:sz w:val="21"/>
          <w:szCs w:val="21"/>
          <w:lang w:eastAsia="ru-RU"/>
        </w:rPr>
        <w:t>: 0009-0009-7586-1116.</w:t>
      </w:r>
    </w:p>
    <w:p w14:paraId="74F25225" w14:textId="77777777" w:rsidR="001C3A7B" w:rsidRPr="00211F11" w:rsidRDefault="001C3A7B" w:rsidP="001C3A7B">
      <w:pPr>
        <w:spacing w:after="0" w:line="240" w:lineRule="auto"/>
        <w:jc w:val="right"/>
        <w:rPr>
          <w:rFonts w:ascii="Times New Roman" w:eastAsia="Times New Roman" w:hAnsi="Times New Roman" w:cs="Times New Roman"/>
          <w:color w:val="000000"/>
          <w:sz w:val="24"/>
          <w:szCs w:val="24"/>
          <w:lang w:eastAsia="ru-RU"/>
        </w:rPr>
      </w:pPr>
    </w:p>
    <w:p w14:paraId="627E59BB" w14:textId="77777777" w:rsidR="001C3A7B" w:rsidRPr="001C3A7B" w:rsidRDefault="001C3A7B" w:rsidP="001C3A7B">
      <w:pPr>
        <w:spacing w:after="0" w:line="240" w:lineRule="auto"/>
        <w:jc w:val="right"/>
        <w:rPr>
          <w:rFonts w:ascii="Times New Roman" w:hAnsi="Times New Roman" w:cs="Times New Roman"/>
          <w:sz w:val="32"/>
          <w:szCs w:val="32"/>
        </w:rPr>
      </w:pPr>
    </w:p>
    <w:p w14:paraId="0FCF60C9" w14:textId="5F12244D" w:rsidR="00DE0C67" w:rsidRPr="00234CF7" w:rsidRDefault="00DE0C67" w:rsidP="00234CF7">
      <w:pPr>
        <w:ind w:firstLine="708"/>
        <w:rPr>
          <w:rFonts w:ascii="Times New Roman" w:hAnsi="Times New Roman" w:cs="Times New Roman"/>
        </w:rPr>
      </w:pPr>
      <w:r w:rsidRPr="00234CF7">
        <w:rPr>
          <w:rFonts w:ascii="Times New Roman" w:hAnsi="Times New Roman" w:cs="Times New Roman"/>
          <w:b/>
          <w:bCs/>
        </w:rPr>
        <w:t>Аннотация:</w:t>
      </w:r>
      <w:r w:rsidRPr="00234CF7">
        <w:rPr>
          <w:rFonts w:ascii="Times New Roman" w:hAnsi="Times New Roman" w:cs="Times New Roman"/>
        </w:rPr>
        <w:t xml:space="preserve"> </w:t>
      </w:r>
      <w:r w:rsidR="001C3A7B" w:rsidRPr="00234CF7">
        <w:rPr>
          <w:rFonts w:ascii="Times New Roman" w:hAnsi="Times New Roman" w:cs="Times New Roman"/>
        </w:rPr>
        <w:t>В статье анализируются факторы региональной среды Приморского края, которые определяют способность местных торговых предприятий адаптироваться к изменениям. На основе данных выделены семь групп факторов: от демографических и инфраструктурных до цифровых и внешнеполитических. Для каждой группы показаны</w:t>
      </w:r>
      <w:r w:rsidR="00697A41">
        <w:rPr>
          <w:rFonts w:ascii="Times New Roman" w:hAnsi="Times New Roman" w:cs="Times New Roman"/>
        </w:rPr>
        <w:t xml:space="preserve"> </w:t>
      </w:r>
      <w:r w:rsidR="001C3A7B" w:rsidRPr="00234CF7">
        <w:rPr>
          <w:rFonts w:ascii="Times New Roman" w:hAnsi="Times New Roman" w:cs="Times New Roman"/>
        </w:rPr>
        <w:t>вызовы</w:t>
      </w:r>
      <w:r w:rsidR="00697A41">
        <w:rPr>
          <w:rFonts w:ascii="Times New Roman" w:hAnsi="Times New Roman" w:cs="Times New Roman"/>
        </w:rPr>
        <w:t xml:space="preserve"> </w:t>
      </w:r>
      <w:r w:rsidR="001C3A7B" w:rsidRPr="00234CF7">
        <w:rPr>
          <w:rFonts w:ascii="Times New Roman" w:hAnsi="Times New Roman" w:cs="Times New Roman"/>
        </w:rPr>
        <w:t>и возможности для бизнеса. Сформулировано определение адаптационного потенциала применительно к торговле. Классификация может использоваться предприятиями для оценки региональных рисков и корректировки стратегий</w:t>
      </w:r>
      <w:r w:rsidR="00697A41">
        <w:rPr>
          <w:rFonts w:ascii="Times New Roman" w:hAnsi="Times New Roman" w:cs="Times New Roman"/>
        </w:rPr>
        <w:t>.</w:t>
      </w:r>
    </w:p>
    <w:p w14:paraId="0A24C8A0" w14:textId="40EE7DC3" w:rsidR="00234CF7" w:rsidRPr="00234CF7" w:rsidRDefault="00DE0C67" w:rsidP="00234CF7">
      <w:pPr>
        <w:spacing w:line="26" w:lineRule="atLeast"/>
        <w:ind w:firstLine="708"/>
        <w:rPr>
          <w:rFonts w:ascii="Times New Roman" w:eastAsia="Calibri" w:hAnsi="Times New Roman" w:cs="Times New Roman"/>
        </w:rPr>
      </w:pPr>
      <w:r w:rsidRPr="00234CF7">
        <w:rPr>
          <w:rFonts w:ascii="Times New Roman" w:hAnsi="Times New Roman" w:cs="Times New Roman"/>
          <w:b/>
          <w:bCs/>
        </w:rPr>
        <w:t>Ключевые слова:</w:t>
      </w:r>
      <w:r w:rsidRPr="00234CF7">
        <w:rPr>
          <w:rFonts w:ascii="Times New Roman" w:hAnsi="Times New Roman" w:cs="Times New Roman"/>
        </w:rPr>
        <w:t xml:space="preserve"> </w:t>
      </w:r>
      <w:r w:rsidR="00490D9B" w:rsidRPr="00234CF7">
        <w:rPr>
          <w:rFonts w:ascii="Times New Roman" w:hAnsi="Times New Roman" w:cs="Times New Roman"/>
        </w:rPr>
        <w:t>региональная экономика; адаптационный потенциал; предприятия торговли; Приморский край; классификация факторов; вызовы и возможности</w:t>
      </w:r>
      <w:r w:rsidR="00234CF7" w:rsidRPr="00234CF7">
        <w:rPr>
          <w:rFonts w:ascii="Times New Roman" w:hAnsi="Times New Roman" w:cs="Times New Roman"/>
        </w:rPr>
        <w:br/>
      </w:r>
      <w:r w:rsidR="00234CF7" w:rsidRPr="00234CF7">
        <w:rPr>
          <w:rFonts w:ascii="Times New Roman" w:eastAsia="Calibri" w:hAnsi="Times New Roman" w:cs="Times New Roman"/>
          <w:b/>
        </w:rPr>
        <w:t>Цитирование.</w:t>
      </w:r>
      <w:r w:rsidR="00234CF7" w:rsidRPr="00234CF7">
        <w:rPr>
          <w:i/>
          <w:iCs/>
          <w:lang w:eastAsia="ru-RU"/>
        </w:rPr>
        <w:t xml:space="preserve"> </w:t>
      </w:r>
      <w:r w:rsidR="00234CF7" w:rsidRPr="00234CF7">
        <w:rPr>
          <w:rFonts w:ascii="Times New Roman" w:eastAsia="Calibri" w:hAnsi="Times New Roman" w:cs="Times New Roman"/>
        </w:rPr>
        <w:t xml:space="preserve">Бубновская Т.В., Фурсов Д. В. Специфика региональных рынков как детерминанта адаптационного потенциала предприятий торговли // Вестник Самарского университета. Экономика и управление. 202Х. Т. ХХ, № Х. С. XX– XX. DOI: </w:t>
      </w:r>
      <w:hyperlink r:id="rId7" w:history="1">
        <w:r w:rsidR="00234CF7" w:rsidRPr="00234CF7">
          <w:rPr>
            <w:rStyle w:val="a5"/>
            <w:rFonts w:ascii="Times New Roman" w:eastAsia="Calibri" w:hAnsi="Times New Roman" w:cs="Times New Roman"/>
          </w:rPr>
          <w:t>http://doi.org/10.18287/2542-0461-202Х-ХХ-Х-XX-XX</w:t>
        </w:r>
      </w:hyperlink>
      <w:r w:rsidR="00234CF7" w:rsidRPr="00234CF7">
        <w:rPr>
          <w:rFonts w:ascii="Times New Roman" w:eastAsia="Calibri" w:hAnsi="Times New Roman" w:cs="Times New Roman"/>
        </w:rPr>
        <w:t>.</w:t>
      </w:r>
      <w:r w:rsidR="00234CF7" w:rsidRPr="00234CF7">
        <w:rPr>
          <w:rFonts w:ascii="Times New Roman" w:eastAsia="Calibri" w:hAnsi="Times New Roman" w:cs="Times New Roman"/>
        </w:rPr>
        <w:br/>
      </w:r>
      <w:r w:rsidR="00234CF7" w:rsidRPr="00234CF7">
        <w:rPr>
          <w:rFonts w:ascii="Times New Roman" w:eastAsia="Calibri" w:hAnsi="Times New Roman" w:cs="Times New Roman"/>
          <w:b/>
          <w:bCs/>
        </w:rPr>
        <w:t>Информация о конфликте интересов:</w:t>
      </w:r>
      <w:r w:rsidR="00234CF7" w:rsidRPr="00234CF7">
        <w:rPr>
          <w:rFonts w:ascii="Times New Roman" w:eastAsia="Calibri" w:hAnsi="Times New Roman" w:cs="Times New Roman"/>
        </w:rPr>
        <w:t xml:space="preserve"> автор заявляет об отсутствии конфликта интересов.</w:t>
      </w:r>
    </w:p>
    <w:p w14:paraId="1206835B" w14:textId="0DDB36E0" w:rsidR="00234CF7" w:rsidRPr="00234CF7" w:rsidRDefault="00234CF7" w:rsidP="00234CF7">
      <w:pPr>
        <w:pStyle w:val="ac"/>
        <w:jc w:val="left"/>
        <w:rPr>
          <w:sz w:val="22"/>
          <w:szCs w:val="22"/>
        </w:rPr>
      </w:pPr>
      <w:r w:rsidRPr="00234CF7">
        <w:rPr>
          <w:b/>
          <w:bCs/>
          <w:sz w:val="22"/>
          <w:szCs w:val="22"/>
          <w:lang w:bidi="ru-RU"/>
        </w:rPr>
        <w:t xml:space="preserve">© </w:t>
      </w:r>
      <w:r w:rsidRPr="00234CF7">
        <w:rPr>
          <w:b/>
          <w:bCs/>
          <w:sz w:val="22"/>
          <w:szCs w:val="22"/>
        </w:rPr>
        <w:t xml:space="preserve">Бубновская Т.В., </w:t>
      </w:r>
      <w:r w:rsidRPr="00234CF7">
        <w:rPr>
          <w:b/>
          <w:bCs/>
          <w:sz w:val="22"/>
          <w:szCs w:val="22"/>
          <w:lang w:bidi="ru-RU"/>
        </w:rPr>
        <w:t>202Х</w:t>
      </w:r>
      <w:r w:rsidRPr="00234CF7">
        <w:rPr>
          <w:i/>
          <w:iCs/>
          <w:sz w:val="22"/>
          <w:szCs w:val="22"/>
        </w:rPr>
        <w:br/>
        <w:t>Бубновская Татьяна Викторовна</w:t>
      </w:r>
      <w:r w:rsidRPr="00234CF7">
        <w:rPr>
          <w:sz w:val="22"/>
          <w:szCs w:val="22"/>
        </w:rPr>
        <w:t xml:space="preserve"> – кандидат экономических наук, доцент кафедры экономики и управления, Владивостокский государственный университет, 690014, Российская Федерация, г. Владивосток, ул. Гоголя, 41. </w:t>
      </w:r>
    </w:p>
    <w:p w14:paraId="45977A27" w14:textId="46FDB37A" w:rsidR="00234CF7" w:rsidRPr="00234CF7" w:rsidRDefault="00234CF7" w:rsidP="00234CF7">
      <w:pPr>
        <w:pStyle w:val="ac"/>
        <w:jc w:val="left"/>
        <w:rPr>
          <w:b/>
          <w:sz w:val="22"/>
          <w:szCs w:val="22"/>
          <w:lang w:bidi="ru-RU"/>
        </w:rPr>
      </w:pPr>
      <w:r w:rsidRPr="00234CF7">
        <w:rPr>
          <w:b/>
          <w:bCs/>
          <w:sz w:val="22"/>
          <w:szCs w:val="22"/>
          <w:lang w:bidi="ru-RU"/>
        </w:rPr>
        <w:t xml:space="preserve">© </w:t>
      </w:r>
      <w:r w:rsidRPr="00234CF7">
        <w:rPr>
          <w:b/>
          <w:bCs/>
          <w:sz w:val="22"/>
          <w:szCs w:val="22"/>
        </w:rPr>
        <w:t xml:space="preserve">Фурсов Д.В., </w:t>
      </w:r>
      <w:r w:rsidRPr="00234CF7">
        <w:rPr>
          <w:b/>
          <w:bCs/>
          <w:sz w:val="22"/>
          <w:szCs w:val="22"/>
          <w:lang w:bidi="ru-RU"/>
        </w:rPr>
        <w:t>202Х</w:t>
      </w:r>
      <w:r w:rsidRPr="00234CF7">
        <w:rPr>
          <w:i/>
          <w:iCs/>
          <w:sz w:val="22"/>
          <w:szCs w:val="22"/>
        </w:rPr>
        <w:br/>
        <w:t>Фурсов Даниил Васильевич</w:t>
      </w:r>
      <w:r w:rsidRPr="00234CF7">
        <w:rPr>
          <w:sz w:val="22"/>
          <w:szCs w:val="22"/>
        </w:rPr>
        <w:t xml:space="preserve"> – аспирант кафедры экономики и управления, Владивостокский государственный университет, 690014, Российская Федерация, г. Владивосток, ул. Гоголя, 41. </w:t>
      </w:r>
    </w:p>
    <w:p w14:paraId="49FD3FFC" w14:textId="2FB098D1" w:rsidR="00234CF7" w:rsidRDefault="00234CF7" w:rsidP="00234CF7">
      <w:pPr>
        <w:ind w:firstLine="708"/>
        <w:rPr>
          <w:rFonts w:ascii="Times New Roman" w:hAnsi="Times New Roman" w:cs="Times New Roman"/>
          <w:sz w:val="24"/>
          <w:szCs w:val="24"/>
        </w:rPr>
      </w:pPr>
    </w:p>
    <w:p w14:paraId="1E75CD63" w14:textId="625DB1E3" w:rsidR="00490D9B" w:rsidRPr="00211F11" w:rsidRDefault="00234CF7" w:rsidP="00234CF7">
      <w:pPr>
        <w:widowControl w:val="0"/>
        <w:autoSpaceDE w:val="0"/>
        <w:autoSpaceDN w:val="0"/>
        <w:spacing w:after="120" w:line="240" w:lineRule="auto"/>
        <w:contextualSpacing/>
        <w:rPr>
          <w:rFonts w:ascii="Times New Roman" w:hAnsi="Times New Roman" w:cs="Times New Roman"/>
          <w:b/>
          <w:bCs/>
          <w:i/>
          <w:iCs/>
          <w:u w:val="single"/>
          <w:lang w:val="en-US"/>
        </w:rPr>
      </w:pPr>
      <w:r w:rsidRPr="00211F11">
        <w:rPr>
          <w:rFonts w:ascii="Times New Roman" w:hAnsi="Times New Roman" w:cs="Times New Roman"/>
          <w:b/>
          <w:bCs/>
          <w:i/>
          <w:iCs/>
          <w:u w:val="single"/>
          <w:lang w:val="en-US"/>
        </w:rPr>
        <w:t>SCIENTIFIC ARTICLE</w:t>
      </w:r>
    </w:p>
    <w:p w14:paraId="7F239366" w14:textId="77777777" w:rsidR="00234CF7" w:rsidRPr="00211F11" w:rsidRDefault="00234CF7" w:rsidP="00234CF7">
      <w:pPr>
        <w:widowControl w:val="0"/>
        <w:autoSpaceDE w:val="0"/>
        <w:autoSpaceDN w:val="0"/>
        <w:spacing w:after="120" w:line="240" w:lineRule="auto"/>
        <w:contextualSpacing/>
        <w:jc w:val="right"/>
        <w:rPr>
          <w:rFonts w:ascii="Times New Roman" w:hAnsi="Times New Roman" w:cs="Times New Roman"/>
          <w:lang w:val="en-US"/>
        </w:rPr>
      </w:pPr>
      <w:r w:rsidRPr="00211F11">
        <w:rPr>
          <w:rFonts w:ascii="Times New Roman" w:hAnsi="Times New Roman" w:cs="Times New Roman"/>
          <w:lang w:val="en-US"/>
        </w:rPr>
        <w:t xml:space="preserve">Submitted: </w:t>
      </w:r>
      <w:r w:rsidRPr="00234CF7">
        <w:rPr>
          <w:rFonts w:ascii="Times New Roman" w:hAnsi="Times New Roman" w:cs="Times New Roman"/>
        </w:rPr>
        <w:t>ХХ</w:t>
      </w:r>
      <w:r w:rsidRPr="00211F11">
        <w:rPr>
          <w:rFonts w:ascii="Times New Roman" w:hAnsi="Times New Roman" w:cs="Times New Roman"/>
          <w:lang w:val="en-US"/>
        </w:rPr>
        <w:t>.</w:t>
      </w:r>
      <w:proofErr w:type="gramStart"/>
      <w:r w:rsidRPr="00234CF7">
        <w:rPr>
          <w:rFonts w:ascii="Times New Roman" w:hAnsi="Times New Roman" w:cs="Times New Roman"/>
        </w:rPr>
        <w:t>ХХ</w:t>
      </w:r>
      <w:r w:rsidRPr="00211F11">
        <w:rPr>
          <w:rFonts w:ascii="Times New Roman" w:hAnsi="Times New Roman" w:cs="Times New Roman"/>
          <w:lang w:val="en-US"/>
        </w:rPr>
        <w:t>.</w:t>
      </w:r>
      <w:r w:rsidRPr="00234CF7">
        <w:rPr>
          <w:rFonts w:ascii="Times New Roman" w:hAnsi="Times New Roman" w:cs="Times New Roman"/>
        </w:rPr>
        <w:t>ХХХХ</w:t>
      </w:r>
      <w:proofErr w:type="gramEnd"/>
    </w:p>
    <w:p w14:paraId="12DAB31B" w14:textId="77777777" w:rsidR="00234CF7" w:rsidRPr="00211F11" w:rsidRDefault="00234CF7" w:rsidP="00234CF7">
      <w:pPr>
        <w:widowControl w:val="0"/>
        <w:autoSpaceDE w:val="0"/>
        <w:autoSpaceDN w:val="0"/>
        <w:spacing w:after="120" w:line="240" w:lineRule="auto"/>
        <w:contextualSpacing/>
        <w:jc w:val="right"/>
        <w:rPr>
          <w:rFonts w:ascii="Times New Roman" w:hAnsi="Times New Roman" w:cs="Times New Roman"/>
          <w:lang w:val="en-US"/>
        </w:rPr>
      </w:pPr>
      <w:r w:rsidRPr="00211F11">
        <w:rPr>
          <w:rFonts w:ascii="Times New Roman" w:hAnsi="Times New Roman" w:cs="Times New Roman"/>
          <w:lang w:val="en-US"/>
        </w:rPr>
        <w:t xml:space="preserve">Revised: </w:t>
      </w:r>
      <w:r w:rsidRPr="00234CF7">
        <w:rPr>
          <w:rFonts w:ascii="Times New Roman" w:hAnsi="Times New Roman" w:cs="Times New Roman"/>
        </w:rPr>
        <w:t>ХХ</w:t>
      </w:r>
      <w:r w:rsidRPr="00211F11">
        <w:rPr>
          <w:rFonts w:ascii="Times New Roman" w:hAnsi="Times New Roman" w:cs="Times New Roman"/>
          <w:lang w:val="en-US"/>
        </w:rPr>
        <w:t>.</w:t>
      </w:r>
      <w:proofErr w:type="gramStart"/>
      <w:r w:rsidRPr="00234CF7">
        <w:rPr>
          <w:rFonts w:ascii="Times New Roman" w:hAnsi="Times New Roman" w:cs="Times New Roman"/>
        </w:rPr>
        <w:t>ХХ</w:t>
      </w:r>
      <w:r w:rsidRPr="00211F11">
        <w:rPr>
          <w:rFonts w:ascii="Times New Roman" w:hAnsi="Times New Roman" w:cs="Times New Roman"/>
          <w:lang w:val="en-US"/>
        </w:rPr>
        <w:t>.</w:t>
      </w:r>
      <w:r w:rsidRPr="00234CF7">
        <w:rPr>
          <w:rFonts w:ascii="Times New Roman" w:hAnsi="Times New Roman" w:cs="Times New Roman"/>
        </w:rPr>
        <w:t>ХХХХ</w:t>
      </w:r>
      <w:proofErr w:type="gramEnd"/>
    </w:p>
    <w:p w14:paraId="3F7E3D49" w14:textId="6B15E0CF" w:rsidR="00234CF7" w:rsidRPr="00211F11" w:rsidRDefault="00234CF7" w:rsidP="00234CF7">
      <w:pPr>
        <w:widowControl w:val="0"/>
        <w:autoSpaceDE w:val="0"/>
        <w:autoSpaceDN w:val="0"/>
        <w:spacing w:after="120" w:line="240" w:lineRule="auto"/>
        <w:contextualSpacing/>
        <w:jc w:val="right"/>
        <w:rPr>
          <w:rFonts w:ascii="Times New Roman" w:hAnsi="Times New Roman" w:cs="Times New Roman"/>
          <w:lang w:val="en-US"/>
        </w:rPr>
      </w:pPr>
      <w:r w:rsidRPr="00211F11">
        <w:rPr>
          <w:rFonts w:ascii="Times New Roman" w:hAnsi="Times New Roman" w:cs="Times New Roman"/>
          <w:lang w:val="en-US"/>
        </w:rPr>
        <w:t xml:space="preserve">Accepted: </w:t>
      </w:r>
      <w:r w:rsidRPr="00234CF7">
        <w:rPr>
          <w:rFonts w:ascii="Times New Roman" w:hAnsi="Times New Roman" w:cs="Times New Roman"/>
        </w:rPr>
        <w:t>ХХ</w:t>
      </w:r>
      <w:r w:rsidRPr="00211F11">
        <w:rPr>
          <w:rFonts w:ascii="Times New Roman" w:hAnsi="Times New Roman" w:cs="Times New Roman"/>
          <w:lang w:val="en-US"/>
        </w:rPr>
        <w:t>.</w:t>
      </w:r>
      <w:proofErr w:type="gramStart"/>
      <w:r w:rsidRPr="00234CF7">
        <w:rPr>
          <w:rFonts w:ascii="Times New Roman" w:hAnsi="Times New Roman" w:cs="Times New Roman"/>
        </w:rPr>
        <w:t>ХХ</w:t>
      </w:r>
      <w:r w:rsidRPr="00211F11">
        <w:rPr>
          <w:rFonts w:ascii="Times New Roman" w:hAnsi="Times New Roman" w:cs="Times New Roman"/>
          <w:lang w:val="en-US"/>
        </w:rPr>
        <w:t>.</w:t>
      </w:r>
      <w:r w:rsidRPr="00234CF7">
        <w:rPr>
          <w:rFonts w:ascii="Times New Roman" w:hAnsi="Times New Roman" w:cs="Times New Roman"/>
        </w:rPr>
        <w:t>ХХХХ</w:t>
      </w:r>
      <w:proofErr w:type="gramEnd"/>
    </w:p>
    <w:p w14:paraId="42CFB9B5" w14:textId="36142E4B" w:rsidR="0042575D" w:rsidRPr="00211F11" w:rsidRDefault="0042575D" w:rsidP="00DE0C67">
      <w:pPr>
        <w:rPr>
          <w:rFonts w:ascii="Times New Roman" w:hAnsi="Times New Roman" w:cs="Times New Roman"/>
          <w:sz w:val="18"/>
          <w:szCs w:val="18"/>
          <w:lang w:val="en-US"/>
        </w:rPr>
      </w:pPr>
    </w:p>
    <w:p w14:paraId="7E712985" w14:textId="1917B997" w:rsidR="0042575D" w:rsidRPr="00234CF7" w:rsidRDefault="0042575D" w:rsidP="0042575D">
      <w:pPr>
        <w:jc w:val="center"/>
        <w:rPr>
          <w:rFonts w:ascii="Times New Roman" w:eastAsia="Calibri" w:hAnsi="Times New Roman" w:cs="Times New Roman"/>
          <w:b/>
          <w:lang w:val="en-US" w:eastAsia="ru-RU"/>
        </w:rPr>
      </w:pPr>
      <w:r w:rsidRPr="00234CF7">
        <w:rPr>
          <w:rFonts w:ascii="Times New Roman" w:eastAsia="Calibri" w:hAnsi="Times New Roman" w:cs="Times New Roman"/>
          <w:b/>
          <w:lang w:val="en-US" w:eastAsia="ru-RU"/>
        </w:rPr>
        <w:t>Regional Market Specifics as a Determinant of the Adaptive Capacity of Trade Enterprises</w:t>
      </w:r>
    </w:p>
    <w:p w14:paraId="24DBD232" w14:textId="77777777" w:rsidR="00234CF7" w:rsidRPr="00CE5BA7" w:rsidRDefault="00234CF7" w:rsidP="00234CF7">
      <w:pPr>
        <w:spacing w:after="0" w:line="240" w:lineRule="auto"/>
        <w:jc w:val="right"/>
        <w:rPr>
          <w:rFonts w:ascii="Times New Roman" w:eastAsia="Times New Roman" w:hAnsi="Times New Roman" w:cs="Times New Roman"/>
          <w:color w:val="000000"/>
          <w:lang w:val="en-US" w:eastAsia="ru-RU"/>
        </w:rPr>
      </w:pPr>
      <w:proofErr w:type="spellStart"/>
      <w:r w:rsidRPr="00CE5BA7">
        <w:rPr>
          <w:rFonts w:ascii="Times New Roman" w:eastAsia="Times New Roman" w:hAnsi="Times New Roman" w:cs="Times New Roman"/>
          <w:color w:val="000000"/>
          <w:lang w:val="en-US" w:eastAsia="ru-RU"/>
        </w:rPr>
        <w:t>Bubnovskaya</w:t>
      </w:r>
      <w:proofErr w:type="spellEnd"/>
      <w:r w:rsidRPr="00CE5BA7">
        <w:rPr>
          <w:rFonts w:ascii="Times New Roman" w:eastAsia="Times New Roman" w:hAnsi="Times New Roman" w:cs="Times New Roman"/>
          <w:color w:val="000000"/>
          <w:lang w:val="en-US" w:eastAsia="ru-RU"/>
        </w:rPr>
        <w:t xml:space="preserve"> Tatyana Viktorovna</w:t>
      </w:r>
    </w:p>
    <w:p w14:paraId="201B7BA4" w14:textId="77777777" w:rsidR="00234CF7" w:rsidRPr="00CE5BA7" w:rsidRDefault="00234CF7" w:rsidP="00234CF7">
      <w:pPr>
        <w:spacing w:after="0" w:line="240" w:lineRule="auto"/>
        <w:jc w:val="right"/>
        <w:rPr>
          <w:rFonts w:ascii="Times New Roman" w:eastAsia="Times New Roman" w:hAnsi="Times New Roman" w:cs="Times New Roman"/>
          <w:color w:val="000000"/>
          <w:lang w:val="en-US" w:eastAsia="ru-RU"/>
        </w:rPr>
      </w:pPr>
      <w:r w:rsidRPr="00CE5BA7">
        <w:rPr>
          <w:rFonts w:ascii="Times New Roman" w:eastAsia="Times New Roman" w:hAnsi="Times New Roman" w:cs="Times New Roman"/>
          <w:color w:val="000000"/>
          <w:lang w:val="en-US" w:eastAsia="ru-RU"/>
        </w:rPr>
        <w:lastRenderedPageBreak/>
        <w:t>Vladivostok State University,</w:t>
      </w:r>
    </w:p>
    <w:p w14:paraId="59631440" w14:textId="77777777" w:rsidR="00234CF7" w:rsidRPr="00CE5BA7" w:rsidRDefault="00234CF7" w:rsidP="00234CF7">
      <w:pPr>
        <w:spacing w:after="0" w:line="240" w:lineRule="auto"/>
        <w:jc w:val="right"/>
        <w:rPr>
          <w:rFonts w:ascii="Times New Roman" w:eastAsia="Times New Roman" w:hAnsi="Times New Roman" w:cs="Times New Roman"/>
          <w:color w:val="000000"/>
          <w:lang w:val="en-US" w:eastAsia="ru-RU"/>
        </w:rPr>
      </w:pPr>
      <w:r w:rsidRPr="00CE5BA7">
        <w:rPr>
          <w:rFonts w:ascii="Times New Roman" w:eastAsia="Times New Roman" w:hAnsi="Times New Roman" w:cs="Times New Roman"/>
          <w:color w:val="000000"/>
          <w:lang w:val="en-US" w:eastAsia="ru-RU"/>
        </w:rPr>
        <w:t>Vladivostok, Russian Federation</w:t>
      </w:r>
    </w:p>
    <w:p w14:paraId="490CB4A4" w14:textId="77777777" w:rsidR="00234CF7" w:rsidRPr="00CE5BA7" w:rsidRDefault="00234CF7" w:rsidP="00234CF7">
      <w:pPr>
        <w:spacing w:after="0" w:line="240" w:lineRule="auto"/>
        <w:jc w:val="right"/>
        <w:rPr>
          <w:rFonts w:ascii="Times New Roman" w:eastAsia="Times New Roman" w:hAnsi="Times New Roman" w:cs="Times New Roman"/>
          <w:color w:val="000000"/>
          <w:lang w:val="en-US" w:eastAsia="ru-RU"/>
        </w:rPr>
      </w:pPr>
      <w:r w:rsidRPr="00CE5BA7">
        <w:rPr>
          <w:rFonts w:ascii="Times New Roman" w:eastAsia="Times New Roman" w:hAnsi="Times New Roman" w:cs="Times New Roman"/>
          <w:color w:val="000000"/>
          <w:lang w:val="en-US" w:eastAsia="ru-RU"/>
        </w:rPr>
        <w:t>E-mail: Tatyana.Bubnovskaya@vvsu.ru</w:t>
      </w:r>
    </w:p>
    <w:p w14:paraId="077AC5CF" w14:textId="77777777" w:rsidR="00234CF7" w:rsidRPr="00CE5BA7" w:rsidRDefault="00234CF7" w:rsidP="00234CF7">
      <w:pPr>
        <w:spacing w:after="0" w:line="240" w:lineRule="auto"/>
        <w:jc w:val="right"/>
        <w:rPr>
          <w:rFonts w:ascii="Times New Roman" w:eastAsia="Times New Roman" w:hAnsi="Times New Roman" w:cs="Times New Roman"/>
          <w:color w:val="000000"/>
          <w:lang w:val="en-US" w:eastAsia="ru-RU"/>
        </w:rPr>
      </w:pPr>
      <w:r w:rsidRPr="00CE5BA7">
        <w:rPr>
          <w:rFonts w:ascii="Times New Roman" w:eastAsia="Times New Roman" w:hAnsi="Times New Roman" w:cs="Times New Roman"/>
          <w:color w:val="000000"/>
          <w:lang w:val="en-US" w:eastAsia="ru-RU"/>
        </w:rPr>
        <w:t>ORCID: 0000-0002-4625-5434</w:t>
      </w:r>
    </w:p>
    <w:p w14:paraId="0C033B98" w14:textId="77777777" w:rsidR="00234CF7" w:rsidRPr="00CE5BA7" w:rsidRDefault="00234CF7" w:rsidP="00234CF7">
      <w:pPr>
        <w:spacing w:after="0" w:line="240" w:lineRule="auto"/>
        <w:jc w:val="right"/>
        <w:rPr>
          <w:rFonts w:ascii="Times New Roman" w:eastAsia="Times New Roman" w:hAnsi="Times New Roman" w:cs="Times New Roman"/>
          <w:color w:val="000000"/>
          <w:lang w:val="en-US" w:eastAsia="ru-RU"/>
        </w:rPr>
      </w:pPr>
    </w:p>
    <w:p w14:paraId="7311DBD4" w14:textId="77777777" w:rsidR="00234CF7" w:rsidRPr="00CE5BA7" w:rsidRDefault="00234CF7" w:rsidP="00234CF7">
      <w:pPr>
        <w:spacing w:after="0" w:line="240" w:lineRule="auto"/>
        <w:jc w:val="right"/>
        <w:rPr>
          <w:rFonts w:ascii="Times New Roman" w:eastAsia="Times New Roman" w:hAnsi="Times New Roman" w:cs="Times New Roman"/>
          <w:color w:val="000000"/>
          <w:lang w:val="en-US" w:eastAsia="ru-RU"/>
        </w:rPr>
      </w:pPr>
      <w:proofErr w:type="spellStart"/>
      <w:r w:rsidRPr="00CE5BA7">
        <w:rPr>
          <w:rFonts w:ascii="Times New Roman" w:eastAsia="Times New Roman" w:hAnsi="Times New Roman" w:cs="Times New Roman"/>
          <w:color w:val="000000"/>
          <w:lang w:val="en-US" w:eastAsia="ru-RU"/>
        </w:rPr>
        <w:t>Fursov</w:t>
      </w:r>
      <w:proofErr w:type="spellEnd"/>
      <w:r w:rsidRPr="00CE5BA7">
        <w:rPr>
          <w:rFonts w:ascii="Times New Roman" w:eastAsia="Times New Roman" w:hAnsi="Times New Roman" w:cs="Times New Roman"/>
          <w:color w:val="000000"/>
          <w:lang w:val="en-US" w:eastAsia="ru-RU"/>
        </w:rPr>
        <w:t xml:space="preserve"> Daniil </w:t>
      </w:r>
      <w:proofErr w:type="spellStart"/>
      <w:r w:rsidRPr="00CE5BA7">
        <w:rPr>
          <w:rFonts w:ascii="Times New Roman" w:eastAsia="Times New Roman" w:hAnsi="Times New Roman" w:cs="Times New Roman"/>
          <w:color w:val="000000"/>
          <w:lang w:val="en-US" w:eastAsia="ru-RU"/>
        </w:rPr>
        <w:t>Vasilievich</w:t>
      </w:r>
      <w:proofErr w:type="spellEnd"/>
    </w:p>
    <w:p w14:paraId="0F2B5B44" w14:textId="77777777" w:rsidR="00234CF7" w:rsidRPr="00CE5BA7" w:rsidRDefault="00234CF7" w:rsidP="00234CF7">
      <w:pPr>
        <w:spacing w:after="0" w:line="240" w:lineRule="auto"/>
        <w:jc w:val="right"/>
        <w:rPr>
          <w:rFonts w:ascii="Times New Roman" w:eastAsia="Times New Roman" w:hAnsi="Times New Roman" w:cs="Times New Roman"/>
          <w:color w:val="000000"/>
          <w:lang w:val="en-US" w:eastAsia="ru-RU"/>
        </w:rPr>
      </w:pPr>
      <w:r w:rsidRPr="00CE5BA7">
        <w:rPr>
          <w:rFonts w:ascii="Times New Roman" w:eastAsia="Times New Roman" w:hAnsi="Times New Roman" w:cs="Times New Roman"/>
          <w:color w:val="000000"/>
          <w:lang w:val="en-US" w:eastAsia="ru-RU"/>
        </w:rPr>
        <w:t>Vladivostok State University,</w:t>
      </w:r>
    </w:p>
    <w:p w14:paraId="0D58EDF0" w14:textId="77777777" w:rsidR="00234CF7" w:rsidRPr="00CE5BA7" w:rsidRDefault="00234CF7" w:rsidP="00234CF7">
      <w:pPr>
        <w:spacing w:after="0" w:line="240" w:lineRule="auto"/>
        <w:jc w:val="right"/>
        <w:rPr>
          <w:rFonts w:ascii="Times New Roman" w:eastAsia="Times New Roman" w:hAnsi="Times New Roman" w:cs="Times New Roman"/>
          <w:color w:val="000000"/>
          <w:lang w:val="en-US" w:eastAsia="ru-RU"/>
        </w:rPr>
      </w:pPr>
      <w:r w:rsidRPr="00CE5BA7">
        <w:rPr>
          <w:rFonts w:ascii="Times New Roman" w:eastAsia="Times New Roman" w:hAnsi="Times New Roman" w:cs="Times New Roman"/>
          <w:color w:val="000000"/>
          <w:lang w:val="en-US" w:eastAsia="ru-RU"/>
        </w:rPr>
        <w:t>Vladivostok, Russian Federation</w:t>
      </w:r>
    </w:p>
    <w:p w14:paraId="27ACC670" w14:textId="77777777" w:rsidR="00234CF7" w:rsidRPr="00CE5BA7" w:rsidRDefault="00234CF7" w:rsidP="00234CF7">
      <w:pPr>
        <w:spacing w:after="0" w:line="240" w:lineRule="auto"/>
        <w:jc w:val="right"/>
        <w:rPr>
          <w:rFonts w:ascii="Times New Roman" w:eastAsia="Times New Roman" w:hAnsi="Times New Roman" w:cs="Times New Roman"/>
          <w:color w:val="000000"/>
          <w:lang w:val="en-US" w:eastAsia="ru-RU"/>
        </w:rPr>
      </w:pPr>
      <w:r w:rsidRPr="00CE5BA7">
        <w:rPr>
          <w:rFonts w:ascii="Times New Roman" w:eastAsia="Times New Roman" w:hAnsi="Times New Roman" w:cs="Times New Roman"/>
          <w:color w:val="000000"/>
          <w:lang w:val="en-US" w:eastAsia="ru-RU"/>
        </w:rPr>
        <w:t>E-mail: gagarin12345bodgan@gmail.com</w:t>
      </w:r>
    </w:p>
    <w:p w14:paraId="4C8F756C" w14:textId="485078DC" w:rsidR="00234CF7" w:rsidRPr="00CE5BA7" w:rsidRDefault="00234CF7" w:rsidP="00234CF7">
      <w:pPr>
        <w:spacing w:after="0" w:line="240" w:lineRule="auto"/>
        <w:jc w:val="right"/>
        <w:rPr>
          <w:rFonts w:ascii="Times New Roman" w:eastAsia="Times New Roman" w:hAnsi="Times New Roman" w:cs="Times New Roman"/>
          <w:color w:val="000000"/>
          <w:lang w:val="en-US" w:eastAsia="ru-RU"/>
        </w:rPr>
      </w:pPr>
      <w:r w:rsidRPr="00CE5BA7">
        <w:rPr>
          <w:rFonts w:ascii="Times New Roman" w:eastAsia="Times New Roman" w:hAnsi="Times New Roman" w:cs="Times New Roman"/>
          <w:color w:val="000000"/>
          <w:lang w:val="en-US" w:eastAsia="ru-RU"/>
        </w:rPr>
        <w:t>ORCID: 0009-0009-7586-1116</w:t>
      </w:r>
    </w:p>
    <w:p w14:paraId="52395C46" w14:textId="77777777" w:rsidR="00234CF7" w:rsidRPr="00234CF7" w:rsidRDefault="00234CF7" w:rsidP="00234CF7">
      <w:pPr>
        <w:spacing w:after="0" w:line="240" w:lineRule="auto"/>
        <w:jc w:val="right"/>
        <w:rPr>
          <w:rFonts w:ascii="Times New Roman" w:eastAsia="Times New Roman" w:hAnsi="Times New Roman" w:cs="Times New Roman"/>
          <w:color w:val="000000"/>
          <w:sz w:val="24"/>
          <w:szCs w:val="24"/>
          <w:lang w:val="en-US" w:eastAsia="ru-RU"/>
        </w:rPr>
      </w:pPr>
    </w:p>
    <w:p w14:paraId="18B497F8" w14:textId="79160683" w:rsidR="001671B1" w:rsidRPr="00697A41" w:rsidRDefault="001671B1" w:rsidP="00234CF7">
      <w:pPr>
        <w:ind w:firstLine="708"/>
        <w:rPr>
          <w:rFonts w:ascii="Times New Roman" w:hAnsi="Times New Roman" w:cs="Times New Roman"/>
          <w:lang w:val="en-US"/>
        </w:rPr>
      </w:pPr>
      <w:r w:rsidRPr="00CE5BA7">
        <w:rPr>
          <w:rFonts w:ascii="Times New Roman" w:hAnsi="Times New Roman" w:cs="Times New Roman"/>
          <w:b/>
          <w:bCs/>
          <w:lang w:val="en-US"/>
        </w:rPr>
        <w:t xml:space="preserve">Abstract. </w:t>
      </w:r>
      <w:r w:rsidR="001C3A7B" w:rsidRPr="00CE5BA7">
        <w:rPr>
          <w:rFonts w:ascii="Times New Roman" w:hAnsi="Times New Roman" w:cs="Times New Roman"/>
          <w:lang w:val="en-US"/>
        </w:rPr>
        <w:t xml:space="preserve">This article examines the regional factors in </w:t>
      </w:r>
      <w:proofErr w:type="spellStart"/>
      <w:r w:rsidR="001C3A7B" w:rsidRPr="00CE5BA7">
        <w:rPr>
          <w:rFonts w:ascii="Times New Roman" w:hAnsi="Times New Roman" w:cs="Times New Roman"/>
          <w:lang w:val="en-US"/>
        </w:rPr>
        <w:t>Primorsky</w:t>
      </w:r>
      <w:proofErr w:type="spellEnd"/>
      <w:r w:rsidR="001C3A7B" w:rsidRPr="00CE5BA7">
        <w:rPr>
          <w:rFonts w:ascii="Times New Roman" w:hAnsi="Times New Roman" w:cs="Times New Roman"/>
          <w:lang w:val="en-US"/>
        </w:rPr>
        <w:t xml:space="preserve"> Krai that shape the ability of local trade enterprises to adapt to change. Based on official statistics and industry sources, seven groups of factors are identified — from demographic and infrastructural to digital and foreign policy. For each group, both challenges and opportunities for business are outlined. The definition of adaptive capacity is formulated specifically for trade enterprises. The proposed classification can be used by companies to assess regional risks and adjust strategies</w:t>
      </w:r>
      <w:r w:rsidR="00697A41" w:rsidRPr="00697A41">
        <w:rPr>
          <w:rFonts w:ascii="Times New Roman" w:hAnsi="Times New Roman" w:cs="Times New Roman"/>
          <w:lang w:val="en-US"/>
        </w:rPr>
        <w:t>.</w:t>
      </w:r>
    </w:p>
    <w:p w14:paraId="7CDFDFD1" w14:textId="1CBD480F" w:rsidR="00CE5BA7" w:rsidRPr="00CE5BA7" w:rsidRDefault="0042575D" w:rsidP="00CE5BA7">
      <w:pPr>
        <w:ind w:firstLine="708"/>
        <w:rPr>
          <w:rFonts w:ascii="Times New Roman" w:hAnsi="Times New Roman" w:cs="Times New Roman"/>
          <w:lang w:val="en-US"/>
        </w:rPr>
      </w:pPr>
      <w:r w:rsidRPr="00CE5BA7">
        <w:rPr>
          <w:rFonts w:ascii="Times New Roman" w:hAnsi="Times New Roman" w:cs="Times New Roman"/>
          <w:b/>
          <w:bCs/>
          <w:lang w:val="en-US"/>
        </w:rPr>
        <w:t>Keywords:</w:t>
      </w:r>
      <w:r w:rsidRPr="00CE5BA7">
        <w:rPr>
          <w:rFonts w:ascii="Times New Roman" w:hAnsi="Times New Roman" w:cs="Times New Roman"/>
          <w:lang w:val="en-US"/>
        </w:rPr>
        <w:t xml:space="preserve"> </w:t>
      </w:r>
      <w:r w:rsidR="00490D9B" w:rsidRPr="00CE5BA7">
        <w:rPr>
          <w:rFonts w:ascii="Times New Roman" w:hAnsi="Times New Roman" w:cs="Times New Roman"/>
          <w:lang w:val="en-US"/>
        </w:rPr>
        <w:t xml:space="preserve">regional economics; adaptive capacity; trade enterprises; </w:t>
      </w:r>
      <w:proofErr w:type="spellStart"/>
      <w:r w:rsidR="00490D9B" w:rsidRPr="00CE5BA7">
        <w:rPr>
          <w:rFonts w:ascii="Times New Roman" w:hAnsi="Times New Roman" w:cs="Times New Roman"/>
          <w:lang w:val="en-US"/>
        </w:rPr>
        <w:t>Primorsky</w:t>
      </w:r>
      <w:proofErr w:type="spellEnd"/>
      <w:r w:rsidR="00490D9B" w:rsidRPr="00CE5BA7">
        <w:rPr>
          <w:rFonts w:ascii="Times New Roman" w:hAnsi="Times New Roman" w:cs="Times New Roman"/>
          <w:lang w:val="en-US"/>
        </w:rPr>
        <w:t xml:space="preserve"> Krai; factor classification; challenges and opportunities</w:t>
      </w:r>
      <w:r w:rsidR="00CE5BA7">
        <w:rPr>
          <w:rFonts w:ascii="Times New Roman" w:hAnsi="Times New Roman" w:cs="Times New Roman"/>
          <w:lang w:val="en-US"/>
        </w:rPr>
        <w:br/>
      </w:r>
      <w:r w:rsidR="00CE5BA7" w:rsidRPr="00CE5BA7">
        <w:rPr>
          <w:rFonts w:ascii="Times New Roman" w:hAnsi="Times New Roman" w:cs="Times New Roman"/>
          <w:b/>
          <w:bCs/>
          <w:lang w:val="en-US"/>
        </w:rPr>
        <w:t xml:space="preserve">Citation: </w:t>
      </w:r>
      <w:proofErr w:type="spellStart"/>
      <w:r w:rsidR="00CE5BA7" w:rsidRPr="00CE5BA7">
        <w:rPr>
          <w:rFonts w:ascii="Times New Roman" w:hAnsi="Times New Roman" w:cs="Times New Roman"/>
          <w:lang w:val="en-US"/>
        </w:rPr>
        <w:t>Bubnovskaya</w:t>
      </w:r>
      <w:proofErr w:type="spellEnd"/>
      <w:r w:rsidR="00CE5BA7" w:rsidRPr="00CE5BA7">
        <w:rPr>
          <w:rFonts w:ascii="Times New Roman" w:hAnsi="Times New Roman" w:cs="Times New Roman"/>
          <w:lang w:val="en-US"/>
        </w:rPr>
        <w:t xml:space="preserve"> T.V., </w:t>
      </w:r>
      <w:proofErr w:type="spellStart"/>
      <w:r w:rsidR="00CE5BA7" w:rsidRPr="00CE5BA7">
        <w:rPr>
          <w:rFonts w:ascii="Times New Roman" w:hAnsi="Times New Roman" w:cs="Times New Roman"/>
          <w:lang w:val="en-US"/>
        </w:rPr>
        <w:t>Fursov</w:t>
      </w:r>
      <w:proofErr w:type="spellEnd"/>
      <w:r w:rsidR="00CE5BA7" w:rsidRPr="00CE5BA7">
        <w:rPr>
          <w:rFonts w:ascii="Times New Roman" w:hAnsi="Times New Roman" w:cs="Times New Roman"/>
          <w:lang w:val="en-US"/>
        </w:rPr>
        <w:t xml:space="preserve"> D.V. Specifics of regional markets as a determinant of adaptive capacity of trade enterprises // </w:t>
      </w:r>
      <w:proofErr w:type="spellStart"/>
      <w:r w:rsidR="00CE5BA7" w:rsidRPr="00CE5BA7">
        <w:rPr>
          <w:rFonts w:ascii="Times New Roman" w:hAnsi="Times New Roman" w:cs="Times New Roman"/>
          <w:lang w:val="en-US"/>
        </w:rPr>
        <w:t>Vestnik</w:t>
      </w:r>
      <w:proofErr w:type="spellEnd"/>
      <w:r w:rsidR="00CE5BA7" w:rsidRPr="00CE5BA7">
        <w:rPr>
          <w:rFonts w:ascii="Times New Roman" w:hAnsi="Times New Roman" w:cs="Times New Roman"/>
          <w:lang w:val="en-US"/>
        </w:rPr>
        <w:t xml:space="preserve"> of Samara University. Economics and Management. 202X. Vol. XX, no. X. P. XX–XX. DOI: http://doi.org/10.18287/2542-0461-202X-XX-X-XX-XX.</w:t>
      </w:r>
      <w:r w:rsidR="00CE5BA7">
        <w:rPr>
          <w:rFonts w:ascii="Times New Roman" w:hAnsi="Times New Roman" w:cs="Times New Roman"/>
          <w:lang w:val="en-US"/>
        </w:rPr>
        <w:br/>
      </w:r>
      <w:r w:rsidR="00CE5BA7" w:rsidRPr="00CE5BA7">
        <w:rPr>
          <w:rFonts w:ascii="Times New Roman" w:hAnsi="Times New Roman" w:cs="Times New Roman"/>
          <w:b/>
          <w:bCs/>
          <w:lang w:val="en-US"/>
        </w:rPr>
        <w:t xml:space="preserve">Conflict of interest: </w:t>
      </w:r>
      <w:r w:rsidR="00CE5BA7" w:rsidRPr="00CE5BA7">
        <w:rPr>
          <w:rFonts w:ascii="Times New Roman" w:hAnsi="Times New Roman" w:cs="Times New Roman"/>
          <w:lang w:val="en-US"/>
        </w:rPr>
        <w:t>The authors declare no conflict of interest.</w:t>
      </w:r>
    </w:p>
    <w:p w14:paraId="41450216" w14:textId="06F9FA69" w:rsidR="00CE5BA7" w:rsidRPr="00CE5BA7" w:rsidRDefault="00CE5BA7" w:rsidP="00CE5BA7">
      <w:pPr>
        <w:rPr>
          <w:rFonts w:ascii="Times New Roman" w:hAnsi="Times New Roman" w:cs="Times New Roman"/>
          <w:b/>
          <w:bCs/>
          <w:lang w:val="en-US"/>
        </w:rPr>
      </w:pPr>
      <w:r w:rsidRPr="00CE5BA7">
        <w:rPr>
          <w:rFonts w:ascii="Times New Roman" w:hAnsi="Times New Roman" w:cs="Times New Roman"/>
          <w:b/>
          <w:bCs/>
          <w:lang w:val="en-US"/>
        </w:rPr>
        <w:t xml:space="preserve">© </w:t>
      </w:r>
      <w:proofErr w:type="spellStart"/>
      <w:r w:rsidRPr="00CE5BA7">
        <w:rPr>
          <w:rFonts w:ascii="Times New Roman" w:hAnsi="Times New Roman" w:cs="Times New Roman"/>
          <w:b/>
          <w:bCs/>
          <w:lang w:val="en-US"/>
        </w:rPr>
        <w:t>Bubnovskaya</w:t>
      </w:r>
      <w:proofErr w:type="spellEnd"/>
      <w:r w:rsidRPr="00CE5BA7">
        <w:rPr>
          <w:rFonts w:ascii="Times New Roman" w:hAnsi="Times New Roman" w:cs="Times New Roman"/>
          <w:b/>
          <w:bCs/>
          <w:lang w:val="en-US"/>
        </w:rPr>
        <w:t xml:space="preserve"> T.V., 202X</w:t>
      </w:r>
      <w:r>
        <w:rPr>
          <w:rFonts w:ascii="Times New Roman" w:hAnsi="Times New Roman" w:cs="Times New Roman"/>
          <w:b/>
          <w:bCs/>
          <w:lang w:val="en-US"/>
        </w:rPr>
        <w:br/>
      </w:r>
      <w:proofErr w:type="spellStart"/>
      <w:r w:rsidRPr="00CE5BA7">
        <w:rPr>
          <w:rFonts w:ascii="Times New Roman" w:hAnsi="Times New Roman" w:cs="Times New Roman"/>
          <w:i/>
          <w:iCs/>
          <w:lang w:val="en-US"/>
        </w:rPr>
        <w:t>Bubnovskaya</w:t>
      </w:r>
      <w:proofErr w:type="spellEnd"/>
      <w:r w:rsidRPr="00CE5BA7">
        <w:rPr>
          <w:rFonts w:ascii="Times New Roman" w:hAnsi="Times New Roman" w:cs="Times New Roman"/>
          <w:i/>
          <w:iCs/>
          <w:lang w:val="en-US"/>
        </w:rPr>
        <w:t xml:space="preserve"> T. Viktorovna</w:t>
      </w:r>
      <w:r w:rsidRPr="00CE5BA7">
        <w:rPr>
          <w:rFonts w:ascii="Times New Roman" w:hAnsi="Times New Roman" w:cs="Times New Roman"/>
          <w:lang w:val="en-US"/>
        </w:rPr>
        <w:t xml:space="preserve"> – Candidate of Economic Sciences, Associate Professor, Department of Economics and Management, Vladivostok State University, 41 </w:t>
      </w:r>
      <w:proofErr w:type="spellStart"/>
      <w:r w:rsidRPr="00CE5BA7">
        <w:rPr>
          <w:rFonts w:ascii="Times New Roman" w:hAnsi="Times New Roman" w:cs="Times New Roman"/>
          <w:lang w:val="en-US"/>
        </w:rPr>
        <w:t>Gogolya</w:t>
      </w:r>
      <w:proofErr w:type="spellEnd"/>
      <w:r w:rsidRPr="00CE5BA7">
        <w:rPr>
          <w:rFonts w:ascii="Times New Roman" w:hAnsi="Times New Roman" w:cs="Times New Roman"/>
          <w:lang w:val="en-US"/>
        </w:rPr>
        <w:t xml:space="preserve"> St., Vladivostok, Russian Federation, 690014.</w:t>
      </w:r>
    </w:p>
    <w:p w14:paraId="25F71B4B" w14:textId="413356D0" w:rsidR="00CE5BA7" w:rsidRPr="00CE5BA7" w:rsidRDefault="00CE5BA7" w:rsidP="00CE5BA7">
      <w:pPr>
        <w:rPr>
          <w:rFonts w:ascii="Times New Roman" w:hAnsi="Times New Roman" w:cs="Times New Roman"/>
          <w:b/>
          <w:bCs/>
          <w:lang w:val="en-US"/>
        </w:rPr>
      </w:pPr>
      <w:r w:rsidRPr="00CE5BA7">
        <w:rPr>
          <w:rFonts w:ascii="Times New Roman" w:hAnsi="Times New Roman" w:cs="Times New Roman"/>
          <w:b/>
          <w:bCs/>
          <w:lang w:val="en-US"/>
        </w:rPr>
        <w:t xml:space="preserve">© </w:t>
      </w:r>
      <w:proofErr w:type="spellStart"/>
      <w:r w:rsidRPr="00CE5BA7">
        <w:rPr>
          <w:rFonts w:ascii="Times New Roman" w:hAnsi="Times New Roman" w:cs="Times New Roman"/>
          <w:b/>
          <w:bCs/>
          <w:lang w:val="en-US"/>
        </w:rPr>
        <w:t>Fursov</w:t>
      </w:r>
      <w:proofErr w:type="spellEnd"/>
      <w:r w:rsidRPr="00CE5BA7">
        <w:rPr>
          <w:rFonts w:ascii="Times New Roman" w:hAnsi="Times New Roman" w:cs="Times New Roman"/>
          <w:b/>
          <w:bCs/>
          <w:lang w:val="en-US"/>
        </w:rPr>
        <w:t xml:space="preserve"> D.V., 202X</w:t>
      </w:r>
      <w:r>
        <w:rPr>
          <w:rFonts w:ascii="Times New Roman" w:hAnsi="Times New Roman" w:cs="Times New Roman"/>
          <w:b/>
          <w:bCs/>
          <w:lang w:val="en-US"/>
        </w:rPr>
        <w:br/>
      </w:r>
      <w:proofErr w:type="spellStart"/>
      <w:r w:rsidRPr="00CE5BA7">
        <w:rPr>
          <w:rFonts w:ascii="Times New Roman" w:hAnsi="Times New Roman" w:cs="Times New Roman"/>
          <w:i/>
          <w:iCs/>
          <w:lang w:val="en-US"/>
        </w:rPr>
        <w:t>Fursov</w:t>
      </w:r>
      <w:proofErr w:type="spellEnd"/>
      <w:r w:rsidRPr="00CE5BA7">
        <w:rPr>
          <w:rFonts w:ascii="Times New Roman" w:hAnsi="Times New Roman" w:cs="Times New Roman"/>
          <w:i/>
          <w:iCs/>
          <w:lang w:val="en-US"/>
        </w:rPr>
        <w:t xml:space="preserve"> D. </w:t>
      </w:r>
      <w:proofErr w:type="spellStart"/>
      <w:r w:rsidRPr="00CE5BA7">
        <w:rPr>
          <w:rFonts w:ascii="Times New Roman" w:hAnsi="Times New Roman" w:cs="Times New Roman"/>
          <w:i/>
          <w:iCs/>
          <w:lang w:val="en-US"/>
        </w:rPr>
        <w:t>Vasilievich</w:t>
      </w:r>
      <w:proofErr w:type="spellEnd"/>
      <w:r w:rsidRPr="00CE5BA7">
        <w:rPr>
          <w:rFonts w:ascii="Times New Roman" w:hAnsi="Times New Roman" w:cs="Times New Roman"/>
          <w:lang w:val="en-US"/>
        </w:rPr>
        <w:t xml:space="preserve"> – Postgraduate Student, Department of Economics and Management, Vladivostok State University, 41 </w:t>
      </w:r>
      <w:proofErr w:type="spellStart"/>
      <w:r w:rsidRPr="00CE5BA7">
        <w:rPr>
          <w:rFonts w:ascii="Times New Roman" w:hAnsi="Times New Roman" w:cs="Times New Roman"/>
          <w:lang w:val="en-US"/>
        </w:rPr>
        <w:t>Gogolya</w:t>
      </w:r>
      <w:proofErr w:type="spellEnd"/>
      <w:r w:rsidRPr="00CE5BA7">
        <w:rPr>
          <w:rFonts w:ascii="Times New Roman" w:hAnsi="Times New Roman" w:cs="Times New Roman"/>
          <w:lang w:val="en-US"/>
        </w:rPr>
        <w:t xml:space="preserve"> St., Vladivostok, Russian Federation, 690014.</w:t>
      </w:r>
    </w:p>
    <w:p w14:paraId="230FA3C3" w14:textId="77777777" w:rsidR="0042575D" w:rsidRPr="001F5DBB" w:rsidRDefault="0042575D" w:rsidP="001F5DBB">
      <w:pPr>
        <w:spacing w:line="240" w:lineRule="auto"/>
        <w:ind w:firstLine="709"/>
        <w:rPr>
          <w:rFonts w:ascii="Times New Roman" w:hAnsi="Times New Roman" w:cs="Times New Roman"/>
          <w:sz w:val="24"/>
          <w:szCs w:val="24"/>
          <w:lang w:val="en-US"/>
        </w:rPr>
      </w:pPr>
    </w:p>
    <w:p w14:paraId="14AD7BA8" w14:textId="77777777" w:rsidR="00DE0C67" w:rsidRPr="00CE5BA7" w:rsidRDefault="00DE0C67" w:rsidP="00CE5BA7">
      <w:pPr>
        <w:spacing w:after="0" w:line="240" w:lineRule="auto"/>
        <w:ind w:firstLine="709"/>
        <w:rPr>
          <w:rFonts w:ascii="Times New Roman" w:hAnsi="Times New Roman" w:cs="Times New Roman"/>
          <w:b/>
          <w:bCs/>
        </w:rPr>
      </w:pPr>
      <w:r w:rsidRPr="00CE5BA7">
        <w:rPr>
          <w:rFonts w:ascii="Times New Roman" w:hAnsi="Times New Roman" w:cs="Times New Roman"/>
          <w:b/>
          <w:bCs/>
        </w:rPr>
        <w:t>Введение</w:t>
      </w:r>
    </w:p>
    <w:p w14:paraId="661C03BE" w14:textId="6CAC07F0" w:rsidR="00673C1F" w:rsidRPr="00CE5BA7" w:rsidRDefault="00C91F8E" w:rsidP="00673C1F">
      <w:pPr>
        <w:spacing w:after="0" w:line="240" w:lineRule="auto"/>
        <w:ind w:firstLine="709"/>
        <w:jc w:val="both"/>
        <w:rPr>
          <w:rFonts w:ascii="Times New Roman" w:hAnsi="Times New Roman" w:cs="Times New Roman"/>
        </w:rPr>
      </w:pPr>
      <w:bookmarkStart w:id="0" w:name="_Hlk225242956"/>
      <w:r w:rsidRPr="00CE5BA7">
        <w:rPr>
          <w:rFonts w:ascii="Times New Roman" w:hAnsi="Times New Roman" w:cs="Times New Roman"/>
        </w:rPr>
        <w:t>Торговля относится к числу отраслей, наиболее чувствительных к изменениям внешней среды. Динамика данного сектора оперативно отражает колебания доходов населения, логистические нарушения и инфляционные процессы.</w:t>
      </w:r>
      <w:r w:rsidR="00673C1F" w:rsidRPr="00CE5BA7">
        <w:rPr>
          <w:rFonts w:ascii="Times New Roman" w:hAnsi="Times New Roman" w:cs="Times New Roman"/>
        </w:rPr>
        <w:t xml:space="preserve"> Но если для центральных регионов России эти вызовы более или менее предсказуемы, то в Приморском крае картина принципиально иная. Приграничное положение, близость крупнейших экономик АТР, удалённость от основных производственных и распределительных центров страны — всё это превращает регион </w:t>
      </w:r>
      <w:r w:rsidRPr="00CE5BA7">
        <w:rPr>
          <w:rFonts w:ascii="Times New Roman" w:hAnsi="Times New Roman" w:cs="Times New Roman"/>
        </w:rPr>
        <w:t>характеризуется высокой степенью нестабильности</w:t>
      </w:r>
      <w:r w:rsidR="00673C1F" w:rsidRPr="00CE5BA7">
        <w:rPr>
          <w:rFonts w:ascii="Times New Roman" w:hAnsi="Times New Roman" w:cs="Times New Roman"/>
        </w:rPr>
        <w:t>. Здесь общефедеральные тренды накладываются на локальную специфику, и в результате торговый бизнес сталкивается с таким набором условий, который в других регионах либо отсутствует, либо выражен гораздо слабее.</w:t>
      </w:r>
    </w:p>
    <w:p w14:paraId="3064D79B" w14:textId="77777777" w:rsidR="00673C1F" w:rsidRPr="00CE5BA7" w:rsidRDefault="00673C1F" w:rsidP="00673C1F">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В экономической теории ответ на вопрос о роли территориального фактора не был линейным. Долгое время пространство в экономических моделях считалось нейтральным — предполагалось, что капитал и труд мобильны, а законы рынка универсальны. Но региональная экономика как самостоятельное направление сложилась именно благодаря обратному наблюдению: предприятия в разных регионах одной страны демонстрируют устойчивые различия в эффективности, даже если работают в одной отрасли. А.Г. </w:t>
      </w:r>
      <w:proofErr w:type="spellStart"/>
      <w:r w:rsidRPr="00CE5BA7">
        <w:rPr>
          <w:rFonts w:ascii="Times New Roman" w:hAnsi="Times New Roman" w:cs="Times New Roman"/>
        </w:rPr>
        <w:t>Гранберг</w:t>
      </w:r>
      <w:proofErr w:type="spellEnd"/>
      <w:r w:rsidRPr="00CE5BA7">
        <w:rPr>
          <w:rFonts w:ascii="Times New Roman" w:hAnsi="Times New Roman" w:cs="Times New Roman"/>
        </w:rPr>
        <w:t>, чьи работы заложили основу этой научной традиции, настаивал: региональные различия — не временное явление, а устойчивая характеристика любой национальной экономики.</w:t>
      </w:r>
    </w:p>
    <w:p w14:paraId="4B9AC454" w14:textId="0C5DDA17" w:rsidR="00673C1F" w:rsidRPr="00CE5BA7" w:rsidRDefault="00C91F8E" w:rsidP="00673C1F">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Дальнейшее развитие данный подход получил в работах М. Портера. </w:t>
      </w:r>
      <w:r w:rsidR="00673C1F" w:rsidRPr="00CE5BA7">
        <w:rPr>
          <w:rFonts w:ascii="Times New Roman" w:hAnsi="Times New Roman" w:cs="Times New Roman"/>
        </w:rPr>
        <w:t xml:space="preserve">В его модели «конкурентного ромба» регион — это не просто набор условий, а активный участник, формирующий конкурентные преимущества. </w:t>
      </w:r>
      <w:r w:rsidRPr="00CE5BA7">
        <w:rPr>
          <w:rFonts w:ascii="Times New Roman" w:hAnsi="Times New Roman" w:cs="Times New Roman"/>
        </w:rPr>
        <w:t xml:space="preserve">Спрос в региональной экономике обладает </w:t>
      </w:r>
      <w:r w:rsidRPr="00CE5BA7">
        <w:rPr>
          <w:rFonts w:ascii="Times New Roman" w:hAnsi="Times New Roman" w:cs="Times New Roman"/>
        </w:rPr>
        <w:lastRenderedPageBreak/>
        <w:t>конкретными параметрами</w:t>
      </w:r>
      <w:r w:rsidR="00673C1F" w:rsidRPr="00CE5BA7">
        <w:rPr>
          <w:rFonts w:ascii="Times New Roman" w:hAnsi="Times New Roman" w:cs="Times New Roman"/>
        </w:rPr>
        <w:t>: структура местного потребления, требовательность покупателей, насыщенность рынка — всё это задаёт параметры, к которым предприятие может либо адаптироваться, либо уйти с рынка. К этому позже добавилась и концепция «обучающегося региона» Р. Флориды, которая сместила фокус с того, чем регион располагает, на то, как быстро он учится и перераспределяет знания между участниками экономической деятельности.</w:t>
      </w:r>
    </w:p>
    <w:p w14:paraId="13361F7F" w14:textId="2BDDC9E8" w:rsidR="00673C1F" w:rsidRPr="00CE5BA7" w:rsidRDefault="00673C1F" w:rsidP="00673C1F">
      <w:pPr>
        <w:spacing w:after="0" w:line="240" w:lineRule="auto"/>
        <w:ind w:firstLine="709"/>
        <w:jc w:val="both"/>
        <w:rPr>
          <w:rFonts w:ascii="Times New Roman" w:hAnsi="Times New Roman" w:cs="Times New Roman"/>
        </w:rPr>
      </w:pPr>
      <w:r w:rsidRPr="00CE5BA7">
        <w:rPr>
          <w:rFonts w:ascii="Times New Roman" w:hAnsi="Times New Roman" w:cs="Times New Roman"/>
        </w:rPr>
        <w:t>Но даже в рамках этих теоретических подходов остаётся пробел. Они объясняют, почему регион имеет значение, но не дают готового инструментария для ответа на вопрос: какие именно факторы в конкретном приграничном регионе становятся критическими для торговых предприятий и как эти предприятия формируют свой адаптационный потенциал в ответ на них? В литературе, посвящённой торговле, региональный контекст часто присутствует в виде фоновых статистических показателей, но редко становится предметом систематического анализа с выделением механизмов влияния.</w:t>
      </w:r>
      <w:r w:rsidR="006E11FA" w:rsidRPr="00CE5BA7">
        <w:rPr>
          <w:sz w:val="20"/>
          <w:szCs w:val="20"/>
        </w:rPr>
        <w:t xml:space="preserve"> </w:t>
      </w:r>
      <w:r w:rsidR="006E11FA" w:rsidRPr="00CE5BA7">
        <w:rPr>
          <w:rFonts w:ascii="Times New Roman" w:hAnsi="Times New Roman" w:cs="Times New Roman"/>
        </w:rPr>
        <w:t>Проблема исследования может быть сформулирована следующим образом: каковы специфические факторы региональной среды Приморского края, определяющие адаптационный потенциал предприятий торговли, и как они могут быть систематизированы? Несмотря на обширную литературу по региональной экономике и адаптации бизнеса, отсутствует целостная классификация факторов приграничного региона, учитывающая их взаимосвязь и влияние именно на торговую отрасль. Настоящая статья направлена на заполнение этого пробела.</w:t>
      </w:r>
    </w:p>
    <w:p w14:paraId="563365B1" w14:textId="3FE1421D" w:rsidR="00673C1F" w:rsidRPr="00CE5BA7" w:rsidRDefault="00673C1F" w:rsidP="00673C1F">
      <w:pPr>
        <w:spacing w:after="0" w:line="240" w:lineRule="auto"/>
        <w:ind w:firstLine="709"/>
        <w:jc w:val="both"/>
        <w:rPr>
          <w:rFonts w:ascii="Times New Roman" w:hAnsi="Times New Roman" w:cs="Times New Roman"/>
        </w:rPr>
      </w:pPr>
      <w:r w:rsidRPr="00CE5BA7">
        <w:rPr>
          <w:rFonts w:ascii="Times New Roman" w:hAnsi="Times New Roman" w:cs="Times New Roman"/>
        </w:rPr>
        <w:t>Для Приморского края такой анализ особенно необходим. Здесь экономико-географическое положение созда</w:t>
      </w:r>
      <w:r w:rsidR="00FE0A90" w:rsidRPr="00CE5BA7">
        <w:rPr>
          <w:rFonts w:ascii="Times New Roman" w:hAnsi="Times New Roman" w:cs="Times New Roman"/>
        </w:rPr>
        <w:t>ет</w:t>
      </w:r>
      <w:r w:rsidRPr="00CE5BA7">
        <w:rPr>
          <w:rFonts w:ascii="Times New Roman" w:hAnsi="Times New Roman" w:cs="Times New Roman"/>
        </w:rPr>
        <w:t xml:space="preserve"> специфическ</w:t>
      </w:r>
      <w:r w:rsidR="00FE0A90" w:rsidRPr="00CE5BA7">
        <w:rPr>
          <w:rFonts w:ascii="Times New Roman" w:hAnsi="Times New Roman" w:cs="Times New Roman"/>
        </w:rPr>
        <w:t xml:space="preserve">ие </w:t>
      </w:r>
      <w:r w:rsidRPr="00CE5BA7">
        <w:rPr>
          <w:rFonts w:ascii="Times New Roman" w:hAnsi="Times New Roman" w:cs="Times New Roman"/>
        </w:rPr>
        <w:t>услови</w:t>
      </w:r>
      <w:r w:rsidR="00FE0A90" w:rsidRPr="00CE5BA7">
        <w:rPr>
          <w:rFonts w:ascii="Times New Roman" w:hAnsi="Times New Roman" w:cs="Times New Roman"/>
        </w:rPr>
        <w:t>я</w:t>
      </w:r>
      <w:r w:rsidRPr="00CE5BA7">
        <w:rPr>
          <w:rFonts w:ascii="Times New Roman" w:hAnsi="Times New Roman" w:cs="Times New Roman"/>
        </w:rPr>
        <w:t>. Демографические процессы: рабочая сила сокращается, а миграционные потоки меняют структуру рынка труда. Покупательная способность: номинальные доходы растут, но инфляция в регионе систематически выше среднероссийской. Внешняя торговля: доля стран АТР во внешнеторговом обороте превышает 80%, что делает регион чувствительным к малейшим изменениям в политике соседей. Логистика: модернизация погранпереходов идёт медленнее, чем растёт грузопоток. И на всё это накладываются институциональные изменения — налоговая политика, режимы ТОР, требования к сертификации.</w:t>
      </w:r>
    </w:p>
    <w:p w14:paraId="14DB70B3" w14:textId="0CD1090D" w:rsidR="00DE0C67" w:rsidRPr="00CE5BA7" w:rsidRDefault="00673C1F" w:rsidP="00673C1F">
      <w:pPr>
        <w:spacing w:after="0" w:line="240" w:lineRule="auto"/>
        <w:ind w:firstLine="709"/>
        <w:jc w:val="both"/>
        <w:rPr>
          <w:rFonts w:ascii="Times New Roman" w:hAnsi="Times New Roman" w:cs="Times New Roman"/>
        </w:rPr>
      </w:pPr>
      <w:r w:rsidRPr="00CE5BA7">
        <w:rPr>
          <w:rFonts w:ascii="Times New Roman" w:hAnsi="Times New Roman" w:cs="Times New Roman"/>
        </w:rPr>
        <w:t>Универсальных решений, которые одинаково хорошо работали бы в Москве и во Владивостоке, в таких условиях не существует. Более того, даже бенчмаркинг — инструмент, который традиционно предполагает заимствование лучших практик, — требует осторожного применения: то, что стало конкурентным преимуществом в другом регионе, в условиях Приморья может оказаться невостребованным или даже убыточным.</w:t>
      </w:r>
    </w:p>
    <w:bookmarkEnd w:id="0"/>
    <w:p w14:paraId="4A26AFD8" w14:textId="08433491" w:rsidR="00DE0C67" w:rsidRPr="00CE5BA7" w:rsidRDefault="00DE0C67"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Целью настоящей статьи является выявление и систематизация факторов региональной среды, определяющих адаптационный потенциал предприятий торговли в Приморском крае, а также разработка классификации региональных вызовов и возможностей для торговой отрасли. Для достижения поставленной цели решаются задачи анализа социально-экономического развития региона, выделения ключевых групп факторов и их теоретического обобщения.</w:t>
      </w:r>
    </w:p>
    <w:p w14:paraId="00E42F86" w14:textId="4934C3AA" w:rsidR="00DE0C67" w:rsidRPr="00CE5BA7" w:rsidRDefault="00DE0C67"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Научная новизна работы заключается в разработке авторской классификации факторов региональной среды, учитывающей специфику приграничного региона, а также в формулировке определения адаптационного потенциала предприятия торговли применительно к условиям Приморского края. Полученные результаты могут служить теоретической основой для разработки адаптированных инструментов бенчмаркинга, учитывающих региональную специфику.</w:t>
      </w:r>
    </w:p>
    <w:p w14:paraId="7FCF73D2" w14:textId="77777777" w:rsidR="00DE0C67" w:rsidRPr="00CE5BA7" w:rsidRDefault="00DE0C67" w:rsidP="00963A2F">
      <w:pPr>
        <w:spacing w:after="0" w:line="240" w:lineRule="auto"/>
        <w:ind w:firstLine="709"/>
        <w:jc w:val="both"/>
        <w:rPr>
          <w:rFonts w:ascii="Times New Roman" w:hAnsi="Times New Roman" w:cs="Times New Roman"/>
          <w:b/>
          <w:bCs/>
        </w:rPr>
      </w:pPr>
    </w:p>
    <w:p w14:paraId="150E7897" w14:textId="122C5813" w:rsidR="00A7270A" w:rsidRPr="00CE5BA7" w:rsidRDefault="00A7270A" w:rsidP="00963A2F">
      <w:pPr>
        <w:spacing w:after="0" w:line="240" w:lineRule="auto"/>
        <w:ind w:firstLine="709"/>
        <w:jc w:val="both"/>
        <w:rPr>
          <w:rFonts w:ascii="Times New Roman" w:hAnsi="Times New Roman" w:cs="Times New Roman"/>
          <w:b/>
          <w:bCs/>
        </w:rPr>
      </w:pPr>
      <w:r w:rsidRPr="00CE5BA7">
        <w:rPr>
          <w:rFonts w:ascii="Times New Roman" w:hAnsi="Times New Roman" w:cs="Times New Roman"/>
          <w:b/>
          <w:bCs/>
        </w:rPr>
        <w:t>Теоретические подходы к анализу влияния региональной среды на бизнес</w:t>
      </w:r>
    </w:p>
    <w:p w14:paraId="7F5D600B" w14:textId="76D4B109"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Вопрос о том, как территориальная принадлежность влияет на успешность бизнеса, имеет длительную теоретическую традицию. В классической экономической мысли пространственный фактор часто оставался в тени — предполагалось, что капитал и труд мобильны, а рыночные законы универсальны. Однако развитие региональной экономики во второй половине XX века показало, что «место» имеет значение: предприятия в разных регионах, даже в рамках одной страны, демонстрируют устойчивые различия в эффективности, инновационности и конкурентоспособности.</w:t>
      </w:r>
    </w:p>
    <w:p w14:paraId="2C6EE1F3" w14:textId="52BED79C"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Фундаментальный вклад в понимание роли территории внес </w:t>
      </w:r>
      <w:proofErr w:type="spellStart"/>
      <w:r w:rsidRPr="00CE5BA7">
        <w:rPr>
          <w:rFonts w:ascii="Times New Roman" w:hAnsi="Times New Roman" w:cs="Times New Roman"/>
        </w:rPr>
        <w:t>Гранберг</w:t>
      </w:r>
      <w:proofErr w:type="spellEnd"/>
      <w:r w:rsidRPr="00CE5BA7">
        <w:rPr>
          <w:rFonts w:ascii="Times New Roman" w:hAnsi="Times New Roman" w:cs="Times New Roman"/>
        </w:rPr>
        <w:t xml:space="preserve"> </w:t>
      </w:r>
      <w:r w:rsidR="00BC4E55" w:rsidRPr="00CE5BA7">
        <w:rPr>
          <w:rFonts w:ascii="Times New Roman" w:hAnsi="Times New Roman" w:cs="Times New Roman"/>
        </w:rPr>
        <w:t xml:space="preserve">который </w:t>
      </w:r>
      <w:r w:rsidRPr="00CE5BA7">
        <w:rPr>
          <w:rFonts w:ascii="Times New Roman" w:hAnsi="Times New Roman" w:cs="Times New Roman"/>
        </w:rPr>
        <w:t xml:space="preserve">рассматривает региональную экономику как особую отрасль знания, изучающую закономерности функционирования и развития территориальных систем [1]. По его мнению, экономическое пространство неоднородно, а региональные различия — не временное явление, а устойчивая характеристика любой национальной экономики [1]. Для целей настоящего исследования принципиальное значение имеет положение </w:t>
      </w:r>
      <w:proofErr w:type="spellStart"/>
      <w:r w:rsidRPr="00CE5BA7">
        <w:rPr>
          <w:rFonts w:ascii="Times New Roman" w:hAnsi="Times New Roman" w:cs="Times New Roman"/>
        </w:rPr>
        <w:t>Гранберга</w:t>
      </w:r>
      <w:proofErr w:type="spellEnd"/>
      <w:r w:rsidRPr="00CE5BA7">
        <w:rPr>
          <w:rFonts w:ascii="Times New Roman" w:hAnsi="Times New Roman" w:cs="Times New Roman"/>
        </w:rPr>
        <w:t xml:space="preserve"> о том, что социально-экономическое развитие региона формируется под влиянием комплекса взаимосвязанных условий — экономических, инфраструктурных, социально-демографических и институциональных [1]. Этот </w:t>
      </w:r>
      <w:r w:rsidRPr="00CE5BA7">
        <w:rPr>
          <w:rFonts w:ascii="Times New Roman" w:hAnsi="Times New Roman" w:cs="Times New Roman"/>
        </w:rPr>
        <w:lastRenderedPageBreak/>
        <w:t>подход ляжет в основу классификации факторов региональной среды, разработанной в последующих разделах.</w:t>
      </w:r>
    </w:p>
    <w:p w14:paraId="65D6C022" w14:textId="7C2C6515"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Наиболее влиятельной западной теорией, объясняющей феномен территориальных различий в конкурентоспособности, стала концепция конкурентных преимуществ стран и регионов, разработанная Майклом Портером. В своей фундаментальной работе «Международная конкуренция. Конкурентные преимущества стран» Портер показал, что конкурентоспособность территории не наследуется (через природные ресурсы или дешевую рабочую силу), а создается [2]. Ключевую роль в этом процессе играет так называемый «конкурентный ромб» — система из четырех групп факторов, формирующих среду, в которой действуют местные предприятия [2]. К этим детерминантам относятся: 1) факторные условия (наличие квалифицированных кадров, инфраструктуры, капитала); 2) условия спроса (требовательность местных потребителей); 3) наличие родственных и поддерживающих отраслей (поставщики, сервисные компании); 4) стратегия фирм, их структура и уровень внутренней конкуренции [2].</w:t>
      </w:r>
    </w:p>
    <w:p w14:paraId="619331E7" w14:textId="070FA27A" w:rsidR="00026C7F" w:rsidRPr="00CE5BA7" w:rsidRDefault="00C91F8E"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Портер подчёркивает, что </w:t>
      </w:r>
      <w:r w:rsidR="00026C7F" w:rsidRPr="00CE5BA7">
        <w:rPr>
          <w:rFonts w:ascii="Times New Roman" w:hAnsi="Times New Roman" w:cs="Times New Roman"/>
        </w:rPr>
        <w:t>конкурентное преимущество на основе одного-двух детерминантов возможно только в отраслях с сильной зависимостью от природных ресурсов, но удержать такое преимущество, как правило, не удается [2]. Для устойчивого успеха в наукоемких отраслях необходимо иметь преимущество во всех составных частях «ромба», причем детерминанты образуют систему, компоненты которой взаимно усиливаются [2]. Особое значение Портер придавал тому, что конкурентоспособность создается не отдельными фирмами, а их группами — кластерами, географически сконцентрированными системами взаимосвязанных компаний и организаций [2]. В рамках кластера возникает синергетический эффект: знания и инновации распространяются быстрее, трансакционные издержки снижаются, а конкуренция и кооперация одновременно стимулируют развитие [2].</w:t>
      </w:r>
    </w:p>
    <w:p w14:paraId="60D8B53B" w14:textId="7FD4A661"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Концепция Портера заложила основу для понимания того, что региональная среда — это не просто «фон», а активный участник экономического процесса. </w:t>
      </w:r>
      <w:r w:rsidR="00A94ED8" w:rsidRPr="00CE5BA7">
        <w:rPr>
          <w:rFonts w:ascii="Times New Roman" w:hAnsi="Times New Roman" w:cs="Times New Roman"/>
        </w:rPr>
        <w:t>Но</w:t>
      </w:r>
      <w:r w:rsidRPr="00CE5BA7">
        <w:rPr>
          <w:rFonts w:ascii="Times New Roman" w:hAnsi="Times New Roman" w:cs="Times New Roman"/>
        </w:rPr>
        <w:t xml:space="preserve"> в условиях перехода к экономике знаний акцент сместился с отраслевой структуры на способность региона генерировать, накапливать и передавать знания. Это привело к формированию концепции «обучающегося региона», разработанной в работах Р. Флориды и других исследователей [3]. Ключевая гипотеза данной концепции заключается в том, что в современном мире конкурентоспособность региона определяется его способностью к обучению. Флорида характеризовал успешные регионы как своеобразные «хранилища знаний и идей», формирующие инфраструктуру и среду, облегчающую процессы обмена информацией [3]. Для них характерны непрерывное совершенствование, поиск новых идей, трансформация структур управления на основе сетевого взаимодействия, децентрализация и гибкость в ответ на вызовы внешней среды.</w:t>
      </w:r>
    </w:p>
    <w:p w14:paraId="40D1B8A8" w14:textId="76979302" w:rsidR="00A7270A" w:rsidRPr="00CE5BA7" w:rsidRDefault="00A94ED8"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О</w:t>
      </w:r>
      <w:r w:rsidR="00026C7F" w:rsidRPr="00CE5BA7">
        <w:rPr>
          <w:rFonts w:ascii="Times New Roman" w:hAnsi="Times New Roman" w:cs="Times New Roman"/>
        </w:rPr>
        <w:t xml:space="preserve">бе рассмотренные теоретические традиции подтверждают, что территориальный контекст не является внешним обстоятельством, а выступает активным фактором формирования конкурентоспособности предприятий. Для целей настоящего исследования принципиальное значение имеет возможность структурировать региональную среду через выделение групп факторов (экономических, инфраструктурных, социально-демографических, институциональных), что позволяет перейти к эмпирическому анализу территории Приморского края. </w:t>
      </w:r>
    </w:p>
    <w:p w14:paraId="2FEFA9BD" w14:textId="70E42469" w:rsidR="006E11FA" w:rsidRPr="00CE5BA7" w:rsidRDefault="006E11FA"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Под адаптационным потенциалом предприятия торговли в данной статье понимается: способность предприятия идентифицировать изменения в региональной среде и своевременно трансформировать ключевые бизнес-процессы в ответ на эти изменения, обеспечивая устойчивость и конкурентоспособность в долгосрочной перспективе. Данное определение акцентирует два момента. Во-первых, адаптационный потенциал — это не пассивное приспособление к уже произошедшим изменениям, а активное выявление и предвосхищение будущих сдвигов. Во-вторых, он носит системный характер, требуя комплексной трансформации бизнес-процессов, а не изолированных реакций на отдельные вызовы.</w:t>
      </w:r>
    </w:p>
    <w:p w14:paraId="28BD682F" w14:textId="77777777" w:rsidR="00963A2F" w:rsidRPr="00CE5BA7" w:rsidRDefault="00963A2F" w:rsidP="00963A2F">
      <w:pPr>
        <w:spacing w:after="0" w:line="240" w:lineRule="auto"/>
        <w:ind w:firstLine="709"/>
        <w:jc w:val="both"/>
        <w:rPr>
          <w:rFonts w:ascii="Times New Roman" w:hAnsi="Times New Roman" w:cs="Times New Roman"/>
        </w:rPr>
      </w:pPr>
    </w:p>
    <w:p w14:paraId="20804A5F" w14:textId="60AC76DE" w:rsidR="00A7270A" w:rsidRPr="00CE5BA7" w:rsidRDefault="00A7270A" w:rsidP="00963A2F">
      <w:pPr>
        <w:spacing w:after="0" w:line="240" w:lineRule="auto"/>
        <w:ind w:firstLine="709"/>
        <w:jc w:val="both"/>
        <w:rPr>
          <w:rFonts w:ascii="Times New Roman" w:hAnsi="Times New Roman" w:cs="Times New Roman"/>
          <w:b/>
          <w:bCs/>
        </w:rPr>
      </w:pPr>
      <w:r w:rsidRPr="00CE5BA7">
        <w:rPr>
          <w:rFonts w:ascii="Times New Roman" w:hAnsi="Times New Roman" w:cs="Times New Roman"/>
          <w:b/>
          <w:bCs/>
        </w:rPr>
        <w:t>Социально-экономическая характеристика Приморского края как среды функционирования торговых предприятий</w:t>
      </w:r>
    </w:p>
    <w:p w14:paraId="3486DB62" w14:textId="1F8DCC02"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Приморский край обладает уникальным экономико-географическим положением, которое, согласно логике «конкурентного ромба» Портера</w:t>
      </w:r>
      <w:r w:rsidR="00A94ED8" w:rsidRPr="00CE5BA7">
        <w:rPr>
          <w:rFonts w:ascii="Times New Roman" w:hAnsi="Times New Roman" w:cs="Times New Roman"/>
        </w:rPr>
        <w:t xml:space="preserve"> М.</w:t>
      </w:r>
      <w:r w:rsidRPr="00CE5BA7">
        <w:rPr>
          <w:rFonts w:ascii="Times New Roman" w:hAnsi="Times New Roman" w:cs="Times New Roman"/>
        </w:rPr>
        <w:t xml:space="preserve">, формирует базовые факторные условия для развития бизнеса [2]. Ключевыми характеристиками выступают: приграничное расположение со странами Азиатско-Тихоокеанского региона (КНР, Япония, Республика Корея); наличие развитых видов транспорта (морской, железнодорожный, автомобильный); удаленность от центральных производственных центров и рынков сбыта РФ; специфика традиционной отраслевой структуры с </w:t>
      </w:r>
      <w:r w:rsidRPr="00CE5BA7">
        <w:rPr>
          <w:rFonts w:ascii="Times New Roman" w:hAnsi="Times New Roman" w:cs="Times New Roman"/>
        </w:rPr>
        <w:lastRenderedPageBreak/>
        <w:t xml:space="preserve">учетом природно-климатических условий. Как указывал </w:t>
      </w:r>
      <w:proofErr w:type="spellStart"/>
      <w:r w:rsidRPr="00CE5BA7">
        <w:rPr>
          <w:rFonts w:ascii="Times New Roman" w:hAnsi="Times New Roman" w:cs="Times New Roman"/>
        </w:rPr>
        <w:t>Гранберг</w:t>
      </w:r>
      <w:proofErr w:type="spellEnd"/>
      <w:r w:rsidR="00A94ED8" w:rsidRPr="00CE5BA7">
        <w:rPr>
          <w:rFonts w:ascii="Times New Roman" w:hAnsi="Times New Roman" w:cs="Times New Roman"/>
        </w:rPr>
        <w:t xml:space="preserve"> А.Г.</w:t>
      </w:r>
      <w:r w:rsidRPr="00CE5BA7">
        <w:rPr>
          <w:rFonts w:ascii="Times New Roman" w:hAnsi="Times New Roman" w:cs="Times New Roman"/>
        </w:rPr>
        <w:t>, экономическое пространство России изначально неоднородно, и приграничные регионы обладают особым потенциалом развития, связанным с внешнеэкономической деятельностью [1].</w:t>
      </w:r>
    </w:p>
    <w:p w14:paraId="64C60D9C" w14:textId="26C7917A" w:rsidR="00A7270A"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Теоретические подходы к анализу региональной среды акцентируют значимость отраслевой структуры экономики для формирования конкурентных преимуществ [2]. В Приморском крае структура валового регионального продукта в значительной мере зависит от секторов транспортно-логистической системы и торговли</w:t>
      </w:r>
      <w:r w:rsidR="00582A10" w:rsidRPr="00CE5BA7">
        <w:rPr>
          <w:rFonts w:ascii="Times New Roman" w:hAnsi="Times New Roman" w:cs="Times New Roman"/>
        </w:rPr>
        <w:t xml:space="preserve"> </w:t>
      </w:r>
      <w:r w:rsidRPr="00CE5BA7">
        <w:rPr>
          <w:rFonts w:ascii="Times New Roman" w:hAnsi="Times New Roman" w:cs="Times New Roman"/>
        </w:rPr>
        <w:t xml:space="preserve">[4]. Торговля выступает не просто отраслью по обслуживанию населения, а системообразующим элементом всей региональной хозяйственной системы. Ее доля в ВРП устойчиво высока, что подтверждает тезис </w:t>
      </w:r>
      <w:proofErr w:type="spellStart"/>
      <w:r w:rsidRPr="00CE5BA7">
        <w:rPr>
          <w:rFonts w:ascii="Times New Roman" w:hAnsi="Times New Roman" w:cs="Times New Roman"/>
        </w:rPr>
        <w:t>Гранберга</w:t>
      </w:r>
      <w:proofErr w:type="spellEnd"/>
      <w:r w:rsidRPr="00CE5BA7">
        <w:rPr>
          <w:rFonts w:ascii="Times New Roman" w:hAnsi="Times New Roman" w:cs="Times New Roman"/>
        </w:rPr>
        <w:t xml:space="preserve"> о значимости третичного сектора для регионов с приграничной специализацией [1].</w:t>
      </w:r>
    </w:p>
    <w:p w14:paraId="10331B61" w14:textId="77777777" w:rsidR="00963A2F" w:rsidRDefault="00963A2F" w:rsidP="00963A2F">
      <w:pPr>
        <w:spacing w:after="0" w:line="240" w:lineRule="auto"/>
        <w:ind w:firstLine="709"/>
        <w:jc w:val="both"/>
        <w:rPr>
          <w:rFonts w:ascii="Times New Roman" w:hAnsi="Times New Roman" w:cs="Times New Roman"/>
          <w:sz w:val="24"/>
          <w:szCs w:val="24"/>
        </w:rPr>
      </w:pPr>
      <w:r w:rsidRPr="001F5DBB">
        <w:rPr>
          <w:rFonts w:ascii="Times New Roman" w:hAnsi="Times New Roman" w:cs="Times New Roman"/>
          <w:noProof/>
          <w:sz w:val="24"/>
          <w:szCs w:val="24"/>
          <w:lang w:eastAsia="ru-RU"/>
        </w:rPr>
        <w:drawing>
          <wp:inline distT="0" distB="0" distL="0" distR="0" wp14:anchorId="0AF7D880" wp14:editId="61396C55">
            <wp:extent cx="4572000" cy="2743200"/>
            <wp:effectExtent l="0" t="0" r="0" b="0"/>
            <wp:docPr id="5" name="Диаграмма 5">
              <a:extLst xmlns:a="http://schemas.openxmlformats.org/drawingml/2006/main">
                <a:ext uri="{FF2B5EF4-FFF2-40B4-BE49-F238E27FC236}">
                  <a16:creationId xmlns:a16="http://schemas.microsoft.com/office/drawing/2014/main" id="{BC759DBA-3120-4C75-AB6F-4C160322F25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4422FDE" w14:textId="34EAD7EA" w:rsidR="00A7270A" w:rsidRDefault="00A7270A" w:rsidP="00211F11">
      <w:pPr>
        <w:spacing w:after="0" w:line="240" w:lineRule="auto"/>
        <w:jc w:val="center"/>
        <w:rPr>
          <w:rFonts w:ascii="Times New Roman" w:hAnsi="Times New Roman" w:cs="Times New Roman"/>
        </w:rPr>
      </w:pPr>
      <w:bookmarkStart w:id="1" w:name="_Hlk225164837"/>
      <w:r w:rsidRPr="00CE5BA7">
        <w:rPr>
          <w:rFonts w:ascii="Times New Roman" w:hAnsi="Times New Roman" w:cs="Times New Roman"/>
        </w:rPr>
        <w:t>Рисунок 1 — Структура ВРП Приморского края, 2023 г.</w:t>
      </w:r>
      <w:bookmarkEnd w:id="1"/>
      <w:r w:rsidR="00CE5BA7">
        <w:rPr>
          <w:rFonts w:ascii="Times New Roman" w:hAnsi="Times New Roman" w:cs="Times New Roman"/>
        </w:rPr>
        <w:t xml:space="preserve"> </w:t>
      </w:r>
      <w:r w:rsidRPr="00CE5BA7">
        <w:rPr>
          <w:rFonts w:ascii="Times New Roman" w:hAnsi="Times New Roman" w:cs="Times New Roman"/>
        </w:rPr>
        <w:t>[4]</w:t>
      </w:r>
    </w:p>
    <w:p w14:paraId="7626FEFA" w14:textId="46A92E2E" w:rsidR="00211F11" w:rsidRDefault="00211F11" w:rsidP="00211F11">
      <w:pPr>
        <w:spacing w:after="0" w:line="240" w:lineRule="auto"/>
        <w:jc w:val="center"/>
        <w:rPr>
          <w:rFonts w:ascii="Times New Roman" w:hAnsi="Times New Roman" w:cs="Times New Roman"/>
          <w:lang w:val="en-US"/>
        </w:rPr>
      </w:pPr>
      <w:r w:rsidRPr="00211F11">
        <w:rPr>
          <w:rFonts w:ascii="Times New Roman" w:hAnsi="Times New Roman" w:cs="Times New Roman"/>
          <w:lang w:val="en-US"/>
        </w:rPr>
        <w:t xml:space="preserve">Figure 1 — GRP structure of </w:t>
      </w:r>
      <w:proofErr w:type="spellStart"/>
      <w:r w:rsidRPr="00211F11">
        <w:rPr>
          <w:rFonts w:ascii="Times New Roman" w:hAnsi="Times New Roman" w:cs="Times New Roman"/>
          <w:lang w:val="en-US"/>
        </w:rPr>
        <w:t>Primorsky</w:t>
      </w:r>
      <w:proofErr w:type="spellEnd"/>
      <w:r w:rsidRPr="00211F11">
        <w:rPr>
          <w:rFonts w:ascii="Times New Roman" w:hAnsi="Times New Roman" w:cs="Times New Roman"/>
          <w:lang w:val="en-US"/>
        </w:rPr>
        <w:t xml:space="preserve"> Krai, 2023 [4]</w:t>
      </w:r>
    </w:p>
    <w:p w14:paraId="635D6D0E" w14:textId="77777777" w:rsidR="00211F11" w:rsidRPr="00211F11" w:rsidRDefault="00211F11" w:rsidP="00211F11">
      <w:pPr>
        <w:spacing w:after="0" w:line="240" w:lineRule="auto"/>
        <w:jc w:val="center"/>
        <w:rPr>
          <w:rFonts w:ascii="Times New Roman" w:hAnsi="Times New Roman" w:cs="Times New Roman"/>
          <w:lang w:val="en-US"/>
        </w:rPr>
      </w:pPr>
    </w:p>
    <w:p w14:paraId="5BD95A5F" w14:textId="4ADC07E0" w:rsidR="00A7270A"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В рамках </w:t>
      </w:r>
      <w:proofErr w:type="spellStart"/>
      <w:r w:rsidRPr="00CE5BA7">
        <w:rPr>
          <w:rFonts w:ascii="Times New Roman" w:hAnsi="Times New Roman" w:cs="Times New Roman"/>
        </w:rPr>
        <w:t>портеровской</w:t>
      </w:r>
      <w:proofErr w:type="spellEnd"/>
      <w:r w:rsidRPr="00CE5BA7">
        <w:rPr>
          <w:rFonts w:ascii="Times New Roman" w:hAnsi="Times New Roman" w:cs="Times New Roman"/>
        </w:rPr>
        <w:t xml:space="preserve"> концепции конкурентных преимуществ внешнеторговая деятельность формирует как условия спроса, так и факторные условия для местных предприятий [2]. По данным Центра развития предпринимательства Приморского края, в 2025 г. экспортную деятельность осуществляют 900 предприятий региона [5]. Структура экспорта представлена на рисунке 2.</w:t>
      </w:r>
    </w:p>
    <w:p w14:paraId="7274AF7F" w14:textId="77777777" w:rsidR="00582A10" w:rsidRPr="001F5DBB" w:rsidRDefault="00582A10" w:rsidP="00963A2F">
      <w:pPr>
        <w:spacing w:after="0" w:line="240" w:lineRule="auto"/>
        <w:ind w:firstLine="709"/>
        <w:jc w:val="both"/>
        <w:rPr>
          <w:rFonts w:ascii="Times New Roman" w:hAnsi="Times New Roman" w:cs="Times New Roman"/>
          <w:sz w:val="24"/>
          <w:szCs w:val="24"/>
        </w:rPr>
      </w:pPr>
      <w:r w:rsidRPr="001F5DBB">
        <w:rPr>
          <w:rFonts w:ascii="Times New Roman" w:hAnsi="Times New Roman" w:cs="Times New Roman"/>
          <w:noProof/>
          <w:sz w:val="24"/>
          <w:szCs w:val="24"/>
          <w:lang w:eastAsia="ru-RU"/>
        </w:rPr>
        <w:drawing>
          <wp:inline distT="0" distB="0" distL="0" distR="0" wp14:anchorId="536F4657" wp14:editId="6EEA5E2E">
            <wp:extent cx="4572000" cy="2743200"/>
            <wp:effectExtent l="0" t="0" r="0" b="0"/>
            <wp:docPr id="4" name="Диаграмма 4">
              <a:extLst xmlns:a="http://schemas.openxmlformats.org/drawingml/2006/main">
                <a:ext uri="{FF2B5EF4-FFF2-40B4-BE49-F238E27FC236}">
                  <a16:creationId xmlns:a16="http://schemas.microsoft.com/office/drawing/2014/main" id="{B7EEA3FE-E1D9-4EA0-87A1-A67762717B0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C765614" w14:textId="15DC0576" w:rsidR="00211F11" w:rsidRPr="00CE5BA7" w:rsidRDefault="00A7270A" w:rsidP="00211F11">
      <w:pPr>
        <w:spacing w:after="0" w:line="240" w:lineRule="auto"/>
        <w:jc w:val="center"/>
        <w:rPr>
          <w:rFonts w:ascii="Times New Roman" w:hAnsi="Times New Roman" w:cs="Times New Roman"/>
        </w:rPr>
      </w:pPr>
      <w:bookmarkStart w:id="2" w:name="_Hlk225164855"/>
      <w:r w:rsidRPr="00CE5BA7">
        <w:rPr>
          <w:rFonts w:ascii="Times New Roman" w:hAnsi="Times New Roman" w:cs="Times New Roman"/>
        </w:rPr>
        <w:t>Рис</w:t>
      </w:r>
      <w:r w:rsidR="00211F11">
        <w:rPr>
          <w:rFonts w:ascii="Times New Roman" w:hAnsi="Times New Roman" w:cs="Times New Roman"/>
        </w:rPr>
        <w:t>унок</w:t>
      </w:r>
      <w:r w:rsidRPr="00CE5BA7">
        <w:rPr>
          <w:rFonts w:ascii="Times New Roman" w:hAnsi="Times New Roman" w:cs="Times New Roman"/>
        </w:rPr>
        <w:t xml:space="preserve"> 2 — Структура экспорта Приморского края, 2025 г.</w:t>
      </w:r>
      <w:bookmarkEnd w:id="2"/>
      <w:r w:rsidRPr="00CE5BA7">
        <w:rPr>
          <w:rFonts w:ascii="Times New Roman" w:hAnsi="Times New Roman" w:cs="Times New Roman"/>
        </w:rPr>
        <w:t xml:space="preserve"> [5]</w:t>
      </w:r>
      <w:r w:rsidR="00211F11">
        <w:rPr>
          <w:rFonts w:ascii="Times New Roman" w:hAnsi="Times New Roman" w:cs="Times New Roman"/>
        </w:rPr>
        <w:br/>
      </w:r>
      <w:proofErr w:type="spellStart"/>
      <w:r w:rsidR="00211F11" w:rsidRPr="00211F11">
        <w:rPr>
          <w:rFonts w:ascii="Times New Roman" w:hAnsi="Times New Roman" w:cs="Times New Roman"/>
        </w:rPr>
        <w:t>Figure</w:t>
      </w:r>
      <w:proofErr w:type="spellEnd"/>
      <w:r w:rsidR="00211F11" w:rsidRPr="00211F11">
        <w:rPr>
          <w:rFonts w:ascii="Times New Roman" w:hAnsi="Times New Roman" w:cs="Times New Roman"/>
        </w:rPr>
        <w:t xml:space="preserve"> 2 — </w:t>
      </w:r>
      <w:proofErr w:type="spellStart"/>
      <w:r w:rsidR="00211F11" w:rsidRPr="00211F11">
        <w:rPr>
          <w:rFonts w:ascii="Times New Roman" w:hAnsi="Times New Roman" w:cs="Times New Roman"/>
        </w:rPr>
        <w:t>Export</w:t>
      </w:r>
      <w:proofErr w:type="spellEnd"/>
      <w:r w:rsidR="00211F11" w:rsidRPr="00211F11">
        <w:rPr>
          <w:rFonts w:ascii="Times New Roman" w:hAnsi="Times New Roman" w:cs="Times New Roman"/>
        </w:rPr>
        <w:t xml:space="preserve"> </w:t>
      </w:r>
      <w:proofErr w:type="spellStart"/>
      <w:r w:rsidR="00211F11" w:rsidRPr="00211F11">
        <w:rPr>
          <w:rFonts w:ascii="Times New Roman" w:hAnsi="Times New Roman" w:cs="Times New Roman"/>
        </w:rPr>
        <w:t>structure</w:t>
      </w:r>
      <w:proofErr w:type="spellEnd"/>
      <w:r w:rsidR="00211F11" w:rsidRPr="00211F11">
        <w:rPr>
          <w:rFonts w:ascii="Times New Roman" w:hAnsi="Times New Roman" w:cs="Times New Roman"/>
        </w:rPr>
        <w:t xml:space="preserve"> </w:t>
      </w:r>
      <w:proofErr w:type="spellStart"/>
      <w:r w:rsidR="00211F11" w:rsidRPr="00211F11">
        <w:rPr>
          <w:rFonts w:ascii="Times New Roman" w:hAnsi="Times New Roman" w:cs="Times New Roman"/>
        </w:rPr>
        <w:t>of</w:t>
      </w:r>
      <w:proofErr w:type="spellEnd"/>
      <w:r w:rsidR="00211F11" w:rsidRPr="00211F11">
        <w:rPr>
          <w:rFonts w:ascii="Times New Roman" w:hAnsi="Times New Roman" w:cs="Times New Roman"/>
        </w:rPr>
        <w:t xml:space="preserve"> </w:t>
      </w:r>
      <w:proofErr w:type="spellStart"/>
      <w:r w:rsidR="00211F11" w:rsidRPr="00211F11">
        <w:rPr>
          <w:rFonts w:ascii="Times New Roman" w:hAnsi="Times New Roman" w:cs="Times New Roman"/>
        </w:rPr>
        <w:t>Primorsky</w:t>
      </w:r>
      <w:proofErr w:type="spellEnd"/>
      <w:r w:rsidR="00211F11" w:rsidRPr="00211F11">
        <w:rPr>
          <w:rFonts w:ascii="Times New Roman" w:hAnsi="Times New Roman" w:cs="Times New Roman"/>
        </w:rPr>
        <w:t xml:space="preserve"> </w:t>
      </w:r>
      <w:proofErr w:type="spellStart"/>
      <w:r w:rsidR="00211F11" w:rsidRPr="00211F11">
        <w:rPr>
          <w:rFonts w:ascii="Times New Roman" w:hAnsi="Times New Roman" w:cs="Times New Roman"/>
        </w:rPr>
        <w:t>Krai</w:t>
      </w:r>
      <w:proofErr w:type="spellEnd"/>
      <w:r w:rsidR="00211F11" w:rsidRPr="00211F11">
        <w:rPr>
          <w:rFonts w:ascii="Times New Roman" w:hAnsi="Times New Roman" w:cs="Times New Roman"/>
        </w:rPr>
        <w:t>, 2025</w:t>
      </w:r>
      <w:r w:rsidR="00211F11">
        <w:rPr>
          <w:rFonts w:ascii="Times New Roman" w:hAnsi="Times New Roman" w:cs="Times New Roman"/>
        </w:rPr>
        <w:t xml:space="preserve"> </w:t>
      </w:r>
      <w:r w:rsidR="00211F11" w:rsidRPr="00CE5BA7">
        <w:rPr>
          <w:rFonts w:ascii="Times New Roman" w:hAnsi="Times New Roman" w:cs="Times New Roman"/>
        </w:rPr>
        <w:t>[5]</w:t>
      </w:r>
    </w:p>
    <w:p w14:paraId="25DBF8B1" w14:textId="77777777" w:rsidR="00455DE8" w:rsidRPr="00CE5BA7" w:rsidRDefault="00455DE8" w:rsidP="00455DE8">
      <w:pPr>
        <w:spacing w:after="0" w:line="240" w:lineRule="auto"/>
        <w:jc w:val="both"/>
        <w:rPr>
          <w:rFonts w:ascii="Times New Roman" w:hAnsi="Times New Roman" w:cs="Times New Roman"/>
        </w:rPr>
      </w:pPr>
    </w:p>
    <w:p w14:paraId="6401F06D" w14:textId="5FCF5E8A"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lastRenderedPageBreak/>
        <w:t xml:space="preserve">Проблема диверсификации экспорта, особенно в сфере </w:t>
      </w:r>
      <w:proofErr w:type="spellStart"/>
      <w:r w:rsidRPr="00CE5BA7">
        <w:rPr>
          <w:rFonts w:ascii="Times New Roman" w:hAnsi="Times New Roman" w:cs="Times New Roman"/>
        </w:rPr>
        <w:t>рыбопродукции</w:t>
      </w:r>
      <w:proofErr w:type="spellEnd"/>
      <w:r w:rsidRPr="00CE5BA7">
        <w:rPr>
          <w:rFonts w:ascii="Times New Roman" w:hAnsi="Times New Roman" w:cs="Times New Roman"/>
        </w:rPr>
        <w:t xml:space="preserve">, отражает уязвимость региональной экономики перед внешнеполитическими факторами. Введение с 2022 г. запрета на поставки рыбной продукции в США, ЕС и Великобританию привело к переориентации потоков. Согласно данным М.Г. </w:t>
      </w:r>
      <w:proofErr w:type="spellStart"/>
      <w:r w:rsidRPr="00CE5BA7">
        <w:rPr>
          <w:rFonts w:ascii="Times New Roman" w:hAnsi="Times New Roman" w:cs="Times New Roman"/>
        </w:rPr>
        <w:t>Мазитовой</w:t>
      </w:r>
      <w:proofErr w:type="spellEnd"/>
      <w:r w:rsidRPr="00CE5BA7">
        <w:rPr>
          <w:rFonts w:ascii="Times New Roman" w:hAnsi="Times New Roman" w:cs="Times New Roman"/>
        </w:rPr>
        <w:t>, в январе-мае 2024 г. объем экспорта рыбной продукции из Приморского края снизился, при этом значительная доля общего объема экспорта пришлась на КНР [6]. Снижение экспорта наблюдается и в сегменте древесины ввиду ограничений со стороны Республики Корея [6].</w:t>
      </w:r>
    </w:p>
    <w:p w14:paraId="5143F0DF" w14:textId="316AB012"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В структуре импорта Приморского края преобладают машины и оборудование, что характерно для регионов, выполняющих транзитные функции [1]. Несмотря на санкционное давление, в 2024 г. динамика импорта отражала показатели </w:t>
      </w:r>
      <w:proofErr w:type="spellStart"/>
      <w:r w:rsidRPr="00CE5BA7">
        <w:rPr>
          <w:rFonts w:ascii="Times New Roman" w:hAnsi="Times New Roman" w:cs="Times New Roman"/>
        </w:rPr>
        <w:t>досанкционного</w:t>
      </w:r>
      <w:proofErr w:type="spellEnd"/>
      <w:r w:rsidRPr="00CE5BA7">
        <w:rPr>
          <w:rFonts w:ascii="Times New Roman" w:hAnsi="Times New Roman" w:cs="Times New Roman"/>
        </w:rPr>
        <w:t xml:space="preserve"> периода [6]. По результатам 2024 г. более 80% внешнеторгового оборота пришлось на страны Юго-Восточной Азии в сегменте продуктов химической промышленности и сельхозпродукции благодаря расширению географии партнеров (Вьетнам, Таиланд, Индонезия).</w:t>
      </w:r>
    </w:p>
    <w:p w14:paraId="36E5B9AD" w14:textId="3C61460A" w:rsidR="00A7270A"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Динамика оптовой и розничной торговли. Изменения рынка оптовой и розничной торговли определяются перераспределением географии международной торговли и ценовой динамикой. Н</w:t>
      </w:r>
      <w:r w:rsidR="00582A10" w:rsidRPr="00CE5BA7">
        <w:rPr>
          <w:rFonts w:ascii="Times New Roman" w:hAnsi="Times New Roman" w:cs="Times New Roman"/>
        </w:rPr>
        <w:t xml:space="preserve">иже </w:t>
      </w:r>
      <w:r w:rsidRPr="00CE5BA7">
        <w:rPr>
          <w:rFonts w:ascii="Times New Roman" w:hAnsi="Times New Roman" w:cs="Times New Roman"/>
        </w:rPr>
        <w:t>представлены данные об обороте оптовой и розничной торговли за 2020-2024 гг. [5].</w:t>
      </w:r>
    </w:p>
    <w:p w14:paraId="7FF7455C" w14:textId="77777777" w:rsidR="00963A2F" w:rsidRPr="00CE5BA7" w:rsidRDefault="00963A2F" w:rsidP="00963A2F">
      <w:pPr>
        <w:spacing w:after="0" w:line="240" w:lineRule="auto"/>
        <w:ind w:firstLine="709"/>
        <w:jc w:val="both"/>
        <w:rPr>
          <w:rFonts w:ascii="Times New Roman" w:hAnsi="Times New Roman" w:cs="Times New Roman"/>
        </w:rPr>
      </w:pPr>
      <w:r w:rsidRPr="00CE5BA7">
        <w:rPr>
          <w:rFonts w:ascii="Times New Roman" w:hAnsi="Times New Roman" w:cs="Times New Roman"/>
          <w:noProof/>
          <w:lang w:eastAsia="ru-RU"/>
        </w:rPr>
        <w:drawing>
          <wp:inline distT="0" distB="0" distL="0" distR="0" wp14:anchorId="1CDF28BF" wp14:editId="382AF636">
            <wp:extent cx="4572000" cy="2743200"/>
            <wp:effectExtent l="0" t="0" r="0" b="0"/>
            <wp:docPr id="6" name="Диаграмма 6">
              <a:extLst xmlns:a="http://schemas.openxmlformats.org/drawingml/2006/main">
                <a:ext uri="{FF2B5EF4-FFF2-40B4-BE49-F238E27FC236}">
                  <a16:creationId xmlns:a16="http://schemas.microsoft.com/office/drawing/2014/main" id="{CC24090F-47BB-455D-8FE8-4ECBA9AD058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08B3B36" w14:textId="2FD9DAA0" w:rsidR="00A7270A" w:rsidRPr="00211F11" w:rsidRDefault="00A7270A" w:rsidP="00211F11">
      <w:pPr>
        <w:spacing w:after="0" w:line="240" w:lineRule="auto"/>
        <w:jc w:val="center"/>
        <w:rPr>
          <w:rFonts w:ascii="Times New Roman" w:hAnsi="Times New Roman" w:cs="Times New Roman"/>
          <w:lang w:val="en-US"/>
        </w:rPr>
      </w:pPr>
      <w:bookmarkStart w:id="3" w:name="_Hlk225164872"/>
      <w:r w:rsidRPr="00CE5BA7">
        <w:rPr>
          <w:rFonts w:ascii="Times New Roman" w:hAnsi="Times New Roman" w:cs="Times New Roman"/>
        </w:rPr>
        <w:t>Рис</w:t>
      </w:r>
      <w:r w:rsidR="00211F11">
        <w:rPr>
          <w:rFonts w:ascii="Times New Roman" w:hAnsi="Times New Roman" w:cs="Times New Roman"/>
        </w:rPr>
        <w:t>унок</w:t>
      </w:r>
      <w:r w:rsidRPr="00CE5BA7">
        <w:rPr>
          <w:rFonts w:ascii="Times New Roman" w:hAnsi="Times New Roman" w:cs="Times New Roman"/>
        </w:rPr>
        <w:t xml:space="preserve"> 3 — Изменения оборота оптовой и розничной торговли в Приморском крае, 2020-2024 гг., млрд. руб.</w:t>
      </w:r>
      <w:bookmarkEnd w:id="3"/>
      <w:r w:rsidRPr="00CE5BA7">
        <w:rPr>
          <w:rFonts w:ascii="Times New Roman" w:hAnsi="Times New Roman" w:cs="Times New Roman"/>
        </w:rPr>
        <w:t xml:space="preserve"> </w:t>
      </w:r>
      <w:r w:rsidRPr="00211F11">
        <w:rPr>
          <w:rFonts w:ascii="Times New Roman" w:hAnsi="Times New Roman" w:cs="Times New Roman"/>
          <w:lang w:val="en-US"/>
        </w:rPr>
        <w:t>[5]</w:t>
      </w:r>
    </w:p>
    <w:p w14:paraId="7585DD0D" w14:textId="01FB01B6" w:rsidR="00455DE8" w:rsidRDefault="00211F11" w:rsidP="00211F11">
      <w:pPr>
        <w:spacing w:after="0" w:line="240" w:lineRule="auto"/>
        <w:jc w:val="center"/>
        <w:rPr>
          <w:rFonts w:ascii="Times New Roman" w:hAnsi="Times New Roman" w:cs="Times New Roman"/>
          <w:lang w:val="en-US"/>
        </w:rPr>
      </w:pPr>
      <w:r w:rsidRPr="00211F11">
        <w:rPr>
          <w:rFonts w:ascii="Times New Roman" w:hAnsi="Times New Roman" w:cs="Times New Roman"/>
          <w:lang w:val="en-US"/>
        </w:rPr>
        <w:t xml:space="preserve">Figure 3 — Changes in wholesale and retail trade turnover in </w:t>
      </w:r>
      <w:proofErr w:type="spellStart"/>
      <w:r w:rsidRPr="00211F11">
        <w:rPr>
          <w:rFonts w:ascii="Times New Roman" w:hAnsi="Times New Roman" w:cs="Times New Roman"/>
          <w:lang w:val="en-US"/>
        </w:rPr>
        <w:t>Primorsky</w:t>
      </w:r>
      <w:proofErr w:type="spellEnd"/>
      <w:r w:rsidRPr="00211F11">
        <w:rPr>
          <w:rFonts w:ascii="Times New Roman" w:hAnsi="Times New Roman" w:cs="Times New Roman"/>
          <w:lang w:val="en-US"/>
        </w:rPr>
        <w:t xml:space="preserve"> Krai, 2020-2024, billion rubles [5]</w:t>
      </w:r>
    </w:p>
    <w:p w14:paraId="157D509A" w14:textId="77777777" w:rsidR="00211F11" w:rsidRPr="00211F11" w:rsidRDefault="00211F11" w:rsidP="00963A2F">
      <w:pPr>
        <w:spacing w:after="0" w:line="240" w:lineRule="auto"/>
        <w:jc w:val="both"/>
        <w:rPr>
          <w:rFonts w:ascii="Times New Roman" w:hAnsi="Times New Roman" w:cs="Times New Roman"/>
          <w:lang w:val="en-US"/>
        </w:rPr>
      </w:pPr>
    </w:p>
    <w:p w14:paraId="7CE3203D" w14:textId="019F8DEF"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Данные отражают номинальный рост стоимости, но падение фактического объема как в оптовой, так и в розничной торговле. Эта тенденция соответствует теоретическому положению о том, что инфляционные процессы могут маскировать реальную стагнацию потребительского рынка [1].</w:t>
      </w:r>
    </w:p>
    <w:p w14:paraId="56610D54" w14:textId="65657DFF"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Социально-демографические факторы и рынок труда. В рамках концепции «обучающегося региона» человеческий капитал рассматривается как ключевой ресурс развития [3]. Ю.В. Баранова обращает внимание на то, что иностранная рабочая сила является важным ресурсом реализации инфраструктурных проектов — высокий спрос наблюдается именно в сфере строительства [7]. В то же время пробелы в системе учета и управления потоками иностранных трудовых мигрантов создают риски [7].</w:t>
      </w:r>
    </w:p>
    <w:p w14:paraId="78CD5A04" w14:textId="38275068" w:rsidR="00A7270A"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Согласно данным </w:t>
      </w:r>
      <w:proofErr w:type="spellStart"/>
      <w:r w:rsidRPr="00CE5BA7">
        <w:rPr>
          <w:rFonts w:ascii="Times New Roman" w:hAnsi="Times New Roman" w:cs="Times New Roman"/>
        </w:rPr>
        <w:t>Примстата</w:t>
      </w:r>
      <w:proofErr w:type="spellEnd"/>
      <w:r w:rsidRPr="00CE5BA7">
        <w:rPr>
          <w:rFonts w:ascii="Times New Roman" w:hAnsi="Times New Roman" w:cs="Times New Roman"/>
        </w:rPr>
        <w:t>, численность рабочей силы в Приморском крае с 2017 г. до 2024 г. уменьшилась на 1,6% (с 1 039,9 тыс. чел. до 992,3 тыс. чел.) [8]. На рисунке 4 представлены изменения численности занятости в сфере торговли по кодам ОКВЭД [8].</w:t>
      </w:r>
    </w:p>
    <w:p w14:paraId="5744688B" w14:textId="77777777" w:rsidR="00455DE8" w:rsidRPr="00CE5BA7" w:rsidRDefault="00455DE8" w:rsidP="00963A2F">
      <w:pPr>
        <w:spacing w:after="0" w:line="240" w:lineRule="auto"/>
        <w:ind w:firstLine="709"/>
        <w:jc w:val="both"/>
        <w:rPr>
          <w:rFonts w:ascii="Times New Roman" w:hAnsi="Times New Roman" w:cs="Times New Roman"/>
        </w:rPr>
      </w:pPr>
    </w:p>
    <w:p w14:paraId="699A8F70" w14:textId="77777777"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noProof/>
          <w:lang w:eastAsia="ru-RU"/>
        </w:rPr>
        <w:lastRenderedPageBreak/>
        <w:drawing>
          <wp:inline distT="0" distB="0" distL="0" distR="0" wp14:anchorId="54025304" wp14:editId="7837B41F">
            <wp:extent cx="4572000" cy="2985023"/>
            <wp:effectExtent l="0" t="0" r="0" b="0"/>
            <wp:docPr id="1" name="Диаграмма 1">
              <a:extLst xmlns:a="http://schemas.openxmlformats.org/drawingml/2006/main">
                <a:ext uri="{FF2B5EF4-FFF2-40B4-BE49-F238E27FC236}">
                  <a16:creationId xmlns:a16="http://schemas.microsoft.com/office/drawing/2014/main" id="{08FD5069-2A1C-44A5-AC39-CADCFF289A9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280C281" w14:textId="0C3367D2" w:rsidR="00A7270A" w:rsidRPr="00697A41" w:rsidRDefault="00A7270A" w:rsidP="00211F11">
      <w:pPr>
        <w:spacing w:after="0" w:line="240" w:lineRule="auto"/>
        <w:jc w:val="center"/>
        <w:rPr>
          <w:rFonts w:ascii="Times New Roman" w:hAnsi="Times New Roman" w:cs="Times New Roman"/>
          <w:lang w:val="en-US"/>
        </w:rPr>
      </w:pPr>
      <w:bookmarkStart w:id="4" w:name="_Hlk225164909"/>
      <w:r w:rsidRPr="00CE5BA7">
        <w:rPr>
          <w:rFonts w:ascii="Times New Roman" w:hAnsi="Times New Roman" w:cs="Times New Roman"/>
        </w:rPr>
        <w:t>Рис</w:t>
      </w:r>
      <w:r w:rsidR="00211F11">
        <w:rPr>
          <w:rFonts w:ascii="Times New Roman" w:hAnsi="Times New Roman" w:cs="Times New Roman"/>
        </w:rPr>
        <w:t>унок</w:t>
      </w:r>
      <w:r w:rsidRPr="00CE5BA7">
        <w:rPr>
          <w:rFonts w:ascii="Times New Roman" w:hAnsi="Times New Roman" w:cs="Times New Roman"/>
        </w:rPr>
        <w:t xml:space="preserve"> 4 - Изменения численности занятости в сфере торговли Приморского края по кодам ОКВЭД, чел.</w:t>
      </w:r>
      <w:bookmarkEnd w:id="4"/>
      <w:r w:rsidRPr="00CE5BA7">
        <w:rPr>
          <w:rFonts w:ascii="Times New Roman" w:hAnsi="Times New Roman" w:cs="Times New Roman"/>
        </w:rPr>
        <w:t xml:space="preserve"> </w:t>
      </w:r>
      <w:r w:rsidRPr="00697A41">
        <w:rPr>
          <w:rFonts w:ascii="Times New Roman" w:hAnsi="Times New Roman" w:cs="Times New Roman"/>
          <w:lang w:val="en-US"/>
        </w:rPr>
        <w:t>[8]</w:t>
      </w:r>
    </w:p>
    <w:p w14:paraId="2B22A9CC" w14:textId="170A00AC" w:rsidR="00211F11" w:rsidRPr="00211F11" w:rsidRDefault="00211F11" w:rsidP="00211F11">
      <w:pPr>
        <w:spacing w:after="0" w:line="240" w:lineRule="auto"/>
        <w:jc w:val="center"/>
        <w:rPr>
          <w:rFonts w:ascii="Times New Roman" w:hAnsi="Times New Roman" w:cs="Times New Roman"/>
          <w:lang w:val="en-US"/>
        </w:rPr>
      </w:pPr>
      <w:r w:rsidRPr="00211F11">
        <w:rPr>
          <w:rFonts w:ascii="Times New Roman" w:hAnsi="Times New Roman" w:cs="Times New Roman"/>
          <w:lang w:val="en-US"/>
        </w:rPr>
        <w:t xml:space="preserve">Figure 4 — Changes in employment in the trade sector of </w:t>
      </w:r>
      <w:proofErr w:type="spellStart"/>
      <w:r w:rsidRPr="00211F11">
        <w:rPr>
          <w:rFonts w:ascii="Times New Roman" w:hAnsi="Times New Roman" w:cs="Times New Roman"/>
          <w:lang w:val="en-US"/>
        </w:rPr>
        <w:t>Primorsky</w:t>
      </w:r>
      <w:proofErr w:type="spellEnd"/>
      <w:r w:rsidRPr="00211F11">
        <w:rPr>
          <w:rFonts w:ascii="Times New Roman" w:hAnsi="Times New Roman" w:cs="Times New Roman"/>
          <w:lang w:val="en-US"/>
        </w:rPr>
        <w:t xml:space="preserve"> Krai by OKVED codes, persons [8]</w:t>
      </w:r>
    </w:p>
    <w:p w14:paraId="1039E5BF" w14:textId="77777777" w:rsidR="00455DE8" w:rsidRPr="00211F11" w:rsidRDefault="00455DE8" w:rsidP="00963A2F">
      <w:pPr>
        <w:spacing w:after="0" w:line="240" w:lineRule="auto"/>
        <w:jc w:val="both"/>
        <w:rPr>
          <w:rFonts w:ascii="Times New Roman" w:hAnsi="Times New Roman" w:cs="Times New Roman"/>
          <w:lang w:val="en-US"/>
        </w:rPr>
      </w:pPr>
    </w:p>
    <w:p w14:paraId="50B2CE2A" w14:textId="4A14419C" w:rsidR="00A7270A" w:rsidRPr="00CE5BA7" w:rsidRDefault="00A7270A"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На рисунке 5 представлены изменения доли занятости трудоспособного населения в сфере торговли [8].</w:t>
      </w:r>
    </w:p>
    <w:p w14:paraId="0625CCBA" w14:textId="732BA0E2" w:rsidR="00A7270A" w:rsidRPr="00CE5BA7" w:rsidRDefault="00A7270A" w:rsidP="00963A2F">
      <w:pPr>
        <w:spacing w:after="0" w:line="240" w:lineRule="auto"/>
        <w:ind w:firstLine="709"/>
        <w:jc w:val="both"/>
        <w:rPr>
          <w:rFonts w:ascii="Times New Roman" w:hAnsi="Times New Roman" w:cs="Times New Roman"/>
        </w:rPr>
      </w:pPr>
      <w:r w:rsidRPr="00CE5BA7">
        <w:rPr>
          <w:rFonts w:ascii="Times New Roman" w:hAnsi="Times New Roman" w:cs="Times New Roman"/>
          <w:noProof/>
          <w:lang w:eastAsia="ru-RU"/>
        </w:rPr>
        <w:drawing>
          <wp:inline distT="0" distB="0" distL="0" distR="0" wp14:anchorId="6BC7E979" wp14:editId="6F54AC08">
            <wp:extent cx="4572000" cy="2743200"/>
            <wp:effectExtent l="0" t="0" r="0" b="0"/>
            <wp:docPr id="2" name="Диаграмма 2">
              <a:extLst xmlns:a="http://schemas.openxmlformats.org/drawingml/2006/main">
                <a:ext uri="{FF2B5EF4-FFF2-40B4-BE49-F238E27FC236}">
                  <a16:creationId xmlns:a16="http://schemas.microsoft.com/office/drawing/2014/main" id="{1C65BBCE-4D28-4936-AD25-22459BC7C05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C7D9767" w14:textId="1685AF95" w:rsidR="00A7270A" w:rsidRDefault="00A7270A" w:rsidP="00211F11">
      <w:pPr>
        <w:spacing w:after="0" w:line="240" w:lineRule="auto"/>
        <w:jc w:val="center"/>
        <w:rPr>
          <w:rFonts w:ascii="Times New Roman" w:hAnsi="Times New Roman" w:cs="Times New Roman"/>
        </w:rPr>
      </w:pPr>
      <w:bookmarkStart w:id="5" w:name="_Hlk225164935"/>
      <w:r w:rsidRPr="00CE5BA7">
        <w:rPr>
          <w:rFonts w:ascii="Times New Roman" w:hAnsi="Times New Roman" w:cs="Times New Roman"/>
        </w:rPr>
        <w:t>Рис</w:t>
      </w:r>
      <w:r w:rsidR="00211F11">
        <w:rPr>
          <w:rFonts w:ascii="Times New Roman" w:hAnsi="Times New Roman" w:cs="Times New Roman"/>
        </w:rPr>
        <w:t>унок</w:t>
      </w:r>
      <w:r w:rsidRPr="00CE5BA7">
        <w:rPr>
          <w:rFonts w:ascii="Times New Roman" w:hAnsi="Times New Roman" w:cs="Times New Roman"/>
        </w:rPr>
        <w:t xml:space="preserve"> 5 - Изменения доли занятости трудоспособного населения в сфере торговли Приморского края за период 2017-2024 гг., %</w:t>
      </w:r>
      <w:bookmarkEnd w:id="5"/>
      <w:r w:rsidRPr="00CE5BA7">
        <w:rPr>
          <w:rFonts w:ascii="Times New Roman" w:hAnsi="Times New Roman" w:cs="Times New Roman"/>
        </w:rPr>
        <w:t xml:space="preserve"> [8]</w:t>
      </w:r>
    </w:p>
    <w:p w14:paraId="21ADAAB7" w14:textId="761364E2" w:rsidR="00211F11" w:rsidRDefault="00211F11" w:rsidP="00211F11">
      <w:pPr>
        <w:spacing w:after="0" w:line="240" w:lineRule="auto"/>
        <w:jc w:val="center"/>
        <w:rPr>
          <w:rFonts w:ascii="Times New Roman" w:hAnsi="Times New Roman" w:cs="Times New Roman"/>
          <w:lang w:val="en-US"/>
        </w:rPr>
      </w:pPr>
      <w:r w:rsidRPr="00211F11">
        <w:rPr>
          <w:rFonts w:ascii="Times New Roman" w:hAnsi="Times New Roman" w:cs="Times New Roman"/>
          <w:lang w:val="en-US"/>
        </w:rPr>
        <w:t xml:space="preserve">Figure 5 — Changes in the share of working-age population employed in the trade sector of </w:t>
      </w:r>
      <w:proofErr w:type="spellStart"/>
      <w:r w:rsidRPr="00211F11">
        <w:rPr>
          <w:rFonts w:ascii="Times New Roman" w:hAnsi="Times New Roman" w:cs="Times New Roman"/>
          <w:lang w:val="en-US"/>
        </w:rPr>
        <w:t>Primorsky</w:t>
      </w:r>
      <w:proofErr w:type="spellEnd"/>
      <w:r w:rsidRPr="00211F11">
        <w:rPr>
          <w:rFonts w:ascii="Times New Roman" w:hAnsi="Times New Roman" w:cs="Times New Roman"/>
          <w:lang w:val="en-US"/>
        </w:rPr>
        <w:t xml:space="preserve"> Krai, 2017-2024, %</w:t>
      </w:r>
    </w:p>
    <w:p w14:paraId="61121E85" w14:textId="77777777" w:rsidR="00211F11" w:rsidRPr="00211F11" w:rsidRDefault="00211F11" w:rsidP="00211F11">
      <w:pPr>
        <w:spacing w:after="0" w:line="240" w:lineRule="auto"/>
        <w:jc w:val="center"/>
        <w:rPr>
          <w:rFonts w:ascii="Times New Roman" w:hAnsi="Times New Roman" w:cs="Times New Roman"/>
          <w:lang w:val="en-US"/>
        </w:rPr>
      </w:pPr>
    </w:p>
    <w:p w14:paraId="2DAB11B7" w14:textId="2777952E"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Стабильность доли занятых в торговле при общем сокращении рабочей силы свидетельствует о том, что торговля выполняет роль «буфера» на региональном рынке труда, что согласуется с теоретическими представлениями о функциях третичного сектора в переходных экономиках.</w:t>
      </w:r>
      <w:r w:rsidR="006E11FA" w:rsidRPr="00CE5BA7">
        <w:rPr>
          <w:rFonts w:ascii="Times New Roman" w:hAnsi="Times New Roman" w:cs="Times New Roman"/>
        </w:rPr>
        <w:t xml:space="preserve"> В условиях сокращения численности рабочей силы и высвобождения сотрудников из закрывающихся предприятий других отраслей (например, промышленности) торговля абсорбирует часть высвободившихся кадров, сохраняя долю занятости. Однако для самих торговых предприятий это означает рост конкуренции за квалифицированные кадры и необходимость внедрения трудосберегающих технологий.</w:t>
      </w:r>
    </w:p>
    <w:p w14:paraId="453BCDA8" w14:textId="1B6CF105"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По данным </w:t>
      </w:r>
      <w:proofErr w:type="spellStart"/>
      <w:r w:rsidRPr="00CE5BA7">
        <w:rPr>
          <w:rFonts w:ascii="Times New Roman" w:hAnsi="Times New Roman" w:cs="Times New Roman"/>
        </w:rPr>
        <w:t>Примстата</w:t>
      </w:r>
      <w:proofErr w:type="spellEnd"/>
      <w:r w:rsidRPr="00CE5BA7">
        <w:rPr>
          <w:rFonts w:ascii="Times New Roman" w:hAnsi="Times New Roman" w:cs="Times New Roman"/>
        </w:rPr>
        <w:t xml:space="preserve">, среднемесячные доходы за период 2021-2024 гг. повысились на 57,36% и достигли 64 980 руб. [8]. Однако, согласно информационно-аналитическому комментарию </w:t>
      </w:r>
      <w:r w:rsidRPr="00CE5BA7">
        <w:rPr>
          <w:rFonts w:ascii="Times New Roman" w:hAnsi="Times New Roman" w:cs="Times New Roman"/>
        </w:rPr>
        <w:lastRenderedPageBreak/>
        <w:t>Банка России, в 2024 г. инфляция в Приморском крае составила 9,33%, что выше, чем в ДФО (8,66%) [9]. Рост цен на продовольственные товары произошел по причинам роста мировых цен и удорожания топлива. Последний фактор имел наибольшее влияние на рост цен во всех отраслях. Следовательно, рост реальных доходов существенно ниже номинального, что ограничивает покупательскую способность и, согласно логике «конкурентного ромба» Портера, формирует особые условия спроса, к которым должны адаптироваться торговые предприятия [2].</w:t>
      </w:r>
      <w:r w:rsidR="006E11FA" w:rsidRPr="00CE5BA7">
        <w:rPr>
          <w:rFonts w:ascii="Times New Roman" w:hAnsi="Times New Roman" w:cs="Times New Roman"/>
        </w:rPr>
        <w:t xml:space="preserve"> Торговые предприятия вынуждены адаптировать ассортиментную политику в сторону товаров низкого и среднего ценового сегмента, а также активнее использовать инструменты скидок и программ лояльности. Игнорирование этого тренда ведёт к потере покупателей в пользу дискаунтеров и маркетплейсов.</w:t>
      </w:r>
    </w:p>
    <w:p w14:paraId="73C27565" w14:textId="05529889" w:rsidR="00026C7F" w:rsidRPr="00CE5BA7" w:rsidRDefault="00582A10"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С</w:t>
      </w:r>
      <w:r w:rsidR="00026C7F" w:rsidRPr="00CE5BA7">
        <w:rPr>
          <w:rFonts w:ascii="Times New Roman" w:hAnsi="Times New Roman" w:cs="Times New Roman"/>
        </w:rPr>
        <w:t>оциально-экономическая среда Приморского края характеризуется комплексом взаимосвязанных факторов, которые в своей совокупности создают специфические условия для функционирования торговых предприятий. Эти условия будут систематизированы в следующем разделе.</w:t>
      </w:r>
    </w:p>
    <w:p w14:paraId="4CB281DB" w14:textId="77777777" w:rsidR="00963A2F" w:rsidRPr="00CE5BA7" w:rsidRDefault="00963A2F" w:rsidP="00963A2F">
      <w:pPr>
        <w:spacing w:after="0" w:line="240" w:lineRule="auto"/>
        <w:ind w:firstLine="709"/>
        <w:jc w:val="both"/>
        <w:rPr>
          <w:rFonts w:ascii="Times New Roman" w:hAnsi="Times New Roman" w:cs="Times New Roman"/>
        </w:rPr>
      </w:pPr>
    </w:p>
    <w:p w14:paraId="6B9BBC9D" w14:textId="75011828" w:rsidR="00A7270A" w:rsidRPr="00CE5BA7" w:rsidRDefault="00A7270A" w:rsidP="00963A2F">
      <w:pPr>
        <w:spacing w:after="0" w:line="240" w:lineRule="auto"/>
        <w:ind w:firstLine="709"/>
        <w:jc w:val="both"/>
        <w:rPr>
          <w:rFonts w:ascii="Times New Roman" w:hAnsi="Times New Roman" w:cs="Times New Roman"/>
          <w:b/>
          <w:bCs/>
        </w:rPr>
      </w:pPr>
      <w:r w:rsidRPr="00CE5BA7">
        <w:rPr>
          <w:rFonts w:ascii="Times New Roman" w:hAnsi="Times New Roman" w:cs="Times New Roman"/>
          <w:b/>
          <w:bCs/>
        </w:rPr>
        <w:t>Классификация региональных вызовов и возможностей для предприятий торговли</w:t>
      </w:r>
    </w:p>
    <w:p w14:paraId="509FC35A" w14:textId="239D154F" w:rsidR="00A7270A" w:rsidRPr="00CE5BA7" w:rsidRDefault="00A7270A"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На основе проведенного анализа социально-экономического развития Приморского края была разработана классификация факторов, оказывающих влияние на сферу торговли. Представленная классификация опирается на теоретические подходы</w:t>
      </w:r>
      <w:r w:rsidR="006858A7" w:rsidRPr="00CE5BA7">
        <w:rPr>
          <w:rFonts w:ascii="Times New Roman" w:hAnsi="Times New Roman" w:cs="Times New Roman"/>
        </w:rPr>
        <w:t xml:space="preserve"> </w:t>
      </w:r>
      <w:r w:rsidRPr="00CE5BA7">
        <w:rPr>
          <w:rFonts w:ascii="Times New Roman" w:hAnsi="Times New Roman" w:cs="Times New Roman"/>
        </w:rPr>
        <w:t>и структурирует факторы по группам, выделенным в соответствии с концепциями региональной экономики [1; 2]. Каждая группа факторов содержит как вызовы (негативные тенденции, создающие угрозы для бизнеса), так и возможности (позитивные тенденции, которые могут быть использованы для развития).</w:t>
      </w:r>
      <w:r w:rsidR="006E11FA" w:rsidRPr="00CE5BA7">
        <w:rPr>
          <w:rFonts w:ascii="Times New Roman" w:hAnsi="Times New Roman" w:cs="Times New Roman"/>
        </w:rPr>
        <w:t xml:space="preserve"> </w:t>
      </w:r>
    </w:p>
    <w:p w14:paraId="1E01BA67" w14:textId="77777777" w:rsidR="0025737D" w:rsidRDefault="006E11FA"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Предлагаемая классификация построена на основе двух критериев. Первый критерий — сфера возникновения фактора: выделяются экономические, инфраструктурные, социально-демографические, институциональные, технологические (цифровые) и внешнеполитические факторы. Второй критерий — характер влияния на предприятия торговли: каждый фактор рассматривается как источник как вызовов (негативных тенденций, создающих угрозы), так и возможностей (позитивных тенденций, которые могут быть использованы для развития). Такое деление позволяет перейти от простой фиксации условий к оценке их двуединого влияния на адаптационный потенциал</w:t>
      </w:r>
      <w:r w:rsidR="0025737D">
        <w:rPr>
          <w:rFonts w:ascii="Times New Roman" w:hAnsi="Times New Roman" w:cs="Times New Roman"/>
        </w:rPr>
        <w:t>.</w:t>
      </w:r>
    </w:p>
    <w:p w14:paraId="5C473C68" w14:textId="4358BE69" w:rsidR="006E11FA" w:rsidRPr="00CE5BA7" w:rsidRDefault="006E11FA" w:rsidP="00963A2F">
      <w:pPr>
        <w:spacing w:after="0" w:line="240" w:lineRule="auto"/>
        <w:ind w:firstLine="709"/>
        <w:jc w:val="both"/>
        <w:rPr>
          <w:rFonts w:ascii="Times New Roman" w:hAnsi="Times New Roman" w:cs="Times New Roman"/>
        </w:rPr>
      </w:pPr>
      <w:bookmarkStart w:id="6" w:name="_GoBack"/>
      <w:bookmarkEnd w:id="6"/>
    </w:p>
    <w:p w14:paraId="1C163854" w14:textId="234507FE" w:rsidR="00A7270A" w:rsidRDefault="00A7270A" w:rsidP="00455DE8">
      <w:pPr>
        <w:spacing w:after="0" w:line="240" w:lineRule="auto"/>
        <w:jc w:val="both"/>
        <w:rPr>
          <w:rFonts w:ascii="Times New Roman" w:hAnsi="Times New Roman" w:cs="Times New Roman"/>
        </w:rPr>
      </w:pPr>
      <w:r w:rsidRPr="00CE5BA7">
        <w:rPr>
          <w:rFonts w:ascii="Times New Roman" w:hAnsi="Times New Roman" w:cs="Times New Roman"/>
        </w:rPr>
        <w:t xml:space="preserve">Таблица 1 – </w:t>
      </w:r>
      <w:r w:rsidR="006E11FA" w:rsidRPr="00CE5BA7">
        <w:rPr>
          <w:rFonts w:ascii="Times New Roman" w:hAnsi="Times New Roman" w:cs="Times New Roman"/>
        </w:rPr>
        <w:t>Классификация факторов региональной среды Приморского края</w:t>
      </w:r>
      <w:r w:rsidR="00211F11">
        <w:rPr>
          <w:rFonts w:ascii="Times New Roman" w:hAnsi="Times New Roman" w:cs="Times New Roman"/>
        </w:rPr>
        <w:t>.</w:t>
      </w:r>
    </w:p>
    <w:p w14:paraId="2A505917" w14:textId="1B80BD4C" w:rsidR="00211F11" w:rsidRPr="00211F11" w:rsidRDefault="00211F11" w:rsidP="00455DE8">
      <w:pPr>
        <w:spacing w:after="0" w:line="240" w:lineRule="auto"/>
        <w:jc w:val="both"/>
        <w:rPr>
          <w:rFonts w:ascii="Times New Roman" w:hAnsi="Times New Roman" w:cs="Times New Roman"/>
          <w:lang w:val="en-US"/>
        </w:rPr>
      </w:pPr>
      <w:r w:rsidRPr="00211F11">
        <w:rPr>
          <w:rFonts w:ascii="Times New Roman" w:hAnsi="Times New Roman" w:cs="Times New Roman"/>
          <w:lang w:val="en-US"/>
        </w:rPr>
        <w:t xml:space="preserve">Table 1 — Classification of regional environment factors in </w:t>
      </w:r>
      <w:proofErr w:type="spellStart"/>
      <w:r w:rsidRPr="00211F11">
        <w:rPr>
          <w:rFonts w:ascii="Times New Roman" w:hAnsi="Times New Roman" w:cs="Times New Roman"/>
          <w:lang w:val="en-US"/>
        </w:rPr>
        <w:t>Primorsky</w:t>
      </w:r>
      <w:proofErr w:type="spellEnd"/>
      <w:r w:rsidRPr="00211F11">
        <w:rPr>
          <w:rFonts w:ascii="Times New Roman" w:hAnsi="Times New Roman" w:cs="Times New Roman"/>
          <w:lang w:val="en-US"/>
        </w:rPr>
        <w:t xml:space="preserve"> Krai</w:t>
      </w:r>
    </w:p>
    <w:tbl>
      <w:tblPr>
        <w:tblStyle w:val="a4"/>
        <w:tblW w:w="9634" w:type="dxa"/>
        <w:tblLook w:val="04A0" w:firstRow="1" w:lastRow="0" w:firstColumn="1" w:lastColumn="0" w:noHBand="0" w:noVBand="1"/>
      </w:tblPr>
      <w:tblGrid>
        <w:gridCol w:w="2458"/>
        <w:gridCol w:w="3429"/>
        <w:gridCol w:w="3747"/>
      </w:tblGrid>
      <w:tr w:rsidR="00A7270A" w:rsidRPr="00CE5BA7" w14:paraId="1EBB00CF" w14:textId="77777777" w:rsidTr="00455DE8">
        <w:tc>
          <w:tcPr>
            <w:tcW w:w="2458" w:type="dxa"/>
          </w:tcPr>
          <w:p w14:paraId="498225F5" w14:textId="77777777" w:rsidR="00A7270A" w:rsidRPr="00CE5BA7" w:rsidRDefault="00A7270A" w:rsidP="00963A2F">
            <w:pPr>
              <w:jc w:val="both"/>
              <w:rPr>
                <w:rFonts w:ascii="Times New Roman" w:hAnsi="Times New Roman" w:cs="Times New Roman"/>
              </w:rPr>
            </w:pPr>
            <w:bookmarkStart w:id="7" w:name="_Hlk225164963"/>
            <w:r w:rsidRPr="00CE5BA7">
              <w:rPr>
                <w:rFonts w:ascii="Times New Roman" w:hAnsi="Times New Roman" w:cs="Times New Roman"/>
              </w:rPr>
              <w:t>Факторы</w:t>
            </w:r>
          </w:p>
        </w:tc>
        <w:tc>
          <w:tcPr>
            <w:tcW w:w="3429" w:type="dxa"/>
          </w:tcPr>
          <w:p w14:paraId="20F6F8B4"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Вызовы</w:t>
            </w:r>
          </w:p>
        </w:tc>
        <w:tc>
          <w:tcPr>
            <w:tcW w:w="3747" w:type="dxa"/>
          </w:tcPr>
          <w:p w14:paraId="3DAFDCEB"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Возможности</w:t>
            </w:r>
          </w:p>
        </w:tc>
      </w:tr>
      <w:tr w:rsidR="00A7270A" w:rsidRPr="00CE5BA7" w14:paraId="6F737A1B" w14:textId="77777777" w:rsidTr="00455DE8">
        <w:tc>
          <w:tcPr>
            <w:tcW w:w="2458" w:type="dxa"/>
          </w:tcPr>
          <w:p w14:paraId="071ACC16"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Человеческие ресурсы</w:t>
            </w:r>
          </w:p>
        </w:tc>
        <w:tc>
          <w:tcPr>
            <w:tcW w:w="3429" w:type="dxa"/>
          </w:tcPr>
          <w:p w14:paraId="2A141507" w14:textId="77777777" w:rsidR="00A7270A" w:rsidRPr="00CE5BA7" w:rsidRDefault="00A7270A" w:rsidP="00963A2F">
            <w:pPr>
              <w:pStyle w:val="a3"/>
              <w:widowControl w:val="0"/>
              <w:numPr>
                <w:ilvl w:val="0"/>
                <w:numId w:val="2"/>
              </w:numPr>
              <w:jc w:val="both"/>
              <w:rPr>
                <w:rFonts w:ascii="Times New Roman" w:hAnsi="Times New Roman" w:cs="Times New Roman"/>
              </w:rPr>
            </w:pPr>
            <w:r w:rsidRPr="00CE5BA7">
              <w:rPr>
                <w:rFonts w:ascii="Times New Roman" w:hAnsi="Times New Roman" w:cs="Times New Roman"/>
              </w:rPr>
              <w:t>обеспеченность трудовыми ресурсами в условиях миграционного оттока в Приморском крае;</w:t>
            </w:r>
          </w:p>
          <w:p w14:paraId="5F776763" w14:textId="77777777" w:rsidR="00A7270A" w:rsidRPr="00CE5BA7" w:rsidRDefault="00A7270A" w:rsidP="00963A2F">
            <w:pPr>
              <w:pStyle w:val="a3"/>
              <w:widowControl w:val="0"/>
              <w:numPr>
                <w:ilvl w:val="0"/>
                <w:numId w:val="2"/>
              </w:numPr>
              <w:jc w:val="both"/>
              <w:rPr>
                <w:rFonts w:ascii="Times New Roman" w:hAnsi="Times New Roman" w:cs="Times New Roman"/>
              </w:rPr>
            </w:pPr>
            <w:r w:rsidRPr="00CE5BA7">
              <w:rPr>
                <w:rFonts w:ascii="Times New Roman" w:hAnsi="Times New Roman" w:cs="Times New Roman"/>
              </w:rPr>
              <w:t>риски привлечения неквалифицированной рабочей силы из стран с установленным безвизовым режимом;</w:t>
            </w:r>
          </w:p>
          <w:p w14:paraId="02C62380" w14:textId="77777777" w:rsidR="00A7270A" w:rsidRPr="00CE5BA7" w:rsidRDefault="00A7270A" w:rsidP="00963A2F">
            <w:pPr>
              <w:pStyle w:val="a3"/>
              <w:widowControl w:val="0"/>
              <w:numPr>
                <w:ilvl w:val="0"/>
                <w:numId w:val="2"/>
              </w:numPr>
              <w:jc w:val="both"/>
              <w:rPr>
                <w:rFonts w:ascii="Times New Roman" w:hAnsi="Times New Roman" w:cs="Times New Roman"/>
              </w:rPr>
            </w:pPr>
            <w:r w:rsidRPr="00CE5BA7">
              <w:rPr>
                <w:rFonts w:ascii="Times New Roman" w:hAnsi="Times New Roman" w:cs="Times New Roman"/>
              </w:rPr>
              <w:t>диспропорции спроса и предложения на рынке труда под влиянием изменения структуры рынка и инертности трудовых ресурсов;</w:t>
            </w:r>
          </w:p>
          <w:p w14:paraId="064C9383" w14:textId="77777777" w:rsidR="00A7270A" w:rsidRPr="00CE5BA7" w:rsidRDefault="00A7270A" w:rsidP="00963A2F">
            <w:pPr>
              <w:pStyle w:val="a3"/>
              <w:widowControl w:val="0"/>
              <w:numPr>
                <w:ilvl w:val="0"/>
                <w:numId w:val="2"/>
              </w:numPr>
              <w:jc w:val="both"/>
              <w:rPr>
                <w:rFonts w:ascii="Times New Roman" w:hAnsi="Times New Roman" w:cs="Times New Roman"/>
              </w:rPr>
            </w:pPr>
            <w:r w:rsidRPr="00CE5BA7">
              <w:rPr>
                <w:rFonts w:ascii="Times New Roman" w:hAnsi="Times New Roman" w:cs="Times New Roman"/>
              </w:rPr>
              <w:t>высвобождение трудовых ресурсов из сегментов экономики по причине закрытия предприятий.</w:t>
            </w:r>
          </w:p>
        </w:tc>
        <w:tc>
          <w:tcPr>
            <w:tcW w:w="3747" w:type="dxa"/>
          </w:tcPr>
          <w:p w14:paraId="42C3A9EF"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регулирование рынка иностранной рабочей силы;</w:t>
            </w:r>
          </w:p>
          <w:p w14:paraId="675B2023"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активное внедрение цифровых технологий для более эффективной адаптации населения к цифровым сервисам, обеспечивающим безопасность;</w:t>
            </w:r>
          </w:p>
          <w:p w14:paraId="2DECC5F8"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поддержка микропредприятий.</w:t>
            </w:r>
          </w:p>
        </w:tc>
      </w:tr>
      <w:tr w:rsidR="00A7270A" w:rsidRPr="00CE5BA7" w14:paraId="6FF5538A" w14:textId="77777777" w:rsidTr="00455DE8">
        <w:tc>
          <w:tcPr>
            <w:tcW w:w="2458" w:type="dxa"/>
          </w:tcPr>
          <w:p w14:paraId="3C2054CC"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xml:space="preserve">Цифровая трансформация механизмов управления в сфере предпринимательства </w:t>
            </w:r>
          </w:p>
        </w:tc>
        <w:tc>
          <w:tcPr>
            <w:tcW w:w="3429" w:type="dxa"/>
          </w:tcPr>
          <w:p w14:paraId="3F61DAAB"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столкновение интересов в связи с развитием цифровых экосистем в сфере розничной торговли;</w:t>
            </w:r>
          </w:p>
          <w:p w14:paraId="280EB3AE"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рост нарушений в сфере цифровой безопасности.</w:t>
            </w:r>
          </w:p>
        </w:tc>
        <w:tc>
          <w:tcPr>
            <w:tcW w:w="3747" w:type="dxa"/>
          </w:tcPr>
          <w:p w14:paraId="570FE0B8"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участие в международных электронных торговых площадках;</w:t>
            </w:r>
          </w:p>
          <w:p w14:paraId="172CC9C3"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развитие цифровых экосистем;</w:t>
            </w:r>
          </w:p>
          <w:p w14:paraId="2C450C4B"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lastRenderedPageBreak/>
              <w:t>– повышение технологий защиты безопасности в сфере цифрового пространства.</w:t>
            </w:r>
          </w:p>
        </w:tc>
      </w:tr>
      <w:tr w:rsidR="00A7270A" w:rsidRPr="00CE5BA7" w14:paraId="07778C88" w14:textId="77777777" w:rsidTr="00455DE8">
        <w:tc>
          <w:tcPr>
            <w:tcW w:w="2458" w:type="dxa"/>
          </w:tcPr>
          <w:p w14:paraId="3192BB1D"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lastRenderedPageBreak/>
              <w:t>Изменения в структуре экономики Приморского края</w:t>
            </w:r>
          </w:p>
        </w:tc>
        <w:tc>
          <w:tcPr>
            <w:tcW w:w="3429" w:type="dxa"/>
          </w:tcPr>
          <w:p w14:paraId="65210340"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падение уровня производства по отдельным секторам;</w:t>
            </w:r>
          </w:p>
          <w:p w14:paraId="3E86A589"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закрытие отдельных предприятий;</w:t>
            </w:r>
          </w:p>
          <w:p w14:paraId="4E895934"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уровень конкурентоспособности товаров, произведенных в России или Приморском крае на внутреннем и внешнем рынках.</w:t>
            </w:r>
          </w:p>
        </w:tc>
        <w:tc>
          <w:tcPr>
            <w:tcW w:w="3747" w:type="dxa"/>
          </w:tcPr>
          <w:p w14:paraId="062FF0F8"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развитие регионального сельского хозяйства в отдельных продуктовых сегментах;</w:t>
            </w:r>
          </w:p>
          <w:p w14:paraId="783BFBBC"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меры по недопущению закрытия градообразующих предприятий;</w:t>
            </w:r>
          </w:p>
          <w:p w14:paraId="30354A7E"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развитие спроса в смежных отраслях.</w:t>
            </w:r>
          </w:p>
        </w:tc>
      </w:tr>
      <w:tr w:rsidR="00A7270A" w:rsidRPr="00CE5BA7" w14:paraId="5DCE91B3" w14:textId="77777777" w:rsidTr="00455DE8">
        <w:tc>
          <w:tcPr>
            <w:tcW w:w="2458" w:type="dxa"/>
          </w:tcPr>
          <w:p w14:paraId="1056FF32"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Внешнеторговая политика</w:t>
            </w:r>
          </w:p>
        </w:tc>
        <w:tc>
          <w:tcPr>
            <w:tcW w:w="3429" w:type="dxa"/>
          </w:tcPr>
          <w:p w14:paraId="7488E712"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санкционное влияние;</w:t>
            </w:r>
          </w:p>
          <w:p w14:paraId="43158970"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развитие «серого» канала импорта, проблемы с налоговыми поступлениями;</w:t>
            </w:r>
          </w:p>
          <w:p w14:paraId="2C4656BE"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конфликт интересов в связи с лицензионными требованиями и в сфере сертификации.</w:t>
            </w:r>
          </w:p>
        </w:tc>
        <w:tc>
          <w:tcPr>
            <w:tcW w:w="3747" w:type="dxa"/>
          </w:tcPr>
          <w:p w14:paraId="217A94B0"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softHyphen/>
              <w:t xml:space="preserve">– программа «Экспортный </w:t>
            </w:r>
            <w:proofErr w:type="spellStart"/>
            <w:r w:rsidRPr="00CE5BA7">
              <w:rPr>
                <w:rFonts w:ascii="Times New Roman" w:hAnsi="Times New Roman" w:cs="Times New Roman"/>
              </w:rPr>
              <w:t>кэшбэк</w:t>
            </w:r>
            <w:proofErr w:type="spellEnd"/>
            <w:r w:rsidRPr="00CE5BA7">
              <w:rPr>
                <w:rFonts w:ascii="Times New Roman" w:hAnsi="Times New Roman" w:cs="Times New Roman"/>
              </w:rPr>
              <w:t>»;</w:t>
            </w:r>
          </w:p>
          <w:p w14:paraId="76A6D95C"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регистрация в международных системах сертификации;</w:t>
            </w:r>
          </w:p>
          <w:p w14:paraId="79ED8BD0"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открытие торговых представительств РФ за рубежом;</w:t>
            </w:r>
          </w:p>
          <w:p w14:paraId="2919B242"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деятельность Центра поддержки экспорта;</w:t>
            </w:r>
          </w:p>
          <w:p w14:paraId="59D86604"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меры защиты интеллектуальной собственности за рубежом</w:t>
            </w:r>
          </w:p>
        </w:tc>
      </w:tr>
      <w:tr w:rsidR="00A7270A" w:rsidRPr="00CE5BA7" w14:paraId="758F5CF1" w14:textId="77777777" w:rsidTr="00455DE8">
        <w:tc>
          <w:tcPr>
            <w:tcW w:w="2458" w:type="dxa"/>
          </w:tcPr>
          <w:p w14:paraId="76268738"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Поведение покупательского спроса</w:t>
            </w:r>
          </w:p>
        </w:tc>
        <w:tc>
          <w:tcPr>
            <w:tcW w:w="3429" w:type="dxa"/>
          </w:tcPr>
          <w:p w14:paraId="3F1E631C"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Стремление выбирать каналы продаж с наименьшими ценами.</w:t>
            </w:r>
          </w:p>
        </w:tc>
        <w:tc>
          <w:tcPr>
            <w:tcW w:w="3747" w:type="dxa"/>
          </w:tcPr>
          <w:p w14:paraId="0BCCF514"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xml:space="preserve">– развитие </w:t>
            </w:r>
            <w:proofErr w:type="spellStart"/>
            <w:r w:rsidRPr="00CE5BA7">
              <w:rPr>
                <w:rFonts w:ascii="Times New Roman" w:hAnsi="Times New Roman" w:cs="Times New Roman"/>
              </w:rPr>
              <w:t>интернет-торговли</w:t>
            </w:r>
            <w:proofErr w:type="spellEnd"/>
            <w:r w:rsidRPr="00CE5BA7">
              <w:rPr>
                <w:rFonts w:ascii="Times New Roman" w:hAnsi="Times New Roman" w:cs="Times New Roman"/>
              </w:rPr>
              <w:t>;</w:t>
            </w:r>
          </w:p>
          <w:p w14:paraId="50E2B3D1"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поддержка местных производителей;</w:t>
            </w:r>
          </w:p>
          <w:p w14:paraId="24193191" w14:textId="77777777" w:rsidR="00A7270A" w:rsidRPr="00CE5BA7" w:rsidRDefault="00A7270A" w:rsidP="00963A2F">
            <w:pPr>
              <w:jc w:val="both"/>
              <w:rPr>
                <w:rFonts w:ascii="Times New Roman" w:hAnsi="Times New Roman" w:cs="Times New Roman"/>
              </w:rPr>
            </w:pPr>
            <w:r w:rsidRPr="00CE5BA7">
              <w:rPr>
                <w:rFonts w:ascii="Times New Roman" w:hAnsi="Times New Roman" w:cs="Times New Roman"/>
              </w:rPr>
              <w:t>– антимонопольный контроль.</w:t>
            </w:r>
          </w:p>
        </w:tc>
      </w:tr>
      <w:bookmarkEnd w:id="7"/>
      <w:tr w:rsidR="00455DE8" w:rsidRPr="00CE5BA7" w14:paraId="14D894B8" w14:textId="77777777" w:rsidTr="00123438">
        <w:tc>
          <w:tcPr>
            <w:tcW w:w="2458" w:type="dxa"/>
          </w:tcPr>
          <w:p w14:paraId="606C7EC5" w14:textId="77777777" w:rsidR="00455DE8" w:rsidRPr="00CE5BA7" w:rsidRDefault="00455DE8" w:rsidP="00123438">
            <w:pPr>
              <w:jc w:val="both"/>
              <w:rPr>
                <w:rFonts w:ascii="Times New Roman" w:hAnsi="Times New Roman" w:cs="Times New Roman"/>
              </w:rPr>
            </w:pPr>
            <w:r w:rsidRPr="00CE5BA7">
              <w:rPr>
                <w:rFonts w:ascii="Times New Roman" w:hAnsi="Times New Roman" w:cs="Times New Roman"/>
              </w:rPr>
              <w:t>Изменения в нормативно-правовом регулировании</w:t>
            </w:r>
          </w:p>
        </w:tc>
        <w:tc>
          <w:tcPr>
            <w:tcW w:w="3429" w:type="dxa"/>
          </w:tcPr>
          <w:p w14:paraId="3D48482C" w14:textId="77777777" w:rsidR="00455DE8" w:rsidRPr="00CE5BA7" w:rsidRDefault="00455DE8" w:rsidP="00123438">
            <w:pPr>
              <w:jc w:val="both"/>
              <w:rPr>
                <w:rFonts w:ascii="Times New Roman" w:hAnsi="Times New Roman" w:cs="Times New Roman"/>
              </w:rPr>
            </w:pPr>
            <w:r w:rsidRPr="00CE5BA7">
              <w:rPr>
                <w:rFonts w:ascii="Times New Roman" w:hAnsi="Times New Roman" w:cs="Times New Roman"/>
              </w:rPr>
              <w:t>– рост ставки НДС в 2026 г.;</w:t>
            </w:r>
          </w:p>
          <w:p w14:paraId="19059C73" w14:textId="77777777" w:rsidR="00455DE8" w:rsidRPr="00CE5BA7" w:rsidRDefault="00455DE8" w:rsidP="00123438">
            <w:pPr>
              <w:jc w:val="both"/>
              <w:rPr>
                <w:rFonts w:ascii="Times New Roman" w:hAnsi="Times New Roman" w:cs="Times New Roman"/>
              </w:rPr>
            </w:pPr>
            <w:r w:rsidRPr="00CE5BA7">
              <w:rPr>
                <w:rFonts w:ascii="Times New Roman" w:hAnsi="Times New Roman" w:cs="Times New Roman"/>
              </w:rPr>
              <w:t>– изменения параметров, определяющих выбор налогообложения (УСН);</w:t>
            </w:r>
            <w:r w:rsidRPr="00CE5BA7">
              <w:rPr>
                <w:rFonts w:ascii="Times New Roman" w:hAnsi="Times New Roman" w:cs="Times New Roman"/>
              </w:rPr>
              <w:br/>
              <w:t>– барьеры для традиционных для Приморского края секторов (торговля автомобилями).</w:t>
            </w:r>
          </w:p>
        </w:tc>
        <w:tc>
          <w:tcPr>
            <w:tcW w:w="3747" w:type="dxa"/>
          </w:tcPr>
          <w:p w14:paraId="074FA0CD" w14:textId="77777777" w:rsidR="00455DE8" w:rsidRPr="00CE5BA7" w:rsidRDefault="00455DE8" w:rsidP="00123438">
            <w:pPr>
              <w:jc w:val="both"/>
              <w:rPr>
                <w:rFonts w:ascii="Times New Roman" w:hAnsi="Times New Roman" w:cs="Times New Roman"/>
              </w:rPr>
            </w:pPr>
            <w:r w:rsidRPr="00CE5BA7">
              <w:rPr>
                <w:rFonts w:ascii="Times New Roman" w:hAnsi="Times New Roman" w:cs="Times New Roman"/>
              </w:rPr>
              <w:t>– развитие условий для ТОР, включая сегменты торговли, которые обеспечивают участников ТОР.</w:t>
            </w:r>
          </w:p>
        </w:tc>
      </w:tr>
      <w:tr w:rsidR="00455DE8" w:rsidRPr="00CE5BA7" w14:paraId="4068F50C" w14:textId="77777777" w:rsidTr="00123438">
        <w:tc>
          <w:tcPr>
            <w:tcW w:w="2458" w:type="dxa"/>
          </w:tcPr>
          <w:p w14:paraId="53CE0BD1" w14:textId="77777777" w:rsidR="00455DE8" w:rsidRPr="00CE5BA7" w:rsidRDefault="00455DE8" w:rsidP="00123438">
            <w:pPr>
              <w:jc w:val="both"/>
              <w:rPr>
                <w:rFonts w:ascii="Times New Roman" w:hAnsi="Times New Roman" w:cs="Times New Roman"/>
              </w:rPr>
            </w:pPr>
            <w:r w:rsidRPr="00CE5BA7">
              <w:rPr>
                <w:rFonts w:ascii="Times New Roman" w:hAnsi="Times New Roman" w:cs="Times New Roman"/>
              </w:rPr>
              <w:t>Развитие транспортно-логистической системы</w:t>
            </w:r>
          </w:p>
        </w:tc>
        <w:tc>
          <w:tcPr>
            <w:tcW w:w="3429" w:type="dxa"/>
          </w:tcPr>
          <w:p w14:paraId="22A83AE0" w14:textId="77777777" w:rsidR="00455DE8" w:rsidRPr="00CE5BA7" w:rsidRDefault="00455DE8" w:rsidP="00123438">
            <w:pPr>
              <w:jc w:val="both"/>
              <w:rPr>
                <w:rFonts w:ascii="Times New Roman" w:hAnsi="Times New Roman" w:cs="Times New Roman"/>
              </w:rPr>
            </w:pPr>
            <w:r w:rsidRPr="00CE5BA7">
              <w:rPr>
                <w:rFonts w:ascii="Times New Roman" w:hAnsi="Times New Roman" w:cs="Times New Roman"/>
              </w:rPr>
              <w:t>– Низкие темпы реализации проектов по модернизации погранпереходов;</w:t>
            </w:r>
          </w:p>
          <w:p w14:paraId="2AE77712" w14:textId="77777777" w:rsidR="00455DE8" w:rsidRPr="00CE5BA7" w:rsidRDefault="00455DE8" w:rsidP="00123438">
            <w:pPr>
              <w:jc w:val="both"/>
              <w:rPr>
                <w:rFonts w:ascii="Times New Roman" w:hAnsi="Times New Roman" w:cs="Times New Roman"/>
              </w:rPr>
            </w:pPr>
            <w:r w:rsidRPr="00CE5BA7">
              <w:rPr>
                <w:rFonts w:ascii="Times New Roman" w:hAnsi="Times New Roman" w:cs="Times New Roman"/>
              </w:rPr>
              <w:t>– зависимость всей транспортной системы от реализации проектов АО «РЖД».</w:t>
            </w:r>
          </w:p>
        </w:tc>
        <w:tc>
          <w:tcPr>
            <w:tcW w:w="3747" w:type="dxa"/>
          </w:tcPr>
          <w:p w14:paraId="0CCFC343" w14:textId="77777777" w:rsidR="00455DE8" w:rsidRPr="00CE5BA7" w:rsidRDefault="00455DE8" w:rsidP="00123438">
            <w:pPr>
              <w:jc w:val="both"/>
              <w:rPr>
                <w:rFonts w:ascii="Times New Roman" w:hAnsi="Times New Roman" w:cs="Times New Roman"/>
              </w:rPr>
            </w:pPr>
            <w:r w:rsidRPr="00CE5BA7">
              <w:rPr>
                <w:rFonts w:ascii="Times New Roman" w:hAnsi="Times New Roman" w:cs="Times New Roman"/>
              </w:rPr>
              <w:t>Разработка плана по поэтапной реализации проектов с учетом существующих грузопотоков.</w:t>
            </w:r>
          </w:p>
          <w:p w14:paraId="19828D07" w14:textId="77777777" w:rsidR="00455DE8" w:rsidRPr="00CE5BA7" w:rsidRDefault="00455DE8" w:rsidP="00123438">
            <w:pPr>
              <w:jc w:val="both"/>
              <w:rPr>
                <w:rFonts w:ascii="Times New Roman" w:hAnsi="Times New Roman" w:cs="Times New Roman"/>
              </w:rPr>
            </w:pPr>
            <w:r w:rsidRPr="00CE5BA7">
              <w:rPr>
                <w:rFonts w:ascii="Times New Roman" w:hAnsi="Times New Roman" w:cs="Times New Roman"/>
              </w:rPr>
              <w:t>Проекты должны учитывать цифровые возможности и аналоги, которые уже созданы в странах, которые считаются дружественными в торговых отношениях</w:t>
            </w:r>
          </w:p>
        </w:tc>
      </w:tr>
    </w:tbl>
    <w:p w14:paraId="6D0A91A4" w14:textId="3C78B176" w:rsidR="00A7270A" w:rsidRPr="00CE5BA7" w:rsidRDefault="00A7270A" w:rsidP="00455DE8">
      <w:pPr>
        <w:spacing w:after="0" w:line="240" w:lineRule="auto"/>
        <w:jc w:val="both"/>
        <w:rPr>
          <w:rFonts w:ascii="Times New Roman" w:hAnsi="Times New Roman" w:cs="Times New Roman"/>
        </w:rPr>
      </w:pPr>
    </w:p>
    <w:p w14:paraId="43FC464D" w14:textId="6EC2A34C"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Группы факторов, представленные в таблице, учитывают актуальное состояние сектора торговли, современные вызовы и возможности для развития как оптовой, так и розничной торговли в Приморском крае. Рассмотрим подробнее каждую группу факторов в контексте их влияния на адаптационный потенциал предприятий.</w:t>
      </w:r>
    </w:p>
    <w:p w14:paraId="6C35ED56" w14:textId="744162A9"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Согласно концепции «обучающегося региона», человеческий капитал выступает ключевым ресурсом развития [3]. Для Приморского края, как было показано выше, характерна негативная динамика: численность рабочей силы сокращается, наблюдается миграционный отток [8]. Привлечение иностранной рабочей силы, с одной стороны, позволяет решать кадровые проблемы в строительстве и других отраслях, но с другой — создает риски, связанные с квалификацией кадров и безопасностью [7]. Возможности для предприятий торговли связаны с регулированием рынка иностранной рабочей силы и внедрением цифровых технологий, позволяющих компенсировать кадровый дефицит.</w:t>
      </w:r>
    </w:p>
    <w:p w14:paraId="62094FDF" w14:textId="6C173B7C"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Развитие цифровых экосистем, по мнению Якимовой</w:t>
      </w:r>
      <w:r w:rsidR="00582A10" w:rsidRPr="00CE5BA7">
        <w:rPr>
          <w:rFonts w:ascii="Times New Roman" w:hAnsi="Times New Roman" w:cs="Times New Roman"/>
        </w:rPr>
        <w:t xml:space="preserve"> В.А.</w:t>
      </w:r>
      <w:r w:rsidRPr="00CE5BA7">
        <w:rPr>
          <w:rFonts w:ascii="Times New Roman" w:hAnsi="Times New Roman" w:cs="Times New Roman"/>
        </w:rPr>
        <w:t xml:space="preserve">, создает новую среду для предпринимательства, но одновременно порождает конфликты интересов между традиционными и цифровыми каналами продаж [10]. Вызовом является рост нарушений цифровой безопасности. В то </w:t>
      </w:r>
      <w:r w:rsidRPr="00CE5BA7">
        <w:rPr>
          <w:rFonts w:ascii="Times New Roman" w:hAnsi="Times New Roman" w:cs="Times New Roman"/>
        </w:rPr>
        <w:lastRenderedPageBreak/>
        <w:t>же время участие в международных электронных торговых площадках открывает для региональных предприятий доступ к глобальным рынкам [10].</w:t>
      </w:r>
    </w:p>
    <w:p w14:paraId="22D2F693" w14:textId="0B72EC2D"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В соответствии с концепцией </w:t>
      </w:r>
      <w:proofErr w:type="spellStart"/>
      <w:r w:rsidRPr="00CE5BA7">
        <w:rPr>
          <w:rFonts w:ascii="Times New Roman" w:hAnsi="Times New Roman" w:cs="Times New Roman"/>
        </w:rPr>
        <w:t>Гранберга</w:t>
      </w:r>
      <w:proofErr w:type="spellEnd"/>
      <w:r w:rsidRPr="00CE5BA7">
        <w:rPr>
          <w:rFonts w:ascii="Times New Roman" w:hAnsi="Times New Roman" w:cs="Times New Roman"/>
        </w:rPr>
        <w:t>, структурные сдвиги в региональной экономике неизбежно отражаются на всех секторах, включая торговлю [1]. Падение производства в отдельных отраслях и закрытие предприятий ведут к сокращению спроса, однако развитие регионального сельского хозяйства и меры по поддержке градообразующих предприятий создают новые возможности.</w:t>
      </w:r>
    </w:p>
    <w:p w14:paraId="44EA84E3" w14:textId="11F6B38D"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Согласно данным </w:t>
      </w:r>
      <w:proofErr w:type="spellStart"/>
      <w:r w:rsidRPr="00CE5BA7">
        <w:rPr>
          <w:rFonts w:ascii="Times New Roman" w:hAnsi="Times New Roman" w:cs="Times New Roman"/>
        </w:rPr>
        <w:t>Мазитовой</w:t>
      </w:r>
      <w:proofErr w:type="spellEnd"/>
      <w:r w:rsidR="00582A10" w:rsidRPr="00CE5BA7">
        <w:rPr>
          <w:rFonts w:ascii="Times New Roman" w:hAnsi="Times New Roman" w:cs="Times New Roman"/>
        </w:rPr>
        <w:t xml:space="preserve"> М.Г.</w:t>
      </w:r>
      <w:r w:rsidRPr="00CE5BA7">
        <w:rPr>
          <w:rFonts w:ascii="Times New Roman" w:hAnsi="Times New Roman" w:cs="Times New Roman"/>
        </w:rPr>
        <w:t xml:space="preserve">, внешнеторговая деятельность Приморского края характеризуется высокой зависимостью от политики стран АТР [6]. Санкционное влияние и развитие «серого» импорта создают серьезные вызовы. В то же время деятельность Центра поддержки экспорта и программы типа «Экспортный </w:t>
      </w:r>
      <w:proofErr w:type="spellStart"/>
      <w:r w:rsidRPr="00CE5BA7">
        <w:rPr>
          <w:rFonts w:ascii="Times New Roman" w:hAnsi="Times New Roman" w:cs="Times New Roman"/>
        </w:rPr>
        <w:t>кэшбэк</w:t>
      </w:r>
      <w:proofErr w:type="spellEnd"/>
      <w:r w:rsidRPr="00CE5BA7">
        <w:rPr>
          <w:rFonts w:ascii="Times New Roman" w:hAnsi="Times New Roman" w:cs="Times New Roman"/>
        </w:rPr>
        <w:t>» открывают возможности для легального и эффективного выхода на внешние рынки</w:t>
      </w:r>
      <w:r w:rsidR="00582A10" w:rsidRPr="00CE5BA7">
        <w:rPr>
          <w:rFonts w:ascii="Times New Roman" w:hAnsi="Times New Roman" w:cs="Times New Roman"/>
        </w:rPr>
        <w:t xml:space="preserve"> [13]</w:t>
      </w:r>
      <w:r w:rsidRPr="00CE5BA7">
        <w:rPr>
          <w:rFonts w:ascii="Times New Roman" w:hAnsi="Times New Roman" w:cs="Times New Roman"/>
        </w:rPr>
        <w:t>.</w:t>
      </w:r>
    </w:p>
    <w:p w14:paraId="2A051EE4" w14:textId="4052EBBC"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В рамках </w:t>
      </w:r>
      <w:proofErr w:type="spellStart"/>
      <w:r w:rsidRPr="00CE5BA7">
        <w:rPr>
          <w:rFonts w:ascii="Times New Roman" w:hAnsi="Times New Roman" w:cs="Times New Roman"/>
        </w:rPr>
        <w:t>портеровской</w:t>
      </w:r>
      <w:proofErr w:type="spellEnd"/>
      <w:r w:rsidRPr="00CE5BA7">
        <w:rPr>
          <w:rFonts w:ascii="Times New Roman" w:hAnsi="Times New Roman" w:cs="Times New Roman"/>
        </w:rPr>
        <w:t xml:space="preserve"> модели условия спроса являются одной из ключевых детерминант конкурентоспособности [2]. Стремление потребителей выбирать каналы с наименьшими ценами создает давление на маржинальность традиционной розницы, но одновременно стимулирует развитие </w:t>
      </w:r>
      <w:proofErr w:type="spellStart"/>
      <w:r w:rsidRPr="00CE5BA7">
        <w:rPr>
          <w:rFonts w:ascii="Times New Roman" w:hAnsi="Times New Roman" w:cs="Times New Roman"/>
        </w:rPr>
        <w:t>интернет-торговли</w:t>
      </w:r>
      <w:proofErr w:type="spellEnd"/>
      <w:r w:rsidRPr="00CE5BA7">
        <w:rPr>
          <w:rFonts w:ascii="Times New Roman" w:hAnsi="Times New Roman" w:cs="Times New Roman"/>
        </w:rPr>
        <w:t xml:space="preserve"> и требует поддержки местных производителей.</w:t>
      </w:r>
    </w:p>
    <w:p w14:paraId="1B1A8986" w14:textId="482A5806"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Институциональные факторы, согласно теории </w:t>
      </w:r>
      <w:proofErr w:type="spellStart"/>
      <w:r w:rsidRPr="00CE5BA7">
        <w:rPr>
          <w:rFonts w:ascii="Times New Roman" w:hAnsi="Times New Roman" w:cs="Times New Roman"/>
        </w:rPr>
        <w:t>Гранберга</w:t>
      </w:r>
      <w:proofErr w:type="spellEnd"/>
      <w:r w:rsidRPr="00CE5BA7">
        <w:rPr>
          <w:rFonts w:ascii="Times New Roman" w:hAnsi="Times New Roman" w:cs="Times New Roman"/>
        </w:rPr>
        <w:t>, формируют «правила игры» для бизнеса [1]. Рост ставки НДС и изменения параметров налогообложения создают дополнительные барьеры, особенно для малого и среднего предпринимательства. В то же время развитие территорий опережающего развития (ТОР) открывает возможности для льготного ведения бизнеса [10].</w:t>
      </w:r>
    </w:p>
    <w:p w14:paraId="69D9C6DF" w14:textId="1B7FB805"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Для приграничного региона транспортная инфраструктура становится критическим фактором конкурентоспособности [1; 2]. Низкие темпы модернизации погранпереходов и зависимость от проектов ОАО «РЖД» сдерживают развитие [11]. Однако реализация проектов ТЛЦ «Артем» и «</w:t>
      </w:r>
      <w:proofErr w:type="spellStart"/>
      <w:r w:rsidRPr="00CE5BA7">
        <w:rPr>
          <w:rFonts w:ascii="Times New Roman" w:hAnsi="Times New Roman" w:cs="Times New Roman"/>
        </w:rPr>
        <w:t>Авиаполис</w:t>
      </w:r>
      <w:proofErr w:type="spellEnd"/>
      <w:r w:rsidRPr="00CE5BA7">
        <w:rPr>
          <w:rFonts w:ascii="Times New Roman" w:hAnsi="Times New Roman" w:cs="Times New Roman"/>
        </w:rPr>
        <w:t xml:space="preserve"> Янковский» создает потенциал для интеграции в международные логистические цепочки [11; 12].</w:t>
      </w:r>
    </w:p>
    <w:p w14:paraId="7C4EE107" w14:textId="0FD9FE79" w:rsidR="00026C7F"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Особого внимания заслуживает фактор уровня взаимоотношений со странами АТР, который для Приморского края играет важнейшую роль. Санкционная политика Японии и ограничения со стороны Республики Корея негативно отражаются на экономике региона. Зависимость рынка Приморского края от рынков стран АТР — объективный фактор, определяющий необходимость диверсификации внешнеэкономических связей.</w:t>
      </w:r>
    </w:p>
    <w:p w14:paraId="2C36C4E9" w14:textId="318A4198" w:rsidR="00A7270A" w:rsidRPr="00CE5BA7" w:rsidRDefault="00026C7F" w:rsidP="00963A2F">
      <w:pPr>
        <w:spacing w:after="0" w:line="240" w:lineRule="auto"/>
        <w:ind w:firstLine="709"/>
        <w:jc w:val="both"/>
        <w:rPr>
          <w:rFonts w:ascii="Times New Roman" w:hAnsi="Times New Roman" w:cs="Times New Roman"/>
        </w:rPr>
      </w:pPr>
      <w:r w:rsidRPr="00CE5BA7">
        <w:rPr>
          <w:rFonts w:ascii="Times New Roman" w:hAnsi="Times New Roman" w:cs="Times New Roman"/>
        </w:rPr>
        <w:t>Разработанная классификация позволяет систематизировать факторы региональной среды и выделить ключевые вызовы и возможности для предприятий торговли Приморского края. Наиболее критичными факторами, требующими первоочередного внимания при разработке адаптационных механизмов, являются: демографические проблемы и дефицит кадров; зависимость от внешнеторговой конъюнктуры; состояние транспортно-логистической инфраструктуры; институциональные изменения в налоговой сфере. Выявленные факторы станут основой для разработки методики адаптационного бенчмаркинга в следующих разделах исследования.</w:t>
      </w:r>
    </w:p>
    <w:p w14:paraId="200335AB" w14:textId="77777777" w:rsidR="00E422B8" w:rsidRPr="00CE5BA7" w:rsidRDefault="00E422B8" w:rsidP="00963A2F">
      <w:pPr>
        <w:spacing w:after="0" w:line="240" w:lineRule="auto"/>
        <w:ind w:firstLine="709"/>
        <w:jc w:val="both"/>
        <w:rPr>
          <w:rFonts w:ascii="Times New Roman" w:hAnsi="Times New Roman" w:cs="Times New Roman"/>
        </w:rPr>
      </w:pPr>
    </w:p>
    <w:p w14:paraId="0608555B" w14:textId="5F6B0BA0" w:rsidR="00444E49" w:rsidRPr="007C0774" w:rsidRDefault="007C0774" w:rsidP="007C0774">
      <w:pPr>
        <w:pStyle w:val="1"/>
        <w:ind w:firstLine="709"/>
        <w:jc w:val="both"/>
        <w:rPr>
          <w:sz w:val="22"/>
          <w:szCs w:val="22"/>
        </w:rPr>
      </w:pPr>
      <w:r w:rsidRPr="00B931CB">
        <w:rPr>
          <w:b/>
          <w:sz w:val="22"/>
          <w:szCs w:val="22"/>
        </w:rPr>
        <w:t>Выводы и перспективы дальнейших исследований</w:t>
      </w:r>
    </w:p>
    <w:p w14:paraId="2BCAC88C" w14:textId="46240E31" w:rsidR="00444E49" w:rsidRPr="00CE5BA7" w:rsidRDefault="00444E49" w:rsidP="00444E49">
      <w:pPr>
        <w:spacing w:after="0" w:line="240" w:lineRule="auto"/>
        <w:ind w:firstLine="709"/>
        <w:jc w:val="both"/>
        <w:rPr>
          <w:rFonts w:ascii="Times New Roman" w:hAnsi="Times New Roman" w:cs="Times New Roman"/>
        </w:rPr>
      </w:pPr>
      <w:r w:rsidRPr="00CE5BA7">
        <w:rPr>
          <w:rFonts w:ascii="Times New Roman" w:hAnsi="Times New Roman" w:cs="Times New Roman"/>
        </w:rPr>
        <w:t>Проведенное исследование подтвердило, что региональная среда не является нейтральным фоном, а выступает активным фактором формирования адаптационного потенциала предприятий торговли. На примере Приморского края выявлены ключевые группы факторов, определяющие условия их функционирования: демографические процессы, динамика доходов и инфляции, структура внешней торговли, состояние транспортно-логистической инфраструктуры, цифровая трансформация и институциональные изменения. В ответ на первый вопрос введения разработана авторская классификация, систематизирующая эти факторы по семи группам с выделением вызовов и возможностей (таблица 1), что позволяет перейти от разрозненного восприятия проблем к целостному анализу региональной среды.</w:t>
      </w:r>
    </w:p>
    <w:p w14:paraId="46A42BEE" w14:textId="70414FCE" w:rsidR="00444E49" w:rsidRPr="00CE5BA7" w:rsidRDefault="00444E49" w:rsidP="00444E49">
      <w:pPr>
        <w:spacing w:after="0" w:line="240" w:lineRule="auto"/>
        <w:ind w:firstLine="709"/>
        <w:jc w:val="both"/>
        <w:rPr>
          <w:rFonts w:ascii="Times New Roman" w:hAnsi="Times New Roman" w:cs="Times New Roman"/>
        </w:rPr>
      </w:pPr>
      <w:r w:rsidRPr="00CE5BA7">
        <w:rPr>
          <w:rFonts w:ascii="Times New Roman" w:hAnsi="Times New Roman" w:cs="Times New Roman"/>
        </w:rPr>
        <w:t>Адаптационный потенциал предприятия торговли определен как способность идентифицировать изменения в региональной среде — экономические, инфраструктурные, социально-демографические, институциональные — и своевременно трансформировать бизнес-процессы (ассортиментную политику, логистику, ценообразование, форматы обслуживания) в ответ на эти изменения. Такое понимание, сформулированное в ответ на второй вопрос введения, преодолевает трактовку адаптации как пассивного приспособления, акцентируя ее активный и системный характер.</w:t>
      </w:r>
    </w:p>
    <w:p w14:paraId="68A2658A" w14:textId="77777777" w:rsidR="007C0774" w:rsidRDefault="00444E49" w:rsidP="007C0774">
      <w:pPr>
        <w:spacing w:after="0" w:line="240" w:lineRule="auto"/>
        <w:ind w:firstLine="709"/>
        <w:jc w:val="both"/>
        <w:rPr>
          <w:rFonts w:ascii="Times New Roman" w:hAnsi="Times New Roman" w:cs="Times New Roman"/>
        </w:rPr>
      </w:pPr>
      <w:r w:rsidRPr="00CE5BA7">
        <w:rPr>
          <w:rFonts w:ascii="Times New Roman" w:hAnsi="Times New Roman" w:cs="Times New Roman"/>
        </w:rPr>
        <w:t xml:space="preserve">Выявленная высокая степень взаимосвязи между выделенными группами факторов (экономических, инфраструктурных, социально-демографических, институциональных) </w:t>
      </w:r>
      <w:r w:rsidRPr="00CE5BA7">
        <w:rPr>
          <w:rFonts w:ascii="Times New Roman" w:hAnsi="Times New Roman" w:cs="Times New Roman"/>
        </w:rPr>
        <w:lastRenderedPageBreak/>
        <w:t>свидетельствует о необходимости системного подхода к адаптации. Инфраструктурные ограничения напрямую влияют на экономические показатели, демографические тренды формируют институциональную повестку, а институциональные решения, в свою очередь, стимулируют развитие инфраструктуры. Это подтверждает теоретическое положение о взаимозависимости детерминант конкурентоспособности и требует от торговых предприятий комплексной, а не изолированной реакции на отдельные вызовы [2].</w:t>
      </w:r>
    </w:p>
    <w:p w14:paraId="33198FB4" w14:textId="6002DB42" w:rsidR="00444E49" w:rsidRPr="00CE5BA7" w:rsidRDefault="00444E49" w:rsidP="007C0774">
      <w:pPr>
        <w:spacing w:after="0" w:line="240" w:lineRule="auto"/>
        <w:ind w:firstLine="709"/>
        <w:jc w:val="both"/>
        <w:rPr>
          <w:rFonts w:ascii="Times New Roman" w:hAnsi="Times New Roman" w:cs="Times New Roman"/>
        </w:rPr>
      </w:pPr>
      <w:r w:rsidRPr="00CE5BA7">
        <w:rPr>
          <w:rFonts w:ascii="Times New Roman" w:hAnsi="Times New Roman" w:cs="Times New Roman"/>
        </w:rPr>
        <w:t>Практические рекомендации, вытекающие из анализа, могут быть сгруппированы по сферам управления. В кадровой сфере — внедрение трудосберегающих технологий и цифровых решений для компенсации дефицита рабочей силы использование инструментов регулирования рынка иностранной рабочей силы [7; 8; 10]. В логистике — учет низких темпов модернизации погранпереходов при планировании поставок использование потенциала реализуемых проектов (ТЛЦ «Артем», «</w:t>
      </w:r>
      <w:proofErr w:type="spellStart"/>
      <w:r w:rsidRPr="00CE5BA7">
        <w:rPr>
          <w:rFonts w:ascii="Times New Roman" w:hAnsi="Times New Roman" w:cs="Times New Roman"/>
        </w:rPr>
        <w:t>Авиаполис</w:t>
      </w:r>
      <w:proofErr w:type="spellEnd"/>
      <w:r w:rsidRPr="00CE5BA7">
        <w:rPr>
          <w:rFonts w:ascii="Times New Roman" w:hAnsi="Times New Roman" w:cs="Times New Roman"/>
        </w:rPr>
        <w:t xml:space="preserve"> Янковский») для интеграции в международные логистические цепочки [11; 12]. В ценовой и ассортиментной политике — ориентация на реальные доходы населения с учетом инфляции, превышающей среднероссийские показатели гибкое ценообразование с учетом высокой чувствительности потребителей, развитие собственных торговых марок и работа с местными производителями [8; 9]. В цифровой сфере — активное участие в международных электронных торговых площадках для выхода на рынки дружественных стран внедрение систем защиты цифровой безопасности. В институциональной сфере — использование механизмов территорий опережающего развития (ТОР) для льготного ведения бизнеса мониторинг изменений налогового законодательства, взаимодействие с Центром поддержки экспорта для легального выхода на внешние рынки [10; 13].</w:t>
      </w:r>
    </w:p>
    <w:p w14:paraId="0D6A3ACE" w14:textId="212470EA" w:rsidR="00444E49" w:rsidRPr="00CE5BA7" w:rsidRDefault="00444E49" w:rsidP="00444E49">
      <w:pPr>
        <w:spacing w:after="0" w:line="240" w:lineRule="auto"/>
        <w:ind w:firstLine="709"/>
        <w:jc w:val="both"/>
        <w:rPr>
          <w:rFonts w:ascii="Times New Roman" w:hAnsi="Times New Roman" w:cs="Times New Roman"/>
        </w:rPr>
      </w:pPr>
      <w:r w:rsidRPr="00CE5BA7">
        <w:rPr>
          <w:rFonts w:ascii="Times New Roman" w:hAnsi="Times New Roman" w:cs="Times New Roman"/>
        </w:rPr>
        <w:t>Научная новизна полученных выводов заключается в разработке классификации региональных факторов, учитывающей специфику приграничного региона, что позволяет структурировать условия функционирования торговых предприятий не по отраслевому, а по территориальному принципу; в определении адаптационного потенциала предприятия торговли, интегрирующем системный и процессный подходы и ориентированном на активное выявление изменений; а также в обосновании высокой степени взаимосвязи между группами факторов, что требует комплексной адаптации.</w:t>
      </w:r>
    </w:p>
    <w:p w14:paraId="2AC17A88" w14:textId="0E0C784F" w:rsidR="00444E49" w:rsidRPr="00CE5BA7" w:rsidRDefault="00444E49" w:rsidP="00444E49">
      <w:pPr>
        <w:spacing w:after="0" w:line="240" w:lineRule="auto"/>
        <w:ind w:firstLine="709"/>
        <w:jc w:val="both"/>
        <w:rPr>
          <w:rFonts w:ascii="Times New Roman" w:hAnsi="Times New Roman" w:cs="Times New Roman"/>
        </w:rPr>
      </w:pPr>
      <w:r w:rsidRPr="00CE5BA7">
        <w:rPr>
          <w:rFonts w:ascii="Times New Roman" w:hAnsi="Times New Roman" w:cs="Times New Roman"/>
        </w:rPr>
        <w:t>Практическая значимость результатов состоит в том, что предложенная классификация может быть использована предприятиями торговли для диагностики региональных рисков и возможностей; сформулированные рекомендации по адаптации бизнес-процессов могут быть непосредственно применены торговыми предприятиями Приморского края; материалы статьи могут служить основой для разработки региональных программ поддержки торговой отрасли с учетом выявленных вызовов.</w:t>
      </w:r>
    </w:p>
    <w:p w14:paraId="1D4D2A44" w14:textId="5AE833C0" w:rsidR="00026C7F" w:rsidRPr="00CE5BA7" w:rsidRDefault="00444E49" w:rsidP="00444E49">
      <w:pPr>
        <w:spacing w:after="0" w:line="240" w:lineRule="auto"/>
        <w:ind w:firstLine="709"/>
        <w:jc w:val="both"/>
        <w:rPr>
          <w:rFonts w:ascii="Times New Roman" w:hAnsi="Times New Roman" w:cs="Times New Roman"/>
        </w:rPr>
      </w:pPr>
      <w:r w:rsidRPr="00CE5BA7">
        <w:rPr>
          <w:rFonts w:ascii="Times New Roman" w:hAnsi="Times New Roman" w:cs="Times New Roman"/>
        </w:rPr>
        <w:t>Перспективы дальнейших исследований связаны с созданием методики оценки адаптационного потенциала предприятий торговли на основе предложенной системы факторов, а также с разработкой адаптированных инструментов бенчмаркинга, интегрирующих данные регионального мониторинга в процесс сравнения и выбора эталонов [14; 15].</w:t>
      </w:r>
    </w:p>
    <w:p w14:paraId="03AA3506" w14:textId="77777777" w:rsidR="00963A2F" w:rsidRPr="00CE5BA7" w:rsidRDefault="00963A2F" w:rsidP="00963A2F">
      <w:pPr>
        <w:spacing w:after="0" w:line="240" w:lineRule="auto"/>
        <w:ind w:firstLine="709"/>
        <w:jc w:val="both"/>
        <w:rPr>
          <w:rFonts w:ascii="Times New Roman" w:hAnsi="Times New Roman" w:cs="Times New Roman"/>
        </w:rPr>
      </w:pPr>
    </w:p>
    <w:p w14:paraId="1F260D1E" w14:textId="77777777" w:rsidR="00BB7F94" w:rsidRDefault="00BB7F94" w:rsidP="007C0774">
      <w:pPr>
        <w:spacing w:after="0" w:line="240" w:lineRule="auto"/>
        <w:ind w:firstLine="708"/>
        <w:rPr>
          <w:rFonts w:ascii="Times New Roman" w:hAnsi="Times New Roman" w:cs="Times New Roman"/>
          <w:b/>
          <w:bCs/>
        </w:rPr>
      </w:pPr>
      <w:r w:rsidRPr="00BB7F94">
        <w:rPr>
          <w:rFonts w:ascii="Times New Roman" w:hAnsi="Times New Roman" w:cs="Times New Roman"/>
          <w:b/>
          <w:bCs/>
        </w:rPr>
        <w:t xml:space="preserve">Библиографический список </w:t>
      </w:r>
    </w:p>
    <w:p w14:paraId="7D6A8DEE" w14:textId="063AF718" w:rsidR="00A7270A" w:rsidRPr="00CE5BA7" w:rsidRDefault="00CE5BA7" w:rsidP="007C0774">
      <w:pPr>
        <w:spacing w:after="0" w:line="240" w:lineRule="auto"/>
        <w:ind w:firstLine="708"/>
        <w:rPr>
          <w:rFonts w:ascii="Times New Roman" w:hAnsi="Times New Roman" w:cs="Times New Roman"/>
        </w:rPr>
      </w:pPr>
      <w:r w:rsidRPr="00CE5BA7">
        <w:rPr>
          <w:rFonts w:ascii="Times New Roman" w:hAnsi="Times New Roman" w:cs="Times New Roman"/>
        </w:rPr>
        <w:t>1.</w:t>
      </w:r>
      <w:r>
        <w:rPr>
          <w:rFonts w:ascii="Times New Roman" w:hAnsi="Times New Roman" w:cs="Times New Roman"/>
        </w:rPr>
        <w:t xml:space="preserve"> </w:t>
      </w:r>
      <w:proofErr w:type="spellStart"/>
      <w:r w:rsidR="00A7270A" w:rsidRPr="00CE5BA7">
        <w:rPr>
          <w:rFonts w:ascii="Times New Roman" w:hAnsi="Times New Roman" w:cs="Times New Roman"/>
        </w:rPr>
        <w:t>Гранберг</w:t>
      </w:r>
      <w:proofErr w:type="spellEnd"/>
      <w:r w:rsidR="00A7270A" w:rsidRPr="00CE5BA7">
        <w:rPr>
          <w:rFonts w:ascii="Times New Roman" w:hAnsi="Times New Roman" w:cs="Times New Roman"/>
        </w:rPr>
        <w:t xml:space="preserve">, А. Г. Основы региональной </w:t>
      </w:r>
      <w:proofErr w:type="gramStart"/>
      <w:r w:rsidR="00A7270A" w:rsidRPr="00CE5BA7">
        <w:rPr>
          <w:rFonts w:ascii="Times New Roman" w:hAnsi="Times New Roman" w:cs="Times New Roman"/>
        </w:rPr>
        <w:t>экономики :</w:t>
      </w:r>
      <w:proofErr w:type="gramEnd"/>
      <w:r w:rsidR="00A7270A" w:rsidRPr="00CE5BA7">
        <w:rPr>
          <w:rFonts w:ascii="Times New Roman" w:hAnsi="Times New Roman" w:cs="Times New Roman"/>
        </w:rPr>
        <w:t xml:space="preserve"> учебник для вузов / А. Г. </w:t>
      </w:r>
      <w:proofErr w:type="spellStart"/>
      <w:r w:rsidR="00A7270A" w:rsidRPr="00CE5BA7">
        <w:rPr>
          <w:rFonts w:ascii="Times New Roman" w:hAnsi="Times New Roman" w:cs="Times New Roman"/>
        </w:rPr>
        <w:t>Гранберг</w:t>
      </w:r>
      <w:proofErr w:type="spellEnd"/>
      <w:r w:rsidR="00A7270A" w:rsidRPr="00CE5BA7">
        <w:rPr>
          <w:rFonts w:ascii="Times New Roman" w:hAnsi="Times New Roman" w:cs="Times New Roman"/>
        </w:rPr>
        <w:t xml:space="preserve">. — 4-е изд. — </w:t>
      </w:r>
      <w:proofErr w:type="gramStart"/>
      <w:r w:rsidR="00A7270A" w:rsidRPr="00CE5BA7">
        <w:rPr>
          <w:rFonts w:ascii="Times New Roman" w:hAnsi="Times New Roman" w:cs="Times New Roman"/>
        </w:rPr>
        <w:t>М. :</w:t>
      </w:r>
      <w:proofErr w:type="gramEnd"/>
      <w:r w:rsidR="00A7270A" w:rsidRPr="00CE5BA7">
        <w:rPr>
          <w:rFonts w:ascii="Times New Roman" w:hAnsi="Times New Roman" w:cs="Times New Roman"/>
        </w:rPr>
        <w:t xml:space="preserve"> ГУ ВШЭ, 2004. — 495 с.</w:t>
      </w:r>
    </w:p>
    <w:p w14:paraId="7BD3E130" w14:textId="65808C8E" w:rsidR="00A7270A" w:rsidRPr="00CE5BA7" w:rsidRDefault="00CE5BA7" w:rsidP="007C0774">
      <w:pPr>
        <w:spacing w:after="0" w:line="240" w:lineRule="auto"/>
        <w:ind w:firstLine="708"/>
        <w:rPr>
          <w:rFonts w:ascii="Times New Roman" w:hAnsi="Times New Roman" w:cs="Times New Roman"/>
        </w:rPr>
      </w:pPr>
      <w:r>
        <w:rPr>
          <w:rFonts w:ascii="Times New Roman" w:hAnsi="Times New Roman" w:cs="Times New Roman"/>
        </w:rPr>
        <w:t xml:space="preserve">2. </w:t>
      </w:r>
      <w:r w:rsidR="00A7270A" w:rsidRPr="00CE5BA7">
        <w:rPr>
          <w:rFonts w:ascii="Times New Roman" w:hAnsi="Times New Roman" w:cs="Times New Roman"/>
        </w:rPr>
        <w:t xml:space="preserve">Портер, М. Е. Международная конкуренция. Конкурентные преимущества стран / М. Е. </w:t>
      </w:r>
      <w:proofErr w:type="gramStart"/>
      <w:r w:rsidR="00A7270A" w:rsidRPr="00CE5BA7">
        <w:rPr>
          <w:rFonts w:ascii="Times New Roman" w:hAnsi="Times New Roman" w:cs="Times New Roman"/>
        </w:rPr>
        <w:t>Портер ;</w:t>
      </w:r>
      <w:proofErr w:type="gramEnd"/>
      <w:r w:rsidR="00A7270A" w:rsidRPr="00CE5BA7">
        <w:rPr>
          <w:rFonts w:ascii="Times New Roman" w:hAnsi="Times New Roman" w:cs="Times New Roman"/>
        </w:rPr>
        <w:t xml:space="preserve"> пер. с англ. — М. : Альпина </w:t>
      </w:r>
      <w:proofErr w:type="spellStart"/>
      <w:r w:rsidR="00A7270A" w:rsidRPr="00CE5BA7">
        <w:rPr>
          <w:rFonts w:ascii="Times New Roman" w:hAnsi="Times New Roman" w:cs="Times New Roman"/>
        </w:rPr>
        <w:t>Паблишер</w:t>
      </w:r>
      <w:proofErr w:type="spellEnd"/>
      <w:r w:rsidR="00A7270A" w:rsidRPr="00CE5BA7">
        <w:rPr>
          <w:rFonts w:ascii="Times New Roman" w:hAnsi="Times New Roman" w:cs="Times New Roman"/>
        </w:rPr>
        <w:t>, 2016. — 947 с.</w:t>
      </w:r>
    </w:p>
    <w:p w14:paraId="0A72E6DA" w14:textId="55175FC1" w:rsidR="00A7270A"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3. </w:t>
      </w:r>
      <w:r w:rsidR="00A7270A" w:rsidRPr="00CE5BA7">
        <w:rPr>
          <w:rFonts w:ascii="Times New Roman" w:hAnsi="Times New Roman" w:cs="Times New Roman"/>
          <w:lang w:val="en-US"/>
        </w:rPr>
        <w:t>Florida, R. The Learning Region / R. Florida // Regional Studies. — 1995. — Vol. 29, No. 6. — P. 527-536.</w:t>
      </w:r>
    </w:p>
    <w:p w14:paraId="750EE8C6" w14:textId="596E97E5" w:rsidR="00A7270A" w:rsidRPr="00CE5BA7" w:rsidRDefault="00CE5BA7" w:rsidP="007C0774">
      <w:pPr>
        <w:spacing w:after="0" w:line="240" w:lineRule="auto"/>
        <w:ind w:firstLine="708"/>
        <w:rPr>
          <w:rFonts w:ascii="Times New Roman" w:hAnsi="Times New Roman" w:cs="Times New Roman"/>
        </w:rPr>
      </w:pPr>
      <w:r>
        <w:rPr>
          <w:rFonts w:ascii="Times New Roman" w:hAnsi="Times New Roman" w:cs="Times New Roman"/>
        </w:rPr>
        <w:t xml:space="preserve">4. </w:t>
      </w:r>
      <w:r w:rsidR="00A7270A" w:rsidRPr="00CE5BA7">
        <w:rPr>
          <w:rFonts w:ascii="Times New Roman" w:hAnsi="Times New Roman" w:cs="Times New Roman"/>
        </w:rPr>
        <w:t>Описание экономики Приморского края // Инвестиционный портал регионов России [Электронный ресурс]. — URL: https://www.investinregions.ru/regions/25/statistics/ (дата обращения: 14.03.2026).</w:t>
      </w:r>
    </w:p>
    <w:p w14:paraId="5804DAE1" w14:textId="65B418BB" w:rsidR="00A7270A" w:rsidRPr="00CE5BA7" w:rsidRDefault="00CE5BA7" w:rsidP="007C0774">
      <w:pPr>
        <w:spacing w:after="0" w:line="240" w:lineRule="auto"/>
        <w:ind w:firstLine="708"/>
        <w:rPr>
          <w:rFonts w:ascii="Times New Roman" w:hAnsi="Times New Roman" w:cs="Times New Roman"/>
        </w:rPr>
      </w:pPr>
      <w:r>
        <w:rPr>
          <w:rFonts w:ascii="Times New Roman" w:hAnsi="Times New Roman" w:cs="Times New Roman"/>
        </w:rPr>
        <w:t xml:space="preserve">5. </w:t>
      </w:r>
      <w:r w:rsidR="00A7270A" w:rsidRPr="00CE5BA7">
        <w:rPr>
          <w:rFonts w:ascii="Times New Roman" w:hAnsi="Times New Roman" w:cs="Times New Roman"/>
        </w:rPr>
        <w:t>Приморский край в цифрах. 2024 // Территориальный орган Федеральной службы государственной статистики по Приморскому краю [Электронный ресурс]. — URL: https://25.rosstat.gov.ru/storage/mediabank/%D0%9F%D0%BA%20%D0%B2%20%D1%86%D0%B8%D1%84%D1%80%D0%B0%D1%85%202024_2(1).pdf (дата обращения: 14.03.2026).</w:t>
      </w:r>
    </w:p>
    <w:p w14:paraId="4D4DD9C1" w14:textId="460255CF" w:rsidR="00A7270A" w:rsidRPr="00CE5BA7" w:rsidRDefault="00CE5BA7" w:rsidP="007C0774">
      <w:pPr>
        <w:spacing w:after="0" w:line="240" w:lineRule="auto"/>
        <w:ind w:firstLine="708"/>
        <w:rPr>
          <w:rFonts w:ascii="Times New Roman" w:hAnsi="Times New Roman" w:cs="Times New Roman"/>
        </w:rPr>
      </w:pPr>
      <w:r>
        <w:rPr>
          <w:rFonts w:ascii="Times New Roman" w:hAnsi="Times New Roman" w:cs="Times New Roman"/>
        </w:rPr>
        <w:t xml:space="preserve">6. </w:t>
      </w:r>
      <w:r w:rsidR="00A7270A" w:rsidRPr="00CE5BA7">
        <w:rPr>
          <w:rFonts w:ascii="Times New Roman" w:hAnsi="Times New Roman" w:cs="Times New Roman"/>
        </w:rPr>
        <w:t xml:space="preserve">Мазитова М.Г. Внешняя торговля Дальневосточного федерального округа в первой половине 2024 г. / М.Г. Мазитова // </w:t>
      </w:r>
      <w:proofErr w:type="spellStart"/>
      <w:r w:rsidR="00A7270A" w:rsidRPr="00CE5BA7">
        <w:rPr>
          <w:rFonts w:ascii="Times New Roman" w:hAnsi="Times New Roman" w:cs="Times New Roman"/>
        </w:rPr>
        <w:t>Регионалистика</w:t>
      </w:r>
      <w:proofErr w:type="spellEnd"/>
      <w:r w:rsidR="00A7270A" w:rsidRPr="00CE5BA7">
        <w:rPr>
          <w:rFonts w:ascii="Times New Roman" w:hAnsi="Times New Roman" w:cs="Times New Roman"/>
        </w:rPr>
        <w:t>. — 2024. — Т.11. №3. — С. 80-88.</w:t>
      </w:r>
    </w:p>
    <w:p w14:paraId="3EA7B028" w14:textId="6EAE8005" w:rsidR="00A7270A" w:rsidRPr="00CE5BA7" w:rsidRDefault="00CE5BA7" w:rsidP="007C0774">
      <w:pPr>
        <w:spacing w:after="0" w:line="240" w:lineRule="auto"/>
        <w:ind w:firstLine="708"/>
        <w:rPr>
          <w:rFonts w:ascii="Times New Roman" w:hAnsi="Times New Roman" w:cs="Times New Roman"/>
        </w:rPr>
      </w:pPr>
      <w:r>
        <w:rPr>
          <w:rFonts w:ascii="Times New Roman" w:hAnsi="Times New Roman" w:cs="Times New Roman"/>
        </w:rPr>
        <w:lastRenderedPageBreak/>
        <w:t xml:space="preserve">7. </w:t>
      </w:r>
      <w:r w:rsidR="00A7270A" w:rsidRPr="00CE5BA7">
        <w:rPr>
          <w:rFonts w:ascii="Times New Roman" w:hAnsi="Times New Roman" w:cs="Times New Roman"/>
        </w:rPr>
        <w:t>Баранова Ю.В., Леонова А.А. Иностранная рабочая сила как важный ресурс в реализации инфраструктурных проектов Приморского края / Ю.В. Баранова, А.А. Леонова // Образование и право. — 2024. — № 4. — С. 485-488.</w:t>
      </w:r>
    </w:p>
    <w:p w14:paraId="421DCFB7" w14:textId="6D0B331C" w:rsidR="00A7270A" w:rsidRPr="00CE5BA7" w:rsidRDefault="00CE5BA7" w:rsidP="007C0774">
      <w:pPr>
        <w:spacing w:after="0" w:line="240" w:lineRule="auto"/>
        <w:ind w:firstLine="708"/>
        <w:rPr>
          <w:rFonts w:ascii="Times New Roman" w:hAnsi="Times New Roman" w:cs="Times New Roman"/>
        </w:rPr>
      </w:pPr>
      <w:r>
        <w:rPr>
          <w:rFonts w:ascii="Times New Roman" w:hAnsi="Times New Roman" w:cs="Times New Roman"/>
        </w:rPr>
        <w:t xml:space="preserve">8. </w:t>
      </w:r>
      <w:r w:rsidR="00A7270A" w:rsidRPr="00CE5BA7">
        <w:rPr>
          <w:rFonts w:ascii="Times New Roman" w:hAnsi="Times New Roman" w:cs="Times New Roman"/>
        </w:rPr>
        <w:t>Рынок труда и занятость населения // Территориальный орган Федеральной службы государственной статистики по Приморскому краю [Электронный ресурс]. — URL: https://25.rosstat.gov.ru/folder/27186 (дата обращения: 14.03.2026).</w:t>
      </w:r>
    </w:p>
    <w:p w14:paraId="0CB66983" w14:textId="60264B42" w:rsidR="00A7270A" w:rsidRPr="00CE5BA7" w:rsidRDefault="00CE5BA7" w:rsidP="007C0774">
      <w:pPr>
        <w:spacing w:after="0" w:line="240" w:lineRule="auto"/>
        <w:ind w:firstLine="708"/>
        <w:rPr>
          <w:rFonts w:ascii="Times New Roman" w:hAnsi="Times New Roman" w:cs="Times New Roman"/>
        </w:rPr>
      </w:pPr>
      <w:r>
        <w:rPr>
          <w:rFonts w:ascii="Times New Roman" w:hAnsi="Times New Roman" w:cs="Times New Roman"/>
        </w:rPr>
        <w:t xml:space="preserve">9. </w:t>
      </w:r>
      <w:r w:rsidR="00A7270A" w:rsidRPr="00CE5BA7">
        <w:rPr>
          <w:rFonts w:ascii="Times New Roman" w:hAnsi="Times New Roman" w:cs="Times New Roman"/>
        </w:rPr>
        <w:t>Информационно-аналитический комментарий об инфляции в Приморском крае в декабре 2024 года // Банк России [Электронный ресурс]. — URL: https://www.cbr.ru/press/reginfl/?id=54141 (дата обращения: 14.03.2026).</w:t>
      </w:r>
    </w:p>
    <w:p w14:paraId="4CFA8BC0" w14:textId="31F646D6" w:rsidR="00A7270A" w:rsidRPr="00CE5BA7" w:rsidRDefault="00CE5BA7" w:rsidP="007C0774">
      <w:pPr>
        <w:spacing w:after="0" w:line="240" w:lineRule="auto"/>
        <w:ind w:firstLine="708"/>
        <w:rPr>
          <w:rFonts w:ascii="Times New Roman" w:hAnsi="Times New Roman" w:cs="Times New Roman"/>
        </w:rPr>
      </w:pPr>
      <w:r>
        <w:rPr>
          <w:rFonts w:ascii="Times New Roman" w:hAnsi="Times New Roman" w:cs="Times New Roman"/>
        </w:rPr>
        <w:t xml:space="preserve">10. </w:t>
      </w:r>
      <w:r w:rsidR="00A7270A" w:rsidRPr="00CE5BA7">
        <w:rPr>
          <w:rFonts w:ascii="Times New Roman" w:hAnsi="Times New Roman" w:cs="Times New Roman"/>
        </w:rPr>
        <w:t xml:space="preserve">Якимова В.А., Панкова С.В. Закономерности размещения цифрового предпринимательства в регионах России / В.А. Якимова, С.В. Панкова // </w:t>
      </w:r>
      <w:proofErr w:type="spellStart"/>
      <w:r w:rsidR="00A7270A" w:rsidRPr="00CE5BA7">
        <w:rPr>
          <w:rFonts w:ascii="Times New Roman" w:hAnsi="Times New Roman" w:cs="Times New Roman"/>
        </w:rPr>
        <w:t>Ars</w:t>
      </w:r>
      <w:proofErr w:type="spellEnd"/>
      <w:r w:rsidR="00A7270A" w:rsidRPr="00CE5BA7">
        <w:rPr>
          <w:rFonts w:ascii="Times New Roman" w:hAnsi="Times New Roman" w:cs="Times New Roman"/>
        </w:rPr>
        <w:t xml:space="preserve"> </w:t>
      </w:r>
      <w:proofErr w:type="spellStart"/>
      <w:r w:rsidR="00A7270A" w:rsidRPr="00CE5BA7">
        <w:rPr>
          <w:rFonts w:ascii="Times New Roman" w:hAnsi="Times New Roman" w:cs="Times New Roman"/>
        </w:rPr>
        <w:t>Administrandi</w:t>
      </w:r>
      <w:proofErr w:type="spellEnd"/>
      <w:r w:rsidR="00A7270A" w:rsidRPr="00CE5BA7">
        <w:rPr>
          <w:rFonts w:ascii="Times New Roman" w:hAnsi="Times New Roman" w:cs="Times New Roman"/>
        </w:rPr>
        <w:t>. — 2023. — Т.15. №3. — С. 377-405.</w:t>
      </w:r>
    </w:p>
    <w:p w14:paraId="42D01154" w14:textId="6239A582" w:rsidR="00A7270A" w:rsidRPr="00CE5BA7" w:rsidRDefault="00CE5BA7" w:rsidP="007C0774">
      <w:pPr>
        <w:spacing w:after="0" w:line="240" w:lineRule="auto"/>
        <w:ind w:firstLine="708"/>
        <w:rPr>
          <w:rFonts w:ascii="Times New Roman" w:hAnsi="Times New Roman" w:cs="Times New Roman"/>
        </w:rPr>
      </w:pPr>
      <w:r>
        <w:rPr>
          <w:rFonts w:ascii="Times New Roman" w:hAnsi="Times New Roman" w:cs="Times New Roman"/>
        </w:rPr>
        <w:t xml:space="preserve">11. </w:t>
      </w:r>
      <w:r w:rsidR="00A7270A" w:rsidRPr="00CE5BA7">
        <w:rPr>
          <w:rFonts w:ascii="Times New Roman" w:hAnsi="Times New Roman" w:cs="Times New Roman"/>
        </w:rPr>
        <w:t xml:space="preserve">Король Р.Г., </w:t>
      </w:r>
      <w:proofErr w:type="spellStart"/>
      <w:r w:rsidR="00A7270A" w:rsidRPr="00CE5BA7">
        <w:rPr>
          <w:rFonts w:ascii="Times New Roman" w:hAnsi="Times New Roman" w:cs="Times New Roman"/>
        </w:rPr>
        <w:t>Акельев</w:t>
      </w:r>
      <w:proofErr w:type="spellEnd"/>
      <w:r w:rsidR="00A7270A" w:rsidRPr="00CE5BA7">
        <w:rPr>
          <w:rFonts w:ascii="Times New Roman" w:hAnsi="Times New Roman" w:cs="Times New Roman"/>
        </w:rPr>
        <w:t xml:space="preserve"> А.С. Моделирование пропускной способности пограничных переходов транспортного коридора «Приморье-1» в условиях увеличения грузопотока / Р.Г. Король, А.С. </w:t>
      </w:r>
      <w:proofErr w:type="spellStart"/>
      <w:r w:rsidR="00A7270A" w:rsidRPr="00CE5BA7">
        <w:rPr>
          <w:rFonts w:ascii="Times New Roman" w:hAnsi="Times New Roman" w:cs="Times New Roman"/>
        </w:rPr>
        <w:t>Акельев</w:t>
      </w:r>
      <w:proofErr w:type="spellEnd"/>
      <w:r w:rsidR="00A7270A" w:rsidRPr="00CE5BA7">
        <w:rPr>
          <w:rFonts w:ascii="Times New Roman" w:hAnsi="Times New Roman" w:cs="Times New Roman"/>
        </w:rPr>
        <w:t xml:space="preserve"> // Известия Транссиба. — 2023. — №2(54). — С. 97-106.</w:t>
      </w:r>
    </w:p>
    <w:p w14:paraId="40F01180" w14:textId="0CCF1917" w:rsidR="00963A2F" w:rsidRPr="00CE5BA7" w:rsidRDefault="00CE5BA7" w:rsidP="007C0774">
      <w:pPr>
        <w:spacing w:after="0" w:line="240" w:lineRule="auto"/>
        <w:ind w:firstLine="708"/>
        <w:rPr>
          <w:rFonts w:ascii="Times New Roman" w:hAnsi="Times New Roman" w:cs="Times New Roman"/>
        </w:rPr>
      </w:pPr>
      <w:r>
        <w:rPr>
          <w:rFonts w:ascii="Times New Roman" w:hAnsi="Times New Roman" w:cs="Times New Roman"/>
        </w:rPr>
        <w:t xml:space="preserve">12. </w:t>
      </w:r>
      <w:r w:rsidR="00A7270A" w:rsidRPr="00CE5BA7">
        <w:rPr>
          <w:rFonts w:ascii="Times New Roman" w:hAnsi="Times New Roman" w:cs="Times New Roman"/>
        </w:rPr>
        <w:t>Крупнейший «сухой порт» в России официально открыт // Корпорация Дальнего Востока и Арктики [Электронный ресурс]. — URL: https://erdc.ru/news/krupneyshiy-sukhoy-port-v-rossii-ofitsialno-otkryt/ (дата обращения: 14.03.2026).</w:t>
      </w:r>
    </w:p>
    <w:p w14:paraId="78CBD5C8" w14:textId="70C68092" w:rsidR="00A7270A" w:rsidRPr="00CE5BA7" w:rsidRDefault="00CE5BA7" w:rsidP="007C0774">
      <w:pPr>
        <w:spacing w:after="0" w:line="240" w:lineRule="auto"/>
        <w:ind w:firstLine="708"/>
        <w:rPr>
          <w:rFonts w:ascii="Times New Roman" w:hAnsi="Times New Roman" w:cs="Times New Roman"/>
        </w:rPr>
      </w:pPr>
      <w:r>
        <w:rPr>
          <w:rFonts w:ascii="Times New Roman" w:hAnsi="Times New Roman" w:cs="Times New Roman"/>
        </w:rPr>
        <w:t xml:space="preserve">13. </w:t>
      </w:r>
      <w:r w:rsidR="00A7270A" w:rsidRPr="00CE5BA7">
        <w:rPr>
          <w:rFonts w:ascii="Times New Roman" w:hAnsi="Times New Roman" w:cs="Times New Roman"/>
        </w:rPr>
        <w:t>Центр поддержки экспорта [Электронный ресурс]. — URL: https://xn--25-9kcqjffxnf3b.xn--p1ai/</w:t>
      </w:r>
      <w:proofErr w:type="spellStart"/>
      <w:r w:rsidR="00A7270A" w:rsidRPr="00CE5BA7">
        <w:rPr>
          <w:rFonts w:ascii="Times New Roman" w:hAnsi="Times New Roman" w:cs="Times New Roman"/>
        </w:rPr>
        <w:t>structure</w:t>
      </w:r>
      <w:proofErr w:type="spellEnd"/>
      <w:r w:rsidR="00A7270A" w:rsidRPr="00CE5BA7">
        <w:rPr>
          <w:rFonts w:ascii="Times New Roman" w:hAnsi="Times New Roman" w:cs="Times New Roman"/>
        </w:rPr>
        <w:t>/</w:t>
      </w:r>
      <w:proofErr w:type="spellStart"/>
      <w:r w:rsidR="00A7270A" w:rsidRPr="00CE5BA7">
        <w:rPr>
          <w:rFonts w:ascii="Times New Roman" w:hAnsi="Times New Roman" w:cs="Times New Roman"/>
        </w:rPr>
        <w:t>cpe</w:t>
      </w:r>
      <w:proofErr w:type="spellEnd"/>
      <w:r w:rsidR="00A7270A" w:rsidRPr="00CE5BA7">
        <w:rPr>
          <w:rFonts w:ascii="Times New Roman" w:hAnsi="Times New Roman" w:cs="Times New Roman"/>
        </w:rPr>
        <w:t>/ (дата обращения: 14.03.2026).</w:t>
      </w:r>
    </w:p>
    <w:p w14:paraId="3ED558A9" w14:textId="0DDC0F2B" w:rsidR="00A7270A" w:rsidRPr="00CE5BA7" w:rsidRDefault="00CE5BA7" w:rsidP="007C0774">
      <w:pPr>
        <w:spacing w:after="0" w:line="240" w:lineRule="auto"/>
        <w:ind w:firstLine="708"/>
        <w:rPr>
          <w:rFonts w:ascii="Times New Roman" w:hAnsi="Times New Roman" w:cs="Times New Roman"/>
        </w:rPr>
      </w:pPr>
      <w:r>
        <w:rPr>
          <w:rFonts w:ascii="Times New Roman" w:hAnsi="Times New Roman" w:cs="Times New Roman"/>
        </w:rPr>
        <w:t xml:space="preserve">14. </w:t>
      </w:r>
      <w:r w:rsidR="00A7270A" w:rsidRPr="00CE5BA7">
        <w:rPr>
          <w:rFonts w:ascii="Times New Roman" w:hAnsi="Times New Roman" w:cs="Times New Roman"/>
        </w:rPr>
        <w:t>Назипова Д.А. Бенчмаркинг: генезис и содержание / Д.А. Назипова // Формула менеджмента. — 2022. — № 1(15). — С. 33-38.</w:t>
      </w:r>
    </w:p>
    <w:p w14:paraId="19B720BE" w14:textId="2573763E" w:rsidR="00A7270A" w:rsidRPr="00211F11" w:rsidRDefault="00CE5BA7" w:rsidP="007C0774">
      <w:pPr>
        <w:spacing w:after="0" w:line="240" w:lineRule="auto"/>
        <w:ind w:firstLine="708"/>
        <w:rPr>
          <w:rFonts w:ascii="Times New Roman" w:hAnsi="Times New Roman" w:cs="Times New Roman"/>
          <w:lang w:val="en-US"/>
        </w:rPr>
      </w:pPr>
      <w:r>
        <w:rPr>
          <w:rFonts w:ascii="Times New Roman" w:hAnsi="Times New Roman" w:cs="Times New Roman"/>
        </w:rPr>
        <w:t xml:space="preserve">15. </w:t>
      </w:r>
      <w:proofErr w:type="spellStart"/>
      <w:r w:rsidR="00A7270A" w:rsidRPr="00CE5BA7">
        <w:rPr>
          <w:rFonts w:ascii="Times New Roman" w:hAnsi="Times New Roman" w:cs="Times New Roman"/>
        </w:rPr>
        <w:t>Тилиндис</w:t>
      </w:r>
      <w:proofErr w:type="spellEnd"/>
      <w:r w:rsidR="00A7270A" w:rsidRPr="00CE5BA7">
        <w:rPr>
          <w:rFonts w:ascii="Times New Roman" w:hAnsi="Times New Roman" w:cs="Times New Roman"/>
        </w:rPr>
        <w:t xml:space="preserve"> Т.В., Демченко М.А. Методические аспекты формирования и использования бенчмарки для торговых предприятий / Т.В. </w:t>
      </w:r>
      <w:proofErr w:type="spellStart"/>
      <w:r w:rsidR="00A7270A" w:rsidRPr="00CE5BA7">
        <w:rPr>
          <w:rFonts w:ascii="Times New Roman" w:hAnsi="Times New Roman" w:cs="Times New Roman"/>
        </w:rPr>
        <w:t>Тилиндис</w:t>
      </w:r>
      <w:proofErr w:type="spellEnd"/>
      <w:r w:rsidR="00A7270A" w:rsidRPr="00CE5BA7">
        <w:rPr>
          <w:rFonts w:ascii="Times New Roman" w:hAnsi="Times New Roman" w:cs="Times New Roman"/>
        </w:rPr>
        <w:t>, М.А. Демченко // Вестник Астраханского государственного технического университета. Серия</w:t>
      </w:r>
      <w:r w:rsidR="00A7270A" w:rsidRPr="00211F11">
        <w:rPr>
          <w:rFonts w:ascii="Times New Roman" w:hAnsi="Times New Roman" w:cs="Times New Roman"/>
          <w:lang w:val="en-US"/>
        </w:rPr>
        <w:t xml:space="preserve">: </w:t>
      </w:r>
      <w:r w:rsidR="00A7270A" w:rsidRPr="00CE5BA7">
        <w:rPr>
          <w:rFonts w:ascii="Times New Roman" w:hAnsi="Times New Roman" w:cs="Times New Roman"/>
        </w:rPr>
        <w:t>Экономика</w:t>
      </w:r>
      <w:r w:rsidR="00A7270A" w:rsidRPr="00211F11">
        <w:rPr>
          <w:rFonts w:ascii="Times New Roman" w:hAnsi="Times New Roman" w:cs="Times New Roman"/>
          <w:lang w:val="en-US"/>
        </w:rPr>
        <w:t xml:space="preserve">. — 2022. — № 3. — </w:t>
      </w:r>
      <w:r w:rsidR="00A7270A" w:rsidRPr="00CE5BA7">
        <w:rPr>
          <w:rFonts w:ascii="Times New Roman" w:hAnsi="Times New Roman" w:cs="Times New Roman"/>
        </w:rPr>
        <w:t>С</w:t>
      </w:r>
      <w:r w:rsidR="00A7270A" w:rsidRPr="00211F11">
        <w:rPr>
          <w:rFonts w:ascii="Times New Roman" w:hAnsi="Times New Roman" w:cs="Times New Roman"/>
          <w:lang w:val="en-US"/>
        </w:rPr>
        <w:t>. 106-120.</w:t>
      </w:r>
    </w:p>
    <w:p w14:paraId="79ED3E5B" w14:textId="38FAAD5B" w:rsidR="00FF3399" w:rsidRPr="00211F11" w:rsidRDefault="00FF3399" w:rsidP="007C0774">
      <w:pPr>
        <w:spacing w:after="0" w:line="240" w:lineRule="auto"/>
        <w:jc w:val="center"/>
        <w:rPr>
          <w:rFonts w:ascii="Times New Roman" w:hAnsi="Times New Roman" w:cs="Times New Roman"/>
          <w:b/>
          <w:bCs/>
          <w:lang w:val="en-US"/>
        </w:rPr>
      </w:pPr>
    </w:p>
    <w:p w14:paraId="03D94FFB" w14:textId="3B094A62" w:rsidR="00FF3399" w:rsidRPr="00211F11" w:rsidRDefault="00FF3399" w:rsidP="007C0774">
      <w:pPr>
        <w:spacing w:after="0" w:line="240" w:lineRule="auto"/>
        <w:ind w:firstLine="708"/>
        <w:rPr>
          <w:rFonts w:ascii="Times New Roman" w:hAnsi="Times New Roman" w:cs="Times New Roman"/>
          <w:b/>
          <w:bCs/>
          <w:lang w:val="en-US"/>
        </w:rPr>
      </w:pPr>
      <w:r w:rsidRPr="00211F11">
        <w:rPr>
          <w:rFonts w:ascii="Times New Roman" w:hAnsi="Times New Roman" w:cs="Times New Roman"/>
          <w:b/>
          <w:bCs/>
          <w:lang w:val="en-US"/>
        </w:rPr>
        <w:t>References</w:t>
      </w:r>
    </w:p>
    <w:p w14:paraId="04F3A739" w14:textId="4C12F766" w:rsidR="00963A2F"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1. </w:t>
      </w:r>
      <w:proofErr w:type="spellStart"/>
      <w:r w:rsidR="00963A2F" w:rsidRPr="00CE5BA7">
        <w:rPr>
          <w:rFonts w:ascii="Times New Roman" w:hAnsi="Times New Roman" w:cs="Times New Roman"/>
          <w:lang w:val="en-US"/>
        </w:rPr>
        <w:t>Granberg</w:t>
      </w:r>
      <w:proofErr w:type="spellEnd"/>
      <w:r w:rsidR="00963A2F" w:rsidRPr="00CE5BA7">
        <w:rPr>
          <w:rFonts w:ascii="Times New Roman" w:hAnsi="Times New Roman" w:cs="Times New Roman"/>
          <w:lang w:val="en-US"/>
        </w:rPr>
        <w:t xml:space="preserve"> A.G. </w:t>
      </w:r>
      <w:proofErr w:type="spellStart"/>
      <w:r w:rsidR="00963A2F" w:rsidRPr="00CE5BA7">
        <w:rPr>
          <w:rFonts w:ascii="Times New Roman" w:hAnsi="Times New Roman" w:cs="Times New Roman"/>
          <w:lang w:val="en-US"/>
        </w:rPr>
        <w:t>Osnovy</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regionalnoy</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ekonomiki</w:t>
      </w:r>
      <w:proofErr w:type="spellEnd"/>
      <w:r w:rsidR="00963A2F" w:rsidRPr="00CE5BA7">
        <w:rPr>
          <w:rFonts w:ascii="Times New Roman" w:hAnsi="Times New Roman" w:cs="Times New Roman"/>
          <w:lang w:val="en-US"/>
        </w:rPr>
        <w:t xml:space="preserve"> [Foundations of Regional Economics]. 4th ed. Moscow: Higher School of Economics Publishing House; 2004. 495 p.</w:t>
      </w:r>
    </w:p>
    <w:p w14:paraId="751A5E74" w14:textId="408A97C7" w:rsidR="00963A2F"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2. </w:t>
      </w:r>
      <w:r w:rsidR="00963A2F" w:rsidRPr="00CE5BA7">
        <w:rPr>
          <w:rFonts w:ascii="Times New Roman" w:hAnsi="Times New Roman" w:cs="Times New Roman"/>
          <w:lang w:val="en-US"/>
        </w:rPr>
        <w:t xml:space="preserve">Porter M.E. </w:t>
      </w:r>
      <w:proofErr w:type="spellStart"/>
      <w:r w:rsidR="00963A2F" w:rsidRPr="00CE5BA7">
        <w:rPr>
          <w:rFonts w:ascii="Times New Roman" w:hAnsi="Times New Roman" w:cs="Times New Roman"/>
          <w:lang w:val="en-US"/>
        </w:rPr>
        <w:t>Mezhdunarodnaya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konkurentsiya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Konkurentnye</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preimushchestva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stran</w:t>
      </w:r>
      <w:proofErr w:type="spellEnd"/>
      <w:r w:rsidR="00963A2F" w:rsidRPr="00CE5BA7">
        <w:rPr>
          <w:rFonts w:ascii="Times New Roman" w:hAnsi="Times New Roman" w:cs="Times New Roman"/>
          <w:lang w:val="en-US"/>
        </w:rPr>
        <w:t xml:space="preserve"> [International Competition: Competitive Advantages of Nations]. Transl. from English. Moscow: </w:t>
      </w:r>
      <w:proofErr w:type="spellStart"/>
      <w:r w:rsidR="00963A2F" w:rsidRPr="00CE5BA7">
        <w:rPr>
          <w:rFonts w:ascii="Times New Roman" w:hAnsi="Times New Roman" w:cs="Times New Roman"/>
          <w:lang w:val="en-US"/>
        </w:rPr>
        <w:t>Alpina</w:t>
      </w:r>
      <w:proofErr w:type="spellEnd"/>
      <w:r w:rsidR="00963A2F" w:rsidRPr="00CE5BA7">
        <w:rPr>
          <w:rFonts w:ascii="Times New Roman" w:hAnsi="Times New Roman" w:cs="Times New Roman"/>
          <w:lang w:val="en-US"/>
        </w:rPr>
        <w:t xml:space="preserve"> Publisher; 2016. 947 p. </w:t>
      </w:r>
    </w:p>
    <w:p w14:paraId="01D7F495" w14:textId="387CD8FE" w:rsidR="00963A2F"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3. </w:t>
      </w:r>
      <w:r w:rsidR="00963A2F" w:rsidRPr="00CE5BA7">
        <w:rPr>
          <w:rFonts w:ascii="Times New Roman" w:hAnsi="Times New Roman" w:cs="Times New Roman"/>
          <w:lang w:val="en-US"/>
        </w:rPr>
        <w:t>Florida R. The Learning Region. Regional Studies. 1995;29(6):527-536.</w:t>
      </w:r>
    </w:p>
    <w:p w14:paraId="18B6BE2F" w14:textId="42FA5BB6" w:rsidR="00963A2F"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4. </w:t>
      </w:r>
      <w:proofErr w:type="spellStart"/>
      <w:r w:rsidR="00963A2F" w:rsidRPr="00CE5BA7">
        <w:rPr>
          <w:rFonts w:ascii="Times New Roman" w:hAnsi="Times New Roman" w:cs="Times New Roman"/>
          <w:lang w:val="en-US"/>
        </w:rPr>
        <w:t>Opisanie</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ekonomiki</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Primorskogo</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kraya</w:t>
      </w:r>
      <w:proofErr w:type="spellEnd"/>
      <w:r w:rsidR="00963A2F" w:rsidRPr="00CE5BA7">
        <w:rPr>
          <w:rFonts w:ascii="Times New Roman" w:hAnsi="Times New Roman" w:cs="Times New Roman"/>
          <w:lang w:val="en-US"/>
        </w:rPr>
        <w:t xml:space="preserve"> [Description of the Economy of </w:t>
      </w:r>
      <w:proofErr w:type="spellStart"/>
      <w:r w:rsidR="00963A2F" w:rsidRPr="00CE5BA7">
        <w:rPr>
          <w:rFonts w:ascii="Times New Roman" w:hAnsi="Times New Roman" w:cs="Times New Roman"/>
          <w:lang w:val="en-US"/>
        </w:rPr>
        <w:t>Primorsky</w:t>
      </w:r>
      <w:proofErr w:type="spellEnd"/>
      <w:r w:rsidR="00963A2F" w:rsidRPr="00CE5BA7">
        <w:rPr>
          <w:rFonts w:ascii="Times New Roman" w:hAnsi="Times New Roman" w:cs="Times New Roman"/>
          <w:lang w:val="en-US"/>
        </w:rPr>
        <w:t xml:space="preserve"> Krai]. Investment Portal of Russian Regions. Available from: https://www.investinregions.ru/regions/25/statistics/ [Accessed 14 March 2026]. </w:t>
      </w:r>
    </w:p>
    <w:p w14:paraId="72FE29FF" w14:textId="5FC5387F" w:rsidR="00963A2F" w:rsidRPr="00CE5BA7" w:rsidRDefault="00CE5BA7" w:rsidP="007C0774">
      <w:pPr>
        <w:spacing w:after="0" w:line="240" w:lineRule="auto"/>
        <w:ind w:firstLine="708"/>
        <w:rPr>
          <w:rFonts w:ascii="Times New Roman" w:hAnsi="Times New Roman" w:cs="Times New Roman"/>
          <w:lang w:val="en-US"/>
        </w:rPr>
      </w:pPr>
      <w:r w:rsidRPr="00211F11">
        <w:rPr>
          <w:rFonts w:ascii="Times New Roman" w:hAnsi="Times New Roman" w:cs="Times New Roman"/>
          <w:lang w:val="en-US"/>
        </w:rPr>
        <w:t xml:space="preserve">5. </w:t>
      </w:r>
      <w:proofErr w:type="spellStart"/>
      <w:r w:rsidR="00963A2F" w:rsidRPr="00CE5BA7">
        <w:rPr>
          <w:rFonts w:ascii="Times New Roman" w:hAnsi="Times New Roman" w:cs="Times New Roman"/>
          <w:lang w:val="en-US"/>
        </w:rPr>
        <w:t>Primorsky</w:t>
      </w:r>
      <w:proofErr w:type="spellEnd"/>
      <w:r w:rsidR="00963A2F" w:rsidRPr="00CE5BA7">
        <w:rPr>
          <w:rFonts w:ascii="Times New Roman" w:hAnsi="Times New Roman" w:cs="Times New Roman"/>
          <w:lang w:val="en-US"/>
        </w:rPr>
        <w:t xml:space="preserve"> Krai v </w:t>
      </w:r>
      <w:proofErr w:type="spellStart"/>
      <w:r w:rsidR="00963A2F" w:rsidRPr="00CE5BA7">
        <w:rPr>
          <w:rFonts w:ascii="Times New Roman" w:hAnsi="Times New Roman" w:cs="Times New Roman"/>
          <w:lang w:val="en-US"/>
        </w:rPr>
        <w:t>tsifrakh</w:t>
      </w:r>
      <w:proofErr w:type="spellEnd"/>
      <w:r w:rsidR="00963A2F" w:rsidRPr="00CE5BA7">
        <w:rPr>
          <w:rFonts w:ascii="Times New Roman" w:hAnsi="Times New Roman" w:cs="Times New Roman"/>
          <w:lang w:val="en-US"/>
        </w:rPr>
        <w:t>. 2024 [</w:t>
      </w:r>
      <w:proofErr w:type="spellStart"/>
      <w:r w:rsidR="00963A2F" w:rsidRPr="00CE5BA7">
        <w:rPr>
          <w:rFonts w:ascii="Times New Roman" w:hAnsi="Times New Roman" w:cs="Times New Roman"/>
          <w:lang w:val="en-US"/>
        </w:rPr>
        <w:t>Primorsky</w:t>
      </w:r>
      <w:proofErr w:type="spellEnd"/>
      <w:r w:rsidR="00963A2F" w:rsidRPr="00CE5BA7">
        <w:rPr>
          <w:rFonts w:ascii="Times New Roman" w:hAnsi="Times New Roman" w:cs="Times New Roman"/>
          <w:lang w:val="en-US"/>
        </w:rPr>
        <w:t xml:space="preserve"> Krai in Figures. 2024]. Territorial Body of the Federal State Statistics Service for </w:t>
      </w:r>
      <w:proofErr w:type="spellStart"/>
      <w:r w:rsidR="00963A2F" w:rsidRPr="00CE5BA7">
        <w:rPr>
          <w:rFonts w:ascii="Times New Roman" w:hAnsi="Times New Roman" w:cs="Times New Roman"/>
          <w:lang w:val="en-US"/>
        </w:rPr>
        <w:t>Primorsky</w:t>
      </w:r>
      <w:proofErr w:type="spellEnd"/>
      <w:r w:rsidR="00963A2F" w:rsidRPr="00CE5BA7">
        <w:rPr>
          <w:rFonts w:ascii="Times New Roman" w:hAnsi="Times New Roman" w:cs="Times New Roman"/>
          <w:lang w:val="en-US"/>
        </w:rPr>
        <w:t xml:space="preserve"> Krai. Available from: https://25.rosstat.gov.ru/storage/mediabank/%D0%9F%D0%BA%20%D0%B2%20%D1%86%D0%B8%D1%84%D1%80%D0%B0%D1%85%202024_2(1).pdf [Accessed 14 March 2026]. </w:t>
      </w:r>
    </w:p>
    <w:p w14:paraId="1920B591" w14:textId="672CB472" w:rsidR="00963A2F"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6. </w:t>
      </w:r>
      <w:proofErr w:type="spellStart"/>
      <w:r w:rsidR="00963A2F" w:rsidRPr="00CE5BA7">
        <w:rPr>
          <w:rFonts w:ascii="Times New Roman" w:hAnsi="Times New Roman" w:cs="Times New Roman"/>
          <w:lang w:val="en-US"/>
        </w:rPr>
        <w:t>Mazitova</w:t>
      </w:r>
      <w:proofErr w:type="spellEnd"/>
      <w:r w:rsidR="00963A2F" w:rsidRPr="00CE5BA7">
        <w:rPr>
          <w:rFonts w:ascii="Times New Roman" w:hAnsi="Times New Roman" w:cs="Times New Roman"/>
          <w:lang w:val="en-US"/>
        </w:rPr>
        <w:t xml:space="preserve"> M.G. </w:t>
      </w:r>
      <w:proofErr w:type="spellStart"/>
      <w:r w:rsidR="00963A2F" w:rsidRPr="00CE5BA7">
        <w:rPr>
          <w:rFonts w:ascii="Times New Roman" w:hAnsi="Times New Roman" w:cs="Times New Roman"/>
          <w:lang w:val="en-US"/>
        </w:rPr>
        <w:t>Vneshnyaya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torgovlya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Dalnevostochnogo</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federalnogo</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okruga</w:t>
      </w:r>
      <w:proofErr w:type="spellEnd"/>
      <w:r w:rsidR="00963A2F" w:rsidRPr="00CE5BA7">
        <w:rPr>
          <w:rFonts w:ascii="Times New Roman" w:hAnsi="Times New Roman" w:cs="Times New Roman"/>
          <w:lang w:val="en-US"/>
        </w:rPr>
        <w:t xml:space="preserve"> v </w:t>
      </w:r>
      <w:proofErr w:type="spellStart"/>
      <w:r w:rsidR="00963A2F" w:rsidRPr="00CE5BA7">
        <w:rPr>
          <w:rFonts w:ascii="Times New Roman" w:hAnsi="Times New Roman" w:cs="Times New Roman"/>
          <w:lang w:val="en-US"/>
        </w:rPr>
        <w:t>pervoy</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polovine</w:t>
      </w:r>
      <w:proofErr w:type="spellEnd"/>
      <w:r w:rsidR="00963A2F" w:rsidRPr="00CE5BA7">
        <w:rPr>
          <w:rFonts w:ascii="Times New Roman" w:hAnsi="Times New Roman" w:cs="Times New Roman"/>
          <w:lang w:val="en-US"/>
        </w:rPr>
        <w:t xml:space="preserve"> 2024 g. [Foreign Trade of the Far Eastern Federal District in the First Half of 2024]. </w:t>
      </w:r>
      <w:proofErr w:type="spellStart"/>
      <w:r w:rsidR="00963A2F" w:rsidRPr="00CE5BA7">
        <w:rPr>
          <w:rFonts w:ascii="Times New Roman" w:hAnsi="Times New Roman" w:cs="Times New Roman"/>
          <w:lang w:val="en-US"/>
        </w:rPr>
        <w:t>Regionalistika</w:t>
      </w:r>
      <w:proofErr w:type="spellEnd"/>
      <w:r w:rsidR="00963A2F" w:rsidRPr="00CE5BA7">
        <w:rPr>
          <w:rFonts w:ascii="Times New Roman" w:hAnsi="Times New Roman" w:cs="Times New Roman"/>
          <w:lang w:val="en-US"/>
        </w:rPr>
        <w:t xml:space="preserve">. 2024;11(3):80-88. </w:t>
      </w:r>
    </w:p>
    <w:p w14:paraId="7E519BAC" w14:textId="43171C45" w:rsidR="00963A2F"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7. </w:t>
      </w:r>
      <w:r w:rsidR="00963A2F" w:rsidRPr="00CE5BA7">
        <w:rPr>
          <w:rFonts w:ascii="Times New Roman" w:hAnsi="Times New Roman" w:cs="Times New Roman"/>
          <w:lang w:val="en-US"/>
        </w:rPr>
        <w:t xml:space="preserve">Baranova </w:t>
      </w:r>
      <w:proofErr w:type="spellStart"/>
      <w:r w:rsidR="00963A2F" w:rsidRPr="00CE5BA7">
        <w:rPr>
          <w:rFonts w:ascii="Times New Roman" w:hAnsi="Times New Roman" w:cs="Times New Roman"/>
          <w:lang w:val="en-US"/>
        </w:rPr>
        <w:t>Yu.V</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Leonova</w:t>
      </w:r>
      <w:proofErr w:type="spellEnd"/>
      <w:r w:rsidR="00963A2F" w:rsidRPr="00CE5BA7">
        <w:rPr>
          <w:rFonts w:ascii="Times New Roman" w:hAnsi="Times New Roman" w:cs="Times New Roman"/>
          <w:lang w:val="en-US"/>
        </w:rPr>
        <w:t xml:space="preserve"> A.A. </w:t>
      </w:r>
      <w:proofErr w:type="spellStart"/>
      <w:r w:rsidR="00963A2F" w:rsidRPr="00CE5BA7">
        <w:rPr>
          <w:rFonts w:ascii="Times New Roman" w:hAnsi="Times New Roman" w:cs="Times New Roman"/>
          <w:lang w:val="en-US"/>
        </w:rPr>
        <w:t>Inostrannaya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rabochaya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sila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kak</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vazhny</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resurs</w:t>
      </w:r>
      <w:proofErr w:type="spellEnd"/>
      <w:r w:rsidR="00963A2F" w:rsidRPr="00CE5BA7">
        <w:rPr>
          <w:rFonts w:ascii="Times New Roman" w:hAnsi="Times New Roman" w:cs="Times New Roman"/>
          <w:lang w:val="en-US"/>
        </w:rPr>
        <w:t xml:space="preserve"> v </w:t>
      </w:r>
      <w:proofErr w:type="spellStart"/>
      <w:r w:rsidR="00963A2F" w:rsidRPr="00CE5BA7">
        <w:rPr>
          <w:rFonts w:ascii="Times New Roman" w:hAnsi="Times New Roman" w:cs="Times New Roman"/>
          <w:lang w:val="en-US"/>
        </w:rPr>
        <w:t>realizatsii</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infrastrukturnykh</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proektov</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Primorskogo</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kraya</w:t>
      </w:r>
      <w:proofErr w:type="spellEnd"/>
      <w:r w:rsidR="00963A2F" w:rsidRPr="00CE5BA7">
        <w:rPr>
          <w:rFonts w:ascii="Times New Roman" w:hAnsi="Times New Roman" w:cs="Times New Roman"/>
          <w:lang w:val="en-US"/>
        </w:rPr>
        <w:t xml:space="preserve"> [Foreign Labor as an Important Resource in the Implementation of Infrastructure Projects in </w:t>
      </w:r>
      <w:proofErr w:type="spellStart"/>
      <w:r w:rsidR="00963A2F" w:rsidRPr="00CE5BA7">
        <w:rPr>
          <w:rFonts w:ascii="Times New Roman" w:hAnsi="Times New Roman" w:cs="Times New Roman"/>
          <w:lang w:val="en-US"/>
        </w:rPr>
        <w:t>Primorsky</w:t>
      </w:r>
      <w:proofErr w:type="spellEnd"/>
      <w:r w:rsidR="00963A2F" w:rsidRPr="00CE5BA7">
        <w:rPr>
          <w:rFonts w:ascii="Times New Roman" w:hAnsi="Times New Roman" w:cs="Times New Roman"/>
          <w:lang w:val="en-US"/>
        </w:rPr>
        <w:t xml:space="preserve"> Krai]. </w:t>
      </w:r>
      <w:proofErr w:type="spellStart"/>
      <w:r w:rsidR="00963A2F" w:rsidRPr="00CE5BA7">
        <w:rPr>
          <w:rFonts w:ascii="Times New Roman" w:hAnsi="Times New Roman" w:cs="Times New Roman"/>
          <w:lang w:val="en-US"/>
        </w:rPr>
        <w:t>Obrazovanie</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i</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pravo</w:t>
      </w:r>
      <w:proofErr w:type="spellEnd"/>
      <w:r w:rsidR="00963A2F" w:rsidRPr="00CE5BA7">
        <w:rPr>
          <w:rFonts w:ascii="Times New Roman" w:hAnsi="Times New Roman" w:cs="Times New Roman"/>
          <w:lang w:val="en-US"/>
        </w:rPr>
        <w:t xml:space="preserve">. 2024;(4):485-488. </w:t>
      </w:r>
    </w:p>
    <w:p w14:paraId="4C427156" w14:textId="3A8FAFC7" w:rsidR="00963A2F"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8. </w:t>
      </w:r>
      <w:proofErr w:type="spellStart"/>
      <w:r w:rsidR="00963A2F" w:rsidRPr="00CE5BA7">
        <w:rPr>
          <w:rFonts w:ascii="Times New Roman" w:hAnsi="Times New Roman" w:cs="Times New Roman"/>
          <w:lang w:val="en-US"/>
        </w:rPr>
        <w:t>Rynok</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truda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i</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zanyatost</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naseleniya</w:t>
      </w:r>
      <w:proofErr w:type="spellEnd"/>
      <w:r w:rsidR="00963A2F" w:rsidRPr="00CE5BA7">
        <w:rPr>
          <w:rFonts w:ascii="Times New Roman" w:hAnsi="Times New Roman" w:cs="Times New Roman"/>
          <w:lang w:val="en-US"/>
        </w:rPr>
        <w:t xml:space="preserve"> [Labor Market and Employment]. Territorial Body of the Federal State Statistics Service for </w:t>
      </w:r>
      <w:proofErr w:type="spellStart"/>
      <w:r w:rsidR="00963A2F" w:rsidRPr="00CE5BA7">
        <w:rPr>
          <w:rFonts w:ascii="Times New Roman" w:hAnsi="Times New Roman" w:cs="Times New Roman"/>
          <w:lang w:val="en-US"/>
        </w:rPr>
        <w:t>Primorsky</w:t>
      </w:r>
      <w:proofErr w:type="spellEnd"/>
      <w:r w:rsidR="00963A2F" w:rsidRPr="00CE5BA7">
        <w:rPr>
          <w:rFonts w:ascii="Times New Roman" w:hAnsi="Times New Roman" w:cs="Times New Roman"/>
          <w:lang w:val="en-US"/>
        </w:rPr>
        <w:t xml:space="preserve"> Krai. Available from: https://25.rosstat.gov.ru/folder/27186 [Accessed 14 March 2026]. </w:t>
      </w:r>
    </w:p>
    <w:p w14:paraId="03096E0E" w14:textId="5F7B6F45" w:rsidR="00963A2F"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9. </w:t>
      </w:r>
      <w:proofErr w:type="spellStart"/>
      <w:r w:rsidR="00963A2F" w:rsidRPr="00CE5BA7">
        <w:rPr>
          <w:rFonts w:ascii="Times New Roman" w:hAnsi="Times New Roman" w:cs="Times New Roman"/>
          <w:lang w:val="en-US"/>
        </w:rPr>
        <w:t>Informatsionno-analiticheskiy</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kommentariy</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ob</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inflyatsii</w:t>
      </w:r>
      <w:proofErr w:type="spellEnd"/>
      <w:r w:rsidR="00963A2F" w:rsidRPr="00CE5BA7">
        <w:rPr>
          <w:rFonts w:ascii="Times New Roman" w:hAnsi="Times New Roman" w:cs="Times New Roman"/>
          <w:lang w:val="en-US"/>
        </w:rPr>
        <w:t xml:space="preserve"> v </w:t>
      </w:r>
      <w:proofErr w:type="spellStart"/>
      <w:r w:rsidR="00963A2F" w:rsidRPr="00CE5BA7">
        <w:rPr>
          <w:rFonts w:ascii="Times New Roman" w:hAnsi="Times New Roman" w:cs="Times New Roman"/>
          <w:lang w:val="en-US"/>
        </w:rPr>
        <w:t>Primorskom</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krae</w:t>
      </w:r>
      <w:proofErr w:type="spellEnd"/>
      <w:r w:rsidR="00963A2F" w:rsidRPr="00CE5BA7">
        <w:rPr>
          <w:rFonts w:ascii="Times New Roman" w:hAnsi="Times New Roman" w:cs="Times New Roman"/>
          <w:lang w:val="en-US"/>
        </w:rPr>
        <w:t xml:space="preserve"> v </w:t>
      </w:r>
      <w:proofErr w:type="spellStart"/>
      <w:r w:rsidR="00963A2F" w:rsidRPr="00CE5BA7">
        <w:rPr>
          <w:rFonts w:ascii="Times New Roman" w:hAnsi="Times New Roman" w:cs="Times New Roman"/>
          <w:lang w:val="en-US"/>
        </w:rPr>
        <w:t>dekabre</w:t>
      </w:r>
      <w:proofErr w:type="spellEnd"/>
      <w:r w:rsidR="00963A2F" w:rsidRPr="00CE5BA7">
        <w:rPr>
          <w:rFonts w:ascii="Times New Roman" w:hAnsi="Times New Roman" w:cs="Times New Roman"/>
          <w:lang w:val="en-US"/>
        </w:rPr>
        <w:t xml:space="preserve"> 2024 </w:t>
      </w:r>
      <w:proofErr w:type="spellStart"/>
      <w:r w:rsidR="00963A2F" w:rsidRPr="00CE5BA7">
        <w:rPr>
          <w:rFonts w:ascii="Times New Roman" w:hAnsi="Times New Roman" w:cs="Times New Roman"/>
          <w:lang w:val="en-US"/>
        </w:rPr>
        <w:t>goda</w:t>
      </w:r>
      <w:proofErr w:type="spellEnd"/>
      <w:r w:rsidR="00963A2F" w:rsidRPr="00CE5BA7">
        <w:rPr>
          <w:rFonts w:ascii="Times New Roman" w:hAnsi="Times New Roman" w:cs="Times New Roman"/>
          <w:lang w:val="en-US"/>
        </w:rPr>
        <w:t xml:space="preserve"> [Information and Analytical Commentary on Inflation in </w:t>
      </w:r>
      <w:proofErr w:type="spellStart"/>
      <w:r w:rsidR="00963A2F" w:rsidRPr="00CE5BA7">
        <w:rPr>
          <w:rFonts w:ascii="Times New Roman" w:hAnsi="Times New Roman" w:cs="Times New Roman"/>
          <w:lang w:val="en-US"/>
        </w:rPr>
        <w:t>Primorsky</w:t>
      </w:r>
      <w:proofErr w:type="spellEnd"/>
      <w:r w:rsidR="00963A2F" w:rsidRPr="00CE5BA7">
        <w:rPr>
          <w:rFonts w:ascii="Times New Roman" w:hAnsi="Times New Roman" w:cs="Times New Roman"/>
          <w:lang w:val="en-US"/>
        </w:rPr>
        <w:t xml:space="preserve"> Krai in December 2024]. Bank of Russia. Available from: https://www.cbr.ru/press/reginfl/?id=54141 [Accessed 14 March 2026]. </w:t>
      </w:r>
    </w:p>
    <w:p w14:paraId="0A59D7A8" w14:textId="036A2C55" w:rsidR="00963A2F"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10. </w:t>
      </w:r>
      <w:proofErr w:type="spellStart"/>
      <w:r w:rsidR="00963A2F" w:rsidRPr="00CE5BA7">
        <w:rPr>
          <w:rFonts w:ascii="Times New Roman" w:hAnsi="Times New Roman" w:cs="Times New Roman"/>
          <w:lang w:val="en-US"/>
        </w:rPr>
        <w:t>Yakimova</w:t>
      </w:r>
      <w:proofErr w:type="spellEnd"/>
      <w:r w:rsidR="00963A2F" w:rsidRPr="00CE5BA7">
        <w:rPr>
          <w:rFonts w:ascii="Times New Roman" w:hAnsi="Times New Roman" w:cs="Times New Roman"/>
          <w:lang w:val="en-US"/>
        </w:rPr>
        <w:t xml:space="preserve"> V.A., </w:t>
      </w:r>
      <w:proofErr w:type="spellStart"/>
      <w:r w:rsidR="00963A2F" w:rsidRPr="00CE5BA7">
        <w:rPr>
          <w:rFonts w:ascii="Times New Roman" w:hAnsi="Times New Roman" w:cs="Times New Roman"/>
          <w:lang w:val="en-US"/>
        </w:rPr>
        <w:t>Pankova</w:t>
      </w:r>
      <w:proofErr w:type="spellEnd"/>
      <w:r w:rsidR="00963A2F" w:rsidRPr="00CE5BA7">
        <w:rPr>
          <w:rFonts w:ascii="Times New Roman" w:hAnsi="Times New Roman" w:cs="Times New Roman"/>
          <w:lang w:val="en-US"/>
        </w:rPr>
        <w:t xml:space="preserve"> S.V. </w:t>
      </w:r>
      <w:proofErr w:type="spellStart"/>
      <w:r w:rsidR="00963A2F" w:rsidRPr="00CE5BA7">
        <w:rPr>
          <w:rFonts w:ascii="Times New Roman" w:hAnsi="Times New Roman" w:cs="Times New Roman"/>
          <w:lang w:val="en-US"/>
        </w:rPr>
        <w:t>Zakonomernosti</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razmeshcheniya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tsifrovogo</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predprinimatelstva</w:t>
      </w:r>
      <w:proofErr w:type="spellEnd"/>
      <w:r w:rsidR="00963A2F" w:rsidRPr="00CE5BA7">
        <w:rPr>
          <w:rFonts w:ascii="Times New Roman" w:hAnsi="Times New Roman" w:cs="Times New Roman"/>
          <w:lang w:val="en-US"/>
        </w:rPr>
        <w:t xml:space="preserve"> v </w:t>
      </w:r>
      <w:proofErr w:type="spellStart"/>
      <w:r w:rsidR="00963A2F" w:rsidRPr="00CE5BA7">
        <w:rPr>
          <w:rFonts w:ascii="Times New Roman" w:hAnsi="Times New Roman" w:cs="Times New Roman"/>
          <w:lang w:val="en-US"/>
        </w:rPr>
        <w:t>regionakh</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Rossii</w:t>
      </w:r>
      <w:proofErr w:type="spellEnd"/>
      <w:r w:rsidR="00963A2F" w:rsidRPr="00CE5BA7">
        <w:rPr>
          <w:rFonts w:ascii="Times New Roman" w:hAnsi="Times New Roman" w:cs="Times New Roman"/>
          <w:lang w:val="en-US"/>
        </w:rPr>
        <w:t xml:space="preserve"> [Patterns of Digital Entrepreneurship Distribution in Russian Regions]. Ars </w:t>
      </w:r>
      <w:proofErr w:type="spellStart"/>
      <w:r w:rsidR="00963A2F" w:rsidRPr="00CE5BA7">
        <w:rPr>
          <w:rFonts w:ascii="Times New Roman" w:hAnsi="Times New Roman" w:cs="Times New Roman"/>
          <w:lang w:val="en-US"/>
        </w:rPr>
        <w:t>Administrandi</w:t>
      </w:r>
      <w:proofErr w:type="spellEnd"/>
      <w:r w:rsidR="00963A2F" w:rsidRPr="00CE5BA7">
        <w:rPr>
          <w:rFonts w:ascii="Times New Roman" w:hAnsi="Times New Roman" w:cs="Times New Roman"/>
          <w:lang w:val="en-US"/>
        </w:rPr>
        <w:t xml:space="preserve">. 2023;15(3):377-405. </w:t>
      </w:r>
    </w:p>
    <w:p w14:paraId="75D1AB9A" w14:textId="5908DC5D" w:rsidR="00963A2F"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11. </w:t>
      </w:r>
      <w:proofErr w:type="spellStart"/>
      <w:r w:rsidR="00963A2F" w:rsidRPr="00CE5BA7">
        <w:rPr>
          <w:rFonts w:ascii="Times New Roman" w:hAnsi="Times New Roman" w:cs="Times New Roman"/>
          <w:lang w:val="en-US"/>
        </w:rPr>
        <w:t>Korol</w:t>
      </w:r>
      <w:proofErr w:type="spellEnd"/>
      <w:r w:rsidR="00963A2F" w:rsidRPr="00CE5BA7">
        <w:rPr>
          <w:rFonts w:ascii="Times New Roman" w:hAnsi="Times New Roman" w:cs="Times New Roman"/>
          <w:lang w:val="en-US"/>
        </w:rPr>
        <w:t xml:space="preserve"> R.G., </w:t>
      </w:r>
      <w:proofErr w:type="spellStart"/>
      <w:r w:rsidR="00963A2F" w:rsidRPr="00CE5BA7">
        <w:rPr>
          <w:rFonts w:ascii="Times New Roman" w:hAnsi="Times New Roman" w:cs="Times New Roman"/>
          <w:lang w:val="en-US"/>
        </w:rPr>
        <w:t>Akelyev</w:t>
      </w:r>
      <w:proofErr w:type="spellEnd"/>
      <w:r w:rsidR="00963A2F" w:rsidRPr="00CE5BA7">
        <w:rPr>
          <w:rFonts w:ascii="Times New Roman" w:hAnsi="Times New Roman" w:cs="Times New Roman"/>
          <w:lang w:val="en-US"/>
        </w:rPr>
        <w:t xml:space="preserve"> A.S. </w:t>
      </w:r>
      <w:proofErr w:type="spellStart"/>
      <w:r w:rsidR="00963A2F" w:rsidRPr="00CE5BA7">
        <w:rPr>
          <w:rFonts w:ascii="Times New Roman" w:hAnsi="Times New Roman" w:cs="Times New Roman"/>
          <w:lang w:val="en-US"/>
        </w:rPr>
        <w:t>Modelirovanie</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propusknoi</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sposobnosti</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pogranichnykh</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perekhodov</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transportnogo</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koridora</w:t>
      </w:r>
      <w:proofErr w:type="spellEnd"/>
      <w:r w:rsidR="00963A2F" w:rsidRPr="00CE5BA7">
        <w:rPr>
          <w:rFonts w:ascii="Times New Roman" w:hAnsi="Times New Roman" w:cs="Times New Roman"/>
          <w:lang w:val="en-US"/>
        </w:rPr>
        <w:t xml:space="preserve"> "Primorye-1" v </w:t>
      </w:r>
      <w:proofErr w:type="spellStart"/>
      <w:r w:rsidR="00963A2F" w:rsidRPr="00CE5BA7">
        <w:rPr>
          <w:rFonts w:ascii="Times New Roman" w:hAnsi="Times New Roman" w:cs="Times New Roman"/>
          <w:lang w:val="en-US"/>
        </w:rPr>
        <w:t>usloviyakh</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uvelicheniya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gruzopotoka</w:t>
      </w:r>
      <w:proofErr w:type="spellEnd"/>
      <w:r w:rsidR="00963A2F" w:rsidRPr="00CE5BA7">
        <w:rPr>
          <w:rFonts w:ascii="Times New Roman" w:hAnsi="Times New Roman" w:cs="Times New Roman"/>
          <w:lang w:val="en-US"/>
        </w:rPr>
        <w:t xml:space="preserve"> [Modeling the Capacity of </w:t>
      </w:r>
      <w:r w:rsidR="00963A2F" w:rsidRPr="00CE5BA7">
        <w:rPr>
          <w:rFonts w:ascii="Times New Roman" w:hAnsi="Times New Roman" w:cs="Times New Roman"/>
          <w:lang w:val="en-US"/>
        </w:rPr>
        <w:lastRenderedPageBreak/>
        <w:t xml:space="preserve">Border Crossings of the Primorye-1 Transport Corridor under Increasing Cargo Flow]. </w:t>
      </w:r>
      <w:proofErr w:type="spellStart"/>
      <w:r w:rsidR="00963A2F" w:rsidRPr="00CE5BA7">
        <w:rPr>
          <w:rFonts w:ascii="Times New Roman" w:hAnsi="Times New Roman" w:cs="Times New Roman"/>
          <w:lang w:val="en-US"/>
        </w:rPr>
        <w:t>Izvestiya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Transsiba</w:t>
      </w:r>
      <w:proofErr w:type="spellEnd"/>
      <w:r w:rsidR="00963A2F" w:rsidRPr="00CE5BA7">
        <w:rPr>
          <w:rFonts w:ascii="Times New Roman" w:hAnsi="Times New Roman" w:cs="Times New Roman"/>
          <w:lang w:val="en-US"/>
        </w:rPr>
        <w:t xml:space="preserve">. 2023;(2/54):97-106. </w:t>
      </w:r>
    </w:p>
    <w:p w14:paraId="30DF2EC4" w14:textId="5D135991" w:rsidR="00963A2F"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12. </w:t>
      </w:r>
      <w:proofErr w:type="spellStart"/>
      <w:r w:rsidR="00963A2F" w:rsidRPr="00CE5BA7">
        <w:rPr>
          <w:rFonts w:ascii="Times New Roman" w:hAnsi="Times New Roman" w:cs="Times New Roman"/>
          <w:lang w:val="en-US"/>
        </w:rPr>
        <w:t>Krupneyshiy</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sukhoy</w:t>
      </w:r>
      <w:proofErr w:type="spellEnd"/>
      <w:r w:rsidR="00963A2F" w:rsidRPr="00CE5BA7">
        <w:rPr>
          <w:rFonts w:ascii="Times New Roman" w:hAnsi="Times New Roman" w:cs="Times New Roman"/>
          <w:lang w:val="en-US"/>
        </w:rPr>
        <w:t xml:space="preserve"> port" v </w:t>
      </w:r>
      <w:proofErr w:type="spellStart"/>
      <w:r w:rsidR="00963A2F" w:rsidRPr="00CE5BA7">
        <w:rPr>
          <w:rFonts w:ascii="Times New Roman" w:hAnsi="Times New Roman" w:cs="Times New Roman"/>
          <w:lang w:val="en-US"/>
        </w:rPr>
        <w:t>Rossii</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ofitsialno</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otkryt</w:t>
      </w:r>
      <w:proofErr w:type="spellEnd"/>
      <w:r w:rsidR="00963A2F" w:rsidRPr="00CE5BA7">
        <w:rPr>
          <w:rFonts w:ascii="Times New Roman" w:hAnsi="Times New Roman" w:cs="Times New Roman"/>
          <w:lang w:val="en-US"/>
        </w:rPr>
        <w:t xml:space="preserve"> [The Largest "Dry Port" in Russia Officially Opened]. Corporation for the Development of the Far East and the Arctic. Available from: https://erdc.ru/news/krupneyshiy-sukhoy-port-v-rossii-ofitsialno-otkryt/ [Accessed 14 March 2026]. </w:t>
      </w:r>
    </w:p>
    <w:p w14:paraId="2FB99C76" w14:textId="08F0E4C5" w:rsidR="00963A2F"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13. </w:t>
      </w:r>
      <w:proofErr w:type="spellStart"/>
      <w:r w:rsidR="00963A2F" w:rsidRPr="00CE5BA7">
        <w:rPr>
          <w:rFonts w:ascii="Times New Roman" w:hAnsi="Times New Roman" w:cs="Times New Roman"/>
          <w:lang w:val="en-US"/>
        </w:rPr>
        <w:t>Tsentr</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podderzhki</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eksporta</w:t>
      </w:r>
      <w:proofErr w:type="spellEnd"/>
      <w:r w:rsidR="00963A2F" w:rsidRPr="00CE5BA7">
        <w:rPr>
          <w:rFonts w:ascii="Times New Roman" w:hAnsi="Times New Roman" w:cs="Times New Roman"/>
          <w:lang w:val="en-US"/>
        </w:rPr>
        <w:t xml:space="preserve"> [Export Support Center]. Available from: https://xn--25-9kcqjffxnf3b.xn--p1ai/structure/</w:t>
      </w:r>
      <w:proofErr w:type="spellStart"/>
      <w:r w:rsidR="00963A2F" w:rsidRPr="00CE5BA7">
        <w:rPr>
          <w:rFonts w:ascii="Times New Roman" w:hAnsi="Times New Roman" w:cs="Times New Roman"/>
          <w:lang w:val="en-US"/>
        </w:rPr>
        <w:t>cpe</w:t>
      </w:r>
      <w:proofErr w:type="spellEnd"/>
      <w:r w:rsidR="00963A2F" w:rsidRPr="00CE5BA7">
        <w:rPr>
          <w:rFonts w:ascii="Times New Roman" w:hAnsi="Times New Roman" w:cs="Times New Roman"/>
          <w:lang w:val="en-US"/>
        </w:rPr>
        <w:t>/ [Accessed 14 March 2026]. (In Russian).</w:t>
      </w:r>
    </w:p>
    <w:p w14:paraId="5E96C09E" w14:textId="3841E765" w:rsidR="00963A2F" w:rsidRPr="00CE5BA7" w:rsidRDefault="00CE5BA7" w:rsidP="007C0774">
      <w:pPr>
        <w:spacing w:after="0" w:line="240" w:lineRule="auto"/>
        <w:ind w:firstLine="708"/>
        <w:rPr>
          <w:rFonts w:ascii="Times New Roman" w:hAnsi="Times New Roman" w:cs="Times New Roman"/>
          <w:lang w:val="en-US"/>
        </w:rPr>
      </w:pPr>
      <w:r w:rsidRPr="00CE5BA7">
        <w:rPr>
          <w:rFonts w:ascii="Times New Roman" w:hAnsi="Times New Roman" w:cs="Times New Roman"/>
          <w:lang w:val="en-US"/>
        </w:rPr>
        <w:t xml:space="preserve">14. </w:t>
      </w:r>
      <w:proofErr w:type="spellStart"/>
      <w:r w:rsidR="00963A2F" w:rsidRPr="00CE5BA7">
        <w:rPr>
          <w:rFonts w:ascii="Times New Roman" w:hAnsi="Times New Roman" w:cs="Times New Roman"/>
          <w:lang w:val="en-US"/>
        </w:rPr>
        <w:t>Nazipova</w:t>
      </w:r>
      <w:proofErr w:type="spellEnd"/>
      <w:r w:rsidR="00963A2F" w:rsidRPr="00CE5BA7">
        <w:rPr>
          <w:rFonts w:ascii="Times New Roman" w:hAnsi="Times New Roman" w:cs="Times New Roman"/>
          <w:lang w:val="en-US"/>
        </w:rPr>
        <w:t xml:space="preserve"> D.A. Benchmarking: </w:t>
      </w:r>
      <w:proofErr w:type="spellStart"/>
      <w:r w:rsidR="00963A2F" w:rsidRPr="00CE5BA7">
        <w:rPr>
          <w:rFonts w:ascii="Times New Roman" w:hAnsi="Times New Roman" w:cs="Times New Roman"/>
          <w:lang w:val="en-US"/>
        </w:rPr>
        <w:t>genezis</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i</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soderzhanie</w:t>
      </w:r>
      <w:proofErr w:type="spellEnd"/>
      <w:r w:rsidR="00963A2F" w:rsidRPr="00CE5BA7">
        <w:rPr>
          <w:rFonts w:ascii="Times New Roman" w:hAnsi="Times New Roman" w:cs="Times New Roman"/>
          <w:lang w:val="en-US"/>
        </w:rPr>
        <w:t xml:space="preserve"> [Benchmarking: Genesis and Content]. Formula </w:t>
      </w:r>
      <w:proofErr w:type="spellStart"/>
      <w:r w:rsidR="00963A2F" w:rsidRPr="00CE5BA7">
        <w:rPr>
          <w:rFonts w:ascii="Times New Roman" w:hAnsi="Times New Roman" w:cs="Times New Roman"/>
          <w:lang w:val="en-US"/>
        </w:rPr>
        <w:t>menedzhmenta</w:t>
      </w:r>
      <w:proofErr w:type="spellEnd"/>
      <w:r w:rsidR="00963A2F" w:rsidRPr="00CE5BA7">
        <w:rPr>
          <w:rFonts w:ascii="Times New Roman" w:hAnsi="Times New Roman" w:cs="Times New Roman"/>
          <w:lang w:val="en-US"/>
        </w:rPr>
        <w:t>. 2022;(1/15):33-38. (In Russian).</w:t>
      </w:r>
    </w:p>
    <w:p w14:paraId="2CF2DF29" w14:textId="5AA95588" w:rsidR="00963A2F" w:rsidRPr="00CE5BA7" w:rsidRDefault="00CE5BA7" w:rsidP="007C0774">
      <w:pPr>
        <w:spacing w:after="0" w:line="240" w:lineRule="auto"/>
        <w:ind w:firstLine="708"/>
        <w:rPr>
          <w:rFonts w:ascii="Times New Roman" w:hAnsi="Times New Roman" w:cs="Times New Roman"/>
          <w:sz w:val="24"/>
          <w:szCs w:val="24"/>
          <w:lang w:val="en-US"/>
        </w:rPr>
      </w:pPr>
      <w:r w:rsidRPr="00CE5BA7">
        <w:rPr>
          <w:rFonts w:ascii="Times New Roman" w:hAnsi="Times New Roman" w:cs="Times New Roman"/>
          <w:lang w:val="en-US"/>
        </w:rPr>
        <w:t xml:space="preserve">15. </w:t>
      </w:r>
      <w:proofErr w:type="spellStart"/>
      <w:r w:rsidR="00963A2F" w:rsidRPr="00CE5BA7">
        <w:rPr>
          <w:rFonts w:ascii="Times New Roman" w:hAnsi="Times New Roman" w:cs="Times New Roman"/>
          <w:lang w:val="en-US"/>
        </w:rPr>
        <w:t>Tilindis</w:t>
      </w:r>
      <w:proofErr w:type="spellEnd"/>
      <w:r w:rsidR="00963A2F" w:rsidRPr="00CE5BA7">
        <w:rPr>
          <w:rFonts w:ascii="Times New Roman" w:hAnsi="Times New Roman" w:cs="Times New Roman"/>
          <w:lang w:val="en-US"/>
        </w:rPr>
        <w:t xml:space="preserve"> T.V., </w:t>
      </w:r>
      <w:proofErr w:type="spellStart"/>
      <w:r w:rsidR="00963A2F" w:rsidRPr="00CE5BA7">
        <w:rPr>
          <w:rFonts w:ascii="Times New Roman" w:hAnsi="Times New Roman" w:cs="Times New Roman"/>
          <w:lang w:val="en-US"/>
        </w:rPr>
        <w:t>Demchenko</w:t>
      </w:r>
      <w:proofErr w:type="spellEnd"/>
      <w:r w:rsidR="00963A2F" w:rsidRPr="00CE5BA7">
        <w:rPr>
          <w:rFonts w:ascii="Times New Roman" w:hAnsi="Times New Roman" w:cs="Times New Roman"/>
          <w:lang w:val="en-US"/>
        </w:rPr>
        <w:t xml:space="preserve"> M.A. </w:t>
      </w:r>
      <w:proofErr w:type="spellStart"/>
      <w:r w:rsidR="00963A2F" w:rsidRPr="00CE5BA7">
        <w:rPr>
          <w:rFonts w:ascii="Times New Roman" w:hAnsi="Times New Roman" w:cs="Times New Roman"/>
          <w:lang w:val="en-US"/>
        </w:rPr>
        <w:t>Metodicheskie</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aspekty</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formirovaniya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i</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ispolzovaniya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benchmarka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dlya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torgovykh</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predpriyatii</w:t>
      </w:r>
      <w:proofErr w:type="spellEnd"/>
      <w:r w:rsidR="00963A2F" w:rsidRPr="00CE5BA7">
        <w:rPr>
          <w:rFonts w:ascii="Times New Roman" w:hAnsi="Times New Roman" w:cs="Times New Roman"/>
          <w:lang w:val="en-US"/>
        </w:rPr>
        <w:t xml:space="preserve"> [Methodological Aspects of Forming and Using Benchmark for Trade Enterprises]. </w:t>
      </w:r>
      <w:proofErr w:type="spellStart"/>
      <w:r w:rsidR="00963A2F" w:rsidRPr="00CE5BA7">
        <w:rPr>
          <w:rFonts w:ascii="Times New Roman" w:hAnsi="Times New Roman" w:cs="Times New Roman"/>
          <w:lang w:val="en-US"/>
        </w:rPr>
        <w:t>Vestnik</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Astrakhanskogo</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gosudarstvennogo</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tekhnicheskogo</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universiteta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Seriya</w:t>
      </w:r>
      <w:proofErr w:type="spellEnd"/>
      <w:r w:rsidR="00963A2F" w:rsidRPr="00CE5BA7">
        <w:rPr>
          <w:rFonts w:ascii="Times New Roman" w:hAnsi="Times New Roman" w:cs="Times New Roman"/>
          <w:lang w:val="en-US"/>
        </w:rPr>
        <w:t xml:space="preserve">: </w:t>
      </w:r>
      <w:proofErr w:type="spellStart"/>
      <w:r w:rsidR="00963A2F" w:rsidRPr="00CE5BA7">
        <w:rPr>
          <w:rFonts w:ascii="Times New Roman" w:hAnsi="Times New Roman" w:cs="Times New Roman"/>
          <w:lang w:val="en-US"/>
        </w:rPr>
        <w:t>Ekonomika</w:t>
      </w:r>
      <w:proofErr w:type="spellEnd"/>
      <w:r w:rsidR="00963A2F" w:rsidRPr="00CE5BA7">
        <w:rPr>
          <w:rFonts w:ascii="Times New Roman" w:hAnsi="Times New Roman" w:cs="Times New Roman"/>
          <w:lang w:val="en-US"/>
        </w:rPr>
        <w:t>. 2022;(3):106-120.</w:t>
      </w:r>
    </w:p>
    <w:p w14:paraId="2304C22B" w14:textId="43823049" w:rsidR="008A2194" w:rsidRPr="00CE5BA7" w:rsidRDefault="008A2194" w:rsidP="00941C1C">
      <w:pPr>
        <w:rPr>
          <w:lang w:val="en-US"/>
        </w:rPr>
      </w:pPr>
    </w:p>
    <w:sectPr w:rsidR="008A2194" w:rsidRPr="00CE5BA7" w:rsidSect="001F5DBB">
      <w:footerReference w:type="default" r:id="rId13"/>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BA3F0D" w14:textId="77777777" w:rsidR="00B458C0" w:rsidRDefault="00B458C0" w:rsidP="00455DE8">
      <w:pPr>
        <w:spacing w:after="0" w:line="240" w:lineRule="auto"/>
      </w:pPr>
      <w:r>
        <w:separator/>
      </w:r>
    </w:p>
  </w:endnote>
  <w:endnote w:type="continuationSeparator" w:id="0">
    <w:p w14:paraId="1A51D8EA" w14:textId="77777777" w:rsidR="00B458C0" w:rsidRDefault="00B458C0" w:rsidP="00455D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77715577"/>
      <w:docPartObj>
        <w:docPartGallery w:val="Page Numbers (Bottom of Page)"/>
        <w:docPartUnique/>
      </w:docPartObj>
    </w:sdtPr>
    <w:sdtEndPr/>
    <w:sdtContent>
      <w:p w14:paraId="6E264A5A" w14:textId="57A39DFD" w:rsidR="00455DE8" w:rsidRDefault="00455DE8">
        <w:pPr>
          <w:pStyle w:val="aa"/>
          <w:jc w:val="right"/>
        </w:pPr>
        <w:r>
          <w:fldChar w:fldCharType="begin"/>
        </w:r>
        <w:r>
          <w:instrText>PAGE   \* MERGEFORMAT</w:instrText>
        </w:r>
        <w:r>
          <w:fldChar w:fldCharType="separate"/>
        </w:r>
        <w:r>
          <w:t>2</w:t>
        </w:r>
        <w:r>
          <w:fldChar w:fldCharType="end"/>
        </w:r>
      </w:p>
    </w:sdtContent>
  </w:sdt>
  <w:p w14:paraId="7FE14BA9" w14:textId="20D6DE99" w:rsidR="00455DE8" w:rsidRDefault="00455DE8">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DD4C34" w14:textId="77777777" w:rsidR="00B458C0" w:rsidRDefault="00B458C0" w:rsidP="00455DE8">
      <w:pPr>
        <w:spacing w:after="0" w:line="240" w:lineRule="auto"/>
      </w:pPr>
      <w:r>
        <w:separator/>
      </w:r>
    </w:p>
  </w:footnote>
  <w:footnote w:type="continuationSeparator" w:id="0">
    <w:p w14:paraId="01B9BF9D" w14:textId="77777777" w:rsidR="00B458C0" w:rsidRDefault="00B458C0" w:rsidP="00455D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BA09D9"/>
    <w:multiLevelType w:val="hybridMultilevel"/>
    <w:tmpl w:val="FC782044"/>
    <w:lvl w:ilvl="0" w:tplc="0419000F">
      <w:start w:val="1"/>
      <w:numFmt w:val="decimal"/>
      <w:lvlText w:val="%1."/>
      <w:lvlJc w:val="left"/>
      <w:pPr>
        <w:ind w:left="-360" w:hanging="360"/>
      </w:pPr>
    </w:lvl>
    <w:lvl w:ilvl="1" w:tplc="04190019" w:tentative="1">
      <w:start w:val="1"/>
      <w:numFmt w:val="lowerLetter"/>
      <w:lvlText w:val="%2."/>
      <w:lvlJc w:val="left"/>
      <w:pPr>
        <w:ind w:left="360" w:hanging="360"/>
      </w:pPr>
    </w:lvl>
    <w:lvl w:ilvl="2" w:tplc="0419001B" w:tentative="1">
      <w:start w:val="1"/>
      <w:numFmt w:val="lowerRoman"/>
      <w:lvlText w:val="%3."/>
      <w:lvlJc w:val="right"/>
      <w:pPr>
        <w:ind w:left="1080" w:hanging="180"/>
      </w:pPr>
    </w:lvl>
    <w:lvl w:ilvl="3" w:tplc="0419000F" w:tentative="1">
      <w:start w:val="1"/>
      <w:numFmt w:val="decimal"/>
      <w:lvlText w:val="%4."/>
      <w:lvlJc w:val="left"/>
      <w:pPr>
        <w:ind w:left="1800" w:hanging="360"/>
      </w:pPr>
    </w:lvl>
    <w:lvl w:ilvl="4" w:tplc="04190019" w:tentative="1">
      <w:start w:val="1"/>
      <w:numFmt w:val="lowerLetter"/>
      <w:lvlText w:val="%5."/>
      <w:lvlJc w:val="left"/>
      <w:pPr>
        <w:ind w:left="2520" w:hanging="360"/>
      </w:pPr>
    </w:lvl>
    <w:lvl w:ilvl="5" w:tplc="0419001B" w:tentative="1">
      <w:start w:val="1"/>
      <w:numFmt w:val="lowerRoman"/>
      <w:lvlText w:val="%6."/>
      <w:lvlJc w:val="right"/>
      <w:pPr>
        <w:ind w:left="3240" w:hanging="180"/>
      </w:pPr>
    </w:lvl>
    <w:lvl w:ilvl="6" w:tplc="0419000F" w:tentative="1">
      <w:start w:val="1"/>
      <w:numFmt w:val="decimal"/>
      <w:lvlText w:val="%7."/>
      <w:lvlJc w:val="left"/>
      <w:pPr>
        <w:ind w:left="3960" w:hanging="360"/>
      </w:pPr>
    </w:lvl>
    <w:lvl w:ilvl="7" w:tplc="04190019" w:tentative="1">
      <w:start w:val="1"/>
      <w:numFmt w:val="lowerLetter"/>
      <w:lvlText w:val="%8."/>
      <w:lvlJc w:val="left"/>
      <w:pPr>
        <w:ind w:left="4680" w:hanging="360"/>
      </w:pPr>
    </w:lvl>
    <w:lvl w:ilvl="8" w:tplc="0419001B" w:tentative="1">
      <w:start w:val="1"/>
      <w:numFmt w:val="lowerRoman"/>
      <w:lvlText w:val="%9."/>
      <w:lvlJc w:val="right"/>
      <w:pPr>
        <w:ind w:left="5400" w:hanging="180"/>
      </w:pPr>
    </w:lvl>
  </w:abstractNum>
  <w:abstractNum w:abstractNumId="1" w15:restartNumberingAfterBreak="0">
    <w:nsid w:val="113B3F68"/>
    <w:multiLevelType w:val="hybridMultilevel"/>
    <w:tmpl w:val="7598E0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A5A33BE"/>
    <w:multiLevelType w:val="hybridMultilevel"/>
    <w:tmpl w:val="591855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3967A3C"/>
    <w:multiLevelType w:val="hybridMultilevel"/>
    <w:tmpl w:val="69D2382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5B0B6EA9"/>
    <w:multiLevelType w:val="hybridMultilevel"/>
    <w:tmpl w:val="D39EDB40"/>
    <w:lvl w:ilvl="0" w:tplc="E93C52D2">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FDD64C1"/>
    <w:multiLevelType w:val="hybridMultilevel"/>
    <w:tmpl w:val="30B03E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644F7331"/>
    <w:multiLevelType w:val="hybridMultilevel"/>
    <w:tmpl w:val="CF28D9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26F4B54"/>
    <w:multiLevelType w:val="hybridMultilevel"/>
    <w:tmpl w:val="21449C2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746645E9"/>
    <w:multiLevelType w:val="hybridMultilevel"/>
    <w:tmpl w:val="9BC2E8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955054D"/>
    <w:multiLevelType w:val="hybridMultilevel"/>
    <w:tmpl w:val="2EC460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C4F330B"/>
    <w:multiLevelType w:val="hybridMultilevel"/>
    <w:tmpl w:val="DA9AC39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1"/>
  </w:num>
  <w:num w:numId="2">
    <w:abstractNumId w:val="4"/>
  </w:num>
  <w:num w:numId="3">
    <w:abstractNumId w:val="7"/>
  </w:num>
  <w:num w:numId="4">
    <w:abstractNumId w:val="8"/>
  </w:num>
  <w:num w:numId="5">
    <w:abstractNumId w:val="0"/>
  </w:num>
  <w:num w:numId="6">
    <w:abstractNumId w:val="9"/>
  </w:num>
  <w:num w:numId="7">
    <w:abstractNumId w:val="5"/>
  </w:num>
  <w:num w:numId="8">
    <w:abstractNumId w:val="2"/>
  </w:num>
  <w:num w:numId="9">
    <w:abstractNumId w:val="10"/>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522"/>
    <w:rsid w:val="00000DF3"/>
    <w:rsid w:val="00026C7F"/>
    <w:rsid w:val="00093F84"/>
    <w:rsid w:val="001671B1"/>
    <w:rsid w:val="001C3A7B"/>
    <w:rsid w:val="001F5DBB"/>
    <w:rsid w:val="00211F11"/>
    <w:rsid w:val="00223768"/>
    <w:rsid w:val="00234CF7"/>
    <w:rsid w:val="0025737D"/>
    <w:rsid w:val="0028037D"/>
    <w:rsid w:val="0042575D"/>
    <w:rsid w:val="00444E49"/>
    <w:rsid w:val="00455DE8"/>
    <w:rsid w:val="00490D9B"/>
    <w:rsid w:val="005414FF"/>
    <w:rsid w:val="00582A10"/>
    <w:rsid w:val="005A3BE0"/>
    <w:rsid w:val="0062587E"/>
    <w:rsid w:val="00632CC9"/>
    <w:rsid w:val="00636BA8"/>
    <w:rsid w:val="00673C1F"/>
    <w:rsid w:val="006858A7"/>
    <w:rsid w:val="00697A41"/>
    <w:rsid w:val="006E11FA"/>
    <w:rsid w:val="00742522"/>
    <w:rsid w:val="007A129D"/>
    <w:rsid w:val="007C0774"/>
    <w:rsid w:val="007D12BD"/>
    <w:rsid w:val="007F7CBE"/>
    <w:rsid w:val="00812B6B"/>
    <w:rsid w:val="00831CC3"/>
    <w:rsid w:val="008A2194"/>
    <w:rsid w:val="00941C1C"/>
    <w:rsid w:val="00963A2F"/>
    <w:rsid w:val="0098576F"/>
    <w:rsid w:val="009B1181"/>
    <w:rsid w:val="00A7270A"/>
    <w:rsid w:val="00A94ED8"/>
    <w:rsid w:val="00AA272B"/>
    <w:rsid w:val="00B458C0"/>
    <w:rsid w:val="00BB7F94"/>
    <w:rsid w:val="00BC4E55"/>
    <w:rsid w:val="00C91F8E"/>
    <w:rsid w:val="00CA3D64"/>
    <w:rsid w:val="00CE5BA7"/>
    <w:rsid w:val="00DB6A98"/>
    <w:rsid w:val="00DE0C67"/>
    <w:rsid w:val="00E422B8"/>
    <w:rsid w:val="00FE0A90"/>
    <w:rsid w:val="00FF33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452C8"/>
  <w15:chartTrackingRefBased/>
  <w15:docId w15:val="{2B0049AF-5C1C-4B63-B541-DC50633F2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42522"/>
    <w:pPr>
      <w:ind w:left="720"/>
      <w:contextualSpacing/>
    </w:pPr>
  </w:style>
  <w:style w:type="table" w:styleId="a4">
    <w:name w:val="Table Grid"/>
    <w:basedOn w:val="a1"/>
    <w:uiPriority w:val="39"/>
    <w:rsid w:val="008A21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8A2194"/>
    <w:rPr>
      <w:color w:val="0563C1" w:themeColor="hyperlink"/>
      <w:u w:val="single"/>
    </w:rPr>
  </w:style>
  <w:style w:type="character" w:styleId="a6">
    <w:name w:val="Unresolved Mention"/>
    <w:basedOn w:val="a0"/>
    <w:uiPriority w:val="99"/>
    <w:semiHidden/>
    <w:unhideWhenUsed/>
    <w:rsid w:val="008A2194"/>
    <w:rPr>
      <w:color w:val="605E5C"/>
      <w:shd w:val="clear" w:color="auto" w:fill="E1DFDD"/>
    </w:rPr>
  </w:style>
  <w:style w:type="character" w:styleId="a7">
    <w:name w:val="Strong"/>
    <w:basedOn w:val="a0"/>
    <w:uiPriority w:val="22"/>
    <w:qFormat/>
    <w:rsid w:val="0042575D"/>
    <w:rPr>
      <w:b/>
      <w:bCs/>
    </w:rPr>
  </w:style>
  <w:style w:type="paragraph" w:styleId="a8">
    <w:name w:val="header"/>
    <w:basedOn w:val="a"/>
    <w:link w:val="a9"/>
    <w:uiPriority w:val="99"/>
    <w:unhideWhenUsed/>
    <w:rsid w:val="00455DE8"/>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455DE8"/>
  </w:style>
  <w:style w:type="paragraph" w:styleId="aa">
    <w:name w:val="footer"/>
    <w:basedOn w:val="a"/>
    <w:link w:val="ab"/>
    <w:uiPriority w:val="99"/>
    <w:unhideWhenUsed/>
    <w:rsid w:val="00455DE8"/>
    <w:pPr>
      <w:tabs>
        <w:tab w:val="center" w:pos="4677"/>
        <w:tab w:val="right" w:pos="9355"/>
      </w:tabs>
      <w:spacing w:after="0" w:line="240" w:lineRule="auto"/>
    </w:pPr>
  </w:style>
  <w:style w:type="character" w:customStyle="1" w:styleId="ab">
    <w:name w:val="Нижний колонтитул Знак"/>
    <w:basedOn w:val="a0"/>
    <w:link w:val="aa"/>
    <w:uiPriority w:val="99"/>
    <w:rsid w:val="00455DE8"/>
  </w:style>
  <w:style w:type="paragraph" w:customStyle="1" w:styleId="ac">
    <w:name w:val="Аннотация"/>
    <w:basedOn w:val="a"/>
    <w:qFormat/>
    <w:rsid w:val="00234CF7"/>
    <w:pPr>
      <w:suppressAutoHyphens/>
      <w:spacing w:after="0" w:line="240" w:lineRule="auto"/>
      <w:contextualSpacing/>
      <w:jc w:val="both"/>
    </w:pPr>
    <w:rPr>
      <w:rFonts w:ascii="Times New Roman" w:eastAsia="Calibri" w:hAnsi="Times New Roman" w:cs="Times New Roman"/>
      <w:sz w:val="21"/>
      <w:szCs w:val="21"/>
    </w:rPr>
  </w:style>
  <w:style w:type="paragraph" w:customStyle="1" w:styleId="1">
    <w:name w:val="Без интервала1"/>
    <w:rsid w:val="007C0774"/>
    <w:pPr>
      <w:spacing w:after="0" w:line="240" w:lineRule="auto"/>
    </w:pPr>
    <w:rPr>
      <w:rFonts w:ascii="Times New Roman" w:eastAsia="Calibri"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894846">
      <w:bodyDiv w:val="1"/>
      <w:marLeft w:val="0"/>
      <w:marRight w:val="0"/>
      <w:marTop w:val="0"/>
      <w:marBottom w:val="0"/>
      <w:divBdr>
        <w:top w:val="none" w:sz="0" w:space="0" w:color="auto"/>
        <w:left w:val="none" w:sz="0" w:space="0" w:color="auto"/>
        <w:bottom w:val="none" w:sz="0" w:space="0" w:color="auto"/>
        <w:right w:val="none" w:sz="0" w:space="0" w:color="auto"/>
      </w:divBdr>
    </w:div>
    <w:div w:id="249892222">
      <w:bodyDiv w:val="1"/>
      <w:marLeft w:val="0"/>
      <w:marRight w:val="0"/>
      <w:marTop w:val="0"/>
      <w:marBottom w:val="0"/>
      <w:divBdr>
        <w:top w:val="none" w:sz="0" w:space="0" w:color="auto"/>
        <w:left w:val="none" w:sz="0" w:space="0" w:color="auto"/>
        <w:bottom w:val="none" w:sz="0" w:space="0" w:color="auto"/>
        <w:right w:val="none" w:sz="0" w:space="0" w:color="auto"/>
      </w:divBdr>
    </w:div>
    <w:div w:id="251091092">
      <w:bodyDiv w:val="1"/>
      <w:marLeft w:val="0"/>
      <w:marRight w:val="0"/>
      <w:marTop w:val="0"/>
      <w:marBottom w:val="0"/>
      <w:divBdr>
        <w:top w:val="none" w:sz="0" w:space="0" w:color="auto"/>
        <w:left w:val="none" w:sz="0" w:space="0" w:color="auto"/>
        <w:bottom w:val="none" w:sz="0" w:space="0" w:color="auto"/>
        <w:right w:val="none" w:sz="0" w:space="0" w:color="auto"/>
      </w:divBdr>
    </w:div>
    <w:div w:id="283194703">
      <w:bodyDiv w:val="1"/>
      <w:marLeft w:val="0"/>
      <w:marRight w:val="0"/>
      <w:marTop w:val="0"/>
      <w:marBottom w:val="0"/>
      <w:divBdr>
        <w:top w:val="none" w:sz="0" w:space="0" w:color="auto"/>
        <w:left w:val="none" w:sz="0" w:space="0" w:color="auto"/>
        <w:bottom w:val="none" w:sz="0" w:space="0" w:color="auto"/>
        <w:right w:val="none" w:sz="0" w:space="0" w:color="auto"/>
      </w:divBdr>
    </w:div>
    <w:div w:id="297808291">
      <w:bodyDiv w:val="1"/>
      <w:marLeft w:val="0"/>
      <w:marRight w:val="0"/>
      <w:marTop w:val="0"/>
      <w:marBottom w:val="0"/>
      <w:divBdr>
        <w:top w:val="none" w:sz="0" w:space="0" w:color="auto"/>
        <w:left w:val="none" w:sz="0" w:space="0" w:color="auto"/>
        <w:bottom w:val="none" w:sz="0" w:space="0" w:color="auto"/>
        <w:right w:val="none" w:sz="0" w:space="0" w:color="auto"/>
      </w:divBdr>
    </w:div>
    <w:div w:id="309285900">
      <w:bodyDiv w:val="1"/>
      <w:marLeft w:val="0"/>
      <w:marRight w:val="0"/>
      <w:marTop w:val="0"/>
      <w:marBottom w:val="0"/>
      <w:divBdr>
        <w:top w:val="none" w:sz="0" w:space="0" w:color="auto"/>
        <w:left w:val="none" w:sz="0" w:space="0" w:color="auto"/>
        <w:bottom w:val="none" w:sz="0" w:space="0" w:color="auto"/>
        <w:right w:val="none" w:sz="0" w:space="0" w:color="auto"/>
      </w:divBdr>
    </w:div>
    <w:div w:id="537665739">
      <w:bodyDiv w:val="1"/>
      <w:marLeft w:val="0"/>
      <w:marRight w:val="0"/>
      <w:marTop w:val="0"/>
      <w:marBottom w:val="0"/>
      <w:divBdr>
        <w:top w:val="none" w:sz="0" w:space="0" w:color="auto"/>
        <w:left w:val="none" w:sz="0" w:space="0" w:color="auto"/>
        <w:bottom w:val="none" w:sz="0" w:space="0" w:color="auto"/>
        <w:right w:val="none" w:sz="0" w:space="0" w:color="auto"/>
      </w:divBdr>
    </w:div>
    <w:div w:id="791827311">
      <w:bodyDiv w:val="1"/>
      <w:marLeft w:val="0"/>
      <w:marRight w:val="0"/>
      <w:marTop w:val="0"/>
      <w:marBottom w:val="0"/>
      <w:divBdr>
        <w:top w:val="none" w:sz="0" w:space="0" w:color="auto"/>
        <w:left w:val="none" w:sz="0" w:space="0" w:color="auto"/>
        <w:bottom w:val="none" w:sz="0" w:space="0" w:color="auto"/>
        <w:right w:val="none" w:sz="0" w:space="0" w:color="auto"/>
      </w:divBdr>
    </w:div>
    <w:div w:id="855924090">
      <w:bodyDiv w:val="1"/>
      <w:marLeft w:val="0"/>
      <w:marRight w:val="0"/>
      <w:marTop w:val="0"/>
      <w:marBottom w:val="0"/>
      <w:divBdr>
        <w:top w:val="none" w:sz="0" w:space="0" w:color="auto"/>
        <w:left w:val="none" w:sz="0" w:space="0" w:color="auto"/>
        <w:bottom w:val="none" w:sz="0" w:space="0" w:color="auto"/>
        <w:right w:val="none" w:sz="0" w:space="0" w:color="auto"/>
      </w:divBdr>
    </w:div>
    <w:div w:id="860045917">
      <w:bodyDiv w:val="1"/>
      <w:marLeft w:val="0"/>
      <w:marRight w:val="0"/>
      <w:marTop w:val="0"/>
      <w:marBottom w:val="0"/>
      <w:divBdr>
        <w:top w:val="none" w:sz="0" w:space="0" w:color="auto"/>
        <w:left w:val="none" w:sz="0" w:space="0" w:color="auto"/>
        <w:bottom w:val="none" w:sz="0" w:space="0" w:color="auto"/>
        <w:right w:val="none" w:sz="0" w:space="0" w:color="auto"/>
      </w:divBdr>
    </w:div>
    <w:div w:id="862746985">
      <w:bodyDiv w:val="1"/>
      <w:marLeft w:val="0"/>
      <w:marRight w:val="0"/>
      <w:marTop w:val="0"/>
      <w:marBottom w:val="0"/>
      <w:divBdr>
        <w:top w:val="none" w:sz="0" w:space="0" w:color="auto"/>
        <w:left w:val="none" w:sz="0" w:space="0" w:color="auto"/>
        <w:bottom w:val="none" w:sz="0" w:space="0" w:color="auto"/>
        <w:right w:val="none" w:sz="0" w:space="0" w:color="auto"/>
      </w:divBdr>
    </w:div>
    <w:div w:id="875579201">
      <w:bodyDiv w:val="1"/>
      <w:marLeft w:val="0"/>
      <w:marRight w:val="0"/>
      <w:marTop w:val="0"/>
      <w:marBottom w:val="0"/>
      <w:divBdr>
        <w:top w:val="none" w:sz="0" w:space="0" w:color="auto"/>
        <w:left w:val="none" w:sz="0" w:space="0" w:color="auto"/>
        <w:bottom w:val="none" w:sz="0" w:space="0" w:color="auto"/>
        <w:right w:val="none" w:sz="0" w:space="0" w:color="auto"/>
      </w:divBdr>
    </w:div>
    <w:div w:id="997996365">
      <w:bodyDiv w:val="1"/>
      <w:marLeft w:val="0"/>
      <w:marRight w:val="0"/>
      <w:marTop w:val="0"/>
      <w:marBottom w:val="0"/>
      <w:divBdr>
        <w:top w:val="none" w:sz="0" w:space="0" w:color="auto"/>
        <w:left w:val="none" w:sz="0" w:space="0" w:color="auto"/>
        <w:bottom w:val="none" w:sz="0" w:space="0" w:color="auto"/>
        <w:right w:val="none" w:sz="0" w:space="0" w:color="auto"/>
      </w:divBdr>
    </w:div>
    <w:div w:id="1051416912">
      <w:bodyDiv w:val="1"/>
      <w:marLeft w:val="0"/>
      <w:marRight w:val="0"/>
      <w:marTop w:val="0"/>
      <w:marBottom w:val="0"/>
      <w:divBdr>
        <w:top w:val="none" w:sz="0" w:space="0" w:color="auto"/>
        <w:left w:val="none" w:sz="0" w:space="0" w:color="auto"/>
        <w:bottom w:val="none" w:sz="0" w:space="0" w:color="auto"/>
        <w:right w:val="none" w:sz="0" w:space="0" w:color="auto"/>
      </w:divBdr>
    </w:div>
    <w:div w:id="1112243130">
      <w:bodyDiv w:val="1"/>
      <w:marLeft w:val="0"/>
      <w:marRight w:val="0"/>
      <w:marTop w:val="0"/>
      <w:marBottom w:val="0"/>
      <w:divBdr>
        <w:top w:val="none" w:sz="0" w:space="0" w:color="auto"/>
        <w:left w:val="none" w:sz="0" w:space="0" w:color="auto"/>
        <w:bottom w:val="none" w:sz="0" w:space="0" w:color="auto"/>
        <w:right w:val="none" w:sz="0" w:space="0" w:color="auto"/>
      </w:divBdr>
    </w:div>
    <w:div w:id="1230582350">
      <w:bodyDiv w:val="1"/>
      <w:marLeft w:val="0"/>
      <w:marRight w:val="0"/>
      <w:marTop w:val="0"/>
      <w:marBottom w:val="0"/>
      <w:divBdr>
        <w:top w:val="none" w:sz="0" w:space="0" w:color="auto"/>
        <w:left w:val="none" w:sz="0" w:space="0" w:color="auto"/>
        <w:bottom w:val="none" w:sz="0" w:space="0" w:color="auto"/>
        <w:right w:val="none" w:sz="0" w:space="0" w:color="auto"/>
      </w:divBdr>
    </w:div>
    <w:div w:id="1245187022">
      <w:bodyDiv w:val="1"/>
      <w:marLeft w:val="0"/>
      <w:marRight w:val="0"/>
      <w:marTop w:val="0"/>
      <w:marBottom w:val="0"/>
      <w:divBdr>
        <w:top w:val="none" w:sz="0" w:space="0" w:color="auto"/>
        <w:left w:val="none" w:sz="0" w:space="0" w:color="auto"/>
        <w:bottom w:val="none" w:sz="0" w:space="0" w:color="auto"/>
        <w:right w:val="none" w:sz="0" w:space="0" w:color="auto"/>
      </w:divBdr>
    </w:div>
    <w:div w:id="1315792376">
      <w:bodyDiv w:val="1"/>
      <w:marLeft w:val="0"/>
      <w:marRight w:val="0"/>
      <w:marTop w:val="0"/>
      <w:marBottom w:val="0"/>
      <w:divBdr>
        <w:top w:val="none" w:sz="0" w:space="0" w:color="auto"/>
        <w:left w:val="none" w:sz="0" w:space="0" w:color="auto"/>
        <w:bottom w:val="none" w:sz="0" w:space="0" w:color="auto"/>
        <w:right w:val="none" w:sz="0" w:space="0" w:color="auto"/>
      </w:divBdr>
      <w:divsChild>
        <w:div w:id="1325206211">
          <w:marLeft w:val="0"/>
          <w:marRight w:val="0"/>
          <w:marTop w:val="0"/>
          <w:marBottom w:val="0"/>
          <w:divBdr>
            <w:top w:val="none" w:sz="0" w:space="0" w:color="auto"/>
            <w:left w:val="none" w:sz="0" w:space="0" w:color="auto"/>
            <w:bottom w:val="none" w:sz="0" w:space="0" w:color="auto"/>
            <w:right w:val="none" w:sz="0" w:space="0" w:color="auto"/>
          </w:divBdr>
        </w:div>
      </w:divsChild>
    </w:div>
    <w:div w:id="1370496016">
      <w:bodyDiv w:val="1"/>
      <w:marLeft w:val="0"/>
      <w:marRight w:val="0"/>
      <w:marTop w:val="0"/>
      <w:marBottom w:val="0"/>
      <w:divBdr>
        <w:top w:val="none" w:sz="0" w:space="0" w:color="auto"/>
        <w:left w:val="none" w:sz="0" w:space="0" w:color="auto"/>
        <w:bottom w:val="none" w:sz="0" w:space="0" w:color="auto"/>
        <w:right w:val="none" w:sz="0" w:space="0" w:color="auto"/>
      </w:divBdr>
    </w:div>
    <w:div w:id="1525165357">
      <w:bodyDiv w:val="1"/>
      <w:marLeft w:val="0"/>
      <w:marRight w:val="0"/>
      <w:marTop w:val="0"/>
      <w:marBottom w:val="0"/>
      <w:divBdr>
        <w:top w:val="none" w:sz="0" w:space="0" w:color="auto"/>
        <w:left w:val="none" w:sz="0" w:space="0" w:color="auto"/>
        <w:bottom w:val="none" w:sz="0" w:space="0" w:color="auto"/>
        <w:right w:val="none" w:sz="0" w:space="0" w:color="auto"/>
      </w:divBdr>
    </w:div>
    <w:div w:id="1531070235">
      <w:bodyDiv w:val="1"/>
      <w:marLeft w:val="0"/>
      <w:marRight w:val="0"/>
      <w:marTop w:val="0"/>
      <w:marBottom w:val="0"/>
      <w:divBdr>
        <w:top w:val="none" w:sz="0" w:space="0" w:color="auto"/>
        <w:left w:val="none" w:sz="0" w:space="0" w:color="auto"/>
        <w:bottom w:val="none" w:sz="0" w:space="0" w:color="auto"/>
        <w:right w:val="none" w:sz="0" w:space="0" w:color="auto"/>
      </w:divBdr>
    </w:div>
    <w:div w:id="1539124772">
      <w:bodyDiv w:val="1"/>
      <w:marLeft w:val="0"/>
      <w:marRight w:val="0"/>
      <w:marTop w:val="0"/>
      <w:marBottom w:val="0"/>
      <w:divBdr>
        <w:top w:val="none" w:sz="0" w:space="0" w:color="auto"/>
        <w:left w:val="none" w:sz="0" w:space="0" w:color="auto"/>
        <w:bottom w:val="none" w:sz="0" w:space="0" w:color="auto"/>
        <w:right w:val="none" w:sz="0" w:space="0" w:color="auto"/>
      </w:divBdr>
    </w:div>
    <w:div w:id="1560483085">
      <w:bodyDiv w:val="1"/>
      <w:marLeft w:val="0"/>
      <w:marRight w:val="0"/>
      <w:marTop w:val="0"/>
      <w:marBottom w:val="0"/>
      <w:divBdr>
        <w:top w:val="none" w:sz="0" w:space="0" w:color="auto"/>
        <w:left w:val="none" w:sz="0" w:space="0" w:color="auto"/>
        <w:bottom w:val="none" w:sz="0" w:space="0" w:color="auto"/>
        <w:right w:val="none" w:sz="0" w:space="0" w:color="auto"/>
      </w:divBdr>
    </w:div>
    <w:div w:id="1621299540">
      <w:bodyDiv w:val="1"/>
      <w:marLeft w:val="0"/>
      <w:marRight w:val="0"/>
      <w:marTop w:val="0"/>
      <w:marBottom w:val="0"/>
      <w:divBdr>
        <w:top w:val="none" w:sz="0" w:space="0" w:color="auto"/>
        <w:left w:val="none" w:sz="0" w:space="0" w:color="auto"/>
        <w:bottom w:val="none" w:sz="0" w:space="0" w:color="auto"/>
        <w:right w:val="none" w:sz="0" w:space="0" w:color="auto"/>
      </w:divBdr>
    </w:div>
    <w:div w:id="1694770704">
      <w:bodyDiv w:val="1"/>
      <w:marLeft w:val="0"/>
      <w:marRight w:val="0"/>
      <w:marTop w:val="0"/>
      <w:marBottom w:val="0"/>
      <w:divBdr>
        <w:top w:val="none" w:sz="0" w:space="0" w:color="auto"/>
        <w:left w:val="none" w:sz="0" w:space="0" w:color="auto"/>
        <w:bottom w:val="none" w:sz="0" w:space="0" w:color="auto"/>
        <w:right w:val="none" w:sz="0" w:space="0" w:color="auto"/>
      </w:divBdr>
    </w:div>
    <w:div w:id="1784688600">
      <w:bodyDiv w:val="1"/>
      <w:marLeft w:val="0"/>
      <w:marRight w:val="0"/>
      <w:marTop w:val="0"/>
      <w:marBottom w:val="0"/>
      <w:divBdr>
        <w:top w:val="none" w:sz="0" w:space="0" w:color="auto"/>
        <w:left w:val="none" w:sz="0" w:space="0" w:color="auto"/>
        <w:bottom w:val="none" w:sz="0" w:space="0" w:color="auto"/>
        <w:right w:val="none" w:sz="0" w:space="0" w:color="auto"/>
      </w:divBdr>
    </w:div>
    <w:div w:id="1836870880">
      <w:bodyDiv w:val="1"/>
      <w:marLeft w:val="0"/>
      <w:marRight w:val="0"/>
      <w:marTop w:val="0"/>
      <w:marBottom w:val="0"/>
      <w:divBdr>
        <w:top w:val="none" w:sz="0" w:space="0" w:color="auto"/>
        <w:left w:val="none" w:sz="0" w:space="0" w:color="auto"/>
        <w:bottom w:val="none" w:sz="0" w:space="0" w:color="auto"/>
        <w:right w:val="none" w:sz="0" w:space="0" w:color="auto"/>
      </w:divBdr>
    </w:div>
    <w:div w:id="2072919533">
      <w:bodyDiv w:val="1"/>
      <w:marLeft w:val="0"/>
      <w:marRight w:val="0"/>
      <w:marTop w:val="0"/>
      <w:marBottom w:val="0"/>
      <w:divBdr>
        <w:top w:val="none" w:sz="0" w:space="0" w:color="auto"/>
        <w:left w:val="none" w:sz="0" w:space="0" w:color="auto"/>
        <w:bottom w:val="none" w:sz="0" w:space="0" w:color="auto"/>
        <w:right w:val="none" w:sz="0" w:space="0" w:color="auto"/>
      </w:divBdr>
    </w:div>
    <w:div w:id="2086761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doi.org/10.18287/2542-0461-202&#1061;-&#1061;&#1061;-&#1061;-XX-XX" TargetMode="External"/><Relationship Id="rId12" Type="http://schemas.openxmlformats.org/officeDocument/2006/relationships/chart" Target="charts/chart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4.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chart" Target="charts/chart3.xml"/><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D:\&#1059;&#1095;&#1080;&#1089;&#1100;%20&#1083;&#1077;&#1075;&#1082;&#1086;\31.11%20&#1060;&#1091;&#1088;&#1089;&#1086;&#1074;%20&#1089;&#1090;&#1072;&#1090;&#1100;&#1103;\&#1060;&#1091;&#1088;&#1089;&#1086;&#1074;.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1059;&#1095;&#1080;&#1089;&#1100;%20&#1083;&#1077;&#1075;&#1082;&#1086;\31.11%20&#1060;&#1091;&#1088;&#1089;&#1086;&#1074;%20&#1089;&#1090;&#1072;&#1090;&#1100;&#1103;\&#1060;&#1091;&#1088;&#1089;&#1086;&#1074;.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D:\&#1059;&#1095;&#1080;&#1089;&#1100;%20&#1083;&#1077;&#1075;&#1082;&#1086;\31.11%20&#1060;&#1091;&#1088;&#1089;&#1086;&#1074;%20&#1089;&#1090;&#1072;&#1090;&#1100;&#1103;\&#1060;&#1091;&#1088;&#1089;&#1086;&#1074;.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D:\&#1059;&#1095;&#1080;&#1089;&#1100;%20&#1083;&#1077;&#1075;&#1082;&#1086;\31.11%20&#1060;&#1091;&#1088;&#1089;&#1086;&#1074;%20&#1089;&#1090;&#1072;&#1090;&#1100;&#1103;\&#1060;&#1091;&#1088;&#1089;&#1086;&#1074;.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D:\&#1059;&#1095;&#1080;&#1089;&#1100;%20&#1083;&#1077;&#1075;&#1082;&#1086;\31.11%20&#1060;&#1091;&#1088;&#1089;&#1086;&#1074;%20&#1089;&#1090;&#1072;&#1090;&#1100;&#1103;\&#1060;&#1091;&#1088;&#1089;&#1086;&#1074;.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w="19050">
              <a:solidFill>
                <a:schemeClr val="lt1"/>
              </a:solidFill>
            </a:ln>
            <a:effectLst/>
          </c:spPr>
          <c:invertIfNegative val="0"/>
          <c:dLbls>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Лист3!$A$19:$A$30</c:f>
              <c:strCache>
                <c:ptCount val="12"/>
                <c:pt idx="0">
                  <c:v>Транспортировка и хранение</c:v>
                </c:pt>
                <c:pt idx="1">
                  <c:v>Торговля оптовая и розничная</c:v>
                </c:pt>
                <c:pt idx="2">
                  <c:v>Гос. управление</c:v>
                </c:pt>
                <c:pt idx="3">
                  <c:v>Деятельность с недвижимым имуществом</c:v>
                </c:pt>
                <c:pt idx="4">
                  <c:v>С/х, лесное хозяйство, рыболовство</c:v>
                </c:pt>
                <c:pt idx="5">
                  <c:v>Обрабатывающее производство</c:v>
                </c:pt>
                <c:pt idx="6">
                  <c:v>Строительство</c:v>
                </c:pt>
                <c:pt idx="7">
                  <c:v>Образование</c:v>
                </c:pt>
                <c:pt idx="8">
                  <c:v>Здравоохранение и соц. услуги</c:v>
                </c:pt>
                <c:pt idx="9">
                  <c:v>Наука</c:v>
                </c:pt>
                <c:pt idx="10">
                  <c:v>Обеспечение электрической энергией, газом</c:v>
                </c:pt>
                <c:pt idx="11">
                  <c:v>Проч.</c:v>
                </c:pt>
              </c:strCache>
            </c:strRef>
          </c:cat>
          <c:val>
            <c:numRef>
              <c:f>Лист3!$B$19:$B$30</c:f>
              <c:numCache>
                <c:formatCode>0.0%</c:formatCode>
                <c:ptCount val="12"/>
                <c:pt idx="0">
                  <c:v>0.22900000000000001</c:v>
                </c:pt>
                <c:pt idx="1">
                  <c:v>0.16300000000000001</c:v>
                </c:pt>
                <c:pt idx="2">
                  <c:v>0.121</c:v>
                </c:pt>
                <c:pt idx="3">
                  <c:v>9.6000000000000002E-2</c:v>
                </c:pt>
                <c:pt idx="4">
                  <c:v>7.0999999999999994E-2</c:v>
                </c:pt>
                <c:pt idx="5">
                  <c:v>6.5000000000000002E-2</c:v>
                </c:pt>
                <c:pt idx="6">
                  <c:v>5.8999999999999997E-2</c:v>
                </c:pt>
                <c:pt idx="7">
                  <c:v>3.7999999999999999E-2</c:v>
                </c:pt>
                <c:pt idx="8">
                  <c:v>3.4000000000000002E-2</c:v>
                </c:pt>
                <c:pt idx="9">
                  <c:v>2.7E-2</c:v>
                </c:pt>
                <c:pt idx="10">
                  <c:v>2.4E-2</c:v>
                </c:pt>
                <c:pt idx="11">
                  <c:v>7.3000000000000065E-2</c:v>
                </c:pt>
              </c:numCache>
            </c:numRef>
          </c:val>
          <c:extLst>
            <c:ext xmlns:c16="http://schemas.microsoft.com/office/drawing/2014/chart" uri="{C3380CC4-5D6E-409C-BE32-E72D297353CC}">
              <c16:uniqueId val="{00000000-303A-4182-80BC-31F060FABCC1}"/>
            </c:ext>
          </c:extLst>
        </c:ser>
        <c:dLbls>
          <c:showLegendKey val="0"/>
          <c:showVal val="0"/>
          <c:showCatName val="0"/>
          <c:showSerName val="0"/>
          <c:showPercent val="0"/>
          <c:showBubbleSize val="0"/>
        </c:dLbls>
        <c:gapWidth val="150"/>
        <c:axId val="143069568"/>
        <c:axId val="141924992"/>
      </c:barChart>
      <c:valAx>
        <c:axId val="141924992"/>
        <c:scaling>
          <c:orientation val="minMax"/>
        </c:scaling>
        <c:delete val="0"/>
        <c:axPos val="b"/>
        <c:majorGridlines>
          <c:spPr>
            <a:ln w="9525" cap="flat" cmpd="sng" algn="ctr">
              <a:solidFill>
                <a:schemeClr val="tx1">
                  <a:lumMod val="15000"/>
                  <a:lumOff val="85000"/>
                </a:schemeClr>
              </a:solidFill>
              <a:round/>
            </a:ln>
            <a:effectLst/>
          </c:spPr>
        </c:majorGridlines>
        <c:numFmt formatCode="0.0%" sourceLinked="1"/>
        <c:majorTickMark val="out"/>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3069568"/>
        <c:crosses val="autoZero"/>
        <c:crossBetween val="between"/>
      </c:valAx>
      <c:catAx>
        <c:axId val="143069568"/>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1924992"/>
        <c:crosses val="autoZero"/>
        <c:auto val="1"/>
        <c:lblAlgn val="ctr"/>
        <c:lblOffset val="100"/>
        <c:noMultiLvlLbl val="0"/>
      </c:cat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noFill/>
      <a:round/>
    </a:ln>
    <a:effectLst/>
  </c:spPr>
  <c:txPr>
    <a:bodyPr/>
    <a:lstStyle/>
    <a:p>
      <a:pPr>
        <a:defRPr sz="10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FFF6-4BC5-9C83-265E2315458D}"/>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FFF6-4BC5-9C83-265E2315458D}"/>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FFF6-4BC5-9C83-265E2315458D}"/>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FFF6-4BC5-9C83-265E2315458D}"/>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FFF6-4BC5-9C83-265E2315458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Лист3!$A$3:$A$7</c:f>
              <c:strCache>
                <c:ptCount val="5"/>
                <c:pt idx="0">
                  <c:v>Рыбопродукция</c:v>
                </c:pt>
                <c:pt idx="1">
                  <c:v>Древесина и изделия из нее</c:v>
                </c:pt>
                <c:pt idx="2">
                  <c:v>Топливо</c:v>
                </c:pt>
                <c:pt idx="3">
                  <c:v>С/Х продукция</c:v>
                </c:pt>
                <c:pt idx="4">
                  <c:v>Другое</c:v>
                </c:pt>
              </c:strCache>
            </c:strRef>
          </c:cat>
          <c:val>
            <c:numRef>
              <c:f>Лист3!$B$3:$B$7</c:f>
              <c:numCache>
                <c:formatCode>0.0%</c:formatCode>
                <c:ptCount val="5"/>
                <c:pt idx="0">
                  <c:v>0.5</c:v>
                </c:pt>
                <c:pt idx="1">
                  <c:v>0.14000000000000001</c:v>
                </c:pt>
                <c:pt idx="2">
                  <c:v>0.14000000000000001</c:v>
                </c:pt>
                <c:pt idx="3">
                  <c:v>0.12</c:v>
                </c:pt>
                <c:pt idx="4">
                  <c:v>9.9999999999999978E-2</c:v>
                </c:pt>
              </c:numCache>
            </c:numRef>
          </c:val>
          <c:extLst>
            <c:ext xmlns:c16="http://schemas.microsoft.com/office/drawing/2014/chart" uri="{C3380CC4-5D6E-409C-BE32-E72D297353CC}">
              <c16:uniqueId val="{0000000A-FFF6-4BC5-9C83-265E2315458D}"/>
            </c:ext>
          </c:extLst>
        </c:ser>
        <c:dLbls>
          <c:showLegendKey val="0"/>
          <c:showVal val="0"/>
          <c:showCatName val="0"/>
          <c:showSerName val="0"/>
          <c:showPercent val="0"/>
          <c:showBubbleSize val="0"/>
          <c:showLeaderLines val="1"/>
        </c:dLbls>
      </c:pie3DChart>
      <c:spPr>
        <a:noFill/>
        <a:ln>
          <a:noFill/>
        </a:ln>
        <a:effectLst/>
      </c:spPr>
    </c:plotArea>
    <c:legend>
      <c:legendPos val="b"/>
      <c:layout>
        <c:manualLayout>
          <c:xMode val="edge"/>
          <c:yMode val="edge"/>
          <c:x val="1.3328302712160994E-2"/>
          <c:y val="0.7832093904928551"/>
          <c:w val="0.97889873140857397"/>
          <c:h val="0.18901283172936714"/>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Лист3!$A$41</c:f>
              <c:strCache>
                <c:ptCount val="1"/>
                <c:pt idx="0">
                  <c:v>Оборот оптовой торговли</c:v>
                </c:pt>
              </c:strCache>
            </c:strRef>
          </c:tx>
          <c:spPr>
            <a:solidFill>
              <a:schemeClr val="accent1"/>
            </a:solidFill>
            <a:ln>
              <a:noFill/>
            </a:ln>
            <a:effectLst/>
          </c:spPr>
          <c:invertIfNegative val="0"/>
          <c:dLbls>
            <c:dLbl>
              <c:idx val="2"/>
              <c:layout>
                <c:manualLayout>
                  <c:x val="-2.7777777777777779E-3"/>
                  <c:y val="6.01851851851851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356-45D5-8248-1BDE9FB328F4}"/>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Лист3!$B$40:$F$40</c:f>
              <c:strCache>
                <c:ptCount val="5"/>
                <c:pt idx="0">
                  <c:v>2020 г.</c:v>
                </c:pt>
                <c:pt idx="1">
                  <c:v>2021 г.</c:v>
                </c:pt>
                <c:pt idx="2">
                  <c:v>2022 г.</c:v>
                </c:pt>
                <c:pt idx="3">
                  <c:v>2023 г.</c:v>
                </c:pt>
                <c:pt idx="4">
                  <c:v>2024 г.</c:v>
                </c:pt>
              </c:strCache>
            </c:strRef>
          </c:cat>
          <c:val>
            <c:numRef>
              <c:f>Лист3!$B$41:$F$41</c:f>
              <c:numCache>
                <c:formatCode>#\ ##0.0</c:formatCode>
                <c:ptCount val="5"/>
                <c:pt idx="0">
                  <c:v>1162.8</c:v>
                </c:pt>
                <c:pt idx="1">
                  <c:v>1314.6</c:v>
                </c:pt>
                <c:pt idx="2">
                  <c:v>1478.5</c:v>
                </c:pt>
                <c:pt idx="3">
                  <c:v>1867</c:v>
                </c:pt>
                <c:pt idx="4">
                  <c:v>1858.5</c:v>
                </c:pt>
              </c:numCache>
            </c:numRef>
          </c:val>
          <c:extLst>
            <c:ext xmlns:c16="http://schemas.microsoft.com/office/drawing/2014/chart" uri="{C3380CC4-5D6E-409C-BE32-E72D297353CC}">
              <c16:uniqueId val="{00000001-F356-45D5-8248-1BDE9FB328F4}"/>
            </c:ext>
          </c:extLst>
        </c:ser>
        <c:ser>
          <c:idx val="1"/>
          <c:order val="1"/>
          <c:tx>
            <c:strRef>
              <c:f>Лист3!$A$42</c:f>
              <c:strCache>
                <c:ptCount val="1"/>
                <c:pt idx="0">
                  <c:v>Оборот розничной торговли</c:v>
                </c:pt>
              </c:strCache>
            </c:strRef>
          </c:tx>
          <c:spPr>
            <a:solidFill>
              <a:schemeClr val="accent2"/>
            </a:solidFill>
            <a:ln>
              <a:noFill/>
            </a:ln>
            <a:effectLst/>
          </c:spPr>
          <c:invertIfNegative val="0"/>
          <c:dLbls>
            <c:dLbl>
              <c:idx val="2"/>
              <c:layout>
                <c:manualLayout>
                  <c:x val="5.5555555555555552E-2"/>
                  <c:y val="5.092592592592592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356-45D5-8248-1BDE9FB328F4}"/>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Лист3!$B$40:$F$40</c:f>
              <c:strCache>
                <c:ptCount val="5"/>
                <c:pt idx="0">
                  <c:v>2020 г.</c:v>
                </c:pt>
                <c:pt idx="1">
                  <c:v>2021 г.</c:v>
                </c:pt>
                <c:pt idx="2">
                  <c:v>2022 г.</c:v>
                </c:pt>
                <c:pt idx="3">
                  <c:v>2023 г.</c:v>
                </c:pt>
                <c:pt idx="4">
                  <c:v>2024 г.</c:v>
                </c:pt>
              </c:strCache>
            </c:strRef>
          </c:cat>
          <c:val>
            <c:numRef>
              <c:f>Лист3!$B$42:$F$42</c:f>
              <c:numCache>
                <c:formatCode>General</c:formatCode>
                <c:ptCount val="5"/>
                <c:pt idx="0">
                  <c:v>434.7</c:v>
                </c:pt>
                <c:pt idx="1">
                  <c:v>509</c:v>
                </c:pt>
                <c:pt idx="2">
                  <c:v>587.6</c:v>
                </c:pt>
                <c:pt idx="3">
                  <c:v>646.5</c:v>
                </c:pt>
                <c:pt idx="4">
                  <c:v>767.3</c:v>
                </c:pt>
              </c:numCache>
            </c:numRef>
          </c:val>
          <c:extLst>
            <c:ext xmlns:c16="http://schemas.microsoft.com/office/drawing/2014/chart" uri="{C3380CC4-5D6E-409C-BE32-E72D297353CC}">
              <c16:uniqueId val="{00000003-F356-45D5-8248-1BDE9FB328F4}"/>
            </c:ext>
          </c:extLst>
        </c:ser>
        <c:dLbls>
          <c:showLegendKey val="0"/>
          <c:showVal val="0"/>
          <c:showCatName val="0"/>
          <c:showSerName val="0"/>
          <c:showPercent val="0"/>
          <c:showBubbleSize val="0"/>
        </c:dLbls>
        <c:gapWidth val="219"/>
        <c:axId val="143582720"/>
        <c:axId val="143584256"/>
      </c:barChart>
      <c:lineChart>
        <c:grouping val="stacked"/>
        <c:varyColors val="0"/>
        <c:ser>
          <c:idx val="2"/>
          <c:order val="2"/>
          <c:tx>
            <c:strRef>
              <c:f>Лист3!$A$43</c:f>
              <c:strCache>
                <c:ptCount val="1"/>
                <c:pt idx="0">
                  <c:v>Индекс физического объема оборота оптовой торговли</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Лист3!$B$40:$F$40</c:f>
              <c:strCache>
                <c:ptCount val="5"/>
                <c:pt idx="0">
                  <c:v>2020 г.</c:v>
                </c:pt>
                <c:pt idx="1">
                  <c:v>2021 г.</c:v>
                </c:pt>
                <c:pt idx="2">
                  <c:v>2022 г.</c:v>
                </c:pt>
                <c:pt idx="3">
                  <c:v>2023 г.</c:v>
                </c:pt>
                <c:pt idx="4">
                  <c:v>2024 г.</c:v>
                </c:pt>
              </c:strCache>
            </c:strRef>
          </c:cat>
          <c:val>
            <c:numRef>
              <c:f>Лист3!$B$43:$F$43</c:f>
              <c:numCache>
                <c:formatCode>General</c:formatCode>
                <c:ptCount val="5"/>
                <c:pt idx="0">
                  <c:v>105.9</c:v>
                </c:pt>
                <c:pt idx="1">
                  <c:v>102.7</c:v>
                </c:pt>
                <c:pt idx="2">
                  <c:v>108.1</c:v>
                </c:pt>
                <c:pt idx="3">
                  <c:v>127.2</c:v>
                </c:pt>
                <c:pt idx="4">
                  <c:v>100.5</c:v>
                </c:pt>
              </c:numCache>
            </c:numRef>
          </c:val>
          <c:smooth val="0"/>
          <c:extLst>
            <c:ext xmlns:c16="http://schemas.microsoft.com/office/drawing/2014/chart" uri="{C3380CC4-5D6E-409C-BE32-E72D297353CC}">
              <c16:uniqueId val="{00000004-F356-45D5-8248-1BDE9FB328F4}"/>
            </c:ext>
          </c:extLst>
        </c:ser>
        <c:ser>
          <c:idx val="3"/>
          <c:order val="3"/>
          <c:tx>
            <c:strRef>
              <c:f>Лист3!$A$44</c:f>
              <c:strCache>
                <c:ptCount val="1"/>
                <c:pt idx="0">
                  <c:v>Индекс физического объема оборота розничной торговли</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dLbls>
            <c:dLbl>
              <c:idx val="2"/>
              <c:layout>
                <c:manualLayout>
                  <c:x val="-4.4444444444444446E-2"/>
                  <c:y val="-6.018518518518518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356-45D5-8248-1BDE9FB328F4}"/>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Лист3!$B$40:$F$40</c:f>
              <c:strCache>
                <c:ptCount val="5"/>
                <c:pt idx="0">
                  <c:v>2020 г.</c:v>
                </c:pt>
                <c:pt idx="1">
                  <c:v>2021 г.</c:v>
                </c:pt>
                <c:pt idx="2">
                  <c:v>2022 г.</c:v>
                </c:pt>
                <c:pt idx="3">
                  <c:v>2023 г.</c:v>
                </c:pt>
                <c:pt idx="4">
                  <c:v>2024 г.</c:v>
                </c:pt>
              </c:strCache>
            </c:strRef>
          </c:cat>
          <c:val>
            <c:numRef>
              <c:f>Лист3!$B$44:$F$44</c:f>
              <c:numCache>
                <c:formatCode>General</c:formatCode>
                <c:ptCount val="5"/>
                <c:pt idx="0">
                  <c:v>94.3</c:v>
                </c:pt>
                <c:pt idx="1">
                  <c:v>109.4</c:v>
                </c:pt>
                <c:pt idx="2">
                  <c:v>101.2</c:v>
                </c:pt>
                <c:pt idx="3">
                  <c:v>104</c:v>
                </c:pt>
                <c:pt idx="4">
                  <c:v>108.7</c:v>
                </c:pt>
              </c:numCache>
            </c:numRef>
          </c:val>
          <c:smooth val="0"/>
          <c:extLst>
            <c:ext xmlns:c16="http://schemas.microsoft.com/office/drawing/2014/chart" uri="{C3380CC4-5D6E-409C-BE32-E72D297353CC}">
              <c16:uniqueId val="{00000006-F356-45D5-8248-1BDE9FB328F4}"/>
            </c:ext>
          </c:extLst>
        </c:ser>
        <c:dLbls>
          <c:showLegendKey val="0"/>
          <c:showVal val="0"/>
          <c:showCatName val="0"/>
          <c:showSerName val="0"/>
          <c:showPercent val="0"/>
          <c:showBubbleSize val="0"/>
        </c:dLbls>
        <c:marker val="1"/>
        <c:smooth val="0"/>
        <c:axId val="143616256"/>
        <c:axId val="143614720"/>
      </c:lineChart>
      <c:catAx>
        <c:axId val="1435827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3584256"/>
        <c:crosses val="autoZero"/>
        <c:auto val="1"/>
        <c:lblAlgn val="ctr"/>
        <c:lblOffset val="100"/>
        <c:noMultiLvlLbl val="0"/>
      </c:catAx>
      <c:valAx>
        <c:axId val="143584256"/>
        <c:scaling>
          <c:orientation val="minMax"/>
        </c:scaling>
        <c:delete val="0"/>
        <c:axPos val="l"/>
        <c:majorGridlines>
          <c:spPr>
            <a:ln w="9525" cap="flat" cmpd="sng" algn="ctr">
              <a:solidFill>
                <a:schemeClr val="tx1">
                  <a:lumMod val="15000"/>
                  <a:lumOff val="85000"/>
                </a:schemeClr>
              </a:solidFill>
              <a:round/>
            </a:ln>
            <a:effectLst/>
          </c:spPr>
        </c:majorGridlines>
        <c:numFmt formatCode="#\ ##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3582720"/>
        <c:crosses val="autoZero"/>
        <c:crossBetween val="between"/>
      </c:valAx>
      <c:valAx>
        <c:axId val="143614720"/>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3616256"/>
        <c:crosses val="max"/>
        <c:crossBetween val="between"/>
      </c:valAx>
      <c:catAx>
        <c:axId val="143616256"/>
        <c:scaling>
          <c:orientation val="minMax"/>
        </c:scaling>
        <c:delete val="1"/>
        <c:axPos val="b"/>
        <c:numFmt formatCode="General" sourceLinked="1"/>
        <c:majorTickMark val="out"/>
        <c:minorTickMark val="none"/>
        <c:tickLblPos val="nextTo"/>
        <c:crossAx val="143614720"/>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1"/>
          <c:order val="1"/>
          <c:tx>
            <c:strRef>
              <c:f>'трудовые ресурсы'!$B$30</c:f>
              <c:strCache>
                <c:ptCount val="1"/>
                <c:pt idx="0">
                  <c:v>45 ОКВЭД</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'трудовые ресурсы'!$C$28:$J$28</c:f>
              <c:strCache>
                <c:ptCount val="8"/>
                <c:pt idx="0">
                  <c:v>2017 г.</c:v>
                </c:pt>
                <c:pt idx="1">
                  <c:v>2018 г.</c:v>
                </c:pt>
                <c:pt idx="2">
                  <c:v>2019 г.</c:v>
                </c:pt>
                <c:pt idx="3">
                  <c:v>2020 г.</c:v>
                </c:pt>
                <c:pt idx="4">
                  <c:v>2021 г.</c:v>
                </c:pt>
                <c:pt idx="5">
                  <c:v>2022 г.</c:v>
                </c:pt>
                <c:pt idx="6">
                  <c:v>2023 г.</c:v>
                </c:pt>
                <c:pt idx="7">
                  <c:v>2024 г.</c:v>
                </c:pt>
              </c:strCache>
            </c:strRef>
          </c:cat>
          <c:val>
            <c:numRef>
              <c:f>'трудовые ресурсы'!$C$30:$J$30</c:f>
              <c:numCache>
                <c:formatCode>#,##0</c:formatCode>
                <c:ptCount val="8"/>
                <c:pt idx="0">
                  <c:v>5530</c:v>
                </c:pt>
                <c:pt idx="1">
                  <c:v>5855</c:v>
                </c:pt>
                <c:pt idx="2">
                  <c:v>5742</c:v>
                </c:pt>
                <c:pt idx="3">
                  <c:v>5719</c:v>
                </c:pt>
                <c:pt idx="4">
                  <c:v>5533</c:v>
                </c:pt>
                <c:pt idx="5">
                  <c:v>5745</c:v>
                </c:pt>
                <c:pt idx="6">
                  <c:v>5834</c:v>
                </c:pt>
                <c:pt idx="7">
                  <c:v>5824.61</c:v>
                </c:pt>
              </c:numCache>
            </c:numRef>
          </c:val>
          <c:extLst>
            <c:ext xmlns:c16="http://schemas.microsoft.com/office/drawing/2014/chart" uri="{C3380CC4-5D6E-409C-BE32-E72D297353CC}">
              <c16:uniqueId val="{00000000-1739-49AC-ADBD-3111A008FD55}"/>
            </c:ext>
          </c:extLst>
        </c:ser>
        <c:ser>
          <c:idx val="2"/>
          <c:order val="2"/>
          <c:tx>
            <c:strRef>
              <c:f>'трудовые ресурсы'!$B$31</c:f>
              <c:strCache>
                <c:ptCount val="1"/>
                <c:pt idx="0">
                  <c:v>46 ОКВЭД</c:v>
                </c:pt>
              </c:strCache>
            </c:strRef>
          </c:tx>
          <c:spPr>
            <a:solidFill>
              <a:schemeClr val="accent3"/>
            </a:solidFill>
            <a:ln>
              <a:noFill/>
            </a:ln>
            <a:effectLst/>
          </c:spPr>
          <c:invertIfNegative val="0"/>
          <c:dLbls>
            <c:dLbl>
              <c:idx val="4"/>
              <c:layout>
                <c:manualLayout>
                  <c:x val="5.5555555555555558E-3"/>
                  <c:y val="6.930854088603599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739-49AC-ADBD-3111A008FD5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'трудовые ресурсы'!$C$28:$J$28</c:f>
              <c:strCache>
                <c:ptCount val="8"/>
                <c:pt idx="0">
                  <c:v>2017 г.</c:v>
                </c:pt>
                <c:pt idx="1">
                  <c:v>2018 г.</c:v>
                </c:pt>
                <c:pt idx="2">
                  <c:v>2019 г.</c:v>
                </c:pt>
                <c:pt idx="3">
                  <c:v>2020 г.</c:v>
                </c:pt>
                <c:pt idx="4">
                  <c:v>2021 г.</c:v>
                </c:pt>
                <c:pt idx="5">
                  <c:v>2022 г.</c:v>
                </c:pt>
                <c:pt idx="6">
                  <c:v>2023 г.</c:v>
                </c:pt>
                <c:pt idx="7">
                  <c:v>2024 г.</c:v>
                </c:pt>
              </c:strCache>
            </c:strRef>
          </c:cat>
          <c:val>
            <c:numRef>
              <c:f>'трудовые ресурсы'!$C$31:$J$31</c:f>
              <c:numCache>
                <c:formatCode>#,##0</c:formatCode>
                <c:ptCount val="8"/>
                <c:pt idx="0">
                  <c:v>31270</c:v>
                </c:pt>
                <c:pt idx="1">
                  <c:v>35616</c:v>
                </c:pt>
                <c:pt idx="2">
                  <c:v>35185</c:v>
                </c:pt>
                <c:pt idx="3">
                  <c:v>35392</c:v>
                </c:pt>
                <c:pt idx="4">
                  <c:v>32932</c:v>
                </c:pt>
                <c:pt idx="5">
                  <c:v>32384</c:v>
                </c:pt>
                <c:pt idx="6">
                  <c:v>32028</c:v>
                </c:pt>
                <c:pt idx="7">
                  <c:v>31844.83</c:v>
                </c:pt>
              </c:numCache>
            </c:numRef>
          </c:val>
          <c:extLst>
            <c:ext xmlns:c16="http://schemas.microsoft.com/office/drawing/2014/chart" uri="{C3380CC4-5D6E-409C-BE32-E72D297353CC}">
              <c16:uniqueId val="{00000002-1739-49AC-ADBD-3111A008FD55}"/>
            </c:ext>
          </c:extLst>
        </c:ser>
        <c:ser>
          <c:idx val="3"/>
          <c:order val="3"/>
          <c:tx>
            <c:strRef>
              <c:f>'трудовые ресурсы'!$B$32</c:f>
              <c:strCache>
                <c:ptCount val="1"/>
                <c:pt idx="0">
                  <c:v>47 ОКВЭД</c:v>
                </c:pt>
              </c:strCache>
            </c:strRef>
          </c:tx>
          <c:spPr>
            <a:solidFill>
              <a:schemeClr val="accent4"/>
            </a:solidFill>
            <a:ln>
              <a:noFill/>
            </a:ln>
            <a:effectLst/>
          </c:spPr>
          <c:invertIfNegative val="0"/>
          <c:cat>
            <c:strRef>
              <c:f>'трудовые ресурсы'!$C$28:$J$28</c:f>
              <c:strCache>
                <c:ptCount val="8"/>
                <c:pt idx="0">
                  <c:v>2017 г.</c:v>
                </c:pt>
                <c:pt idx="1">
                  <c:v>2018 г.</c:v>
                </c:pt>
                <c:pt idx="2">
                  <c:v>2019 г.</c:v>
                </c:pt>
                <c:pt idx="3">
                  <c:v>2020 г.</c:v>
                </c:pt>
                <c:pt idx="4">
                  <c:v>2021 г.</c:v>
                </c:pt>
                <c:pt idx="5">
                  <c:v>2022 г.</c:v>
                </c:pt>
                <c:pt idx="6">
                  <c:v>2023 г.</c:v>
                </c:pt>
                <c:pt idx="7">
                  <c:v>2024 г.</c:v>
                </c:pt>
              </c:strCache>
            </c:strRef>
          </c:cat>
          <c:val>
            <c:numRef>
              <c:f>'трудовые ресурсы'!$C$32:$J$32</c:f>
              <c:numCache>
                <c:formatCode>#,##0</c:formatCode>
                <c:ptCount val="8"/>
                <c:pt idx="0">
                  <c:v>26653</c:v>
                </c:pt>
                <c:pt idx="1">
                  <c:v>27906</c:v>
                </c:pt>
                <c:pt idx="2">
                  <c:v>29604</c:v>
                </c:pt>
                <c:pt idx="3">
                  <c:v>31285</c:v>
                </c:pt>
                <c:pt idx="4">
                  <c:v>29289</c:v>
                </c:pt>
                <c:pt idx="5">
                  <c:v>29366</c:v>
                </c:pt>
                <c:pt idx="6">
                  <c:v>30679</c:v>
                </c:pt>
                <c:pt idx="7">
                  <c:v>30181.77</c:v>
                </c:pt>
              </c:numCache>
            </c:numRef>
          </c:val>
          <c:extLst>
            <c:ext xmlns:c16="http://schemas.microsoft.com/office/drawing/2014/chart" uri="{C3380CC4-5D6E-409C-BE32-E72D297353CC}">
              <c16:uniqueId val="{00000003-1739-49AC-ADBD-3111A008FD55}"/>
            </c:ext>
          </c:extLst>
        </c:ser>
        <c:dLbls>
          <c:showLegendKey val="0"/>
          <c:showVal val="0"/>
          <c:showCatName val="0"/>
          <c:showSerName val="0"/>
          <c:showPercent val="0"/>
          <c:showBubbleSize val="0"/>
        </c:dLbls>
        <c:gapWidth val="219"/>
        <c:overlap val="-27"/>
        <c:axId val="143656448"/>
        <c:axId val="143657984"/>
      </c:barChart>
      <c:lineChart>
        <c:grouping val="stacked"/>
        <c:varyColors val="0"/>
        <c:ser>
          <c:idx val="0"/>
          <c:order val="0"/>
          <c:tx>
            <c:strRef>
              <c:f>'трудовые ресурсы'!$B$29</c:f>
              <c:strCache>
                <c:ptCount val="1"/>
                <c:pt idx="0">
                  <c:v>G</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'трудовые ресурсы'!$C$28:$J$28</c:f>
              <c:strCache>
                <c:ptCount val="8"/>
                <c:pt idx="0">
                  <c:v>2017 г.</c:v>
                </c:pt>
                <c:pt idx="1">
                  <c:v>2018 г.</c:v>
                </c:pt>
                <c:pt idx="2">
                  <c:v>2019 г.</c:v>
                </c:pt>
                <c:pt idx="3">
                  <c:v>2020 г.</c:v>
                </c:pt>
                <c:pt idx="4">
                  <c:v>2021 г.</c:v>
                </c:pt>
                <c:pt idx="5">
                  <c:v>2022 г.</c:v>
                </c:pt>
                <c:pt idx="6">
                  <c:v>2023 г.</c:v>
                </c:pt>
                <c:pt idx="7">
                  <c:v>2024 г.</c:v>
                </c:pt>
              </c:strCache>
            </c:strRef>
          </c:cat>
          <c:val>
            <c:numRef>
              <c:f>'трудовые ресурсы'!$C$29:$J$29</c:f>
              <c:numCache>
                <c:formatCode>#,##0</c:formatCode>
                <c:ptCount val="8"/>
                <c:pt idx="0">
                  <c:v>63452</c:v>
                </c:pt>
                <c:pt idx="1">
                  <c:v>69377</c:v>
                </c:pt>
                <c:pt idx="2">
                  <c:v>70531</c:v>
                </c:pt>
                <c:pt idx="3">
                  <c:v>72395</c:v>
                </c:pt>
                <c:pt idx="4">
                  <c:v>67754</c:v>
                </c:pt>
                <c:pt idx="5">
                  <c:v>67495</c:v>
                </c:pt>
                <c:pt idx="6">
                  <c:v>68542</c:v>
                </c:pt>
                <c:pt idx="7">
                  <c:v>67851.22</c:v>
                </c:pt>
              </c:numCache>
            </c:numRef>
          </c:val>
          <c:smooth val="0"/>
          <c:extLst>
            <c:ext xmlns:c16="http://schemas.microsoft.com/office/drawing/2014/chart" uri="{C3380CC4-5D6E-409C-BE32-E72D297353CC}">
              <c16:uniqueId val="{00000004-1739-49AC-ADBD-3111A008FD55}"/>
            </c:ext>
          </c:extLst>
        </c:ser>
        <c:dLbls>
          <c:showLegendKey val="0"/>
          <c:showVal val="0"/>
          <c:showCatName val="0"/>
          <c:showSerName val="0"/>
          <c:showPercent val="0"/>
          <c:showBubbleSize val="0"/>
        </c:dLbls>
        <c:marker val="1"/>
        <c:smooth val="0"/>
        <c:axId val="143669504"/>
        <c:axId val="143667968"/>
      </c:lineChart>
      <c:catAx>
        <c:axId val="143656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3657984"/>
        <c:crosses val="autoZero"/>
        <c:auto val="1"/>
        <c:lblAlgn val="ctr"/>
        <c:lblOffset val="100"/>
        <c:noMultiLvlLbl val="0"/>
      </c:catAx>
      <c:valAx>
        <c:axId val="14365798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3656448"/>
        <c:crosses val="autoZero"/>
        <c:crossBetween val="between"/>
      </c:valAx>
      <c:valAx>
        <c:axId val="143667968"/>
        <c:scaling>
          <c:orientation val="minMax"/>
        </c:scaling>
        <c:delete val="0"/>
        <c:axPos val="r"/>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3669504"/>
        <c:crosses val="max"/>
        <c:crossBetween val="between"/>
      </c:valAx>
      <c:catAx>
        <c:axId val="143669504"/>
        <c:scaling>
          <c:orientation val="minMax"/>
        </c:scaling>
        <c:delete val="1"/>
        <c:axPos val="b"/>
        <c:numFmt formatCode="General" sourceLinked="1"/>
        <c:majorTickMark val="out"/>
        <c:minorTickMark val="none"/>
        <c:tickLblPos val="nextTo"/>
        <c:crossAx val="143667968"/>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'трудовые ресурсы'!$K$28</c:f>
              <c:strCache>
                <c:ptCount val="1"/>
                <c:pt idx="0">
                  <c:v>2017 г.</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'трудовые ресурсы'!$B$29:$B$32</c:f>
              <c:strCache>
                <c:ptCount val="4"/>
                <c:pt idx="0">
                  <c:v>G</c:v>
                </c:pt>
                <c:pt idx="1">
                  <c:v>45 ОКВЭД</c:v>
                </c:pt>
                <c:pt idx="2">
                  <c:v>46 ОКВЭД</c:v>
                </c:pt>
                <c:pt idx="3">
                  <c:v>47 ОКВЭД</c:v>
                </c:pt>
              </c:strCache>
            </c:strRef>
          </c:cat>
          <c:val>
            <c:numRef>
              <c:f>'трудовые ресурсы'!$K$29:$K$32</c:f>
              <c:numCache>
                <c:formatCode>0.0</c:formatCode>
                <c:ptCount val="4"/>
                <c:pt idx="0">
                  <c:v>61.01740551976151</c:v>
                </c:pt>
                <c:pt idx="1">
                  <c:v>5.3178190210597167</c:v>
                </c:pt>
                <c:pt idx="2">
                  <c:v>30.070199057601691</c:v>
                </c:pt>
                <c:pt idx="3">
                  <c:v>25.630349072026153</c:v>
                </c:pt>
              </c:numCache>
            </c:numRef>
          </c:val>
          <c:extLst>
            <c:ext xmlns:c16="http://schemas.microsoft.com/office/drawing/2014/chart" uri="{C3380CC4-5D6E-409C-BE32-E72D297353CC}">
              <c16:uniqueId val="{00000000-78CE-4A6F-AA1B-F90A3B00A380}"/>
            </c:ext>
          </c:extLst>
        </c:ser>
        <c:ser>
          <c:idx val="1"/>
          <c:order val="1"/>
          <c:tx>
            <c:strRef>
              <c:f>'трудовые ресурсы'!$L$28</c:f>
              <c:strCache>
                <c:ptCount val="1"/>
                <c:pt idx="0">
                  <c:v>2024 г.</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'трудовые ресурсы'!$B$29:$B$32</c:f>
              <c:strCache>
                <c:ptCount val="4"/>
                <c:pt idx="0">
                  <c:v>G</c:v>
                </c:pt>
                <c:pt idx="1">
                  <c:v>45 ОКВЭД</c:v>
                </c:pt>
                <c:pt idx="2">
                  <c:v>46 ОКВЭД</c:v>
                </c:pt>
                <c:pt idx="3">
                  <c:v>47 ОКВЭД</c:v>
                </c:pt>
              </c:strCache>
            </c:strRef>
          </c:cat>
          <c:val>
            <c:numRef>
              <c:f>'трудовые ресурсы'!$L$29:$L$32</c:f>
              <c:numCache>
                <c:formatCode>0.0</c:formatCode>
                <c:ptCount val="4"/>
                <c:pt idx="0">
                  <c:v>68.377728509523337</c:v>
                </c:pt>
                <c:pt idx="1">
                  <c:v>5.8698075178877351</c:v>
                </c:pt>
                <c:pt idx="2">
                  <c:v>32.091937921999396</c:v>
                </c:pt>
                <c:pt idx="3">
                  <c:v>30.4159729920387</c:v>
                </c:pt>
              </c:numCache>
            </c:numRef>
          </c:val>
          <c:extLst>
            <c:ext xmlns:c16="http://schemas.microsoft.com/office/drawing/2014/chart" uri="{C3380CC4-5D6E-409C-BE32-E72D297353CC}">
              <c16:uniqueId val="{00000001-78CE-4A6F-AA1B-F90A3B00A380}"/>
            </c:ext>
          </c:extLst>
        </c:ser>
        <c:dLbls>
          <c:showLegendKey val="0"/>
          <c:showVal val="0"/>
          <c:showCatName val="0"/>
          <c:showSerName val="0"/>
          <c:showPercent val="0"/>
          <c:showBubbleSize val="0"/>
        </c:dLbls>
        <c:gapWidth val="219"/>
        <c:overlap val="-27"/>
        <c:axId val="143700736"/>
        <c:axId val="143702272"/>
      </c:barChart>
      <c:catAx>
        <c:axId val="1437007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3702272"/>
        <c:crosses val="autoZero"/>
        <c:auto val="1"/>
        <c:lblAlgn val="ctr"/>
        <c:lblOffset val="100"/>
        <c:noMultiLvlLbl val="0"/>
      </c:catAx>
      <c:valAx>
        <c:axId val="143702272"/>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37007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6041</Words>
  <Characters>34436</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Даниил</dc:creator>
  <cp:keywords/>
  <dc:description/>
  <cp:lastModifiedBy>Татьяна Бубновская</cp:lastModifiedBy>
  <cp:revision>2</cp:revision>
  <dcterms:created xsi:type="dcterms:W3CDTF">2026-04-20T08:52:00Z</dcterms:created>
  <dcterms:modified xsi:type="dcterms:W3CDTF">2026-04-20T08:52:00Z</dcterms:modified>
</cp:coreProperties>
</file>