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85E" w:rsidRPr="00452B5C" w:rsidRDefault="00E5485E" w:rsidP="00E5485E">
      <w:pPr>
        <w:spacing w:line="240" w:lineRule="auto"/>
        <w:rPr>
          <w:rFonts w:ascii="Times New Roman" w:hAnsi="Times New Roman" w:cs="Times New Roman"/>
          <w:b/>
          <w:sz w:val="24"/>
          <w:szCs w:val="24"/>
        </w:rPr>
      </w:pPr>
      <w:r w:rsidRPr="00452B5C">
        <w:rPr>
          <w:rFonts w:ascii="Times New Roman" w:hAnsi="Times New Roman" w:cs="Times New Roman"/>
          <w:b/>
          <w:sz w:val="24"/>
          <w:szCs w:val="24"/>
        </w:rPr>
        <w:t>Рубрика: Бухгалтерский учет, статистика</w:t>
      </w:r>
    </w:p>
    <w:p w:rsidR="00E5485E" w:rsidRPr="00452B5C" w:rsidRDefault="00E5485E" w:rsidP="00E5485E">
      <w:pPr>
        <w:spacing w:line="240" w:lineRule="auto"/>
        <w:rPr>
          <w:rFonts w:ascii="Times New Roman" w:hAnsi="Times New Roman" w:cs="Times New Roman"/>
          <w:sz w:val="24"/>
          <w:szCs w:val="24"/>
        </w:rPr>
      </w:pPr>
      <w:r w:rsidRPr="00452B5C">
        <w:rPr>
          <w:rFonts w:ascii="Times New Roman" w:hAnsi="Times New Roman" w:cs="Times New Roman"/>
          <w:sz w:val="24"/>
          <w:szCs w:val="24"/>
        </w:rPr>
        <w:t>УДК 368.8</w:t>
      </w:r>
    </w:p>
    <w:p w:rsidR="00E5485E" w:rsidRPr="00452B5C" w:rsidRDefault="00E5485E" w:rsidP="00E5485E">
      <w:pPr>
        <w:suppressAutoHyphens/>
        <w:jc w:val="center"/>
        <w:rPr>
          <w:rFonts w:ascii="Times New Roman" w:hAnsi="Times New Roman" w:cs="Times New Roman"/>
          <w:b/>
          <w:sz w:val="24"/>
          <w:szCs w:val="24"/>
        </w:rPr>
      </w:pPr>
      <w:r w:rsidRPr="00452B5C">
        <w:rPr>
          <w:rFonts w:ascii="Times New Roman" w:hAnsi="Times New Roman" w:cs="Times New Roman"/>
          <w:b/>
          <w:sz w:val="24"/>
          <w:szCs w:val="24"/>
        </w:rPr>
        <w:t>НОВЫЕ СТАНДАРТЫ В ОБЛАСТИ БУХГАЛТЕРСКОГО УЧЕТА И ОТЧЕТНОСТИ ДЛЯ БЮДЖЕТНЫХ ОРГАНИЗАЦИЙ</w:t>
      </w:r>
    </w:p>
    <w:p w:rsidR="00E5485E" w:rsidRPr="00452B5C" w:rsidRDefault="00E5485E" w:rsidP="00E5485E">
      <w:pPr>
        <w:spacing w:after="0"/>
        <w:jc w:val="center"/>
        <w:rPr>
          <w:rFonts w:ascii="Times New Roman" w:hAnsi="Times New Roman" w:cs="Times New Roman"/>
          <w:b/>
          <w:sz w:val="24"/>
          <w:szCs w:val="24"/>
        </w:rPr>
      </w:pPr>
      <w:r w:rsidRPr="00452B5C">
        <w:rPr>
          <w:rFonts w:ascii="Times New Roman" w:hAnsi="Times New Roman" w:cs="Times New Roman"/>
          <w:b/>
          <w:sz w:val="24"/>
          <w:szCs w:val="24"/>
        </w:rPr>
        <w:t xml:space="preserve">Смирнова Екатерина Александровна, Шоева Ольга Андреевна,                          </w:t>
      </w:r>
    </w:p>
    <w:p w:rsidR="00E5485E" w:rsidRPr="00452B5C" w:rsidRDefault="00E5485E" w:rsidP="00E5485E">
      <w:pPr>
        <w:spacing w:after="0"/>
        <w:jc w:val="center"/>
        <w:rPr>
          <w:rFonts w:ascii="Times New Roman" w:hAnsi="Times New Roman" w:cs="Times New Roman"/>
          <w:sz w:val="24"/>
          <w:szCs w:val="24"/>
        </w:rPr>
      </w:pPr>
      <w:r w:rsidRPr="00452B5C">
        <w:rPr>
          <w:rFonts w:ascii="Times New Roman" w:hAnsi="Times New Roman" w:cs="Times New Roman"/>
          <w:sz w:val="24"/>
          <w:szCs w:val="24"/>
        </w:rPr>
        <w:t xml:space="preserve">       бакалавр</w:t>
      </w:r>
    </w:p>
    <w:p w:rsidR="00E5485E" w:rsidRPr="00452B5C" w:rsidRDefault="00E5485E" w:rsidP="00E5485E">
      <w:pPr>
        <w:spacing w:after="0"/>
        <w:jc w:val="center"/>
        <w:rPr>
          <w:rFonts w:ascii="Times New Roman" w:hAnsi="Times New Roman" w:cs="Times New Roman"/>
          <w:i/>
          <w:sz w:val="24"/>
          <w:szCs w:val="24"/>
        </w:rPr>
      </w:pPr>
      <w:r w:rsidRPr="00452B5C">
        <w:rPr>
          <w:rFonts w:ascii="Times New Roman" w:hAnsi="Times New Roman" w:cs="Times New Roman"/>
          <w:i/>
          <w:sz w:val="24"/>
          <w:szCs w:val="24"/>
        </w:rPr>
        <w:t xml:space="preserve"> </w:t>
      </w:r>
    </w:p>
    <w:p w:rsidR="00E5485E" w:rsidRPr="00452B5C" w:rsidRDefault="00E5485E" w:rsidP="00E5485E">
      <w:pPr>
        <w:spacing w:after="0"/>
        <w:jc w:val="center"/>
        <w:rPr>
          <w:rFonts w:ascii="Times New Roman" w:hAnsi="Times New Roman" w:cs="Times New Roman"/>
          <w:i/>
          <w:sz w:val="24"/>
          <w:szCs w:val="24"/>
        </w:rPr>
      </w:pPr>
      <w:r w:rsidRPr="00452B5C">
        <w:rPr>
          <w:rFonts w:ascii="Times New Roman" w:hAnsi="Times New Roman" w:cs="Times New Roman"/>
          <w:i/>
          <w:sz w:val="24"/>
          <w:szCs w:val="24"/>
        </w:rPr>
        <w:t>Владивостокский государственный университет экономики и сервиса</w:t>
      </w:r>
    </w:p>
    <w:p w:rsidR="00E5485E" w:rsidRPr="00452B5C" w:rsidRDefault="00E5485E" w:rsidP="00E5485E">
      <w:pPr>
        <w:spacing w:after="0"/>
        <w:jc w:val="center"/>
        <w:rPr>
          <w:rFonts w:ascii="Times New Roman" w:hAnsi="Times New Roman" w:cs="Times New Roman"/>
          <w:i/>
          <w:sz w:val="24"/>
          <w:szCs w:val="24"/>
        </w:rPr>
      </w:pPr>
      <w:r w:rsidRPr="00452B5C">
        <w:rPr>
          <w:rFonts w:ascii="Times New Roman" w:hAnsi="Times New Roman" w:cs="Times New Roman"/>
          <w:i/>
          <w:sz w:val="24"/>
          <w:szCs w:val="24"/>
        </w:rPr>
        <w:t xml:space="preserve">                  Россия. Владивосток                                                                                                                          </w:t>
      </w:r>
    </w:p>
    <w:p w:rsidR="00E5485E" w:rsidRPr="00452B5C" w:rsidRDefault="00E5485E" w:rsidP="00E5485E">
      <w:pPr>
        <w:spacing w:after="0"/>
        <w:jc w:val="center"/>
        <w:rPr>
          <w:rFonts w:ascii="Times New Roman" w:hAnsi="Times New Roman" w:cs="Times New Roman"/>
          <w:i/>
          <w:sz w:val="24"/>
          <w:szCs w:val="24"/>
        </w:rPr>
      </w:pPr>
    </w:p>
    <w:p w:rsidR="00E5485E" w:rsidRPr="00452B5C" w:rsidRDefault="00E5485E" w:rsidP="00E5485E">
      <w:pPr>
        <w:spacing w:after="0"/>
        <w:jc w:val="center"/>
        <w:rPr>
          <w:rFonts w:ascii="Times New Roman" w:hAnsi="Times New Roman" w:cs="Times New Roman"/>
          <w:sz w:val="24"/>
          <w:szCs w:val="24"/>
        </w:rPr>
      </w:pPr>
      <w:r w:rsidRPr="00452B5C">
        <w:rPr>
          <w:rFonts w:ascii="Times New Roman" w:hAnsi="Times New Roman" w:cs="Times New Roman"/>
          <w:sz w:val="24"/>
          <w:szCs w:val="24"/>
          <w:lang w:val="en-US"/>
        </w:rPr>
        <w:t>E</w:t>
      </w:r>
      <w:r w:rsidRPr="00452B5C">
        <w:rPr>
          <w:rFonts w:ascii="Times New Roman" w:hAnsi="Times New Roman" w:cs="Times New Roman"/>
          <w:sz w:val="24"/>
          <w:szCs w:val="24"/>
        </w:rPr>
        <w:t>-</w:t>
      </w:r>
      <w:r w:rsidRPr="00452B5C">
        <w:rPr>
          <w:rFonts w:ascii="Times New Roman" w:hAnsi="Times New Roman" w:cs="Times New Roman"/>
          <w:sz w:val="24"/>
          <w:szCs w:val="24"/>
          <w:lang w:val="en-US"/>
        </w:rPr>
        <w:t>mail</w:t>
      </w:r>
      <w:r w:rsidRPr="00452B5C">
        <w:rPr>
          <w:rFonts w:ascii="Times New Roman" w:hAnsi="Times New Roman" w:cs="Times New Roman"/>
          <w:sz w:val="24"/>
          <w:szCs w:val="24"/>
        </w:rPr>
        <w:t xml:space="preserve">: kate.smirnova-96@mail.ru; </w:t>
      </w:r>
      <w:proofErr w:type="gramStart"/>
      <w:r w:rsidRPr="00452B5C">
        <w:rPr>
          <w:rFonts w:ascii="Times New Roman" w:hAnsi="Times New Roman" w:cs="Times New Roman"/>
          <w:sz w:val="24"/>
          <w:szCs w:val="24"/>
        </w:rPr>
        <w:t>тел.:</w:t>
      </w:r>
      <w:proofErr w:type="gramEnd"/>
      <w:r w:rsidRPr="00452B5C">
        <w:rPr>
          <w:rFonts w:ascii="Times New Roman" w:hAnsi="Times New Roman" w:cs="Times New Roman"/>
          <w:sz w:val="24"/>
          <w:szCs w:val="24"/>
        </w:rPr>
        <w:t xml:space="preserve"> +79147986034, </w:t>
      </w:r>
      <w:r w:rsidRPr="00452B5C">
        <w:rPr>
          <w:rFonts w:ascii="Times New Roman" w:hAnsi="Times New Roman" w:cs="Times New Roman"/>
          <w:sz w:val="24"/>
          <w:szCs w:val="24"/>
          <w:lang w:val="en-US"/>
        </w:rPr>
        <w:t>o</w:t>
      </w:r>
      <w:r w:rsidRPr="00452B5C">
        <w:rPr>
          <w:rFonts w:ascii="Times New Roman" w:hAnsi="Times New Roman" w:cs="Times New Roman"/>
          <w:sz w:val="24"/>
          <w:szCs w:val="24"/>
        </w:rPr>
        <w:t>.</w:t>
      </w:r>
      <w:proofErr w:type="spellStart"/>
      <w:r w:rsidRPr="00452B5C">
        <w:rPr>
          <w:rFonts w:ascii="Times New Roman" w:hAnsi="Times New Roman" w:cs="Times New Roman"/>
          <w:sz w:val="24"/>
          <w:szCs w:val="24"/>
          <w:lang w:val="en-US"/>
        </w:rPr>
        <w:t>shoeva</w:t>
      </w:r>
      <w:proofErr w:type="spellEnd"/>
      <w:r w:rsidRPr="00452B5C">
        <w:rPr>
          <w:rFonts w:ascii="Times New Roman" w:hAnsi="Times New Roman" w:cs="Times New Roman"/>
          <w:sz w:val="24"/>
          <w:szCs w:val="24"/>
        </w:rPr>
        <w:t>@</w:t>
      </w:r>
      <w:r w:rsidRPr="00452B5C">
        <w:rPr>
          <w:rFonts w:ascii="Times New Roman" w:hAnsi="Times New Roman" w:cs="Times New Roman"/>
          <w:sz w:val="24"/>
          <w:szCs w:val="24"/>
          <w:lang w:val="en-US"/>
        </w:rPr>
        <w:t>mail</w:t>
      </w:r>
      <w:r w:rsidRPr="00452B5C">
        <w:rPr>
          <w:rFonts w:ascii="Times New Roman" w:hAnsi="Times New Roman" w:cs="Times New Roman"/>
          <w:sz w:val="24"/>
          <w:szCs w:val="24"/>
        </w:rPr>
        <w:t>.</w:t>
      </w:r>
      <w:proofErr w:type="spellStart"/>
      <w:r w:rsidRPr="00452B5C">
        <w:rPr>
          <w:rFonts w:ascii="Times New Roman" w:hAnsi="Times New Roman" w:cs="Times New Roman"/>
          <w:sz w:val="24"/>
          <w:szCs w:val="24"/>
          <w:lang w:val="en-US"/>
        </w:rPr>
        <w:t>ru</w:t>
      </w:r>
      <w:proofErr w:type="spellEnd"/>
      <w:r w:rsidRPr="00452B5C">
        <w:rPr>
          <w:rFonts w:ascii="Times New Roman" w:hAnsi="Times New Roman" w:cs="Times New Roman"/>
          <w:sz w:val="24"/>
          <w:szCs w:val="24"/>
        </w:rPr>
        <w:t>; тел.: +79149738040</w:t>
      </w:r>
    </w:p>
    <w:p w:rsidR="00E5485E" w:rsidRPr="00452B5C" w:rsidRDefault="00E5485E" w:rsidP="00E5485E">
      <w:pPr>
        <w:jc w:val="center"/>
        <w:rPr>
          <w:rFonts w:ascii="Times New Roman" w:hAnsi="Times New Roman" w:cs="Times New Roman"/>
          <w:sz w:val="24"/>
          <w:szCs w:val="24"/>
        </w:rPr>
      </w:pPr>
      <w:r w:rsidRPr="00452B5C">
        <w:rPr>
          <w:rFonts w:ascii="Times New Roman" w:hAnsi="Times New Roman" w:cs="Times New Roman"/>
          <w:sz w:val="24"/>
          <w:szCs w:val="24"/>
        </w:rPr>
        <w:t>ул. Гоголя, 41, г. Владивосток, Приморский край, Россия, 690014</w:t>
      </w:r>
    </w:p>
    <w:p w:rsidR="00E5485E" w:rsidRPr="00163E4B" w:rsidRDefault="00E5485E" w:rsidP="00E5485E">
      <w:pPr>
        <w:shd w:val="clear" w:color="auto" w:fill="FFFFFF" w:themeFill="background1"/>
        <w:spacing w:after="0" w:line="240" w:lineRule="auto"/>
        <w:ind w:firstLine="709"/>
        <w:jc w:val="both"/>
        <w:outlineLvl w:val="0"/>
        <w:rPr>
          <w:rFonts w:ascii="Times New Roman" w:hAnsi="Times New Roman" w:cs="Times New Roman"/>
          <w:i/>
          <w:iCs/>
          <w:sz w:val="24"/>
          <w:szCs w:val="24"/>
          <w:lang w:eastAsia="ru-RU"/>
        </w:rPr>
      </w:pPr>
      <w:r w:rsidRPr="630840AF">
        <w:rPr>
          <w:rFonts w:ascii="Times New Roman" w:hAnsi="Times New Roman" w:cs="Times New Roman"/>
          <w:i/>
          <w:iCs/>
          <w:kern w:val="36"/>
          <w:sz w:val="24"/>
          <w:szCs w:val="24"/>
          <w:lang w:eastAsia="ru-RU"/>
        </w:rPr>
        <w:t xml:space="preserve">Изменения в законодательстве Российской Федерации для бухгалтера бюджетной организации являются актуальной проблемой и напрямую связаны с изменениями в отчетности предприятия на 2018 год. Анализ и обзор изменений, которые описаны в данной статье, поможет любой организации (предприятию) правильно и своевременно подготовить бухгалтерскую отчётность к сдаче в налоговые органы, понять какие появились нюансы по новым изменениям, чтобы в будущем избежать штрафов (пеней). </w:t>
      </w:r>
    </w:p>
    <w:p w:rsidR="00E5485E" w:rsidRPr="00452B5C" w:rsidRDefault="00E5485E" w:rsidP="00E5485E">
      <w:pPr>
        <w:shd w:val="clear" w:color="auto" w:fill="FFFFFF" w:themeFill="background1"/>
        <w:spacing w:after="0" w:line="240" w:lineRule="auto"/>
        <w:ind w:firstLine="709"/>
        <w:jc w:val="both"/>
        <w:outlineLvl w:val="0"/>
        <w:rPr>
          <w:rFonts w:ascii="Times New Roman" w:hAnsi="Times New Roman" w:cs="Times New Roman"/>
          <w:i/>
          <w:iCs/>
          <w:sz w:val="24"/>
          <w:szCs w:val="24"/>
        </w:rPr>
      </w:pPr>
      <w:r w:rsidRPr="630840AF">
        <w:rPr>
          <w:rFonts w:ascii="Times New Roman" w:hAnsi="Times New Roman" w:cs="Times New Roman"/>
          <w:b/>
          <w:bCs/>
          <w:i/>
          <w:iCs/>
          <w:sz w:val="24"/>
          <w:szCs w:val="24"/>
        </w:rPr>
        <w:t xml:space="preserve">Ключевые слова и словосочетания: </w:t>
      </w:r>
      <w:r w:rsidRPr="630840AF">
        <w:rPr>
          <w:rFonts w:ascii="Times New Roman" w:hAnsi="Times New Roman" w:cs="Times New Roman"/>
          <w:i/>
          <w:iCs/>
          <w:sz w:val="24"/>
          <w:szCs w:val="24"/>
        </w:rPr>
        <w:t>основные средства, аренда, обесценивание активов, отчетность государственного сектора, ущерб, активы культурного наследия.</w:t>
      </w:r>
    </w:p>
    <w:p w:rsidR="00E5485E" w:rsidRPr="00452B5C" w:rsidRDefault="00E5485E" w:rsidP="00E5485E">
      <w:pPr>
        <w:shd w:val="clear" w:color="auto" w:fill="FFFFFF"/>
        <w:spacing w:after="0" w:line="240" w:lineRule="auto"/>
        <w:ind w:firstLine="709"/>
        <w:jc w:val="both"/>
        <w:outlineLvl w:val="0"/>
        <w:rPr>
          <w:rFonts w:ascii="Times New Roman" w:hAnsi="Times New Roman" w:cs="Times New Roman"/>
          <w:i/>
          <w:sz w:val="24"/>
          <w:szCs w:val="24"/>
        </w:rPr>
      </w:pPr>
    </w:p>
    <w:p w:rsidR="00E5485E" w:rsidRPr="00452B5C" w:rsidRDefault="00E5485E" w:rsidP="00E5485E">
      <w:pPr>
        <w:jc w:val="center"/>
        <w:rPr>
          <w:rFonts w:ascii="Times New Roman" w:hAnsi="Times New Roman" w:cs="Times New Roman"/>
          <w:b/>
          <w:sz w:val="24"/>
          <w:szCs w:val="24"/>
          <w:lang w:val="en-US"/>
        </w:rPr>
      </w:pPr>
      <w:r w:rsidRPr="00452B5C">
        <w:rPr>
          <w:rFonts w:ascii="Times New Roman" w:hAnsi="Times New Roman" w:cs="Times New Roman"/>
          <w:b/>
          <w:sz w:val="24"/>
          <w:szCs w:val="24"/>
          <w:lang w:val="en-US"/>
        </w:rPr>
        <w:t>NEW ACCOUNTING AND REPORTING STANDARDS FOR BUDGET ORGANIZATIONS</w:t>
      </w:r>
    </w:p>
    <w:p w:rsidR="00E5485E" w:rsidRPr="00163E4B" w:rsidRDefault="00E5485E" w:rsidP="00E5485E">
      <w:pPr>
        <w:spacing w:after="0" w:line="240" w:lineRule="auto"/>
        <w:ind w:firstLine="709"/>
        <w:jc w:val="both"/>
        <w:rPr>
          <w:rFonts w:ascii="Times New Roman" w:hAnsi="Times New Roman" w:cs="Times New Roman"/>
          <w:i/>
          <w:sz w:val="24"/>
          <w:szCs w:val="24"/>
          <w:lang w:val="en-US"/>
        </w:rPr>
      </w:pPr>
      <w:r w:rsidRPr="00452B5C">
        <w:rPr>
          <w:rFonts w:ascii="Times New Roman" w:hAnsi="Times New Roman" w:cs="Times New Roman"/>
          <w:i/>
          <w:sz w:val="24"/>
          <w:szCs w:val="24"/>
          <w:lang w:val="en-US"/>
        </w:rPr>
        <w:t xml:space="preserve">Changes in the legislation of the Russian Federation for the accountant of the budget organization are an actual problem and directly related to changes in the reporting of the enterprise for 2018 year. Analysis and review of the changes that </w:t>
      </w:r>
      <w:proofErr w:type="gramStart"/>
      <w:r w:rsidRPr="00452B5C">
        <w:rPr>
          <w:rFonts w:ascii="Times New Roman" w:hAnsi="Times New Roman" w:cs="Times New Roman"/>
          <w:i/>
          <w:sz w:val="24"/>
          <w:szCs w:val="24"/>
          <w:lang w:val="en-US"/>
        </w:rPr>
        <w:t>are described</w:t>
      </w:r>
      <w:proofErr w:type="gramEnd"/>
      <w:r w:rsidRPr="00452B5C">
        <w:rPr>
          <w:rFonts w:ascii="Times New Roman" w:hAnsi="Times New Roman" w:cs="Times New Roman"/>
          <w:i/>
          <w:sz w:val="24"/>
          <w:szCs w:val="24"/>
          <w:lang w:val="en-US"/>
        </w:rPr>
        <w:t xml:space="preserve"> in this article will help any organization (enterprise) to properly and timely prepare financial statements for submission to the tax authorities, to understand what the nuances of the new changes have appeared in order to avoid fi</w:t>
      </w:r>
      <w:r>
        <w:rPr>
          <w:rFonts w:ascii="Times New Roman" w:hAnsi="Times New Roman" w:cs="Times New Roman"/>
          <w:i/>
          <w:sz w:val="24"/>
          <w:szCs w:val="24"/>
          <w:lang w:val="en-US"/>
        </w:rPr>
        <w:t xml:space="preserve">nes (penalties) in the future. </w:t>
      </w:r>
    </w:p>
    <w:p w:rsidR="00E5485E" w:rsidRPr="00452B5C" w:rsidRDefault="00E5485E" w:rsidP="00E5485E">
      <w:pPr>
        <w:spacing w:after="0" w:line="240" w:lineRule="auto"/>
        <w:ind w:firstLine="709"/>
        <w:jc w:val="both"/>
        <w:rPr>
          <w:rFonts w:ascii="Times New Roman" w:hAnsi="Times New Roman" w:cs="Times New Roman"/>
          <w:i/>
          <w:sz w:val="24"/>
          <w:szCs w:val="24"/>
          <w:lang w:val="en-US"/>
        </w:rPr>
      </w:pPr>
      <w:r w:rsidRPr="00452B5C">
        <w:rPr>
          <w:rFonts w:ascii="Times New Roman" w:hAnsi="Times New Roman" w:cs="Times New Roman"/>
          <w:b/>
          <w:i/>
          <w:sz w:val="24"/>
          <w:szCs w:val="24"/>
          <w:lang w:val="en-US"/>
        </w:rPr>
        <w:t>Keywords:</w:t>
      </w:r>
      <w:r w:rsidRPr="00452B5C">
        <w:rPr>
          <w:rFonts w:ascii="Times New Roman" w:hAnsi="Times New Roman" w:cs="Times New Roman"/>
          <w:i/>
          <w:sz w:val="24"/>
          <w:szCs w:val="24"/>
          <w:lang w:val="en-US"/>
        </w:rPr>
        <w:t xml:space="preserve"> fixed assets, lease, depreciation of assets, public sector reporting, damage, assets of cultural heritage.</w:t>
      </w:r>
    </w:p>
    <w:p w:rsidR="00E5485E" w:rsidRPr="00452B5C" w:rsidRDefault="00E5485E" w:rsidP="00E5485E">
      <w:pPr>
        <w:shd w:val="clear" w:color="auto" w:fill="FFFFFF"/>
        <w:spacing w:after="0" w:line="240" w:lineRule="auto"/>
        <w:ind w:firstLine="709"/>
        <w:jc w:val="both"/>
        <w:outlineLvl w:val="0"/>
        <w:rPr>
          <w:rFonts w:ascii="Times New Roman" w:hAnsi="Times New Roman" w:cs="Times New Roman"/>
          <w:bCs/>
          <w:kern w:val="36"/>
          <w:sz w:val="24"/>
          <w:szCs w:val="24"/>
          <w:lang w:val="en-US" w:eastAsia="ru-RU"/>
        </w:rPr>
      </w:pPr>
    </w:p>
    <w:p w:rsidR="00E5485E" w:rsidRPr="00452B5C" w:rsidRDefault="00E5485E" w:rsidP="00E5485E">
      <w:pPr>
        <w:shd w:val="clear" w:color="auto" w:fill="FFFFFF" w:themeFill="background1"/>
        <w:spacing w:after="0" w:line="240" w:lineRule="auto"/>
        <w:ind w:firstLine="709"/>
        <w:jc w:val="both"/>
        <w:outlineLvl w:val="0"/>
        <w:rPr>
          <w:rFonts w:ascii="Times New Roman" w:hAnsi="Times New Roman" w:cs="Times New Roman"/>
          <w:sz w:val="24"/>
          <w:szCs w:val="24"/>
          <w:lang w:eastAsia="ru-RU"/>
        </w:rPr>
      </w:pPr>
      <w:r w:rsidRPr="630840AF">
        <w:rPr>
          <w:rFonts w:ascii="Times New Roman" w:hAnsi="Times New Roman" w:cs="Times New Roman"/>
          <w:kern w:val="36"/>
          <w:sz w:val="24"/>
          <w:szCs w:val="24"/>
          <w:lang w:eastAsia="ru-RU"/>
        </w:rPr>
        <w:t xml:space="preserve">Актуальность выбранной темы обуславливается тем, что любая бюджетная организация (предприятие) ежегодно составляет отчётность. Поскольку в 2018 году произошли изменения по данному вопросу, то данная тема стала актуальна для всех бюджетных организаций. В рамках проведенного исследования будут затронуты вопросы, касающиеся изменений в законодательстве Российской Федерации для бюджетных организаций. </w:t>
      </w:r>
    </w:p>
    <w:p w:rsidR="00E5485E" w:rsidRPr="00452B5C" w:rsidRDefault="00E5485E" w:rsidP="00E5485E">
      <w:pPr>
        <w:shd w:val="clear" w:color="auto" w:fill="FFFFFF" w:themeFill="background1"/>
        <w:spacing w:after="0" w:line="240" w:lineRule="auto"/>
        <w:ind w:firstLine="709"/>
        <w:jc w:val="both"/>
        <w:outlineLvl w:val="0"/>
        <w:rPr>
          <w:rFonts w:ascii="Times New Roman" w:hAnsi="Times New Roman" w:cs="Times New Roman"/>
          <w:sz w:val="24"/>
          <w:szCs w:val="24"/>
          <w:lang w:eastAsia="ru-RU"/>
        </w:rPr>
      </w:pPr>
      <w:r w:rsidRPr="630840AF">
        <w:rPr>
          <w:rFonts w:ascii="Times New Roman" w:hAnsi="Times New Roman" w:cs="Times New Roman"/>
          <w:kern w:val="36"/>
          <w:sz w:val="24"/>
          <w:szCs w:val="24"/>
          <w:lang w:eastAsia="ru-RU"/>
        </w:rPr>
        <w:t xml:space="preserve">Целью данного исследования является изучение основных изменений в законодательстве для бюджетных организаций в 2018 году для последующего правильного заполнения отчётности. </w:t>
      </w:r>
    </w:p>
    <w:p w:rsidR="00E5485E" w:rsidRPr="00452B5C" w:rsidRDefault="00E5485E" w:rsidP="00E5485E">
      <w:pPr>
        <w:shd w:val="clear" w:color="auto" w:fill="FFFFFF" w:themeFill="background1"/>
        <w:spacing w:after="0" w:line="240" w:lineRule="auto"/>
        <w:ind w:firstLine="709"/>
        <w:jc w:val="both"/>
        <w:outlineLvl w:val="0"/>
        <w:rPr>
          <w:rFonts w:ascii="Times New Roman" w:hAnsi="Times New Roman" w:cs="Times New Roman"/>
          <w:sz w:val="24"/>
          <w:szCs w:val="24"/>
          <w:lang w:eastAsia="ru-RU"/>
        </w:rPr>
      </w:pPr>
      <w:r w:rsidRPr="630840AF">
        <w:rPr>
          <w:rFonts w:ascii="Times New Roman" w:hAnsi="Times New Roman" w:cs="Times New Roman"/>
          <w:kern w:val="36"/>
          <w:sz w:val="24"/>
          <w:szCs w:val="24"/>
          <w:lang w:eastAsia="ru-RU"/>
        </w:rPr>
        <w:t>В соответствии с поставленной целью определены следующие задачи:</w:t>
      </w:r>
    </w:p>
    <w:p w:rsidR="00E5485E" w:rsidRPr="00452B5C" w:rsidRDefault="00E5485E" w:rsidP="00E5485E">
      <w:pPr>
        <w:shd w:val="clear" w:color="auto" w:fill="FFFFFF" w:themeFill="background1"/>
        <w:spacing w:after="0" w:line="240" w:lineRule="auto"/>
        <w:ind w:firstLine="709"/>
        <w:jc w:val="both"/>
        <w:outlineLvl w:val="0"/>
        <w:rPr>
          <w:rFonts w:ascii="Times New Roman" w:hAnsi="Times New Roman" w:cs="Times New Roman"/>
          <w:sz w:val="24"/>
          <w:szCs w:val="24"/>
          <w:lang w:eastAsia="ru-RU"/>
        </w:rPr>
      </w:pPr>
      <w:r w:rsidRPr="630840AF">
        <w:rPr>
          <w:rFonts w:ascii="Times New Roman" w:hAnsi="Times New Roman" w:cs="Times New Roman"/>
          <w:kern w:val="36"/>
          <w:sz w:val="24"/>
          <w:szCs w:val="24"/>
          <w:lang w:eastAsia="ru-RU"/>
        </w:rPr>
        <w:t>1) Рассмотрение новых федеральных стандартов в области государственного сектора.</w:t>
      </w:r>
    </w:p>
    <w:p w:rsidR="00E5485E" w:rsidRPr="00452B5C" w:rsidRDefault="00E5485E" w:rsidP="00E5485E">
      <w:pPr>
        <w:shd w:val="clear" w:color="auto" w:fill="FFFFFF" w:themeFill="background1"/>
        <w:spacing w:after="0" w:line="240" w:lineRule="auto"/>
        <w:ind w:firstLine="709"/>
        <w:jc w:val="both"/>
        <w:outlineLvl w:val="0"/>
        <w:rPr>
          <w:rFonts w:ascii="Times New Roman" w:hAnsi="Times New Roman" w:cs="Times New Roman"/>
          <w:sz w:val="24"/>
          <w:szCs w:val="24"/>
          <w:lang w:eastAsia="ru-RU"/>
        </w:rPr>
      </w:pPr>
      <w:r w:rsidRPr="630840AF">
        <w:rPr>
          <w:rFonts w:ascii="Times New Roman" w:hAnsi="Times New Roman" w:cs="Times New Roman"/>
          <w:kern w:val="36"/>
          <w:sz w:val="24"/>
          <w:szCs w:val="24"/>
          <w:lang w:eastAsia="ru-RU"/>
        </w:rPr>
        <w:t>2) Анализ основных изменений, которые повлекут за собой новые стандарты в области бухгалтерского учета и отчетности для бюджетных организаций.</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lastRenderedPageBreak/>
        <w:t xml:space="preserve">Новая программа разработки федеральных стандартов бухгалтерского учета утверждена приказом Минфина России от 31.10.2017 № 170н. Она вступила в силу 11 декабря 2017 года. Согласно </w:t>
      </w:r>
      <w:proofErr w:type="gramStart"/>
      <w:r w:rsidRPr="00452B5C">
        <w:rPr>
          <w:rFonts w:ascii="Times New Roman" w:hAnsi="Times New Roman" w:cs="Times New Roman"/>
          <w:sz w:val="24"/>
          <w:szCs w:val="24"/>
        </w:rPr>
        <w:t>ей,  разработки</w:t>
      </w:r>
      <w:proofErr w:type="gramEnd"/>
      <w:r w:rsidRPr="00452B5C">
        <w:rPr>
          <w:rFonts w:ascii="Times New Roman" w:hAnsi="Times New Roman" w:cs="Times New Roman"/>
          <w:sz w:val="24"/>
          <w:szCs w:val="24"/>
        </w:rPr>
        <w:t xml:space="preserve"> федеральных стандартов бухгалтерского учета постепенно введут в действие в 2019-2020 гг. </w:t>
      </w:r>
      <w:proofErr w:type="gramStart"/>
      <w:r w:rsidRPr="00452B5C">
        <w:rPr>
          <w:rFonts w:ascii="Times New Roman" w:hAnsi="Times New Roman" w:cs="Times New Roman"/>
          <w:sz w:val="24"/>
          <w:szCs w:val="24"/>
        </w:rPr>
        <w:t>В частности</w:t>
      </w:r>
      <w:proofErr w:type="gramEnd"/>
      <w:r w:rsidRPr="00452B5C">
        <w:rPr>
          <w:rFonts w:ascii="Times New Roman" w:hAnsi="Times New Roman" w:cs="Times New Roman"/>
          <w:sz w:val="24"/>
          <w:szCs w:val="24"/>
        </w:rPr>
        <w:t>: Учетная политика, оценочные значения и ошибки, события после отчетной даты, резервы, раскрытие информации об условных обязательствах и условных активах, отчет о движении денежных средств и другие [1].</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С 1 января 2018 года начали действовать пять стандартов. Расскажем, как повлияют новые федеральные стандарты на изменения в бюджетном учете с 2018 года, и как ввести в действие федеральный стандарт по основным средствам.</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Минфин России в последний день прошлого года утвердил федеральные стандарты бухгалтерского учета для организаций государственного сектора, в частности это Приказы, которыми были утверждены федеральные стандарты бухгалтерского учета для организаций государственного сектора: №256н «Концептуальные основы бухгалтерского учета и отчетности организаций государственного сектора» (далее - Стандарт № 256н); №257н «Основные средства» (далее - Стандарт № 257н); № 258н «Аренда» (далее - Стандарт № 258н); № 259н «Обесценение активов" (далее - Стандарт № 259н); № 260н «Представление бухгалтерской (финансовой) отчетности» (далее - Стандарт № 260н). </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Утвержденные Стандарты вступают в силу и распространяются, в частности, на государственные (муниципальные) учреждения. Приступая к изучению утвержденных Стандартов, необходимо четко понимать то, какие организации объединяет госсектор, а также какое место в нем занимают государственные и муниципальные учреждения. </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Государственный сектор экономики -  это совокупность предприятий, организаций, учреждений, находящихся в государственной собственности и управляемых государственными органами или назначаемыми ими лицами. Госсектор включает в себя все экономические ресурсы, которыми владеет государство и все организации, с помощью которых осуществляется государственное регулирование экономики. </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Цель стандартов - установление единых требований к ведению бухгалтерского учета государственными (муниципальными) бюджетными и автономными учреждениями, бюджетного учета активов и обязательств РФ, ее субъектов и муниципальных образований. Согласно пункту 3.1 Приказа Минфина России № 157н утвержденная им Инструкция по применению Единого плана счетов (далее - Инструкция № 157н) также распространяется при наличии определенных условий на некоторые государственные корпорации, унитарные предприятия, органы исполнительной власти всех уровней и учреждений [2]. </w:t>
      </w:r>
    </w:p>
    <w:p w:rsidR="00E5485E" w:rsidRPr="00452B5C" w:rsidRDefault="00E5485E" w:rsidP="00E5485E">
      <w:pPr>
        <w:pStyle w:val="1"/>
      </w:pPr>
      <w:r w:rsidRPr="00452B5C">
        <w:t xml:space="preserve">Использование участниками государственного сектора средств бюджета потребовало установления единых правил к ведению учёта и отчётности в этой области, которые были сформулированы в новых стандартах. </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Style w:val="10"/>
          <w:rFonts w:eastAsiaTheme="minorHAnsi"/>
        </w:rPr>
        <w:t>Утвержденные Минфином России</w:t>
      </w:r>
      <w:r w:rsidRPr="00452B5C">
        <w:rPr>
          <w:rFonts w:ascii="Times New Roman" w:hAnsi="Times New Roman" w:cs="Times New Roman"/>
          <w:sz w:val="24"/>
          <w:szCs w:val="24"/>
        </w:rPr>
        <w:t xml:space="preserve"> федеральные стандарты, согласно п. 1 ст. 21 Федерального закона № 402-ФЗ «О бухгалтерском учете», являются одним из основных документов, регулирующих бухгалтерский учет [3]. </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В утвержденных Минфином России стандартах не содержится ни правил бухгалтерского учета, ни требований к конкретным формам отчетности, ни проводок и числовых или еще каких-либо примеров. Стандарты в основном содержат множество терминов и определений, с которыми всем бухгалтерам государственных и муниципальных учреждений обязательно нужно ознакомиться. </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Так, в Стандарте № 257н «Основные средства» применяется термин «недвижимость, занимаемая субъектом учета», требующий дополнительных разъяснений и уточнений [4]. В том же пункте этого Стандарта сказано, что такая недвижимость - это основные средства, являющиеся объектами недвижимого имущества, находящиеся во владении или пользовании субъекта учета, в том числе в рамках отношений по аренде, предусматривающей переход существенных операционных рисков и выгод к арендатору, предназначенные для использования при выполнении возложенных на субъект учета </w:t>
      </w:r>
      <w:r w:rsidRPr="00452B5C">
        <w:rPr>
          <w:rFonts w:ascii="Times New Roman" w:hAnsi="Times New Roman" w:cs="Times New Roman"/>
          <w:sz w:val="24"/>
          <w:szCs w:val="24"/>
        </w:rPr>
        <w:lastRenderedPageBreak/>
        <w:t>государственных (муниципальных) полномочий, осуществления деятельности по выполнению работ, оказанию услуг либо для управленческих нужд субъекта учета.</w:t>
      </w:r>
    </w:p>
    <w:p w:rsidR="00E5485E" w:rsidRPr="00452B5C" w:rsidRDefault="00E5485E" w:rsidP="00E5485E">
      <w:pPr>
        <w:pStyle w:val="1"/>
      </w:pPr>
      <w:r w:rsidRPr="00452B5C">
        <w:t>Используемые в стандартах словосочетания и фразы довольно сложны для восприятия. При этом используемые профессионалами в настоящее время определения гораздо короче и точнее отражают экономический смысл различных сторон хозяйственной деятельности. Так, с нового года вводится термин в стандарте № 257н - "активы культурного наследия": к таким активам относятся материальные ценности, возникшие в результате исторических событий и обладающие ценностью с точки зрения истории, археологии, архитектуры. </w:t>
      </w:r>
    </w:p>
    <w:p w:rsidR="00E5485E" w:rsidRPr="00452B5C" w:rsidRDefault="00E5485E" w:rsidP="00E5485E">
      <w:pPr>
        <w:pStyle w:val="1"/>
      </w:pPr>
      <w:r w:rsidRPr="00452B5C">
        <w:t>Примечательно, что в Стандарте № 257н не указан критерий, согласно которому некий актив может считаться культурным наследием и бухгалтеру самостоятельно будет затруднительно отнести тот или иной объект недвижимости к активам культурного наследия. Поэтому в рамках учетной политики в учреждении придется создавать специализированную комиссию либо приглашать соответствующих специалистов, чтобы они могли дать квалифицированное заключение. </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Отметим, что стандарты придали несколько иной смысл и </w:t>
      </w:r>
      <w:proofErr w:type="gramStart"/>
      <w:r w:rsidRPr="00452B5C">
        <w:rPr>
          <w:rFonts w:ascii="Times New Roman" w:hAnsi="Times New Roman" w:cs="Times New Roman"/>
          <w:sz w:val="24"/>
          <w:szCs w:val="24"/>
        </w:rPr>
        <w:t>давно привычным бухгалтерским словам</w:t>
      </w:r>
      <w:proofErr w:type="gramEnd"/>
      <w:r w:rsidRPr="00452B5C">
        <w:rPr>
          <w:rFonts w:ascii="Times New Roman" w:hAnsi="Times New Roman" w:cs="Times New Roman"/>
          <w:sz w:val="24"/>
          <w:szCs w:val="24"/>
        </w:rPr>
        <w:t xml:space="preserve"> и выражениям. Так, в пункте 16 Стандарта №256н указано, что ведение бухгалтерского учета объектов бухгалтерского учета осуществляется в денежном измерении (стоимостном выражении) с использованием </w:t>
      </w:r>
      <w:proofErr w:type="gramStart"/>
      <w:r w:rsidRPr="00452B5C">
        <w:rPr>
          <w:rFonts w:ascii="Times New Roman" w:hAnsi="Times New Roman" w:cs="Times New Roman"/>
          <w:sz w:val="24"/>
          <w:szCs w:val="24"/>
        </w:rPr>
        <w:t>методов:  начисления</w:t>
      </w:r>
      <w:proofErr w:type="gramEnd"/>
      <w:r w:rsidRPr="00452B5C">
        <w:rPr>
          <w:rFonts w:ascii="Times New Roman" w:hAnsi="Times New Roman" w:cs="Times New Roman"/>
          <w:sz w:val="24"/>
          <w:szCs w:val="24"/>
        </w:rPr>
        <w:t>;  принципа равномерности;  метода двойной записи [5]. </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В соответствии со Стандартом № 256н согласно </w:t>
      </w:r>
      <w:proofErr w:type="gramStart"/>
      <w:r w:rsidRPr="00452B5C">
        <w:rPr>
          <w:rFonts w:ascii="Times New Roman" w:hAnsi="Times New Roman" w:cs="Times New Roman"/>
          <w:sz w:val="24"/>
          <w:szCs w:val="24"/>
        </w:rPr>
        <w:t>методу начисления</w:t>
      </w:r>
      <w:proofErr w:type="gramEnd"/>
      <w:r w:rsidRPr="00452B5C">
        <w:rPr>
          <w:rFonts w:ascii="Times New Roman" w:hAnsi="Times New Roman" w:cs="Times New Roman"/>
          <w:sz w:val="24"/>
          <w:szCs w:val="24"/>
        </w:rPr>
        <w:t xml:space="preserve"> результаты операций признаются в бухгалтерском учете по факту их совершения независимо от того, когда получены или выплачены при расчетах, связанных с осуществлением указанных операций, денежные средства (или их эквиваленты), что практически слово в слово воспроизводит определение, данное этому методу в пункте 3 Инструкции № 157н. </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Согласно Стандарту № 256н принцип равномерности означает признание доходов и расходов и допущение временной определенности фактов хозяйственной жизни. В Инструкции № 157н нет каких-либо аналогов такому принципу. </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В пункте 3 Инструкции № 157н сказано, что при ведении бухгалтерского учета учреждениям, финансовым органам, органам, осуществляющим кассовое обслуживание, необходимо учитывать, что, в частности, бухгалтерский учет активов, обязательств, источников финансирования их деятельности, фактов хозяйственной жизни и финансовых результатов осуществляется методом двойной записи на счетах бухгалтерского учета, включенных в рабочий план счетов субъекта учета [2]. Таким образом, в данном случае бухгалтерам не придется переучиваться и привыкать к чему-то новому - основы бухгалтерского учета остаются незыблемыми. </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Стандарт № 260н «Представление бухгалтерской (финансовой) отчетности» хотя распространяется, в частности, и на ГМУ, однако согласно пункту 3 его положения не применяются: при составлении и представлении субъектами отчетности бухгалтерской отчетности специального назначения, составляемой для государственного статистического наблюдения; при составлении и представлении бухгалтерской отчетности общего назначения субъектами отчетности, осуществляющими бюджетные полномочия по ведению бюджетного учета и составлению, представлению бюджетной отчетности, за исключением казенных учреждений [6]. </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Отметим, что Стандарт № 260н в пункте 15 также предлагает свое понимание «допущения непрерывности». </w:t>
      </w:r>
      <w:r w:rsidRPr="00452B5C">
        <w:rPr>
          <w:rFonts w:ascii="Times New Roman" w:hAnsi="Times New Roman" w:cs="Times New Roman"/>
          <w:sz w:val="24"/>
          <w:szCs w:val="24"/>
          <w:lang w:val="en-US"/>
        </w:rPr>
        <w:t>C</w:t>
      </w:r>
      <w:proofErr w:type="spellStart"/>
      <w:r w:rsidRPr="00452B5C">
        <w:rPr>
          <w:rFonts w:ascii="Times New Roman" w:hAnsi="Times New Roman" w:cs="Times New Roman"/>
          <w:sz w:val="24"/>
          <w:szCs w:val="24"/>
        </w:rPr>
        <w:t>облюдение</w:t>
      </w:r>
      <w:proofErr w:type="spellEnd"/>
      <w:r w:rsidRPr="00452B5C">
        <w:rPr>
          <w:rFonts w:ascii="Times New Roman" w:hAnsi="Times New Roman" w:cs="Times New Roman"/>
          <w:sz w:val="24"/>
          <w:szCs w:val="24"/>
        </w:rPr>
        <w:t xml:space="preserve"> допущения непрерывности деятельности предполагает, что субъект отчетности в будущем будет продолжать функционировать, выполняя свои обязательства, за исключением случаев, когда у его учредителя имеется намерение или необходимость ликвидировать субъект учета или прекратить его деятельность в трехлетний период после даты утверждения бухгалтерской (финансовой) отчетности. </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lastRenderedPageBreak/>
        <w:t>Таким образом, обозримое будущее, которое упоминалось в Стандарте № 256н, ограничивается всего тремя годами в Стандарте № 260н. Но три года - немалый срок для настоящего времени. Вступает в силу Стандарт № 258н «Аренда», который существенно меняет подход и принципы отражения в учете организациями госсектора арендованного имущества, безвозмездно полученного в пользование имущества, а также имущества, сданного в аренду или безвозмездное пользование [7]. Изменится учет, как у арендаторов, так и у арендодателей. </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 xml:space="preserve">Соглашение об аренде - договор, в соответствии с которым субъектом учета осуществляются арендные отношения в течение срока, согласованного передающей имущество стороной (правообладателем, арендодателем) и принимающей стороной (пользователем, арендатором). В соответствии с п.4 Стандарта № 258н он не применяется при отражении в бухгалтерском учете объектов бухгалтерского учета, возникающих в рамках: договоров (соглашений) аренды, заключенных в целях разведки или использования полезных ископаемых, нефти, природного газа и аналогичных </w:t>
      </w:r>
      <w:proofErr w:type="spellStart"/>
      <w:r w:rsidRPr="00452B5C">
        <w:rPr>
          <w:rFonts w:ascii="Times New Roman" w:hAnsi="Times New Roman" w:cs="Times New Roman"/>
          <w:sz w:val="24"/>
          <w:szCs w:val="24"/>
        </w:rPr>
        <w:t>невозобновляемых</w:t>
      </w:r>
      <w:proofErr w:type="spellEnd"/>
      <w:r w:rsidRPr="00452B5C">
        <w:rPr>
          <w:rFonts w:ascii="Times New Roman" w:hAnsi="Times New Roman" w:cs="Times New Roman"/>
          <w:sz w:val="24"/>
          <w:szCs w:val="24"/>
        </w:rPr>
        <w:t xml:space="preserve"> </w:t>
      </w:r>
      <w:proofErr w:type="gramStart"/>
      <w:r w:rsidRPr="00452B5C">
        <w:rPr>
          <w:rFonts w:ascii="Times New Roman" w:hAnsi="Times New Roman" w:cs="Times New Roman"/>
          <w:sz w:val="24"/>
          <w:szCs w:val="24"/>
        </w:rPr>
        <w:t>ресурсов;  лицензионных</w:t>
      </w:r>
      <w:proofErr w:type="gramEnd"/>
      <w:r w:rsidRPr="00452B5C">
        <w:rPr>
          <w:rFonts w:ascii="Times New Roman" w:hAnsi="Times New Roman" w:cs="Times New Roman"/>
          <w:sz w:val="24"/>
          <w:szCs w:val="24"/>
        </w:rPr>
        <w:t xml:space="preserve"> соглашений, предмет нематериальных активов; соглашений об аренде биологических активов [7]. </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Также данный нормативный документ не относится к аренде государственного имущества, закрепленного на праве оперативного управления за субъектами учета с целью выполнения ими возложенных на них полномочий (функций) (п.7 Стандарта № 258н). </w:t>
      </w:r>
    </w:p>
    <w:p w:rsidR="00E5485E" w:rsidRPr="00452B5C" w:rsidRDefault="00E5485E" w:rsidP="00E5485E">
      <w:pPr>
        <w:spacing w:after="0" w:line="240" w:lineRule="auto"/>
        <w:ind w:firstLine="709"/>
        <w:jc w:val="both"/>
        <w:rPr>
          <w:rFonts w:ascii="Times New Roman" w:hAnsi="Times New Roman" w:cs="Times New Roman"/>
          <w:sz w:val="24"/>
          <w:szCs w:val="24"/>
        </w:rPr>
      </w:pPr>
      <w:r w:rsidRPr="00452B5C">
        <w:rPr>
          <w:rFonts w:ascii="Times New Roman" w:hAnsi="Times New Roman" w:cs="Times New Roman"/>
          <w:sz w:val="24"/>
          <w:szCs w:val="24"/>
        </w:rPr>
        <w:t>Остается надеяться, что Минфин России в течение этого года даст необходимые пояснения и уточнения о порядке применения федеральных стандартов. </w:t>
      </w:r>
    </w:p>
    <w:p w:rsidR="00E5485E" w:rsidRPr="00452B5C" w:rsidRDefault="00E5485E" w:rsidP="00E5485E">
      <w:pPr>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17780</wp:posOffset>
                </wp:positionH>
                <wp:positionV relativeFrom="paragraph">
                  <wp:posOffset>189229</wp:posOffset>
                </wp:positionV>
                <wp:extent cx="2512695" cy="0"/>
                <wp:effectExtent l="0" t="0" r="20955" b="19050"/>
                <wp:wrapNone/>
                <wp:docPr id="40" name="Прямая со стрелкой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26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9270D5B" id="_x0000_t32" coordsize="21600,21600" o:spt="32" o:oned="t" path="m,l21600,21600e" filled="f">
                <v:path arrowok="t" fillok="f" o:connecttype="none"/>
                <o:lock v:ext="edit" shapetype="t"/>
              </v:shapetype>
              <v:shape id="Прямая со стрелкой 40" o:spid="_x0000_s1026" type="#_x0000_t32" style="position:absolute;margin-left:1.4pt;margin-top:14.9pt;width:197.8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"/>
            </w:pict>
          </mc:Fallback>
        </mc:AlternateContent>
      </w:r>
    </w:p>
    <w:p w:rsidR="00E5485E" w:rsidRPr="00452B5C" w:rsidRDefault="00E5485E" w:rsidP="00E5485E">
      <w:pPr>
        <w:numPr>
          <w:ilvl w:val="0"/>
          <w:numId w:val="1"/>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 xml:space="preserve">Об утверждении программы разработки федеральных стандартов бухгалтерского учета для организаций государственного сектора от 31.10.2017 № 170н (в ред. приказов </w:t>
      </w:r>
      <w:proofErr w:type="spellStart"/>
      <w:r w:rsidRPr="00452B5C">
        <w:rPr>
          <w:rFonts w:ascii="Times New Roman" w:eastAsia="Times New Roman" w:hAnsi="Times New Roman" w:cs="Times New Roman"/>
          <w:sz w:val="24"/>
          <w:szCs w:val="24"/>
          <w:lang w:eastAsia="ru-RU"/>
        </w:rPr>
        <w:t>МинФин</w:t>
      </w:r>
      <w:proofErr w:type="spellEnd"/>
      <w:r w:rsidRPr="00452B5C">
        <w:rPr>
          <w:rFonts w:ascii="Times New Roman" w:eastAsia="Times New Roman" w:hAnsi="Times New Roman" w:cs="Times New Roman"/>
          <w:sz w:val="24"/>
          <w:szCs w:val="24"/>
          <w:lang w:eastAsia="ru-RU"/>
        </w:rPr>
        <w:t xml:space="preserve"> РФ от 29.11.2017 [Электронный ресурс] / СПС «Консультант плюс». Режим </w:t>
      </w:r>
      <w:proofErr w:type="gramStart"/>
      <w:r w:rsidRPr="00452B5C">
        <w:rPr>
          <w:rFonts w:ascii="Times New Roman" w:eastAsia="Times New Roman" w:hAnsi="Times New Roman" w:cs="Times New Roman"/>
          <w:sz w:val="24"/>
          <w:szCs w:val="24"/>
          <w:lang w:eastAsia="ru-RU"/>
        </w:rPr>
        <w:t>доступа:  http://www.consultant.ru/document/cons_doc_LAW_283858/</w:t>
      </w:r>
      <w:proofErr w:type="gramEnd"/>
    </w:p>
    <w:p w:rsidR="00E5485E" w:rsidRPr="00452B5C" w:rsidRDefault="00E5485E" w:rsidP="00E5485E">
      <w:pPr>
        <w:numPr>
          <w:ilvl w:val="0"/>
          <w:numId w:val="1"/>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 xml:space="preserve">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от 01.12.2010 №157 н (в ред. от 27.09.2017) Электронный ресурс] / СПС «Консультант плюс». Режим </w:t>
      </w:r>
      <w:proofErr w:type="gramStart"/>
      <w:r w:rsidRPr="00452B5C">
        <w:rPr>
          <w:rFonts w:ascii="Times New Roman" w:eastAsia="Times New Roman" w:hAnsi="Times New Roman" w:cs="Times New Roman"/>
          <w:sz w:val="24"/>
          <w:szCs w:val="24"/>
          <w:lang w:eastAsia="ru-RU"/>
        </w:rPr>
        <w:t>доступа:  http://www.consultant.ru/document/cons_doc_LAW_107750/</w:t>
      </w:r>
      <w:proofErr w:type="gramEnd"/>
    </w:p>
    <w:p w:rsidR="00E5485E" w:rsidRPr="00452B5C" w:rsidRDefault="00E5485E" w:rsidP="00E5485E">
      <w:pPr>
        <w:numPr>
          <w:ilvl w:val="0"/>
          <w:numId w:val="1"/>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О бухгалтерском учете: федеральный закон от 06.12.2011 № 402 – ФЗ (ред. от 31.12.2017) [Электронный ресурс] // СПС «Консультант плюс». Режим доступа: http://www.consultant.ru/document/cons_doc_LAW_122855/</w:t>
      </w:r>
    </w:p>
    <w:p w:rsidR="00E5485E" w:rsidRPr="00452B5C" w:rsidRDefault="00E5485E" w:rsidP="00E5485E">
      <w:pPr>
        <w:numPr>
          <w:ilvl w:val="0"/>
          <w:numId w:val="1"/>
        </w:numPr>
        <w:spacing w:after="0" w:line="240" w:lineRule="auto"/>
        <w:ind w:left="0" w:firstLine="397"/>
        <w:jc w:val="both"/>
        <w:rPr>
          <w:rFonts w:ascii="Times New Roman" w:eastAsia="Times New Roman" w:hAnsi="Times New Roman" w:cs="Times New Roman"/>
          <w:sz w:val="24"/>
          <w:szCs w:val="24"/>
          <w:lang w:val="en-US" w:eastAsia="ru-RU"/>
        </w:rPr>
      </w:pPr>
      <w:r w:rsidRPr="00452B5C">
        <w:rPr>
          <w:rFonts w:ascii="Times New Roman" w:eastAsia="Times New Roman" w:hAnsi="Times New Roman" w:cs="Times New Roman"/>
          <w:sz w:val="24"/>
          <w:szCs w:val="24"/>
          <w:lang w:eastAsia="ru-RU"/>
        </w:rPr>
        <w:t xml:space="preserve">Об утверждении федерального стандарта бухгалтерского учета для организаций государственного сектора «Основные средства»: приказ </w:t>
      </w:r>
      <w:proofErr w:type="spellStart"/>
      <w:r w:rsidRPr="00452B5C">
        <w:rPr>
          <w:rFonts w:ascii="Times New Roman" w:eastAsia="Times New Roman" w:hAnsi="Times New Roman" w:cs="Times New Roman"/>
          <w:sz w:val="24"/>
          <w:szCs w:val="24"/>
          <w:lang w:eastAsia="ru-RU"/>
        </w:rPr>
        <w:t>МинФина</w:t>
      </w:r>
      <w:proofErr w:type="spellEnd"/>
      <w:r w:rsidRPr="00452B5C">
        <w:rPr>
          <w:rFonts w:ascii="Times New Roman" w:eastAsia="Times New Roman" w:hAnsi="Times New Roman" w:cs="Times New Roman"/>
          <w:sz w:val="24"/>
          <w:szCs w:val="24"/>
          <w:lang w:eastAsia="ru-RU"/>
        </w:rPr>
        <w:t xml:space="preserve"> от 31.12.2016 №257н (ред. от 27.04.2017) [Электронный ресурс] // СПС «Консультант плюс». Режим</w:t>
      </w:r>
      <w:r w:rsidRPr="00452B5C">
        <w:rPr>
          <w:rFonts w:ascii="Times New Roman" w:eastAsia="Times New Roman" w:hAnsi="Times New Roman" w:cs="Times New Roman"/>
          <w:sz w:val="24"/>
          <w:szCs w:val="24"/>
          <w:lang w:val="en-US" w:eastAsia="ru-RU"/>
        </w:rPr>
        <w:t xml:space="preserve"> </w:t>
      </w:r>
      <w:r w:rsidRPr="00452B5C">
        <w:rPr>
          <w:rFonts w:ascii="Times New Roman" w:eastAsia="Times New Roman" w:hAnsi="Times New Roman" w:cs="Times New Roman"/>
          <w:sz w:val="24"/>
          <w:szCs w:val="24"/>
          <w:lang w:eastAsia="ru-RU"/>
        </w:rPr>
        <w:t>доступа</w:t>
      </w:r>
      <w:r w:rsidRPr="00452B5C">
        <w:rPr>
          <w:rFonts w:ascii="Times New Roman" w:eastAsia="Times New Roman" w:hAnsi="Times New Roman" w:cs="Times New Roman"/>
          <w:sz w:val="24"/>
          <w:szCs w:val="24"/>
          <w:lang w:val="en-US" w:eastAsia="ru-RU"/>
        </w:rPr>
        <w:t xml:space="preserve">: http://www.consultant. </w:t>
      </w:r>
      <w:proofErr w:type="spellStart"/>
      <w:r w:rsidRPr="00452B5C">
        <w:rPr>
          <w:rFonts w:ascii="Times New Roman" w:eastAsia="Times New Roman" w:hAnsi="Times New Roman" w:cs="Times New Roman"/>
          <w:sz w:val="24"/>
          <w:szCs w:val="24"/>
          <w:lang w:val="en-US" w:eastAsia="ru-RU"/>
        </w:rPr>
        <w:t>ru</w:t>
      </w:r>
      <w:proofErr w:type="spellEnd"/>
      <w:r w:rsidRPr="00452B5C">
        <w:rPr>
          <w:rFonts w:ascii="Times New Roman" w:eastAsia="Times New Roman" w:hAnsi="Times New Roman" w:cs="Times New Roman"/>
          <w:sz w:val="24"/>
          <w:szCs w:val="24"/>
          <w:lang w:val="en-US" w:eastAsia="ru-RU"/>
        </w:rPr>
        <w:t>/document/cons_doc_LAW_216119/</w:t>
      </w:r>
    </w:p>
    <w:p w:rsidR="00E5485E" w:rsidRPr="00452B5C" w:rsidRDefault="00E5485E" w:rsidP="00E5485E">
      <w:pPr>
        <w:numPr>
          <w:ilvl w:val="0"/>
          <w:numId w:val="1"/>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 xml:space="preserve">Об утверждении федерального стандарта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 приказ </w:t>
      </w:r>
      <w:proofErr w:type="spellStart"/>
      <w:r w:rsidRPr="00452B5C">
        <w:rPr>
          <w:rFonts w:ascii="Times New Roman" w:eastAsia="Times New Roman" w:hAnsi="Times New Roman" w:cs="Times New Roman"/>
          <w:sz w:val="24"/>
          <w:szCs w:val="24"/>
          <w:lang w:eastAsia="ru-RU"/>
        </w:rPr>
        <w:t>МинФина</w:t>
      </w:r>
      <w:proofErr w:type="spellEnd"/>
      <w:r w:rsidRPr="00452B5C">
        <w:rPr>
          <w:rFonts w:ascii="Times New Roman" w:eastAsia="Times New Roman" w:hAnsi="Times New Roman" w:cs="Times New Roman"/>
          <w:sz w:val="24"/>
          <w:szCs w:val="24"/>
          <w:lang w:eastAsia="ru-RU"/>
        </w:rPr>
        <w:t xml:space="preserve"> от 31.12.2016 №256н (ред. от 27.04.2017) [Электронный ресурс] // СПС «Консультант плюс». Режим доступа: http://www.consultant.ru/document/cons_doc_LAW_216121/</w:t>
      </w:r>
    </w:p>
    <w:p w:rsidR="00E5485E" w:rsidRPr="00452B5C" w:rsidRDefault="00E5485E" w:rsidP="00E5485E">
      <w:pPr>
        <w:numPr>
          <w:ilvl w:val="0"/>
          <w:numId w:val="1"/>
        </w:numPr>
        <w:spacing w:after="0" w:line="240" w:lineRule="auto"/>
        <w:ind w:left="0" w:firstLine="397"/>
        <w:jc w:val="both"/>
        <w:rPr>
          <w:rFonts w:ascii="Times New Roman" w:eastAsia="Times New Roman" w:hAnsi="Times New Roman" w:cs="Times New Roman"/>
          <w:sz w:val="24"/>
          <w:szCs w:val="24"/>
          <w:lang w:eastAsia="ru-RU"/>
        </w:rPr>
      </w:pPr>
      <w:r w:rsidRPr="00452B5C">
        <w:rPr>
          <w:rFonts w:ascii="Times New Roman" w:eastAsia="Times New Roman" w:hAnsi="Times New Roman" w:cs="Times New Roman"/>
          <w:sz w:val="24"/>
          <w:szCs w:val="24"/>
          <w:lang w:eastAsia="ru-RU"/>
        </w:rPr>
        <w:t xml:space="preserve">Об утверждении федерального стандарта бухгалтерского учета для организаций государственного сектора «Представление бухгалтерской (финансовой) отчетности» приказ </w:t>
      </w:r>
      <w:proofErr w:type="spellStart"/>
      <w:r w:rsidRPr="00452B5C">
        <w:rPr>
          <w:rFonts w:ascii="Times New Roman" w:eastAsia="Times New Roman" w:hAnsi="Times New Roman" w:cs="Times New Roman"/>
          <w:sz w:val="24"/>
          <w:szCs w:val="24"/>
          <w:lang w:eastAsia="ru-RU"/>
        </w:rPr>
        <w:t>МинФина</w:t>
      </w:r>
      <w:proofErr w:type="spellEnd"/>
      <w:r w:rsidRPr="00452B5C">
        <w:rPr>
          <w:rFonts w:ascii="Times New Roman" w:eastAsia="Times New Roman" w:hAnsi="Times New Roman" w:cs="Times New Roman"/>
          <w:sz w:val="24"/>
          <w:szCs w:val="24"/>
          <w:lang w:eastAsia="ru-RU"/>
        </w:rPr>
        <w:t xml:space="preserve"> от 31.12.2016 № 260н (ред. от 27.04.2017) [Электронный ресурс] // СПС «Консультант плюс». Режим доступа: http://www.consultant.ru/document/cons_doc_LAW_216118/</w:t>
      </w:r>
    </w:p>
    <w:p w:rsidR="00E5485E" w:rsidRPr="00452B5C" w:rsidRDefault="00E5485E" w:rsidP="00E5485E">
      <w:pPr>
        <w:numPr>
          <w:ilvl w:val="0"/>
          <w:numId w:val="1"/>
        </w:numPr>
        <w:spacing w:after="0" w:line="240" w:lineRule="auto"/>
        <w:ind w:left="0" w:firstLine="397"/>
        <w:jc w:val="both"/>
        <w:rPr>
          <w:rFonts w:ascii="Times New Roman" w:eastAsia="Times New Roman" w:hAnsi="Times New Roman" w:cs="Times New Roman"/>
          <w:sz w:val="24"/>
          <w:szCs w:val="24"/>
          <w:lang w:val="en-US" w:eastAsia="ru-RU"/>
        </w:rPr>
      </w:pPr>
      <w:r w:rsidRPr="00452B5C">
        <w:rPr>
          <w:rFonts w:ascii="Times New Roman" w:eastAsia="Times New Roman" w:hAnsi="Times New Roman" w:cs="Times New Roman"/>
          <w:sz w:val="24"/>
          <w:szCs w:val="24"/>
          <w:lang w:eastAsia="ru-RU"/>
        </w:rPr>
        <w:lastRenderedPageBreak/>
        <w:t xml:space="preserve">Об утверждении федерального стандарта бухгалтерского учета для организаций государственного сектора «Аренда»: приказ </w:t>
      </w:r>
      <w:proofErr w:type="spellStart"/>
      <w:r w:rsidRPr="00452B5C">
        <w:rPr>
          <w:rFonts w:ascii="Times New Roman" w:eastAsia="Times New Roman" w:hAnsi="Times New Roman" w:cs="Times New Roman"/>
          <w:sz w:val="24"/>
          <w:szCs w:val="24"/>
          <w:lang w:eastAsia="ru-RU"/>
        </w:rPr>
        <w:t>МинФина</w:t>
      </w:r>
      <w:proofErr w:type="spellEnd"/>
      <w:r w:rsidRPr="00452B5C">
        <w:rPr>
          <w:rFonts w:ascii="Times New Roman" w:eastAsia="Times New Roman" w:hAnsi="Times New Roman" w:cs="Times New Roman"/>
          <w:sz w:val="24"/>
          <w:szCs w:val="24"/>
          <w:lang w:eastAsia="ru-RU"/>
        </w:rPr>
        <w:t xml:space="preserve"> от 30.09.2016 №258н (ред. от 31.12.2016) [Электронный ресурс] // СПС «Консультант плюс». Режим</w:t>
      </w:r>
      <w:r w:rsidRPr="00452B5C">
        <w:rPr>
          <w:rFonts w:ascii="Times New Roman" w:eastAsia="Times New Roman" w:hAnsi="Times New Roman" w:cs="Times New Roman"/>
          <w:sz w:val="24"/>
          <w:szCs w:val="24"/>
          <w:lang w:val="en-US" w:eastAsia="ru-RU"/>
        </w:rPr>
        <w:t xml:space="preserve"> </w:t>
      </w:r>
      <w:r w:rsidRPr="00452B5C">
        <w:rPr>
          <w:rFonts w:ascii="Times New Roman" w:eastAsia="Times New Roman" w:hAnsi="Times New Roman" w:cs="Times New Roman"/>
          <w:sz w:val="24"/>
          <w:szCs w:val="24"/>
          <w:lang w:eastAsia="ru-RU"/>
        </w:rPr>
        <w:t>доступа</w:t>
      </w:r>
      <w:r w:rsidRPr="00452B5C">
        <w:rPr>
          <w:rFonts w:ascii="Times New Roman" w:eastAsia="Times New Roman" w:hAnsi="Times New Roman" w:cs="Times New Roman"/>
          <w:sz w:val="24"/>
          <w:szCs w:val="24"/>
          <w:lang w:val="en-US" w:eastAsia="ru-RU"/>
        </w:rPr>
        <w:t xml:space="preserve">: http://www. consultant.ru/cons/ </w:t>
      </w:r>
      <w:proofErr w:type="spellStart"/>
      <w:proofErr w:type="gramStart"/>
      <w:r w:rsidRPr="00452B5C">
        <w:rPr>
          <w:rFonts w:ascii="Times New Roman" w:eastAsia="Times New Roman" w:hAnsi="Times New Roman" w:cs="Times New Roman"/>
          <w:sz w:val="24"/>
          <w:szCs w:val="24"/>
          <w:lang w:val="en-US" w:eastAsia="ru-RU"/>
        </w:rPr>
        <w:t>cgi</w:t>
      </w:r>
      <w:proofErr w:type="spellEnd"/>
      <w:r w:rsidRPr="00452B5C">
        <w:rPr>
          <w:rFonts w:ascii="Times New Roman" w:eastAsia="Times New Roman" w:hAnsi="Times New Roman" w:cs="Times New Roman"/>
          <w:sz w:val="24"/>
          <w:szCs w:val="24"/>
          <w:lang w:val="en-US" w:eastAsia="ru-RU"/>
        </w:rPr>
        <w:t>/</w:t>
      </w:r>
      <w:proofErr w:type="spellStart"/>
      <w:r w:rsidRPr="00452B5C">
        <w:rPr>
          <w:rFonts w:ascii="Times New Roman" w:eastAsia="Times New Roman" w:hAnsi="Times New Roman" w:cs="Times New Roman"/>
          <w:sz w:val="24"/>
          <w:szCs w:val="24"/>
          <w:lang w:val="en-US" w:eastAsia="ru-RU"/>
        </w:rPr>
        <w:t>online.cgi?req</w:t>
      </w:r>
      <w:proofErr w:type="spellEnd"/>
      <w:proofErr w:type="gramEnd"/>
      <w:r w:rsidRPr="00452B5C">
        <w:rPr>
          <w:rFonts w:ascii="Times New Roman" w:eastAsia="Times New Roman" w:hAnsi="Times New Roman" w:cs="Times New Roman"/>
          <w:sz w:val="24"/>
          <w:szCs w:val="24"/>
          <w:lang w:val="en-US" w:eastAsia="ru-RU"/>
        </w:rPr>
        <w:t>=</w:t>
      </w:r>
      <w:proofErr w:type="spellStart"/>
      <w:r w:rsidRPr="00452B5C">
        <w:rPr>
          <w:rFonts w:ascii="Times New Roman" w:eastAsia="Times New Roman" w:hAnsi="Times New Roman" w:cs="Times New Roman"/>
          <w:sz w:val="24"/>
          <w:szCs w:val="24"/>
          <w:lang w:val="en-US" w:eastAsia="ru-RU"/>
        </w:rPr>
        <w:t>doc;base</w:t>
      </w:r>
      <w:proofErr w:type="spellEnd"/>
      <w:r w:rsidRPr="00452B5C">
        <w:rPr>
          <w:rFonts w:ascii="Times New Roman" w:eastAsia="Times New Roman" w:hAnsi="Times New Roman" w:cs="Times New Roman"/>
          <w:sz w:val="24"/>
          <w:szCs w:val="24"/>
          <w:lang w:val="en-US" w:eastAsia="ru-RU"/>
        </w:rPr>
        <w:t>=</w:t>
      </w:r>
      <w:proofErr w:type="spellStart"/>
      <w:r w:rsidRPr="00452B5C">
        <w:rPr>
          <w:rFonts w:ascii="Times New Roman" w:eastAsia="Times New Roman" w:hAnsi="Times New Roman" w:cs="Times New Roman"/>
          <w:sz w:val="24"/>
          <w:szCs w:val="24"/>
          <w:lang w:val="en-US" w:eastAsia="ru-RU"/>
        </w:rPr>
        <w:t>PNPA;n</w:t>
      </w:r>
      <w:proofErr w:type="spellEnd"/>
      <w:r w:rsidRPr="00452B5C">
        <w:rPr>
          <w:rFonts w:ascii="Times New Roman" w:eastAsia="Times New Roman" w:hAnsi="Times New Roman" w:cs="Times New Roman"/>
          <w:sz w:val="24"/>
          <w:szCs w:val="24"/>
          <w:lang w:val="en-US" w:eastAsia="ru-RU"/>
        </w:rPr>
        <w:t>=17514#07759876331290105</w:t>
      </w:r>
    </w:p>
    <w:p w:rsidR="00E5485E" w:rsidRPr="00173C65" w:rsidRDefault="00E5485E" w:rsidP="00E5485E">
      <w:pPr>
        <w:pStyle w:val="a3"/>
        <w:shd w:val="clear" w:color="auto" w:fill="FFFFFF"/>
        <w:spacing w:before="0" w:beforeAutospacing="0" w:after="0" w:afterAutospacing="0"/>
        <w:jc w:val="both"/>
        <w:rPr>
          <w:lang w:val="en-US"/>
        </w:rPr>
      </w:pPr>
    </w:p>
    <w:p w:rsidR="00E5485E" w:rsidRPr="00AD2A2E" w:rsidRDefault="00E5485E" w:rsidP="00E5485E">
      <w:pPr>
        <w:pStyle w:val="a3"/>
        <w:shd w:val="clear" w:color="auto" w:fill="FFFFFF"/>
        <w:spacing w:before="0" w:beforeAutospacing="0" w:after="0" w:afterAutospacing="0"/>
        <w:jc w:val="both"/>
        <w:rPr>
          <w:b/>
          <w:sz w:val="20"/>
          <w:lang w:val="en-US"/>
        </w:rPr>
      </w:pPr>
    </w:p>
    <w:p w:rsidR="00E5485E" w:rsidRPr="007E1000" w:rsidRDefault="00E5485E" w:rsidP="00E5485E">
      <w:pPr>
        <w:pStyle w:val="a3"/>
        <w:shd w:val="clear" w:color="auto" w:fill="FFFFFF"/>
        <w:spacing w:before="0" w:beforeAutospacing="0" w:after="0" w:afterAutospacing="0"/>
        <w:jc w:val="both"/>
        <w:rPr>
          <w:b/>
          <w:lang w:val="en-US"/>
        </w:rPr>
      </w:pPr>
    </w:p>
    <w:p w:rsidR="00E5485E" w:rsidRPr="007E1000" w:rsidRDefault="00E5485E" w:rsidP="00E5485E">
      <w:pPr>
        <w:pStyle w:val="a3"/>
        <w:shd w:val="clear" w:color="auto" w:fill="FFFFFF"/>
        <w:spacing w:before="0" w:beforeAutospacing="0" w:after="0" w:afterAutospacing="0"/>
        <w:jc w:val="both"/>
        <w:rPr>
          <w:b/>
          <w:lang w:val="en-US"/>
        </w:rPr>
      </w:pPr>
    </w:p>
    <w:p w:rsidR="00E5485E" w:rsidRPr="007E1000" w:rsidRDefault="00E5485E" w:rsidP="00E5485E">
      <w:pPr>
        <w:pStyle w:val="a3"/>
        <w:shd w:val="clear" w:color="auto" w:fill="FFFFFF"/>
        <w:spacing w:before="0" w:beforeAutospacing="0" w:after="0" w:afterAutospacing="0"/>
        <w:jc w:val="both"/>
        <w:rPr>
          <w:b/>
          <w:lang w:val="en-US"/>
        </w:rPr>
      </w:pPr>
    </w:p>
    <w:p w:rsidR="00C91506" w:rsidRPr="00E5485E" w:rsidRDefault="00C91506">
      <w:pPr>
        <w:rPr>
          <w:lang w:val="en-US"/>
        </w:rPr>
      </w:pPr>
      <w:bookmarkStart w:id="0" w:name="_GoBack"/>
      <w:bookmarkEnd w:id="0"/>
    </w:p>
    <w:sectPr w:rsidR="00C91506" w:rsidRPr="00E548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9154BB"/>
    <w:multiLevelType w:val="hybridMultilevel"/>
    <w:tmpl w:val="E1CE4AA2"/>
    <w:lvl w:ilvl="0" w:tplc="7A687B5E">
      <w:start w:val="1"/>
      <w:numFmt w:val="decimal"/>
      <w:lvlText w:val="%1."/>
      <w:lvlJc w:val="left"/>
      <w:pPr>
        <w:ind w:left="1395" w:hanging="360"/>
      </w:pPr>
      <w:rPr>
        <w:rFonts w:cs="Times New Roman" w:hint="default"/>
        <w:sz w:val="20"/>
        <w:szCs w:val="24"/>
      </w:rPr>
    </w:lvl>
    <w:lvl w:ilvl="1" w:tplc="04190019" w:tentative="1">
      <w:start w:val="1"/>
      <w:numFmt w:val="lowerLetter"/>
      <w:lvlText w:val="%2."/>
      <w:lvlJc w:val="left"/>
      <w:pPr>
        <w:ind w:left="2115" w:hanging="360"/>
      </w:pPr>
      <w:rPr>
        <w:rFonts w:cs="Times New Roman"/>
      </w:rPr>
    </w:lvl>
    <w:lvl w:ilvl="2" w:tplc="0419001B" w:tentative="1">
      <w:start w:val="1"/>
      <w:numFmt w:val="lowerRoman"/>
      <w:lvlText w:val="%3."/>
      <w:lvlJc w:val="right"/>
      <w:pPr>
        <w:ind w:left="2835" w:hanging="180"/>
      </w:pPr>
      <w:rPr>
        <w:rFonts w:cs="Times New Roman"/>
      </w:rPr>
    </w:lvl>
    <w:lvl w:ilvl="3" w:tplc="0419000F" w:tentative="1">
      <w:start w:val="1"/>
      <w:numFmt w:val="decimal"/>
      <w:lvlText w:val="%4."/>
      <w:lvlJc w:val="left"/>
      <w:pPr>
        <w:ind w:left="3555" w:hanging="360"/>
      </w:pPr>
      <w:rPr>
        <w:rFonts w:cs="Times New Roman"/>
      </w:rPr>
    </w:lvl>
    <w:lvl w:ilvl="4" w:tplc="04190019" w:tentative="1">
      <w:start w:val="1"/>
      <w:numFmt w:val="lowerLetter"/>
      <w:lvlText w:val="%5."/>
      <w:lvlJc w:val="left"/>
      <w:pPr>
        <w:ind w:left="4275" w:hanging="360"/>
      </w:pPr>
      <w:rPr>
        <w:rFonts w:cs="Times New Roman"/>
      </w:rPr>
    </w:lvl>
    <w:lvl w:ilvl="5" w:tplc="0419001B" w:tentative="1">
      <w:start w:val="1"/>
      <w:numFmt w:val="lowerRoman"/>
      <w:lvlText w:val="%6."/>
      <w:lvlJc w:val="right"/>
      <w:pPr>
        <w:ind w:left="4995" w:hanging="180"/>
      </w:pPr>
      <w:rPr>
        <w:rFonts w:cs="Times New Roman"/>
      </w:rPr>
    </w:lvl>
    <w:lvl w:ilvl="6" w:tplc="0419000F" w:tentative="1">
      <w:start w:val="1"/>
      <w:numFmt w:val="decimal"/>
      <w:lvlText w:val="%7."/>
      <w:lvlJc w:val="left"/>
      <w:pPr>
        <w:ind w:left="5715" w:hanging="360"/>
      </w:pPr>
      <w:rPr>
        <w:rFonts w:cs="Times New Roman"/>
      </w:rPr>
    </w:lvl>
    <w:lvl w:ilvl="7" w:tplc="04190019" w:tentative="1">
      <w:start w:val="1"/>
      <w:numFmt w:val="lowerLetter"/>
      <w:lvlText w:val="%8."/>
      <w:lvlJc w:val="left"/>
      <w:pPr>
        <w:ind w:left="6435" w:hanging="360"/>
      </w:pPr>
      <w:rPr>
        <w:rFonts w:cs="Times New Roman"/>
      </w:rPr>
    </w:lvl>
    <w:lvl w:ilvl="8" w:tplc="0419001B" w:tentative="1">
      <w:start w:val="1"/>
      <w:numFmt w:val="lowerRoman"/>
      <w:lvlText w:val="%9."/>
      <w:lvlJc w:val="right"/>
      <w:pPr>
        <w:ind w:left="7155"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C5E"/>
    <w:rsid w:val="000374DB"/>
    <w:rsid w:val="003E1141"/>
    <w:rsid w:val="00420C5E"/>
    <w:rsid w:val="005F3F96"/>
    <w:rsid w:val="00773186"/>
    <w:rsid w:val="00822F5B"/>
    <w:rsid w:val="00AB416A"/>
    <w:rsid w:val="00C91506"/>
    <w:rsid w:val="00E5485E"/>
    <w:rsid w:val="00F71B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Прямая со стрелкой 40"/>
      </o:rules>
    </o:shapelayout>
  </w:shapeDefaults>
  <w:decimalSymbol w:val=","/>
  <w:listSeparator w:val=";"/>
  <w15:chartTrackingRefBased/>
  <w15:docId w15:val="{37397D8C-79F2-4DEE-9316-D1DDE5FB2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485E"/>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 Знак,Обычный (веб) Знак Знак"/>
    <w:basedOn w:val="a"/>
    <w:link w:val="a4"/>
    <w:uiPriority w:val="99"/>
    <w:unhideWhenUsed/>
    <w:rsid w:val="00E5485E"/>
    <w:pPr>
      <w:spacing w:before="100" w:beforeAutospacing="1" w:after="100" w:afterAutospacing="1" w:line="240" w:lineRule="auto"/>
    </w:pPr>
    <w:rPr>
      <w:rFonts w:ascii="Times New Roman" w:hAnsi="Times New Roman" w:cs="Times New Roman"/>
      <w:sz w:val="24"/>
      <w:szCs w:val="24"/>
      <w:lang w:eastAsia="ru-RU"/>
    </w:rPr>
  </w:style>
  <w:style w:type="paragraph" w:customStyle="1" w:styleId="1">
    <w:name w:val="Стиль1"/>
    <w:basedOn w:val="a"/>
    <w:link w:val="10"/>
    <w:qFormat/>
    <w:rsid w:val="00E5485E"/>
    <w:pPr>
      <w:spacing w:after="0" w:line="240" w:lineRule="auto"/>
      <w:ind w:firstLine="709"/>
      <w:jc w:val="both"/>
    </w:pPr>
    <w:rPr>
      <w:rFonts w:ascii="Times New Roman" w:eastAsia="Times New Roman" w:hAnsi="Times New Roman" w:cs="Times New Roman"/>
      <w:sz w:val="24"/>
      <w:szCs w:val="24"/>
    </w:rPr>
  </w:style>
  <w:style w:type="character" w:customStyle="1" w:styleId="10">
    <w:name w:val="Стиль1 Знак"/>
    <w:basedOn w:val="a0"/>
    <w:link w:val="1"/>
    <w:locked/>
    <w:rsid w:val="00E5485E"/>
    <w:rPr>
      <w:rFonts w:ascii="Times New Roman" w:eastAsia="Times New Roman" w:hAnsi="Times New Roman" w:cs="Times New Roman"/>
      <w:sz w:val="24"/>
      <w:szCs w:val="24"/>
    </w:rPr>
  </w:style>
  <w:style w:type="character" w:customStyle="1" w:styleId="a4">
    <w:name w:val="Обычный (веб) Знак"/>
    <w:aliases w:val="Обычный (Web) Знак,Обычный (веб) Знак Знак Знак Знак,Обычный (веб) Знак Знак Знак1"/>
    <w:link w:val="a3"/>
    <w:uiPriority w:val="99"/>
    <w:rsid w:val="00E5485E"/>
    <w:rPr>
      <w:rFonts w:ascii="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2143</Words>
  <Characters>12216</Characters>
  <Application>Microsoft Office Word</Application>
  <DocSecurity>0</DocSecurity>
  <Lines>101</Lines>
  <Paragraphs>28</Paragraphs>
  <ScaleCrop>false</ScaleCrop>
  <Company>VVSU</Company>
  <LinksUpToDate>false</LinksUpToDate>
  <CharactersWithSpaces>14331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Малышева Виктория</dc:creator>
  <cp:keywords/>
  <dc:description/>
  <cp:lastModifiedBy>Малышева Виктория</cp:lastModifiedBy>
  <cp:revision>2</cp:revision>
  <dcterms:created xsi:type="dcterms:W3CDTF">2018-11-27T04:25:00Z</dcterms:created>
  <dcterms:modified xsi:type="dcterms:W3CDTF">2018-11-27T04:26:00Z</dcterms:modified>
</cp:coreProperties>
</file>