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E62BA6" w14:textId="77777777" w:rsidR="006730D6" w:rsidRDefault="00325EAC">
      <w:pPr>
        <w:pBdr>
          <w:top w:val="nil"/>
          <w:left w:val="nil"/>
          <w:bottom w:val="nil"/>
          <w:right w:val="nil"/>
          <w:between w:val="nil"/>
        </w:pBdr>
        <w:spacing w:line="240" w:lineRule="auto"/>
        <w:ind w:right="-732"/>
        <w:jc w:val="both"/>
        <w:rPr>
          <w:rFonts w:ascii="Times New Roman" w:eastAsia="Times New Roman" w:hAnsi="Times New Roman" w:cs="Times New Roman"/>
          <w:sz w:val="28"/>
          <w:szCs w:val="28"/>
          <w:highlight w:val="white"/>
        </w:rPr>
      </w:pPr>
      <w:bookmarkStart w:id="0" w:name="_GoBack"/>
      <w:bookmarkEnd w:id="0"/>
      <w:r>
        <w:rPr>
          <w:rFonts w:ascii="Times New Roman" w:eastAsia="Times New Roman" w:hAnsi="Times New Roman" w:cs="Times New Roman"/>
          <w:sz w:val="28"/>
          <w:szCs w:val="28"/>
          <w:highlight w:val="white"/>
        </w:rPr>
        <w:t>УДК 004.89</w:t>
      </w:r>
    </w:p>
    <w:p w14:paraId="3725401E" w14:textId="77777777" w:rsidR="006730D6" w:rsidRDefault="00325EAC">
      <w:pPr>
        <w:spacing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highlight w:val="white"/>
        </w:rPr>
        <w:t xml:space="preserve">В.В. Грибова, </w:t>
      </w:r>
      <w:r>
        <w:rPr>
          <w:rFonts w:ascii="Times New Roman" w:eastAsia="Times New Roman" w:hAnsi="Times New Roman" w:cs="Times New Roman"/>
          <w:sz w:val="28"/>
          <w:szCs w:val="28"/>
        </w:rPr>
        <w:t>д.т.н., заместитель директора по научной работе, заведующий лабораторией интеллектуальных систем, e-mail: gribova@iacp.dvo.ru,  Институт автоматики и процессов управления (ИАПУ) ДВО РАН</w:t>
      </w:r>
    </w:p>
    <w:p w14:paraId="2B199D4F" w14:textId="77777777" w:rsidR="006730D6" w:rsidRDefault="00325EAC">
      <w:pPr>
        <w:spacing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К.И. Шахгельдян</w:t>
      </w:r>
      <w:r>
        <w:rPr>
          <w:rFonts w:ascii="Times New Roman" w:eastAsia="Times New Roman" w:hAnsi="Times New Roman" w:cs="Times New Roman"/>
          <w:sz w:val="28"/>
          <w:szCs w:val="28"/>
        </w:rPr>
        <w:t>, д.т.н.,  директор института информационных технологий, e-mail: carinash@vvsu.ru, Владивостокский государственный университет экономики и сервиса (ВГУЭС)</w:t>
      </w:r>
    </w:p>
    <w:p w14:paraId="10B4B472" w14:textId="77777777" w:rsidR="006730D6" w:rsidRDefault="00325EAC">
      <w:pPr>
        <w:pBdr>
          <w:top w:val="nil"/>
          <w:left w:val="nil"/>
          <w:bottom w:val="nil"/>
          <w:right w:val="nil"/>
          <w:between w:val="nil"/>
        </w:pBdr>
        <w:spacing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Б.И. Гельцер</w:t>
      </w:r>
      <w:r>
        <w:rPr>
          <w:rFonts w:ascii="Times New Roman" w:eastAsia="Times New Roman" w:hAnsi="Times New Roman" w:cs="Times New Roman"/>
          <w:sz w:val="28"/>
          <w:szCs w:val="28"/>
        </w:rPr>
        <w:t>, д.м.н., директор департамента клинической медицины Школы биомедицины, e-mail: boris.gel</w:t>
      </w:r>
      <w:r>
        <w:rPr>
          <w:rFonts w:ascii="Times New Roman" w:eastAsia="Times New Roman" w:hAnsi="Times New Roman" w:cs="Times New Roman"/>
          <w:sz w:val="28"/>
          <w:szCs w:val="28"/>
        </w:rPr>
        <w:t xml:space="preserve">tser@vvsu.ru,  Дальневосточный федеральный университета (ДВФУ) </w:t>
      </w:r>
    </w:p>
    <w:p w14:paraId="7F7B3D98" w14:textId="77777777" w:rsidR="006730D6" w:rsidRDefault="00325EAC">
      <w:pPr>
        <w:pBdr>
          <w:top w:val="nil"/>
          <w:left w:val="nil"/>
          <w:bottom w:val="nil"/>
          <w:right w:val="nil"/>
          <w:between w:val="nil"/>
        </w:pBdr>
        <w:spacing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Ф.М. Москаленко</w:t>
      </w:r>
      <w:r>
        <w:rPr>
          <w:rFonts w:ascii="Times New Roman" w:eastAsia="Times New Roman" w:hAnsi="Times New Roman" w:cs="Times New Roman"/>
          <w:sz w:val="28"/>
          <w:szCs w:val="28"/>
        </w:rPr>
        <w:t>, к.т.н., с.н.с., e-mail: philipmm@iacp.dvo.ru, ИАПУ ДВО РАН</w:t>
      </w:r>
    </w:p>
    <w:p w14:paraId="35F6FBA9" w14:textId="77777777" w:rsidR="006730D6" w:rsidRDefault="00325EAC">
      <w:pPr>
        <w:pBdr>
          <w:top w:val="nil"/>
          <w:left w:val="nil"/>
          <w:bottom w:val="nil"/>
          <w:right w:val="nil"/>
          <w:between w:val="nil"/>
        </w:pBdr>
        <w:spacing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Д.В. Гмарь</w:t>
      </w:r>
      <w:r>
        <w:rPr>
          <w:rFonts w:ascii="Times New Roman" w:eastAsia="Times New Roman" w:hAnsi="Times New Roman" w:cs="Times New Roman"/>
          <w:sz w:val="28"/>
          <w:szCs w:val="28"/>
        </w:rPr>
        <w:t>, руководитель Центра информационно-технического обеспечения, e-mail: dmitriy.gmar@vvsu.ru,  ВГУЭС</w:t>
      </w:r>
    </w:p>
    <w:p w14:paraId="5F215D95" w14:textId="77777777" w:rsidR="006730D6" w:rsidRDefault="00325EAC">
      <w:pPr>
        <w:spacing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highlight w:val="white"/>
        </w:rPr>
        <w:t xml:space="preserve"> </w:t>
      </w:r>
    </w:p>
    <w:p w14:paraId="1E0FF925" w14:textId="77777777" w:rsidR="006730D6" w:rsidRDefault="00325EAC">
      <w:pPr>
        <w:pBdr>
          <w:top w:val="nil"/>
          <w:left w:val="nil"/>
          <w:bottom w:val="nil"/>
          <w:right w:val="nil"/>
          <w:between w:val="nil"/>
        </w:pBdr>
        <w:spacing w:line="240" w:lineRule="auto"/>
        <w:ind w:right="-732"/>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highlight w:val="white"/>
        </w:rPr>
        <w:t>Конце</w:t>
      </w:r>
      <w:r>
        <w:rPr>
          <w:rFonts w:ascii="Times New Roman" w:eastAsia="Times New Roman" w:hAnsi="Times New Roman" w:cs="Times New Roman"/>
          <w:b/>
          <w:sz w:val="28"/>
          <w:szCs w:val="28"/>
          <w:highlight w:val="white"/>
        </w:rPr>
        <w:t>пция гетерогенного хранилища биомедицинской</w:t>
      </w:r>
      <w:r>
        <w:rPr>
          <w:rFonts w:ascii="Times New Roman" w:eastAsia="Times New Roman" w:hAnsi="Times New Roman" w:cs="Times New Roman"/>
          <w:b/>
          <w:sz w:val="28"/>
          <w:szCs w:val="28"/>
        </w:rPr>
        <w:t xml:space="preserve"> информации</w:t>
      </w:r>
    </w:p>
    <w:p w14:paraId="65D5B603" w14:textId="77777777" w:rsidR="006730D6" w:rsidRDefault="00325EAC">
      <w:pPr>
        <w:spacing w:line="360" w:lineRule="auto"/>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highlight w:val="white"/>
        </w:rPr>
        <w:t xml:space="preserve">В работе предложена концепция хранилища биомедицинских данных и знаний. Архитектурной особенностью хранилища является интеграция первичных клинических и статистических данных, результатов их обработки </w:t>
      </w:r>
      <w:r>
        <w:rPr>
          <w:rFonts w:ascii="Times New Roman" w:eastAsia="Times New Roman" w:hAnsi="Times New Roman" w:cs="Times New Roman"/>
          <w:i/>
          <w:sz w:val="28"/>
          <w:szCs w:val="28"/>
          <w:highlight w:val="white"/>
        </w:rPr>
        <w:t xml:space="preserve">и анализа, объединение последних с известными медицинскими знаниями по диагностике и лечению заболеваний и использование их для развития персонализированных трендов в </w:t>
      </w:r>
      <w:r>
        <w:rPr>
          <w:rFonts w:ascii="Times New Roman" w:eastAsia="Times New Roman" w:hAnsi="Times New Roman" w:cs="Times New Roman"/>
          <w:i/>
          <w:sz w:val="28"/>
          <w:szCs w:val="28"/>
        </w:rPr>
        <w:t>клинической медицине. Гетерогенное хранилище имеет компонентную ра</w:t>
      </w:r>
      <w:r>
        <w:rPr>
          <w:rFonts w:ascii="Times New Roman" w:eastAsia="Times New Roman" w:hAnsi="Times New Roman" w:cs="Times New Roman"/>
          <w:i/>
          <w:sz w:val="28"/>
          <w:szCs w:val="28"/>
          <w:highlight w:val="white"/>
        </w:rPr>
        <w:t>спределенную архитектур</w:t>
      </w:r>
      <w:r>
        <w:rPr>
          <w:rFonts w:ascii="Times New Roman" w:eastAsia="Times New Roman" w:hAnsi="Times New Roman" w:cs="Times New Roman"/>
          <w:i/>
          <w:sz w:val="28"/>
          <w:szCs w:val="28"/>
        </w:rPr>
        <w:t xml:space="preserve">у и объединяет информационные (данные, онтологии и базы знаний) и программные (системные, специализированные и прикладные) компоненты. </w:t>
      </w:r>
    </w:p>
    <w:p w14:paraId="52B48C6C" w14:textId="77777777" w:rsidR="006730D6" w:rsidRDefault="00325EAC">
      <w:pPr>
        <w:spacing w:line="360" w:lineRule="auto"/>
        <w:jc w:val="both"/>
        <w:rPr>
          <w:rFonts w:ascii="Times New Roman" w:eastAsia="Times New Roman" w:hAnsi="Times New Roman" w:cs="Times New Roman"/>
          <w:i/>
          <w:sz w:val="28"/>
          <w:szCs w:val="28"/>
          <w:highlight w:val="white"/>
        </w:rPr>
      </w:pPr>
      <w:r>
        <w:rPr>
          <w:rFonts w:ascii="Times New Roman" w:eastAsia="Times New Roman" w:hAnsi="Times New Roman" w:cs="Times New Roman"/>
          <w:b/>
          <w:i/>
          <w:sz w:val="28"/>
          <w:szCs w:val="28"/>
        </w:rPr>
        <w:t>Ключевые слова</w:t>
      </w:r>
      <w:r>
        <w:rPr>
          <w:rFonts w:ascii="Times New Roman" w:eastAsia="Times New Roman" w:hAnsi="Times New Roman" w:cs="Times New Roman"/>
          <w:sz w:val="28"/>
          <w:szCs w:val="28"/>
        </w:rPr>
        <w:t>:</w:t>
      </w:r>
      <w:r>
        <w:rPr>
          <w:rFonts w:ascii="Times New Roman" w:eastAsia="Times New Roman" w:hAnsi="Times New Roman" w:cs="Times New Roman"/>
          <w:b/>
          <w:sz w:val="28"/>
          <w:szCs w:val="28"/>
        </w:rPr>
        <w:t xml:space="preserve"> </w:t>
      </w:r>
      <w:r>
        <w:rPr>
          <w:rFonts w:ascii="Times New Roman" w:eastAsia="Times New Roman" w:hAnsi="Times New Roman" w:cs="Times New Roman"/>
          <w:i/>
          <w:sz w:val="28"/>
          <w:szCs w:val="28"/>
        </w:rPr>
        <w:t xml:space="preserve">гетерогенное хранилище биомедицинской информации, </w:t>
      </w:r>
      <w:r>
        <w:rPr>
          <w:rFonts w:ascii="Times New Roman" w:eastAsia="Times New Roman" w:hAnsi="Times New Roman" w:cs="Times New Roman"/>
          <w:i/>
          <w:sz w:val="28"/>
          <w:szCs w:val="28"/>
          <w:highlight w:val="white"/>
        </w:rPr>
        <w:t>интеллектуальные информационные системы, методы анализа данных, онтологии, базы знаний</w:t>
      </w:r>
    </w:p>
    <w:p w14:paraId="737BE452" w14:textId="77777777" w:rsidR="006730D6" w:rsidRDefault="00325EAC">
      <w:pPr>
        <w:pBdr>
          <w:top w:val="nil"/>
          <w:left w:val="nil"/>
          <w:bottom w:val="nil"/>
          <w:right w:val="nil"/>
          <w:between w:val="nil"/>
        </w:pBdr>
        <w:spacing w:line="360" w:lineRule="auto"/>
        <w:jc w:val="center"/>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Введение</w:t>
      </w:r>
    </w:p>
    <w:p w14:paraId="72F31CDD" w14:textId="77777777" w:rsidR="006730D6" w:rsidRDefault="00325EAC">
      <w:pPr>
        <w:spacing w:line="360"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rPr>
        <w:tab/>
      </w:r>
      <w:r>
        <w:rPr>
          <w:rFonts w:ascii="Times New Roman" w:eastAsia="Times New Roman" w:hAnsi="Times New Roman" w:cs="Times New Roman"/>
          <w:sz w:val="28"/>
          <w:szCs w:val="28"/>
          <w:highlight w:val="white"/>
        </w:rPr>
        <w:t xml:space="preserve">В последние годы существенно увеличиваются объемы информации в различных сегментах системы здравоохранения и клинической медицины </w:t>
      </w:r>
      <w:r>
        <w:rPr>
          <w:rFonts w:ascii="Times New Roman" w:eastAsia="Times New Roman" w:hAnsi="Times New Roman" w:cs="Times New Roman"/>
          <w:sz w:val="28"/>
          <w:szCs w:val="28"/>
        </w:rPr>
        <w:t xml:space="preserve">в связи с накоплением данных </w:t>
      </w:r>
      <w:r>
        <w:rPr>
          <w:rFonts w:ascii="Times New Roman" w:eastAsia="Times New Roman" w:hAnsi="Times New Roman" w:cs="Times New Roman"/>
          <w:sz w:val="28"/>
          <w:szCs w:val="28"/>
        </w:rPr>
        <w:t>из электронных историй болезни, результатов лабораторных и инструментальных исследований, мобильных устройств  для мониторинга физиологических функций человека, экономических показателей деятельности медицинских организаций и др. [1]. Естественным следстви</w:t>
      </w:r>
      <w:r>
        <w:rPr>
          <w:rFonts w:ascii="Times New Roman" w:eastAsia="Times New Roman" w:hAnsi="Times New Roman" w:cs="Times New Roman"/>
          <w:sz w:val="28"/>
          <w:szCs w:val="28"/>
        </w:rPr>
        <w:t xml:space="preserve">ем этих </w:t>
      </w:r>
      <w:r>
        <w:rPr>
          <w:rFonts w:ascii="Times New Roman" w:eastAsia="Times New Roman" w:hAnsi="Times New Roman" w:cs="Times New Roman"/>
          <w:sz w:val="28"/>
          <w:szCs w:val="28"/>
        </w:rPr>
        <w:lastRenderedPageBreak/>
        <w:t>процессов является возможность дальнейшего использования этой информации в клинических и популяционных исследованиях, построении интеллектуальных систем поддержки принятия решений организаторов здравоохранения и клиницистов. Необходимость таких исс</w:t>
      </w:r>
      <w:r>
        <w:rPr>
          <w:rFonts w:ascii="Times New Roman" w:eastAsia="Times New Roman" w:hAnsi="Times New Roman" w:cs="Times New Roman"/>
          <w:sz w:val="28"/>
          <w:szCs w:val="28"/>
        </w:rPr>
        <w:t>ледований обусловлена развитием персонифицированной медицины, где роль интеллектуальных средств поддержки лечебно-диагностической деятельности многократно возрастает. Вместе с тем, существует ряд проблем, затрудняющих повторное использование биомедицинских</w:t>
      </w:r>
      <w:r>
        <w:rPr>
          <w:rFonts w:ascii="Times New Roman" w:eastAsia="Times New Roman" w:hAnsi="Times New Roman" w:cs="Times New Roman"/>
          <w:sz w:val="28"/>
          <w:szCs w:val="28"/>
        </w:rPr>
        <w:t xml:space="preserve"> данных с целью извлечения из них новых знаний и построения интеллектуальных систем для профилактики, диагностики и лечения заболеваний. Первая из них связана с хранением первичных данных в разрозненных источниках: медицинских и лабораторных информационных</w:t>
      </w:r>
      <w:r>
        <w:rPr>
          <w:rFonts w:ascii="Times New Roman" w:eastAsia="Times New Roman" w:hAnsi="Times New Roman" w:cs="Times New Roman"/>
          <w:sz w:val="28"/>
          <w:szCs w:val="28"/>
        </w:rPr>
        <w:t xml:space="preserve"> системах (МИС и ЛИС), медицинской статистической отчетности, отчетах Росстата, Роспотребнадзора и др. При этом отсутствуют единые стандарты хранения информации, а первичные данные часто представлены в таблицах Excel, в файлах формата doc или pdf в свободн</w:t>
      </w:r>
      <w:r>
        <w:rPr>
          <w:rFonts w:ascii="Times New Roman" w:eastAsia="Times New Roman" w:hAnsi="Times New Roman" w:cs="Times New Roman"/>
          <w:sz w:val="28"/>
          <w:szCs w:val="28"/>
        </w:rPr>
        <w:t xml:space="preserve">ой, часто меняющейся форме. Вторая проблема связана с тем, что вторичные данные, представленные в виде результатов обработки, также не имеют стандартов или общепринятых форм хранения. Третья проблема заключается в том, что биомедицинские данные часто </w:t>
      </w:r>
      <w:r>
        <w:rPr>
          <w:rFonts w:ascii="Times New Roman" w:eastAsia="Times New Roman" w:hAnsi="Times New Roman" w:cs="Times New Roman"/>
          <w:sz w:val="28"/>
          <w:szCs w:val="28"/>
          <w:highlight w:val="white"/>
        </w:rPr>
        <w:t>слабо</w:t>
      </w:r>
      <w:r>
        <w:rPr>
          <w:rFonts w:ascii="Times New Roman" w:eastAsia="Times New Roman" w:hAnsi="Times New Roman" w:cs="Times New Roman"/>
          <w:sz w:val="28"/>
          <w:szCs w:val="28"/>
          <w:highlight w:val="white"/>
        </w:rPr>
        <w:t xml:space="preserve"> формализованы и плохо структурированы. </w:t>
      </w:r>
      <w:r>
        <w:rPr>
          <w:rFonts w:ascii="Times New Roman" w:eastAsia="Times New Roman" w:hAnsi="Times New Roman" w:cs="Times New Roman"/>
          <w:sz w:val="28"/>
          <w:szCs w:val="28"/>
        </w:rPr>
        <w:t xml:space="preserve">Кроме того, полученные в результате анализа и обработки первичных данных новые медицинские знания не используются интеллектуальными информационными системами, обеспечивающими поддержку принятия врачебных решений. </w:t>
      </w:r>
      <w:r>
        <w:rPr>
          <w:rFonts w:ascii="Times New Roman" w:eastAsia="Times New Roman" w:hAnsi="Times New Roman" w:cs="Times New Roman"/>
          <w:sz w:val="28"/>
          <w:szCs w:val="28"/>
          <w:highlight w:val="white"/>
        </w:rPr>
        <w:t>Реш</w:t>
      </w:r>
      <w:r>
        <w:rPr>
          <w:rFonts w:ascii="Times New Roman" w:eastAsia="Times New Roman" w:hAnsi="Times New Roman" w:cs="Times New Roman"/>
          <w:sz w:val="28"/>
          <w:szCs w:val="28"/>
          <w:highlight w:val="white"/>
        </w:rPr>
        <w:t xml:space="preserve">ение указанных проблем возможно только на основе создания новой технологии, включающей </w:t>
      </w:r>
      <w:r>
        <w:rPr>
          <w:rFonts w:ascii="Times New Roman" w:eastAsia="Times New Roman" w:hAnsi="Times New Roman" w:cs="Times New Roman"/>
          <w:sz w:val="28"/>
          <w:szCs w:val="28"/>
        </w:rPr>
        <w:t>модели, методы и программные средства, обеспечивающей х</w:t>
      </w:r>
      <w:r>
        <w:rPr>
          <w:rFonts w:ascii="Times New Roman" w:eastAsia="Times New Roman" w:hAnsi="Times New Roman" w:cs="Times New Roman"/>
          <w:sz w:val="28"/>
          <w:szCs w:val="28"/>
          <w:highlight w:val="white"/>
        </w:rPr>
        <w:t>ранение и обработку гетерогенных первичных и вторичных биомедицинских данных. Использование такой технологии позво</w:t>
      </w:r>
      <w:r>
        <w:rPr>
          <w:rFonts w:ascii="Times New Roman" w:eastAsia="Times New Roman" w:hAnsi="Times New Roman" w:cs="Times New Roman"/>
          <w:sz w:val="28"/>
          <w:szCs w:val="28"/>
          <w:highlight w:val="white"/>
        </w:rPr>
        <w:t xml:space="preserve">лит, с одной стороны, проводить научные исследования и получать новые знания в области организации здравоохранения, профилактической и клинической медицины, а с другой - </w:t>
      </w:r>
      <w:r>
        <w:rPr>
          <w:rFonts w:ascii="Times New Roman" w:eastAsia="Times New Roman" w:hAnsi="Times New Roman" w:cs="Times New Roman"/>
          <w:sz w:val="28"/>
          <w:szCs w:val="28"/>
          <w:highlight w:val="white"/>
        </w:rPr>
        <w:lastRenderedPageBreak/>
        <w:t>разрабатывать интеллектуальные информационные системы, повышающие эффективность диагно</w:t>
      </w:r>
      <w:r>
        <w:rPr>
          <w:rFonts w:ascii="Times New Roman" w:eastAsia="Times New Roman" w:hAnsi="Times New Roman" w:cs="Times New Roman"/>
          <w:sz w:val="28"/>
          <w:szCs w:val="28"/>
          <w:highlight w:val="white"/>
        </w:rPr>
        <w:t xml:space="preserve">стики, лечения и прогнозирования исходов заболеваний. </w:t>
      </w:r>
    </w:p>
    <w:p w14:paraId="73A74CE2" w14:textId="77777777" w:rsidR="006730D6" w:rsidRDefault="00325EAC">
      <w:pPr>
        <w:spacing w:line="360"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ab/>
        <w:t xml:space="preserve">Целью исследования является разработка концепции гетерогенного хранилища (ГХ) биомедицинской информации. </w:t>
      </w:r>
    </w:p>
    <w:p w14:paraId="743D6B04" w14:textId="77777777" w:rsidR="006730D6" w:rsidRDefault="00325EAC">
      <w:pPr>
        <w:numPr>
          <w:ilvl w:val="0"/>
          <w:numId w:val="4"/>
        </w:numPr>
        <w:spacing w:line="360" w:lineRule="auto"/>
        <w:jc w:val="center"/>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 xml:space="preserve">Обзор существующих решений </w:t>
      </w:r>
    </w:p>
    <w:p w14:paraId="733F6E76" w14:textId="77777777" w:rsidR="006730D6" w:rsidRDefault="00325EAC">
      <w:pPr>
        <w:pBdr>
          <w:top w:val="nil"/>
          <w:left w:val="nil"/>
          <w:bottom w:val="nil"/>
          <w:right w:val="nil"/>
          <w:between w:val="nil"/>
        </w:pBdr>
        <w:spacing w:line="360" w:lineRule="auto"/>
        <w:ind w:firstLine="7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Создание хранилищ данных широко практикуется уже много лет в разли</w:t>
      </w:r>
      <w:r>
        <w:rPr>
          <w:rFonts w:ascii="Times New Roman" w:eastAsia="Times New Roman" w:hAnsi="Times New Roman" w:cs="Times New Roman"/>
          <w:sz w:val="28"/>
          <w:szCs w:val="28"/>
          <w:highlight w:val="white"/>
        </w:rPr>
        <w:t>чных областях знаний. Системы для хранения электронных медицинских записей стали активно развиваться только с начала 1990-х годов [2]. Для электронных историй болезни были предложены стандарты, например, такие как HL7, ГОСТ 52636-2006 [3, 4]. Вместе с тем,</w:t>
      </w:r>
      <w:r>
        <w:rPr>
          <w:rFonts w:ascii="Times New Roman" w:eastAsia="Times New Roman" w:hAnsi="Times New Roman" w:cs="Times New Roman"/>
          <w:sz w:val="28"/>
          <w:szCs w:val="28"/>
          <w:highlight w:val="white"/>
        </w:rPr>
        <w:t xml:space="preserve"> создание хранилищ для здравоохранения долгие годы представляло серьезную проблему ввиду сложности и гетерогенности медицинских, в том числе клинических данных [5]. Кроме того, возникла необходимость создания информационных систем, которые не ограничивалис</w:t>
      </w:r>
      <w:r>
        <w:rPr>
          <w:rFonts w:ascii="Times New Roman" w:eastAsia="Times New Roman" w:hAnsi="Times New Roman" w:cs="Times New Roman"/>
          <w:sz w:val="28"/>
          <w:szCs w:val="28"/>
          <w:highlight w:val="white"/>
        </w:rPr>
        <w:t>ь только ведением историй болезни и амбулаторных карт, но и обеспечивали поддержку принятия профессиональных врачебных решений, необходимых для эффективного лечения больных [2]. На необходимости интеграции, очистки и форматирования биомедицинских данных фи</w:t>
      </w:r>
      <w:r>
        <w:rPr>
          <w:rFonts w:ascii="Times New Roman" w:eastAsia="Times New Roman" w:hAnsi="Times New Roman" w:cs="Times New Roman"/>
          <w:sz w:val="28"/>
          <w:szCs w:val="28"/>
          <w:highlight w:val="white"/>
        </w:rPr>
        <w:t>ксировали внимание самые первые публикации по созданию гетерогенных хранилищ [6, 7]. Для интеграции клинических данных были разработаны несколько стандартов, относящихся не только к историям болезни, но и англоязычной медицинской терминологии: RxNorm, SNOM</w:t>
      </w:r>
      <w:r>
        <w:rPr>
          <w:rFonts w:ascii="Times New Roman" w:eastAsia="Times New Roman" w:hAnsi="Times New Roman" w:cs="Times New Roman"/>
          <w:sz w:val="28"/>
          <w:szCs w:val="28"/>
          <w:highlight w:val="white"/>
        </w:rPr>
        <w:t>ED-CT, ICD, LOINC, UMLS, DRG code [8, 9]. Понимание преимуществ совместного владения данными из различных организаций стало мотивом для создания федеральных информационных систем по отдельным заболеваниям [10, 11]. Некоторые базы клинических данных преобра</w:t>
      </w:r>
      <w:r>
        <w:rPr>
          <w:rFonts w:ascii="Times New Roman" w:eastAsia="Times New Roman" w:hAnsi="Times New Roman" w:cs="Times New Roman"/>
          <w:sz w:val="28"/>
          <w:szCs w:val="28"/>
          <w:highlight w:val="white"/>
        </w:rPr>
        <w:t xml:space="preserve">зовались в деперсонализированные хранилища доступные для исследовательских и образовательных целей [12]. </w:t>
      </w:r>
    </w:p>
    <w:p w14:paraId="637DA85D" w14:textId="77777777" w:rsidR="006730D6" w:rsidRDefault="00325EAC">
      <w:pPr>
        <w:pBdr>
          <w:top w:val="nil"/>
          <w:left w:val="nil"/>
          <w:bottom w:val="nil"/>
          <w:right w:val="nil"/>
          <w:between w:val="nil"/>
        </w:pBdr>
        <w:spacing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 xml:space="preserve">Начиная с конца 90-х годов появляются научные работы по применению методов Data mining с целью повышения эффективности управления </w:t>
      </w:r>
      <w:r>
        <w:rPr>
          <w:rFonts w:ascii="Times New Roman" w:eastAsia="Times New Roman" w:hAnsi="Times New Roman" w:cs="Times New Roman"/>
          <w:sz w:val="28"/>
          <w:szCs w:val="28"/>
          <w:highlight w:val="white"/>
        </w:rPr>
        <w:lastRenderedPageBreak/>
        <w:t>здравоохранением и о</w:t>
      </w:r>
      <w:r>
        <w:rPr>
          <w:rFonts w:ascii="Times New Roman" w:eastAsia="Times New Roman" w:hAnsi="Times New Roman" w:cs="Times New Roman"/>
          <w:sz w:val="28"/>
          <w:szCs w:val="28"/>
          <w:highlight w:val="white"/>
        </w:rPr>
        <w:t xml:space="preserve">тдельными медицинскими организациями. Основными направлениями здесь являлись: оптимизация ресурсов, страховая медицина, оптимальные объемы коечного фонда, маршрутизация пациентов к специалистам различных профилей  и др. [13, 14].  </w:t>
      </w:r>
      <w:r>
        <w:rPr>
          <w:rFonts w:ascii="Times New Roman" w:eastAsia="Times New Roman" w:hAnsi="Times New Roman" w:cs="Times New Roman"/>
          <w:sz w:val="28"/>
          <w:szCs w:val="28"/>
        </w:rPr>
        <w:t>Наряду с решением экономи</w:t>
      </w:r>
      <w:r>
        <w:rPr>
          <w:rFonts w:ascii="Times New Roman" w:eastAsia="Times New Roman" w:hAnsi="Times New Roman" w:cs="Times New Roman"/>
          <w:sz w:val="28"/>
          <w:szCs w:val="28"/>
        </w:rPr>
        <w:t>ческих и управленческих задач тогда же появились исследования, в которых использовались факторный анализ, деревья принятия решений, векторные машины, Байесовские сети, анализ Кокса и др., которые способствовали получению новых знаний, повышающих качество к</w:t>
      </w:r>
      <w:r>
        <w:rPr>
          <w:rFonts w:ascii="Times New Roman" w:eastAsia="Times New Roman" w:hAnsi="Times New Roman" w:cs="Times New Roman"/>
          <w:sz w:val="28"/>
          <w:szCs w:val="28"/>
        </w:rPr>
        <w:t xml:space="preserve">линических решений [15-17]. </w:t>
      </w:r>
      <w:r>
        <w:rPr>
          <w:rFonts w:ascii="Times New Roman" w:eastAsia="Times New Roman" w:hAnsi="Times New Roman" w:cs="Times New Roman"/>
          <w:sz w:val="28"/>
          <w:szCs w:val="28"/>
          <w:highlight w:val="white"/>
        </w:rPr>
        <w:t>В конце 90-х стало понятно, что хранилища позволяют не только повысить эффективность и</w:t>
      </w:r>
      <w:r>
        <w:rPr>
          <w:rFonts w:ascii="Times New Roman" w:eastAsia="Times New Roman" w:hAnsi="Times New Roman" w:cs="Times New Roman"/>
          <w:sz w:val="28"/>
          <w:szCs w:val="28"/>
        </w:rPr>
        <w:t xml:space="preserve"> снизить расходы на здравоохранение, но и улучшить качество медицинской помощи за счет извлечения знаний из данных и повторного использования </w:t>
      </w:r>
      <w:r>
        <w:rPr>
          <w:rFonts w:ascii="Times New Roman" w:eastAsia="Times New Roman" w:hAnsi="Times New Roman" w:cs="Times New Roman"/>
          <w:sz w:val="28"/>
          <w:szCs w:val="28"/>
        </w:rPr>
        <w:t xml:space="preserve">баз знаний [18]. </w:t>
      </w:r>
    </w:p>
    <w:p w14:paraId="66B0EF98" w14:textId="77777777" w:rsidR="006730D6" w:rsidRDefault="00325EAC">
      <w:pPr>
        <w:pBdr>
          <w:top w:val="nil"/>
          <w:left w:val="nil"/>
          <w:bottom w:val="nil"/>
          <w:right w:val="nil"/>
          <w:between w:val="nil"/>
        </w:pBdr>
        <w:spacing w:line="360" w:lineRule="auto"/>
        <w:ind w:firstLine="7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С начала 2000-х годов в тренде доказательной медицины активно развиваются системы поддержки принятия врачебных решений. Уже тогда отмечалась важность интеграции в них историй болезни и известных ранее знаний с новыми научными результатами</w:t>
      </w:r>
      <w:r>
        <w:rPr>
          <w:rFonts w:ascii="Times New Roman" w:eastAsia="Times New Roman" w:hAnsi="Times New Roman" w:cs="Times New Roman"/>
          <w:sz w:val="28"/>
          <w:szCs w:val="28"/>
          <w:highlight w:val="white"/>
        </w:rPr>
        <w:t xml:space="preserve">, которые могли расширить такой репозиторий знаний [19]. В последние время увеличилось число работ по оценке эффективности применения этих систем в клинической практике [20]. </w:t>
      </w:r>
    </w:p>
    <w:p w14:paraId="2CE48511" w14:textId="77777777" w:rsidR="006730D6" w:rsidRDefault="00325EAC">
      <w:pPr>
        <w:pBdr>
          <w:top w:val="nil"/>
          <w:left w:val="nil"/>
          <w:bottom w:val="nil"/>
          <w:right w:val="nil"/>
          <w:between w:val="nil"/>
        </w:pBdr>
        <w:spacing w:line="360" w:lineRule="auto"/>
        <w:ind w:firstLine="7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Анализ научной литературы показал, что существующие системы хранения клинических</w:t>
      </w:r>
      <w:r>
        <w:rPr>
          <w:rFonts w:ascii="Times New Roman" w:eastAsia="Times New Roman" w:hAnsi="Times New Roman" w:cs="Times New Roman"/>
          <w:sz w:val="28"/>
          <w:szCs w:val="28"/>
          <w:highlight w:val="white"/>
        </w:rPr>
        <w:t xml:space="preserve"> данных не обеспечивают решение вышеописанных проблем ГХ биомедицинской информации, что подчеркивает необходимость реализации новых подходов для их решения.</w:t>
      </w:r>
    </w:p>
    <w:p w14:paraId="55D1B7C3" w14:textId="77777777" w:rsidR="006730D6" w:rsidRDefault="00325EAC">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2. Компоненты гетерогенного хранилища</w:t>
      </w:r>
    </w:p>
    <w:p w14:paraId="6983A4D4" w14:textId="77777777" w:rsidR="006730D6" w:rsidRDefault="00325EAC">
      <w:pPr>
        <w:pBdr>
          <w:top w:val="nil"/>
          <w:left w:val="nil"/>
          <w:bottom w:val="nil"/>
          <w:right w:val="nil"/>
          <w:between w:val="nil"/>
        </w:pBdr>
        <w:spacing w:line="360" w:lineRule="auto"/>
        <w:ind w:firstLine="7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ГХ состоит из </w:t>
      </w:r>
      <w:r>
        <w:rPr>
          <w:rFonts w:ascii="Times New Roman" w:eastAsia="Times New Roman" w:hAnsi="Times New Roman" w:cs="Times New Roman"/>
          <w:b/>
          <w:sz w:val="28"/>
          <w:szCs w:val="28"/>
          <w:highlight w:val="white"/>
        </w:rPr>
        <w:t xml:space="preserve">информационных и программных компонентов </w:t>
      </w:r>
      <w:r>
        <w:rPr>
          <w:rFonts w:ascii="Times New Roman" w:eastAsia="Times New Roman" w:hAnsi="Times New Roman" w:cs="Times New Roman"/>
          <w:sz w:val="28"/>
          <w:szCs w:val="28"/>
          <w:highlight w:val="white"/>
        </w:rPr>
        <w:t xml:space="preserve">(рис. 1). </w:t>
      </w:r>
      <w:r>
        <w:rPr>
          <w:rFonts w:ascii="Times New Roman" w:eastAsia="Times New Roman" w:hAnsi="Times New Roman" w:cs="Times New Roman"/>
          <w:b/>
          <w:sz w:val="28"/>
          <w:szCs w:val="28"/>
          <w:highlight w:val="white"/>
        </w:rPr>
        <w:t>Информационными компонентами</w:t>
      </w:r>
      <w:r>
        <w:rPr>
          <w:rFonts w:ascii="Times New Roman" w:eastAsia="Times New Roman" w:hAnsi="Times New Roman" w:cs="Times New Roman"/>
          <w:sz w:val="28"/>
          <w:szCs w:val="28"/>
          <w:highlight w:val="white"/>
        </w:rPr>
        <w:t xml:space="preserve"> ГХ являются:</w:t>
      </w:r>
    </w:p>
    <w:p w14:paraId="7A5755EB" w14:textId="77777777" w:rsidR="006730D6" w:rsidRDefault="00325EAC">
      <w:pPr>
        <w:numPr>
          <w:ilvl w:val="0"/>
          <w:numId w:val="2"/>
        </w:numPr>
        <w:pBdr>
          <w:top w:val="nil"/>
          <w:left w:val="nil"/>
          <w:bottom w:val="nil"/>
          <w:right w:val="nil"/>
          <w:between w:val="nil"/>
        </w:pBdr>
        <w:spacing w:line="360" w:lineRule="auto"/>
        <w:ind w:left="425"/>
        <w:jc w:val="both"/>
        <w:rPr>
          <w:rFonts w:ascii="Times New Roman" w:eastAsia="Times New Roman" w:hAnsi="Times New Roman" w:cs="Times New Roman"/>
          <w:sz w:val="28"/>
          <w:szCs w:val="28"/>
          <w:highlight w:val="white"/>
        </w:rPr>
      </w:pPr>
      <w:r>
        <w:rPr>
          <w:rFonts w:ascii="Times New Roman" w:eastAsia="Times New Roman" w:hAnsi="Times New Roman" w:cs="Times New Roman"/>
          <w:b/>
          <w:sz w:val="28"/>
          <w:szCs w:val="28"/>
          <w:highlight w:val="white"/>
        </w:rPr>
        <w:t>онтологии</w:t>
      </w:r>
      <w:r>
        <w:rPr>
          <w:rFonts w:ascii="Times New Roman" w:eastAsia="Times New Roman" w:hAnsi="Times New Roman" w:cs="Times New Roman"/>
          <w:sz w:val="28"/>
          <w:szCs w:val="28"/>
          <w:highlight w:val="white"/>
        </w:rPr>
        <w:t xml:space="preserve"> - системы формализации с помощью концептуальных схем, в соответствии с которыми формируются другие типы информационных и программных компонентов;</w:t>
      </w:r>
    </w:p>
    <w:p w14:paraId="038810B6" w14:textId="77777777" w:rsidR="006730D6" w:rsidRDefault="00325EAC">
      <w:pPr>
        <w:numPr>
          <w:ilvl w:val="0"/>
          <w:numId w:val="2"/>
        </w:numPr>
        <w:pBdr>
          <w:top w:val="nil"/>
          <w:left w:val="nil"/>
          <w:bottom w:val="nil"/>
          <w:right w:val="nil"/>
          <w:between w:val="nil"/>
        </w:pBdr>
        <w:spacing w:line="360" w:lineRule="auto"/>
        <w:ind w:left="425"/>
        <w:jc w:val="both"/>
        <w:rPr>
          <w:rFonts w:ascii="Times New Roman" w:eastAsia="Times New Roman" w:hAnsi="Times New Roman" w:cs="Times New Roman"/>
          <w:sz w:val="28"/>
          <w:szCs w:val="28"/>
          <w:highlight w:val="white"/>
        </w:rPr>
      </w:pPr>
      <w:r>
        <w:rPr>
          <w:rFonts w:ascii="Times New Roman" w:eastAsia="Times New Roman" w:hAnsi="Times New Roman" w:cs="Times New Roman"/>
          <w:b/>
          <w:sz w:val="28"/>
          <w:szCs w:val="28"/>
          <w:highlight w:val="white"/>
        </w:rPr>
        <w:lastRenderedPageBreak/>
        <w:t xml:space="preserve">данные </w:t>
      </w:r>
      <w:r>
        <w:rPr>
          <w:rFonts w:ascii="Times New Roman" w:eastAsia="Times New Roman" w:hAnsi="Times New Roman" w:cs="Times New Roman"/>
          <w:sz w:val="28"/>
          <w:szCs w:val="28"/>
          <w:highlight w:val="white"/>
        </w:rPr>
        <w:t xml:space="preserve"> - совместно используемый набор формализованных или неформализованных (включая слабоформализованные) данных разных типов. Формализованные данные  - логически связанные входные или выходные данные,</w:t>
      </w:r>
      <w:r>
        <w:rPr>
          <w:rFonts w:ascii="Times New Roman" w:eastAsia="Times New Roman" w:hAnsi="Times New Roman" w:cs="Times New Roman"/>
          <w:b/>
          <w:sz w:val="28"/>
          <w:szCs w:val="28"/>
          <w:highlight w:val="white"/>
        </w:rPr>
        <w:t xml:space="preserve"> </w:t>
      </w:r>
      <w:r>
        <w:rPr>
          <w:rFonts w:ascii="Times New Roman" w:eastAsia="Times New Roman" w:hAnsi="Times New Roman" w:cs="Times New Roman"/>
          <w:sz w:val="28"/>
          <w:szCs w:val="28"/>
          <w:highlight w:val="white"/>
        </w:rPr>
        <w:t>организованные в соответствии с поддерживаемой моделью. Неф</w:t>
      </w:r>
      <w:r>
        <w:rPr>
          <w:rFonts w:ascii="Times New Roman" w:eastAsia="Times New Roman" w:hAnsi="Times New Roman" w:cs="Times New Roman"/>
          <w:sz w:val="28"/>
          <w:szCs w:val="28"/>
          <w:highlight w:val="white"/>
        </w:rPr>
        <w:t>ормализованными (или слабоформализованными) данными являются текстовые документы, графики, диаграммы, графические изображения и др., которые являются либо результатами работы программных систем и сервисов, требующими обработки, либо файлами с документацией</w:t>
      </w:r>
      <w:r>
        <w:rPr>
          <w:rFonts w:ascii="Times New Roman" w:eastAsia="Times New Roman" w:hAnsi="Times New Roman" w:cs="Times New Roman"/>
          <w:sz w:val="28"/>
          <w:szCs w:val="28"/>
          <w:highlight w:val="white"/>
        </w:rPr>
        <w:t>.</w:t>
      </w:r>
    </w:p>
    <w:p w14:paraId="15F5BECE" w14:textId="77777777" w:rsidR="006730D6" w:rsidRDefault="00325EAC">
      <w:pPr>
        <w:numPr>
          <w:ilvl w:val="0"/>
          <w:numId w:val="2"/>
        </w:numPr>
        <w:pBdr>
          <w:top w:val="nil"/>
          <w:left w:val="nil"/>
          <w:bottom w:val="nil"/>
          <w:right w:val="nil"/>
          <w:between w:val="nil"/>
        </w:pBdr>
        <w:spacing w:line="360" w:lineRule="auto"/>
        <w:ind w:left="425"/>
        <w:jc w:val="both"/>
        <w:rPr>
          <w:rFonts w:ascii="Times New Roman" w:eastAsia="Times New Roman" w:hAnsi="Times New Roman" w:cs="Times New Roman"/>
          <w:sz w:val="28"/>
          <w:szCs w:val="28"/>
          <w:highlight w:val="white"/>
        </w:rPr>
      </w:pPr>
      <w:r>
        <w:rPr>
          <w:rFonts w:ascii="Times New Roman" w:eastAsia="Times New Roman" w:hAnsi="Times New Roman" w:cs="Times New Roman"/>
          <w:b/>
          <w:sz w:val="28"/>
          <w:szCs w:val="28"/>
          <w:highlight w:val="white"/>
        </w:rPr>
        <w:t>знания</w:t>
      </w:r>
      <w:r>
        <w:rPr>
          <w:rFonts w:ascii="Times New Roman" w:eastAsia="Times New Roman" w:hAnsi="Times New Roman" w:cs="Times New Roman"/>
          <w:sz w:val="28"/>
          <w:szCs w:val="28"/>
          <w:highlight w:val="white"/>
        </w:rPr>
        <w:t xml:space="preserve">  - формально представленные зависимости, причинно-следственные связи между данными, предназначенные для решения задач в практической медицине  и образовании. </w:t>
      </w:r>
    </w:p>
    <w:p w14:paraId="0FA5B084" w14:textId="77777777" w:rsidR="006730D6" w:rsidRDefault="006730D6"/>
    <w:p w14:paraId="62717CF6" w14:textId="77777777" w:rsidR="006730D6" w:rsidRDefault="00325EAC">
      <w:r>
        <w:rPr>
          <w:noProof/>
          <w:lang w:val="ru-RU"/>
        </w:rPr>
        <mc:AlternateContent>
          <mc:Choice Requires="wpg">
            <w:drawing>
              <wp:inline distT="114300" distB="114300" distL="114300" distR="114300" wp14:anchorId="47C80B9E" wp14:editId="60728629">
                <wp:extent cx="5561772" cy="4499479"/>
                <wp:effectExtent l="0" t="0" r="0" b="0"/>
                <wp:docPr id="1" name=""/>
                <wp:cNvGraphicFramePr/>
                <a:graphic xmlns:a="http://schemas.openxmlformats.org/drawingml/2006/main">
                  <a:graphicData uri="http://schemas.microsoft.com/office/word/2010/wordprocessingGroup">
                    <wpg:wgp>
                      <wpg:cNvGrpSpPr/>
                      <wpg:grpSpPr>
                        <a:xfrm>
                          <a:off x="0" y="0"/>
                          <a:ext cx="5561772" cy="4499479"/>
                          <a:chOff x="1004325" y="405275"/>
                          <a:chExt cx="8658425" cy="6998875"/>
                        </a:xfrm>
                      </wpg:grpSpPr>
                      <wps:wsp>
                        <wps:cNvPr id="2" name="Скругленный прямоугольник 2"/>
                        <wps:cNvSpPr/>
                        <wps:spPr>
                          <a:xfrm>
                            <a:off x="1004325" y="405275"/>
                            <a:ext cx="8468100" cy="5606700"/>
                          </a:xfrm>
                          <a:prstGeom prst="roundRect">
                            <a:avLst>
                              <a:gd name="adj" fmla="val 16667"/>
                            </a:avLst>
                          </a:prstGeom>
                          <a:noFill/>
                          <a:ln w="9525" cap="flat" cmpd="sng">
                            <a:solidFill>
                              <a:srgbClr val="000000"/>
                            </a:solidFill>
                            <a:prstDash val="solid"/>
                            <a:round/>
                            <a:headEnd type="none" w="sm" len="sm"/>
                            <a:tailEnd type="none" w="sm" len="sm"/>
                          </a:ln>
                        </wps:spPr>
                        <wps:txbx>
                          <w:txbxContent>
                            <w:p w14:paraId="45753425" w14:textId="77777777" w:rsidR="006730D6" w:rsidRDefault="006730D6">
                              <w:pPr>
                                <w:spacing w:line="240" w:lineRule="auto"/>
                                <w:textDirection w:val="btLr"/>
                              </w:pPr>
                            </w:p>
                          </w:txbxContent>
                        </wps:txbx>
                        <wps:bodyPr spcFirstLastPara="1" wrap="square" lIns="91425" tIns="91425" rIns="91425" bIns="91425" anchor="ctr" anchorCtr="0"/>
                      </wps:wsp>
                      <wps:wsp>
                        <wps:cNvPr id="3" name="Цилиндр 3"/>
                        <wps:cNvSpPr/>
                        <wps:spPr>
                          <a:xfrm>
                            <a:off x="6630650" y="6259950"/>
                            <a:ext cx="3032100" cy="1144200"/>
                          </a:xfrm>
                          <a:prstGeom prst="can">
                            <a:avLst>
                              <a:gd name="adj" fmla="val 25000"/>
                            </a:avLst>
                          </a:prstGeom>
                          <a:solidFill>
                            <a:srgbClr val="CFE2F3"/>
                          </a:solidFill>
                          <a:ln w="9525" cap="flat" cmpd="sng">
                            <a:solidFill>
                              <a:srgbClr val="000000"/>
                            </a:solidFill>
                            <a:prstDash val="solid"/>
                            <a:round/>
                            <a:headEnd type="none" w="sm" len="sm"/>
                            <a:tailEnd type="none" w="sm" len="sm"/>
                          </a:ln>
                        </wps:spPr>
                        <wps:txbx>
                          <w:txbxContent>
                            <w:p w14:paraId="074DEAEB" w14:textId="77777777" w:rsidR="006730D6" w:rsidRDefault="00325EAC">
                              <w:pPr>
                                <w:spacing w:line="240" w:lineRule="auto"/>
                                <w:textDirection w:val="btLr"/>
                              </w:pPr>
                              <w:r>
                                <w:rPr>
                                  <w:color w:val="000000"/>
                                  <w:sz w:val="36"/>
                                </w:rPr>
                                <w:t>Внешние базы данных МИС/ЛИС, МИАЦ и др.</w:t>
                              </w:r>
                            </w:p>
                          </w:txbxContent>
                        </wps:txbx>
                        <wps:bodyPr spcFirstLastPara="1" wrap="square" lIns="91425" tIns="91425" rIns="91425" bIns="91425" anchor="ctr" anchorCtr="0"/>
                      </wps:wsp>
                      <wps:wsp>
                        <wps:cNvPr id="4" name="Стрелка углом 4"/>
                        <wps:cNvSpPr/>
                        <wps:spPr>
                          <a:xfrm>
                            <a:off x="2817150" y="1072200"/>
                            <a:ext cx="1396800" cy="1029900"/>
                          </a:xfrm>
                          <a:prstGeom prst="bentArrow">
                            <a:avLst>
                              <a:gd name="adj1" fmla="val 25000"/>
                              <a:gd name="adj2" fmla="val 25000"/>
                              <a:gd name="adj3" fmla="val 25000"/>
                              <a:gd name="adj4" fmla="val 43750"/>
                            </a:avLst>
                          </a:prstGeom>
                          <a:solidFill>
                            <a:srgbClr val="CFE2F3"/>
                          </a:solidFill>
                          <a:ln w="9525" cap="flat" cmpd="sng">
                            <a:solidFill>
                              <a:srgbClr val="000000"/>
                            </a:solidFill>
                            <a:prstDash val="solid"/>
                            <a:round/>
                            <a:headEnd type="none" w="sm" len="sm"/>
                            <a:tailEnd type="none" w="sm" len="sm"/>
                          </a:ln>
                        </wps:spPr>
                        <wps:txbx>
                          <w:txbxContent>
                            <w:p w14:paraId="725C7A30" w14:textId="77777777" w:rsidR="006730D6" w:rsidRDefault="006730D6">
                              <w:pPr>
                                <w:spacing w:line="240" w:lineRule="auto"/>
                                <w:textDirection w:val="btLr"/>
                              </w:pPr>
                            </w:p>
                          </w:txbxContent>
                        </wps:txbx>
                        <wps:bodyPr spcFirstLastPara="1" wrap="square" lIns="91425" tIns="91425" rIns="91425" bIns="91425" anchor="ctr" anchorCtr="0"/>
                      </wps:wsp>
                      <wps:wsp>
                        <wps:cNvPr id="5" name="Стрелка вправо 5"/>
                        <wps:cNvSpPr/>
                        <wps:spPr>
                          <a:xfrm>
                            <a:off x="4214025" y="2302400"/>
                            <a:ext cx="2244900" cy="409800"/>
                          </a:xfrm>
                          <a:prstGeom prst="rightArrow">
                            <a:avLst>
                              <a:gd name="adj1" fmla="val 50000"/>
                              <a:gd name="adj2" fmla="val 50000"/>
                            </a:avLst>
                          </a:prstGeom>
                          <a:solidFill>
                            <a:srgbClr val="CFE2F3"/>
                          </a:solidFill>
                          <a:ln w="9525" cap="flat" cmpd="sng">
                            <a:solidFill>
                              <a:srgbClr val="000000"/>
                            </a:solidFill>
                            <a:prstDash val="solid"/>
                            <a:round/>
                            <a:headEnd type="none" w="sm" len="sm"/>
                            <a:tailEnd type="none" w="sm" len="sm"/>
                          </a:ln>
                        </wps:spPr>
                        <wps:txbx>
                          <w:txbxContent>
                            <w:p w14:paraId="063E4A0A" w14:textId="77777777" w:rsidR="006730D6" w:rsidRDefault="006730D6">
                              <w:pPr>
                                <w:spacing w:line="240" w:lineRule="auto"/>
                                <w:textDirection w:val="btLr"/>
                              </w:pPr>
                            </w:p>
                          </w:txbxContent>
                        </wps:txbx>
                        <wps:bodyPr spcFirstLastPara="1" wrap="square" lIns="91425" tIns="91425" rIns="91425" bIns="91425" anchor="ctr" anchorCtr="0"/>
                      </wps:wsp>
                      <wps:wsp>
                        <wps:cNvPr id="6" name="Стрелка влево 6"/>
                        <wps:cNvSpPr/>
                        <wps:spPr>
                          <a:xfrm>
                            <a:off x="4614675" y="3804850"/>
                            <a:ext cx="1701300" cy="409800"/>
                          </a:xfrm>
                          <a:prstGeom prst="leftArrow">
                            <a:avLst>
                              <a:gd name="adj1" fmla="val 50000"/>
                              <a:gd name="adj2" fmla="val 50000"/>
                            </a:avLst>
                          </a:prstGeom>
                          <a:solidFill>
                            <a:srgbClr val="CFE2F3"/>
                          </a:solidFill>
                          <a:ln w="9525" cap="flat" cmpd="sng">
                            <a:solidFill>
                              <a:srgbClr val="000000"/>
                            </a:solidFill>
                            <a:prstDash val="solid"/>
                            <a:round/>
                            <a:headEnd type="none" w="sm" len="sm"/>
                            <a:tailEnd type="none" w="sm" len="sm"/>
                          </a:ln>
                        </wps:spPr>
                        <wps:txbx>
                          <w:txbxContent>
                            <w:p w14:paraId="21C92234" w14:textId="77777777" w:rsidR="006730D6" w:rsidRDefault="006730D6">
                              <w:pPr>
                                <w:spacing w:line="240" w:lineRule="auto"/>
                                <w:textDirection w:val="btLr"/>
                              </w:pPr>
                            </w:p>
                          </w:txbxContent>
                        </wps:txbx>
                        <wps:bodyPr spcFirstLastPara="1" wrap="square" lIns="91425" tIns="91425" rIns="91425" bIns="91425" anchor="ctr" anchorCtr="0"/>
                      </wps:wsp>
                      <wps:wsp>
                        <wps:cNvPr id="7" name="Стрелка вниз 7"/>
                        <wps:cNvSpPr/>
                        <wps:spPr>
                          <a:xfrm>
                            <a:off x="7323650" y="2912600"/>
                            <a:ext cx="257400" cy="543600"/>
                          </a:xfrm>
                          <a:prstGeom prst="downArrow">
                            <a:avLst>
                              <a:gd name="adj1" fmla="val 50000"/>
                              <a:gd name="adj2" fmla="val 50000"/>
                            </a:avLst>
                          </a:prstGeom>
                          <a:solidFill>
                            <a:srgbClr val="CFE2F3"/>
                          </a:solidFill>
                          <a:ln w="9525" cap="flat" cmpd="sng">
                            <a:solidFill>
                              <a:srgbClr val="000000"/>
                            </a:solidFill>
                            <a:prstDash val="solid"/>
                            <a:round/>
                            <a:headEnd type="none" w="sm" len="sm"/>
                            <a:tailEnd type="none" w="sm" len="sm"/>
                          </a:ln>
                        </wps:spPr>
                        <wps:txbx>
                          <w:txbxContent>
                            <w:p w14:paraId="616B671E" w14:textId="77777777" w:rsidR="006730D6" w:rsidRDefault="006730D6">
                              <w:pPr>
                                <w:spacing w:line="240" w:lineRule="auto"/>
                                <w:textDirection w:val="btLr"/>
                              </w:pPr>
                            </w:p>
                          </w:txbxContent>
                        </wps:txbx>
                        <wps:bodyPr spcFirstLastPara="1" wrap="square" lIns="91425" tIns="91425" rIns="91425" bIns="91425" anchor="ctr" anchorCtr="0"/>
                      </wps:wsp>
                      <wps:wsp>
                        <wps:cNvPr id="8" name="Стрелка вверх 8"/>
                        <wps:cNvSpPr/>
                        <wps:spPr>
                          <a:xfrm>
                            <a:off x="3099200" y="3299300"/>
                            <a:ext cx="429000" cy="510000"/>
                          </a:xfrm>
                          <a:prstGeom prst="upArrow">
                            <a:avLst>
                              <a:gd name="adj1" fmla="val 50000"/>
                              <a:gd name="adj2" fmla="val 50000"/>
                            </a:avLst>
                          </a:prstGeom>
                          <a:solidFill>
                            <a:srgbClr val="CFE2F3"/>
                          </a:solidFill>
                          <a:ln w="9525" cap="flat" cmpd="sng">
                            <a:solidFill>
                              <a:srgbClr val="000000"/>
                            </a:solidFill>
                            <a:prstDash val="solid"/>
                            <a:round/>
                            <a:headEnd type="none" w="sm" len="sm"/>
                            <a:tailEnd type="none" w="sm" len="sm"/>
                          </a:ln>
                        </wps:spPr>
                        <wps:txbx>
                          <w:txbxContent>
                            <w:p w14:paraId="2799BC2B" w14:textId="77777777" w:rsidR="006730D6" w:rsidRDefault="006730D6">
                              <w:pPr>
                                <w:spacing w:line="240" w:lineRule="auto"/>
                                <w:textDirection w:val="btLr"/>
                              </w:pPr>
                            </w:p>
                          </w:txbxContent>
                        </wps:txbx>
                        <wps:bodyPr spcFirstLastPara="1" wrap="square" lIns="91425" tIns="91425" rIns="91425" bIns="91425" anchor="ctr" anchorCtr="0"/>
                      </wps:wsp>
                      <wps:wsp>
                        <wps:cNvPr id="9" name="Стрелка углом 9"/>
                        <wps:cNvSpPr/>
                        <wps:spPr>
                          <a:xfrm rot="5400000">
                            <a:off x="6551000" y="1065300"/>
                            <a:ext cx="1013700" cy="1027500"/>
                          </a:xfrm>
                          <a:prstGeom prst="bentArrow">
                            <a:avLst>
                              <a:gd name="adj1" fmla="val 25000"/>
                              <a:gd name="adj2" fmla="val 20983"/>
                              <a:gd name="adj3" fmla="val 25000"/>
                              <a:gd name="adj4" fmla="val 43750"/>
                            </a:avLst>
                          </a:prstGeom>
                          <a:solidFill>
                            <a:srgbClr val="CFE2F3"/>
                          </a:solidFill>
                          <a:ln w="9525" cap="flat" cmpd="sng">
                            <a:solidFill>
                              <a:srgbClr val="000000"/>
                            </a:solidFill>
                            <a:prstDash val="solid"/>
                            <a:round/>
                            <a:headEnd type="none" w="sm" len="sm"/>
                            <a:tailEnd type="none" w="sm" len="sm"/>
                          </a:ln>
                        </wps:spPr>
                        <wps:txbx>
                          <w:txbxContent>
                            <w:p w14:paraId="24991708" w14:textId="77777777" w:rsidR="006730D6" w:rsidRDefault="006730D6">
                              <w:pPr>
                                <w:spacing w:line="240" w:lineRule="auto"/>
                                <w:textDirection w:val="btLr"/>
                              </w:pPr>
                            </w:p>
                          </w:txbxContent>
                        </wps:txbx>
                        <wps:bodyPr spcFirstLastPara="1" wrap="square" lIns="91425" tIns="91425" rIns="91425" bIns="91425" anchor="ctr" anchorCtr="0"/>
                      </wps:wsp>
                      <wps:wsp>
                        <wps:cNvPr id="10" name="Стрелка вверх 10"/>
                        <wps:cNvSpPr/>
                        <wps:spPr>
                          <a:xfrm>
                            <a:off x="7237850" y="4276375"/>
                            <a:ext cx="429000" cy="459000"/>
                          </a:xfrm>
                          <a:prstGeom prst="upArrow">
                            <a:avLst>
                              <a:gd name="adj1" fmla="val 50000"/>
                              <a:gd name="adj2" fmla="val 50000"/>
                            </a:avLst>
                          </a:prstGeom>
                          <a:solidFill>
                            <a:srgbClr val="CFE2F3"/>
                          </a:solidFill>
                          <a:ln w="9525" cap="flat" cmpd="sng">
                            <a:solidFill>
                              <a:srgbClr val="000000"/>
                            </a:solidFill>
                            <a:prstDash val="solid"/>
                            <a:round/>
                            <a:headEnd type="none" w="sm" len="sm"/>
                            <a:tailEnd type="none" w="sm" len="sm"/>
                          </a:ln>
                        </wps:spPr>
                        <wps:txbx>
                          <w:txbxContent>
                            <w:p w14:paraId="6CCA43A1" w14:textId="77777777" w:rsidR="006730D6" w:rsidRDefault="006730D6">
                              <w:pPr>
                                <w:spacing w:line="240" w:lineRule="auto"/>
                                <w:textDirection w:val="btLr"/>
                              </w:pPr>
                            </w:p>
                          </w:txbxContent>
                        </wps:txbx>
                        <wps:bodyPr spcFirstLastPara="1" wrap="square" lIns="91425" tIns="91425" rIns="91425" bIns="91425" anchor="ctr" anchorCtr="0"/>
                      </wps:wsp>
                      <wps:wsp>
                        <wps:cNvPr id="11" name="Надпись 11"/>
                        <wps:cNvSpPr txBox="1"/>
                        <wps:spPr>
                          <a:xfrm>
                            <a:off x="1811850" y="462100"/>
                            <a:ext cx="6370200" cy="409800"/>
                          </a:xfrm>
                          <a:prstGeom prst="rect">
                            <a:avLst/>
                          </a:prstGeom>
                          <a:noFill/>
                          <a:ln>
                            <a:noFill/>
                          </a:ln>
                        </wps:spPr>
                        <wps:txbx>
                          <w:txbxContent>
                            <w:p w14:paraId="34DA9C5C" w14:textId="77777777" w:rsidR="006730D6" w:rsidRDefault="00325EAC">
                              <w:pPr>
                                <w:spacing w:line="240" w:lineRule="auto"/>
                                <w:textDirection w:val="btLr"/>
                              </w:pPr>
                              <w:r>
                                <w:rPr>
                                  <w:color w:val="000000"/>
                                  <w:sz w:val="36"/>
                                </w:rPr>
                                <w:t>Гетерогенное х</w:t>
                              </w:r>
                              <w:r>
                                <w:rPr>
                                  <w:color w:val="000000"/>
                                  <w:sz w:val="36"/>
                                </w:rPr>
                                <w:t>ранилище биомедицинских данных</w:t>
                              </w:r>
                            </w:p>
                          </w:txbxContent>
                        </wps:txbx>
                        <wps:bodyPr spcFirstLastPara="1" wrap="square" lIns="91425" tIns="91425" rIns="91425" bIns="91425" anchor="t" anchorCtr="0"/>
                      </wps:wsp>
                      <wps:wsp>
                        <wps:cNvPr id="12" name="Стрелка вверх 12"/>
                        <wps:cNvSpPr/>
                        <wps:spPr>
                          <a:xfrm>
                            <a:off x="7152050" y="5701800"/>
                            <a:ext cx="429000" cy="634500"/>
                          </a:xfrm>
                          <a:prstGeom prst="upArrow">
                            <a:avLst>
                              <a:gd name="adj1" fmla="val 50000"/>
                              <a:gd name="adj2" fmla="val 50000"/>
                            </a:avLst>
                          </a:prstGeom>
                          <a:solidFill>
                            <a:srgbClr val="CFE2F3"/>
                          </a:solidFill>
                          <a:ln w="9525" cap="flat" cmpd="sng">
                            <a:solidFill>
                              <a:srgbClr val="000000"/>
                            </a:solidFill>
                            <a:prstDash val="solid"/>
                            <a:round/>
                            <a:headEnd type="none" w="sm" len="sm"/>
                            <a:tailEnd type="none" w="sm" len="sm"/>
                          </a:ln>
                        </wps:spPr>
                        <wps:txbx>
                          <w:txbxContent>
                            <w:p w14:paraId="3039B55A" w14:textId="77777777" w:rsidR="006730D6" w:rsidRDefault="006730D6">
                              <w:pPr>
                                <w:spacing w:line="240" w:lineRule="auto"/>
                                <w:textDirection w:val="btLr"/>
                              </w:pPr>
                            </w:p>
                          </w:txbxContent>
                        </wps:txbx>
                        <wps:bodyPr spcFirstLastPara="1" wrap="square" lIns="91425" tIns="91425" rIns="91425" bIns="91425" anchor="ctr" anchorCtr="0"/>
                      </wps:wsp>
                      <wps:wsp>
                        <wps:cNvPr id="13" name="Скругленный прямоугольник 13"/>
                        <wps:cNvSpPr/>
                        <wps:spPr>
                          <a:xfrm>
                            <a:off x="1315975" y="3809300"/>
                            <a:ext cx="3298800" cy="963000"/>
                          </a:xfrm>
                          <a:prstGeom prst="roundRect">
                            <a:avLst>
                              <a:gd name="adj" fmla="val 16667"/>
                            </a:avLst>
                          </a:prstGeom>
                          <a:noFill/>
                          <a:ln w="9525" cap="flat" cmpd="sng">
                            <a:solidFill>
                              <a:srgbClr val="000000"/>
                            </a:solidFill>
                            <a:prstDash val="solid"/>
                            <a:round/>
                            <a:headEnd type="none" w="sm" len="sm"/>
                            <a:tailEnd type="none" w="sm" len="sm"/>
                          </a:ln>
                        </wps:spPr>
                        <wps:txbx>
                          <w:txbxContent>
                            <w:p w14:paraId="5B19C5F9" w14:textId="77777777" w:rsidR="006730D6" w:rsidRDefault="00325EAC">
                              <w:pPr>
                                <w:spacing w:line="240" w:lineRule="auto"/>
                                <w:textDirection w:val="btLr"/>
                              </w:pPr>
                              <w:r>
                                <w:rPr>
                                  <w:color w:val="000000"/>
                                  <w:sz w:val="36"/>
                                </w:rPr>
                                <w:t>Прикладные программные компоненты</w:t>
                              </w:r>
                            </w:p>
                          </w:txbxContent>
                        </wps:txbx>
                        <wps:bodyPr spcFirstLastPara="1" wrap="square" lIns="91425" tIns="91425" rIns="91425" bIns="91425" anchor="ctr" anchorCtr="0"/>
                      </wps:wsp>
                      <wps:wsp>
                        <wps:cNvPr id="14" name="Блок-схема: типовой процесс 14"/>
                        <wps:cNvSpPr/>
                        <wps:spPr>
                          <a:xfrm>
                            <a:off x="4214025" y="871900"/>
                            <a:ext cx="2330075" cy="1029900"/>
                          </a:xfrm>
                          <a:prstGeom prst="flowChartPredefinedProcess">
                            <a:avLst/>
                          </a:prstGeom>
                          <a:noFill/>
                          <a:ln w="9525" cap="flat" cmpd="sng">
                            <a:solidFill>
                              <a:srgbClr val="000000"/>
                            </a:solidFill>
                            <a:prstDash val="solid"/>
                            <a:round/>
                            <a:headEnd type="none" w="sm" len="sm"/>
                            <a:tailEnd type="none" w="sm" len="sm"/>
                          </a:ln>
                        </wps:spPr>
                        <wps:txbx>
                          <w:txbxContent>
                            <w:p w14:paraId="77FABB9D" w14:textId="77777777" w:rsidR="006730D6" w:rsidRDefault="00325EAC">
                              <w:pPr>
                                <w:spacing w:line="240" w:lineRule="auto"/>
                                <w:textDirection w:val="btLr"/>
                              </w:pPr>
                              <w:r>
                                <w:rPr>
                                  <w:color w:val="000000"/>
                                  <w:sz w:val="36"/>
                                </w:rPr>
                                <w:t>Онтологии хранилища</w:t>
                              </w:r>
                            </w:p>
                          </w:txbxContent>
                        </wps:txbx>
                        <wps:bodyPr spcFirstLastPara="1" wrap="square" lIns="91425" tIns="91425" rIns="91425" bIns="91425" anchor="ctr" anchorCtr="0"/>
                      </wps:wsp>
                      <wps:wsp>
                        <wps:cNvPr id="15" name="Надпись 15"/>
                        <wps:cNvSpPr txBox="1"/>
                        <wps:spPr>
                          <a:xfrm>
                            <a:off x="1525775" y="2102000"/>
                            <a:ext cx="2688300" cy="1197300"/>
                          </a:xfrm>
                          <a:prstGeom prst="rect">
                            <a:avLst/>
                          </a:prstGeom>
                          <a:noFill/>
                          <a:ln w="28575" cap="flat" cmpd="sng">
                            <a:solidFill>
                              <a:srgbClr val="000000"/>
                            </a:solidFill>
                            <a:prstDash val="solid"/>
                            <a:round/>
                            <a:headEnd type="none" w="sm" len="sm"/>
                            <a:tailEnd type="none" w="sm" len="sm"/>
                          </a:ln>
                        </wps:spPr>
                        <wps:txbx>
                          <w:txbxContent>
                            <w:p w14:paraId="371D41AC" w14:textId="77777777" w:rsidR="006730D6" w:rsidRDefault="00325EAC">
                              <w:pPr>
                                <w:spacing w:line="240" w:lineRule="auto"/>
                                <w:textDirection w:val="btLr"/>
                              </w:pPr>
                              <w:r>
                                <w:rPr>
                                  <w:color w:val="000000"/>
                                  <w:sz w:val="36"/>
                                </w:rPr>
                                <w:t xml:space="preserve">Базы вторичных данных: результатов обработки и анализа данных </w:t>
                              </w:r>
                            </w:p>
                          </w:txbxContent>
                        </wps:txbx>
                        <wps:bodyPr spcFirstLastPara="1" wrap="square" lIns="91425" tIns="91425" rIns="91425" bIns="91425" anchor="t" anchorCtr="0"/>
                      </wps:wsp>
                      <wps:wsp>
                        <wps:cNvPr id="16" name="Надпись 16"/>
                        <wps:cNvSpPr txBox="1"/>
                        <wps:spPr>
                          <a:xfrm>
                            <a:off x="6316000" y="3468150"/>
                            <a:ext cx="2279100" cy="810600"/>
                          </a:xfrm>
                          <a:prstGeom prst="rect">
                            <a:avLst/>
                          </a:prstGeom>
                          <a:noFill/>
                          <a:ln w="28575" cap="flat" cmpd="sng">
                            <a:solidFill>
                              <a:srgbClr val="000000"/>
                            </a:solidFill>
                            <a:prstDash val="solid"/>
                            <a:round/>
                            <a:headEnd type="none" w="sm" len="sm"/>
                            <a:tailEnd type="none" w="sm" len="sm"/>
                          </a:ln>
                        </wps:spPr>
                        <wps:txbx>
                          <w:txbxContent>
                            <w:p w14:paraId="0EDCAD19" w14:textId="77777777" w:rsidR="006730D6" w:rsidRDefault="00325EAC">
                              <w:pPr>
                                <w:spacing w:line="240" w:lineRule="auto"/>
                                <w:textDirection w:val="btLr"/>
                              </w:pPr>
                              <w:r>
                                <w:rPr>
                                  <w:color w:val="000000"/>
                                  <w:sz w:val="36"/>
                                </w:rPr>
                                <w:t>Базы первичных данных хранилища</w:t>
                              </w:r>
                            </w:p>
                          </w:txbxContent>
                        </wps:txbx>
                        <wps:bodyPr spcFirstLastPara="1" wrap="square" lIns="91425" tIns="91425" rIns="91425" bIns="91425" anchor="t" anchorCtr="0"/>
                      </wps:wsp>
                      <wps:wsp>
                        <wps:cNvPr id="17" name="Надпись 17"/>
                        <wps:cNvSpPr txBox="1"/>
                        <wps:spPr>
                          <a:xfrm>
                            <a:off x="6459050" y="2102000"/>
                            <a:ext cx="2279100" cy="810600"/>
                          </a:xfrm>
                          <a:prstGeom prst="rect">
                            <a:avLst/>
                          </a:prstGeom>
                          <a:noFill/>
                          <a:ln w="28575" cap="flat" cmpd="sng">
                            <a:solidFill>
                              <a:srgbClr val="000000"/>
                            </a:solidFill>
                            <a:prstDash val="solid"/>
                            <a:round/>
                            <a:headEnd type="none" w="sm" len="sm"/>
                            <a:tailEnd type="none" w="sm" len="sm"/>
                          </a:ln>
                        </wps:spPr>
                        <wps:txbx>
                          <w:txbxContent>
                            <w:p w14:paraId="0DA5205D" w14:textId="77777777" w:rsidR="006730D6" w:rsidRDefault="00325EAC">
                              <w:pPr>
                                <w:spacing w:line="240" w:lineRule="auto"/>
                                <w:textDirection w:val="btLr"/>
                              </w:pPr>
                              <w:r>
                                <w:rPr>
                                  <w:color w:val="000000"/>
                                  <w:sz w:val="36"/>
                                </w:rPr>
                                <w:t>Базы знаний хранилища</w:t>
                              </w:r>
                            </w:p>
                          </w:txbxContent>
                        </wps:txbx>
                        <wps:bodyPr spcFirstLastPara="1" wrap="square" lIns="91425" tIns="91425" rIns="91425" bIns="91425" anchor="t" anchorCtr="0"/>
                      </wps:wsp>
                      <wps:wsp>
                        <wps:cNvPr id="18" name="Скругленный прямоугольник 18"/>
                        <wps:cNvSpPr/>
                        <wps:spPr>
                          <a:xfrm>
                            <a:off x="5111325" y="4735350"/>
                            <a:ext cx="4094100" cy="963000"/>
                          </a:xfrm>
                          <a:prstGeom prst="roundRect">
                            <a:avLst>
                              <a:gd name="adj" fmla="val 16667"/>
                            </a:avLst>
                          </a:prstGeom>
                          <a:noFill/>
                          <a:ln w="9525" cap="flat" cmpd="sng">
                            <a:solidFill>
                              <a:srgbClr val="000000"/>
                            </a:solidFill>
                            <a:prstDash val="solid"/>
                            <a:round/>
                            <a:headEnd type="none" w="sm" len="sm"/>
                            <a:tailEnd type="none" w="sm" len="sm"/>
                          </a:ln>
                        </wps:spPr>
                        <wps:txbx>
                          <w:txbxContent>
                            <w:p w14:paraId="6661BCD7" w14:textId="77777777" w:rsidR="006730D6" w:rsidRDefault="00325EAC">
                              <w:pPr>
                                <w:spacing w:line="240" w:lineRule="auto"/>
                                <w:textDirection w:val="btLr"/>
                              </w:pPr>
                              <w:r>
                                <w:rPr>
                                  <w:color w:val="000000"/>
                                  <w:sz w:val="36"/>
                                </w:rPr>
                                <w:t>Системные и специализированные компоненты</w:t>
                              </w:r>
                            </w:p>
                          </w:txbxContent>
                        </wps:txbx>
                        <wps:bodyPr spcFirstLastPara="1" wrap="square" lIns="91425" tIns="91425" rIns="91425" bIns="91425" anchor="ctr" anchorCtr="0"/>
                      </wps:wsp>
                    </wpg:wgp>
                  </a:graphicData>
                </a:graphic>
              </wp:inline>
            </w:drawing>
          </mc:Choice>
          <mc:Fallback>
            <w:pict>
              <v:group w14:anchorId="47C80B9E" id="_x0000_s1026" style="width:437.95pt;height:354.3pt;mso-position-horizontal-relative:char;mso-position-vertical-relative:line" coordorigin="10043,4052" coordsize="86584,699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">
                <v:roundrect id="Скругленный прямоугольник 2" o:spid="_x0000_s1027" style="position:absolute;left:10043;top:4052;width:84681;height:5606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xlK8YA&#10;AADaAAAADwAAAGRycy9kb3ducmV2LnhtbESPT2vCQBTE70K/w/KEXqTZ6EFs6hqkIBVKEdOW9vjI&#10;vuZPs29DdjXRT+8KgsdhZn7DLNPBNOJInassK5hGMQji3OqKCwVfn5unBQjnkTU2lknBiRykq4fR&#10;EhNte97TMfOFCBB2CSoovW8TKV1ekkEX2ZY4eH+2M+iD7AqpO+wD3DRyFsdzabDisFBiS68l5f/Z&#10;wSiIq4/Jb/bz3k/k27lvvrf1YfdcK/U4HtYvIDwN/h6+tbdawQyuV8INkK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fxlK8YAAADaAAAADwAAAAAAAAAAAAAAAACYAgAAZHJz&#10;L2Rvd25yZXYueG1sUEsFBgAAAAAEAAQA9QAAAIsDAAAAAA==&#10;" filled="f">
                  <v:stroke startarrowwidth="narrow" startarrowlength="short" endarrowwidth="narrow" endarrowlength="short"/>
                  <v:textbox inset="2.53958mm,2.53958mm,2.53958mm,2.53958mm">
                    <w:txbxContent>
                      <w:p w14:paraId="45753425" w14:textId="77777777" w:rsidR="006730D6" w:rsidRDefault="006730D6">
                        <w:pPr>
                          <w:spacing w:line="240" w:lineRule="auto"/>
                          <w:textDirection w:val="btLr"/>
                        </w:pPr>
                      </w:p>
                    </w:txbxContent>
                  </v:textbox>
                </v:roundrect>
                <v:shapetype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Цилиндр 3" o:spid="_x0000_s1028" type="#_x0000_t22" style="position:absolute;left:66306;top:62599;width:30321;height:114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Uoi8UA&#10;AADaAAAADwAAAGRycy9kb3ducmV2LnhtbESPT2vCQBTE74V+h+UVvNWNClqia7CKVvBQ6p/7M/ua&#10;pM2+DbtrjP303YLQ4zAzv2FmWWdq0ZLzlWUFg34Cgji3uuJCwfGwfn4B4QOyxtoyKbiRh2z++DDD&#10;VNsrf1C7D4WIEPYpKihDaFIpfV6SQd+3DXH0Pq0zGKJ0hdQOrxFuajlMkrE0WHFcKLGhZUn59/5i&#10;FPDPavs+fj0dlm/nvNt83XYTN9wp1XvqFlMQgbrwH763t1rBCP6uxBsg5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1SiLxQAAANoAAAAPAAAAAAAAAAAAAAAAAJgCAABkcnMv&#10;ZG93bnJldi54bWxQSwUGAAAAAAQABAD1AAAAigMAAAAA&#10;" fillcolor="#cfe2f3">
                  <v:stroke startarrowwidth="narrow" startarrowlength="short" endarrowwidth="narrow" endarrowlength="short"/>
                  <v:textbox inset="2.53958mm,2.53958mm,2.53958mm,2.53958mm">
                    <w:txbxContent>
                      <w:p w14:paraId="074DEAEB" w14:textId="77777777" w:rsidR="006730D6" w:rsidRDefault="00325EAC">
                        <w:pPr>
                          <w:spacing w:line="240" w:lineRule="auto"/>
                          <w:textDirection w:val="btLr"/>
                        </w:pPr>
                        <w:r>
                          <w:rPr>
                            <w:color w:val="000000"/>
                            <w:sz w:val="36"/>
                          </w:rPr>
                          <w:t>Внешние базы данных МИС/ЛИС, МИАЦ и др.</w:t>
                        </w:r>
                      </w:p>
                    </w:txbxContent>
                  </v:textbox>
                </v:shape>
                <v:shape id="Стрелка углом 4" o:spid="_x0000_s1029" style="position:absolute;left:28171;top:10722;width:13968;height:10299;visibility:visible;mso-wrap-style:square;v-text-anchor:middle" coordsize="1396800,10299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mOEMMA&#10;AADaAAAADwAAAGRycy9kb3ducmV2LnhtbESPQWvCQBSE7wX/w/IEb3Wj2CKpawhCqIiXRvH8zL4m&#10;abNvw+42xn/vFgo9DjPzDbPJRtOJgZxvLStYzBMQxJXVLdcKzqfieQ3CB2SNnWVScCcP2XbytMFU&#10;2xt/0FCGWkQI+xQVNCH0qZS+asign9ueOHqf1hkMUbpaaoe3CDedXCbJqzTYclxosKddQ9V3+WMU&#10;JC+nwh2/zsV4fC+LwzUshyG/KDWbjvkbiEBj+A//tfdawQp+r8QbIL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mOEMMAAADaAAAADwAAAAAAAAAAAAAAAACYAgAAZHJzL2Rv&#10;d25yZXYueG1sUEsFBgAAAAAEAAQA9QAAAIgDAAAAAA==&#10;" adj="-11796480,,5400" path="m,1029900l,579319c,330470,201732,128738,450581,128738r688744,l1139325,r257475,257475l1139325,514950r,-128737l450581,386213v-106649,,-193106,86457,-193106,193106l257475,1029900,,1029900xe" fillcolor="#cfe2f3">
                  <v:stroke startarrowwidth="narrow" startarrowlength="short" endarrowwidth="narrow" endarrowlength="short" joinstyle="round"/>
                  <v:formulas/>
                  <v:path arrowok="t" o:connecttype="custom" o:connectlocs="0,1029900;0,579319;450581,128738;1139325,128738;1139325,0;1396800,257475;1139325,514950;1139325,386213;450581,386213;257475,579319;257475,1029900;0,1029900" o:connectangles="0,0,0,0,0,0,0,0,0,0,0,0" textboxrect="0,0,1396800,1029900"/>
                  <v:textbox inset="2.53958mm,2.53958mm,2.53958mm,2.53958mm">
                    <w:txbxContent>
                      <w:p w14:paraId="725C7A30" w14:textId="77777777" w:rsidR="006730D6" w:rsidRDefault="006730D6">
                        <w:pPr>
                          <w:spacing w:line="240" w:lineRule="auto"/>
                          <w:textDirection w:val="btLr"/>
                        </w:pP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елка вправо 5" o:spid="_x0000_s1030" type="#_x0000_t13" style="position:absolute;left:42140;top:23024;width:22449;height:40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RzsMEA&#10;AADaAAAADwAAAGRycy9kb3ducmV2LnhtbESPQWvCQBSE7wX/w/KE3urGhopEVxFF8FRoaiDHR/aZ&#10;DWbfht2tSf99t1DocZiZb5jtfrK9eJAPnWMFy0UGgrhxuuNWwfXz/LIGESKyxt4xKfimAPvd7GmL&#10;hXYjf9CjjK1IEA4FKjAxDoWUoTFkMSzcQJy8m/MWY5K+ldrjmOC2l69ZtpIWO04LBgc6Gmru5ZdV&#10;wOPJNVVmjtNyVXv7TnlV+1yp5/l02ICINMX/8F/7ohW8we+VdAPk7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3Ec7DBAAAA2gAAAA8AAAAAAAAAAAAAAAAAmAIAAGRycy9kb3du&#10;cmV2LnhtbFBLBQYAAAAABAAEAPUAAACGAwAAAAA=&#10;" adj="19628" fillcolor="#cfe2f3">
                  <v:stroke startarrowwidth="narrow" startarrowlength="short" endarrowwidth="narrow" endarrowlength="short" joinstyle="round"/>
                  <v:textbox inset="2.53958mm,2.53958mm,2.53958mm,2.53958mm">
                    <w:txbxContent>
                      <w:p w14:paraId="063E4A0A" w14:textId="77777777" w:rsidR="006730D6" w:rsidRDefault="006730D6">
                        <w:pPr>
                          <w:spacing w:line="240" w:lineRule="auto"/>
                          <w:textDirection w:val="btLr"/>
                        </w:pPr>
                      </w:p>
                    </w:txbxContent>
                  </v:textbox>
                </v:shape>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Стрелка влево 6" o:spid="_x0000_s1031" type="#_x0000_t66" style="position:absolute;left:46146;top:38048;width:17013;height:40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lR9cEA&#10;AADaAAAADwAAAGRycy9kb3ducmV2LnhtbESPQYvCMBSE74L/ITxhb5paWNFqFF0QvAiuiuDt0bw2&#10;xealNFmt/94Iwh6HmfmGWaw6W4s7tb5yrGA8SkAQ505XXCo4n7bDKQgfkDXWjknBkzyslv3eAjPt&#10;HvxL92MoRYSwz1CBCaHJpPS5IYt+5Bri6BWutRiibEupW3xEuK1lmiQTabHiuGCwoR9D+e34ZxUU&#10;z+Ja7fUhuZQzs79MZfpdbFKlvgbdeg4iUBf+w5/2TiuYwPtKvAFy+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kZUfXBAAAA2gAAAA8AAAAAAAAAAAAAAAAAmAIAAGRycy9kb3du&#10;cmV2LnhtbFBLBQYAAAAABAAEAPUAAACGAwAAAAA=&#10;" adj="2601" fillcolor="#cfe2f3">
                  <v:stroke startarrowwidth="narrow" startarrowlength="short" endarrowwidth="narrow" endarrowlength="short" joinstyle="round"/>
                  <v:textbox inset="2.53958mm,2.53958mm,2.53958mm,2.53958mm">
                    <w:txbxContent>
                      <w:p w14:paraId="21C92234" w14:textId="77777777" w:rsidR="006730D6" w:rsidRDefault="006730D6">
                        <w:pPr>
                          <w:spacing w:line="240" w:lineRule="auto"/>
                          <w:textDirection w:val="btLr"/>
                        </w:pP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7" o:spid="_x0000_s1032" type="#_x0000_t67" style="position:absolute;left:73236;top:29126;width:2574;height:543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HxpfbsA&#10;AADaAAAADwAAAGRycy9kb3ducmV2LnhtbERPSwrCMBDdC94hjOBOU8Uf1SgiFHXhws8BhmZsi82k&#10;NLHW2xtBcPl4/9WmNaVoqHaFZQWjYQSCOLW64EzB7ZoMFiCcR9ZYWiYFb3KwWXc7K4y1ffGZmovP&#10;RAhhF6OC3PsqltKlORl0Q1sRB+5ua4M+wDqTusZXCDelHEfRTBosODTkWNEup/RxeZowY5IkZjSt&#10;2sXpTFui+z5qjnul+r12uwThqfV/8c990Arm8L0S/CDXH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Ox8aX27AAAA2gAAAA8AAAAAAAAAAAAAAAAAmAIAAGRycy9kb3ducmV2Lnht&#10;bFBLBQYAAAAABAAEAPUAAACAAwAAAAA=&#10;" adj="16486" fillcolor="#cfe2f3">
                  <v:stroke startarrowwidth="narrow" startarrowlength="short" endarrowwidth="narrow" endarrowlength="short" joinstyle="round"/>
                  <v:textbox inset="2.53958mm,2.53958mm,2.53958mm,2.53958mm">
                    <w:txbxContent>
                      <w:p w14:paraId="616B671E" w14:textId="77777777" w:rsidR="006730D6" w:rsidRDefault="006730D6">
                        <w:pPr>
                          <w:spacing w:line="240" w:lineRule="auto"/>
                          <w:textDirection w:val="btLr"/>
                        </w:pPr>
                      </w:p>
                    </w:txbxContent>
                  </v:textbox>
                </v:shape>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Стрелка вверх 8" o:spid="_x0000_s1033" type="#_x0000_t68" style="position:absolute;left:30992;top:32993;width:4290;height:51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WnfL4A&#10;AADaAAAADwAAAGRycy9kb3ducmV2LnhtbERP3WrCMBS+F/YO4Qy803QKc1ZTGUNBbzbm9gCH5qwp&#10;bU5KEmN9e3Mx8PLj+9/uRtuLRD60jhW8zAsQxLXTLTcKfn8OszcQISJr7B2TghsF2FVPky2W2l35&#10;m9I5NiKHcChRgYlxKKUMtSGLYe4G4sz9OW8xZugbqT1ec7jt5aIoXqXFlnODwYE+DNXd+WIVjF4e&#10;T6lr0tfS+rBe3ZL53Celps/j+wZEpDE+xP/uo1aQt+Yr+QbI6g4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VVp3y+AAAA2gAAAA8AAAAAAAAAAAAAAAAAmAIAAGRycy9kb3ducmV2&#10;LnhtbFBLBQYAAAAABAAEAPUAAACDAwAAAAA=&#10;" adj="9085" fillcolor="#cfe2f3">
                  <v:stroke startarrowwidth="narrow" startarrowlength="short" endarrowwidth="narrow" endarrowlength="short" joinstyle="round"/>
                  <v:textbox inset="2.53958mm,2.53958mm,2.53958mm,2.53958mm">
                    <w:txbxContent>
                      <w:p w14:paraId="2799BC2B" w14:textId="77777777" w:rsidR="006730D6" w:rsidRDefault="006730D6">
                        <w:pPr>
                          <w:spacing w:line="240" w:lineRule="auto"/>
                          <w:textDirection w:val="btLr"/>
                        </w:pPr>
                      </w:p>
                    </w:txbxContent>
                  </v:textbox>
                </v:shape>
                <v:shape id="Стрелка углом 9" o:spid="_x0000_s1034" style="position:absolute;left:65510;top:10653;width:10137;height:10275;rotation:90;visibility:visible;mso-wrap-style:square;v-text-anchor:middle" coordsize="1013700,10275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QtScIA&#10;AADaAAAADwAAAGRycy9kb3ducmV2LnhtbESPT2sCMRTE70K/Q3iF3mpWD7bdGkUEsQf/0FV6fmxe&#10;N1s3L0sS1/XbN4LgcZiZ3zDTeW8b0ZEPtWMFo2EGgrh0uuZKwfGwen0HESKyxsYxKbhSgPnsaTDF&#10;XLsLf1NXxEokCIccFZgY21zKUBqyGIauJU7er/MWY5K+ktrjJcFtI8dZNpEWa04LBltaGipPxdkq&#10;6H/sfrNdcNhhYc7rq3/76yZeqZfnfvEJIlIfH+F7+0sr+IDblXQD5O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FC1JwgAAANoAAAAPAAAAAAAAAAAAAAAAAJgCAABkcnMvZG93&#10;bnJldi54bWxQSwUGAAAAAAQABAD1AAAAhwMAAAAA&#10;" adj="-11796480,,5400" path="m,1027500l,529486c,284551,198559,85992,443494,85992r316781,l760275,r253425,212705l760275,425409r,-85992l443494,339417v-104972,,-190069,85097,-190069,190069l253425,1027500,,1027500xe" fillcolor="#cfe2f3">
                  <v:stroke startarrowwidth="narrow" startarrowlength="short" endarrowwidth="narrow" endarrowlength="short" joinstyle="round"/>
                  <v:formulas/>
                  <v:path arrowok="t" o:connecttype="custom" o:connectlocs="0,1027500;0,529486;443494,85992;760275,85992;760275,0;1013700,212705;760275,425409;760275,339417;443494,339417;253425,529486;253425,1027500;0,1027500" o:connectangles="0,0,0,0,0,0,0,0,0,0,0,0" textboxrect="0,0,1013700,1027500"/>
                  <v:textbox inset="2.53958mm,2.53958mm,2.53958mm,2.53958mm">
                    <w:txbxContent>
                      <w:p w14:paraId="24991708" w14:textId="77777777" w:rsidR="006730D6" w:rsidRDefault="006730D6">
                        <w:pPr>
                          <w:spacing w:line="240" w:lineRule="auto"/>
                          <w:textDirection w:val="btLr"/>
                        </w:pPr>
                      </w:p>
                    </w:txbxContent>
                  </v:textbox>
                </v:shape>
                <v:shape id="Стрелка вверх 10" o:spid="_x0000_s1035" type="#_x0000_t68" style="position:absolute;left:72378;top:42763;width:4290;height:45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63JMgA&#10;AADbAAAADwAAAGRycy9kb3ducmV2LnhtbESPT2sCQQzF74V+hyFCL6XOtoiWraNIa1EvLdo/0Fvc&#10;ibtLdzLLzKirn94cCr0lvJf3fhlPO9eoA4VYezZw389AERfe1lwa+Px4vXsEFROyxcYzGThRhOnk&#10;+mqMufVHXtNhk0olIRxzNFCl1OZax6Iih7HvW2LRdj44TLKGUtuARwl3jX7IsqF2WLM0VNjSc0XF&#10;72bvDCy+38L29jwffM1H7eqFZ6tt9/5jzE2vmz2BStSlf/Pf9dIKvtDLLzKAnlw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C/rckyAAAANsAAAAPAAAAAAAAAAAAAAAAAJgCAABk&#10;cnMvZG93bnJldi54bWxQSwUGAAAAAAQABAD1AAAAjQMAAAAA&#10;" adj="10094" fillcolor="#cfe2f3">
                  <v:stroke startarrowwidth="narrow" startarrowlength="short" endarrowwidth="narrow" endarrowlength="short" joinstyle="round"/>
                  <v:textbox inset="2.53958mm,2.53958mm,2.53958mm,2.53958mm">
                    <w:txbxContent>
                      <w:p w14:paraId="6CCA43A1" w14:textId="77777777" w:rsidR="006730D6" w:rsidRDefault="006730D6">
                        <w:pPr>
                          <w:spacing w:line="240" w:lineRule="auto"/>
                          <w:textDirection w:val="btLr"/>
                        </w:pPr>
                      </w:p>
                    </w:txbxContent>
                  </v:textbox>
                </v:shape>
                <v:shapetype id="_x0000_t202" coordsize="21600,21600" o:spt="202" path="m,l,21600r21600,l21600,xe">
                  <v:stroke joinstyle="miter"/>
                  <v:path gradientshapeok="t" o:connecttype="rect"/>
                </v:shapetype>
                <v:shape id="Надпись 11" o:spid="_x0000_s1036" type="#_x0000_t202" style="position:absolute;left:18118;top:4621;width:63702;height:40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Gaj8UA&#10;AADbAAAADwAAAGRycy9kb3ducmV2LnhtbERPTWsCMRC9F/wPYQQvRbN6kLo1Sim0iCClWxG9DZvZ&#10;TdrNZLuJuu2vbwqF3ubxPme57l0jLtQF61nBdJKBIC69tlwr2L89je9AhIissfFMCr4owHo1uFli&#10;rv2VX+lSxFqkEA45KjAxtrmUoTTkMEx8S5y4yncOY4JdLXWH1xTuGjnLsrl0aDk1GGzp0VD5UZyd&#10;gsXheFudrPmun1/e59Wm2NnP7U6p0bB/uAcRqY//4j/3Rqf5U/j9JR0gV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sZqPxQAAANsAAAAPAAAAAAAAAAAAAAAAAJgCAABkcnMv&#10;ZG93bnJldi54bWxQSwUGAAAAAAQABAD1AAAAigMAAAAA&#10;" filled="f" stroked="f">
                  <v:textbox inset="2.53958mm,2.53958mm,2.53958mm,2.53958mm">
                    <w:txbxContent>
                      <w:p w14:paraId="34DA9C5C" w14:textId="77777777" w:rsidR="006730D6" w:rsidRDefault="00325EAC">
                        <w:pPr>
                          <w:spacing w:line="240" w:lineRule="auto"/>
                          <w:textDirection w:val="btLr"/>
                        </w:pPr>
                        <w:r>
                          <w:rPr>
                            <w:color w:val="000000"/>
                            <w:sz w:val="36"/>
                          </w:rPr>
                          <w:t>Гетерогенное х</w:t>
                        </w:r>
                        <w:r>
                          <w:rPr>
                            <w:color w:val="000000"/>
                            <w:sz w:val="36"/>
                          </w:rPr>
                          <w:t>ранилище биомедицинских данных</w:t>
                        </w:r>
                      </w:p>
                    </w:txbxContent>
                  </v:textbox>
                </v:shape>
                <v:shape id="Стрелка вверх 12" o:spid="_x0000_s1037" type="#_x0000_t68" style="position:absolute;left:71520;top:57018;width:4290;height:63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uSzb8A&#10;AADbAAAADwAAAGRycy9kb3ducmV2LnhtbERPTYvCMBC9L/gfwgje1lQPy1KNUoXiiie7eh+asSk2&#10;k9pEbf+9ERb2No/3Oct1bxvxoM7XjhXMpgkI4tLpmisFp9/88xuED8gaG8ekYCAP69XoY4mpdk8+&#10;0qMIlYgh7FNUYEJoUyl9aciin7qWOHIX11kMEXaV1B0+Y7ht5DxJvqTFmmODwZa2hsprcbcKsvPh&#10;Vu93ssgv2ZDbvTmeht1Gqcm4zxYgAvXhX/zn/tFx/hzev8QD5Oo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Fy5LNvwAAANsAAAAPAAAAAAAAAAAAAAAAAJgCAABkcnMvZG93bnJl&#10;di54bWxQSwUGAAAAAAQABAD1AAAAhAMAAAAA&#10;" adj="7302" fillcolor="#cfe2f3">
                  <v:stroke startarrowwidth="narrow" startarrowlength="short" endarrowwidth="narrow" endarrowlength="short" joinstyle="round"/>
                  <v:textbox inset="2.53958mm,2.53958mm,2.53958mm,2.53958mm">
                    <w:txbxContent>
                      <w:p w14:paraId="3039B55A" w14:textId="77777777" w:rsidR="006730D6" w:rsidRDefault="006730D6">
                        <w:pPr>
                          <w:spacing w:line="240" w:lineRule="auto"/>
                          <w:textDirection w:val="btLr"/>
                        </w:pPr>
                      </w:p>
                    </w:txbxContent>
                  </v:textbox>
                </v:shape>
                <v:roundrect id="Скругленный прямоугольник 13" o:spid="_x0000_s1038" style="position:absolute;left:13159;top:38093;width:32988;height:963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IoVMQA&#10;AADbAAAADwAAAGRycy9kb3ducmV2LnhtbERP22rCQBB9L/QflhH6IrqxQqnRjYggFUoR05b6OGTH&#10;XJqdDdnVxH69Kwh9m8O5zmLZm1qcqXWlZQWTcQSCOLO65FzB1+dm9ArCeWSNtWVScCEHy+TxYYGx&#10;th3v6Zz6XIQQdjEqKLxvYildVpBBN7YNceCOtjXoA2xzqVvsQrip5XMUvUiDJYeGAhtaF5T9piej&#10;ICo/hof0570byre/rv7eVqfdrFLqadCv5iA89f5ffHdvdZg/hdsv4QCZX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MiKFTEAAAA2wAAAA8AAAAAAAAAAAAAAAAAmAIAAGRycy9k&#10;b3ducmV2LnhtbFBLBQYAAAAABAAEAPUAAACJAwAAAAA=&#10;" filled="f">
                  <v:stroke startarrowwidth="narrow" startarrowlength="short" endarrowwidth="narrow" endarrowlength="short"/>
                  <v:textbox inset="2.53958mm,2.53958mm,2.53958mm,2.53958mm">
                    <w:txbxContent>
                      <w:p w14:paraId="5B19C5F9" w14:textId="77777777" w:rsidR="006730D6" w:rsidRDefault="00325EAC">
                        <w:pPr>
                          <w:spacing w:line="240" w:lineRule="auto"/>
                          <w:textDirection w:val="btLr"/>
                        </w:pPr>
                        <w:r>
                          <w:rPr>
                            <w:color w:val="000000"/>
                            <w:sz w:val="36"/>
                          </w:rPr>
                          <w:t>Прикладные программные компоненты</w:t>
                        </w:r>
                      </w:p>
                    </w:txbxContent>
                  </v:textbox>
                </v:roundrect>
                <v:shapetype id="_x0000_t112" coordsize="21600,21600" o:spt="112" path="m,l,21600r21600,l21600,xem2610,nfl2610,21600em18990,nfl18990,21600e">
                  <v:stroke joinstyle="miter"/>
                  <v:path o:extrusionok="f" gradientshapeok="t" o:connecttype="rect" textboxrect="2610,0,18990,21600"/>
                </v:shapetype>
                <v:shape id="Блок-схема: типовой процесс 14" o:spid="_x0000_s1039" type="#_x0000_t112" style="position:absolute;left:42140;top:8719;width:23301;height:1029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kQK8QA&#10;AADbAAAADwAAAGRycy9kb3ducmV2LnhtbESPQWsCMRCF70L/Q5hCb5ptEZXVKKVUKb1U1z14HDfj&#10;ZnEzWZJUt/31TUHwNsN78743i1VvW3EhHxrHCp5HGQjiyumGawXlfj2cgQgRWWPrmBT8UIDV8mGw&#10;wFy7K+/oUsRapBAOOSowMXa5lKEyZDGMXEectJPzFmNafS21x2sKt618ybKJtNhwIhjs6M1QdS6+&#10;beIe2m2J0W/MdFJ+VnjM1l+/70o9PfavcxCR+ng3364/dKo/hv9f0gB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gpECvEAAAA2wAAAA8AAAAAAAAAAAAAAAAAmAIAAGRycy9k&#10;b3ducmV2LnhtbFBLBQYAAAAABAAEAPUAAACJAwAAAAA=&#10;" filled="f">
                  <v:stroke startarrowwidth="narrow" startarrowlength="short" endarrowwidth="narrow" endarrowlength="short" joinstyle="round"/>
                  <v:textbox inset="2.53958mm,2.53958mm,2.53958mm,2.53958mm">
                    <w:txbxContent>
                      <w:p w14:paraId="77FABB9D" w14:textId="77777777" w:rsidR="006730D6" w:rsidRDefault="00325EAC">
                        <w:pPr>
                          <w:spacing w:line="240" w:lineRule="auto"/>
                          <w:textDirection w:val="btLr"/>
                        </w:pPr>
                        <w:r>
                          <w:rPr>
                            <w:color w:val="000000"/>
                            <w:sz w:val="36"/>
                          </w:rPr>
                          <w:t>Онтологии хранилища</w:t>
                        </w:r>
                      </w:p>
                    </w:txbxContent>
                  </v:textbox>
                </v:shape>
                <v:shape id="Надпись 15" o:spid="_x0000_s1040" type="#_x0000_t202" style="position:absolute;left:15257;top:21020;width:26883;height:119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xuEcMA&#10;AADbAAAADwAAAGRycy9kb3ducmV2LnhtbESPQWvCQBCF7wX/wzJCL8VsUqhIzCoiCC300ih4HbLT&#10;bGh2NmTXmPjr3YLgbYbvzXtviu1oWzFQ7xvHCrIkBUFcOd1wreB0PCxWIHxA1tg6JgUTedhuZi8F&#10;5tpd+YeGMtQimrDPUYEJocul9JUhiz5xHXFkv663GOLa11L3eI3mtpXvabqUFhuOCQY72huq/sqL&#10;VVCf+bj0h0j32Xf5Zd4mvHWTUq/zcbcGEWgMT/Hj+lPH+h/w/0scQG7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mxuEcMAAADbAAAADwAAAAAAAAAAAAAAAACYAgAAZHJzL2Rv&#10;d25yZXYueG1sUEsFBgAAAAAEAAQA9QAAAIgDAAAAAA==&#10;" filled="f" strokeweight="2.25pt">
                  <v:stroke startarrowwidth="narrow" startarrowlength="short" endarrowwidth="narrow" endarrowlength="short" joinstyle="round"/>
                  <v:textbox inset="2.53958mm,2.53958mm,2.53958mm,2.53958mm">
                    <w:txbxContent>
                      <w:p w14:paraId="371D41AC" w14:textId="77777777" w:rsidR="006730D6" w:rsidRDefault="00325EAC">
                        <w:pPr>
                          <w:spacing w:line="240" w:lineRule="auto"/>
                          <w:textDirection w:val="btLr"/>
                        </w:pPr>
                        <w:r>
                          <w:rPr>
                            <w:color w:val="000000"/>
                            <w:sz w:val="36"/>
                          </w:rPr>
                          <w:t xml:space="preserve">Базы вторичных данных: результатов обработки и анализа данных </w:t>
                        </w:r>
                      </w:p>
                    </w:txbxContent>
                  </v:textbox>
                </v:shape>
                <v:shape id="Надпись 16" o:spid="_x0000_s1041" type="#_x0000_t202" style="position:absolute;left:63160;top:34681;width:22791;height:81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7wZsIA&#10;AADbAAAADwAAAGRycy9kb3ducmV2LnhtbESPQYvCMBCF7wv+hzCCl0VT91CkmpZFEBT2YhW8Ds3Y&#10;lG0mpYna+uuNsLC3Gb43773ZFINtxZ163zhWsFwkIIgrpxuuFZxPu/kKhA/IGlvHpGAkD0U++dhg&#10;pt2Dj3QvQy2iCfsMFZgQukxKXxmy6BeuI47s6nqLIa59LXWPj2huW/mVJKm02HBMMNjR1lD1W96s&#10;gvrCp9TvIt0uf8qD+Rzx2Y1KzabD9xpEoCH8i/+u9zrWT+H9SxxA5i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vBmwgAAANsAAAAPAAAAAAAAAAAAAAAAAJgCAABkcnMvZG93&#10;bnJldi54bWxQSwUGAAAAAAQABAD1AAAAhwMAAAAA&#10;" filled="f" strokeweight="2.25pt">
                  <v:stroke startarrowwidth="narrow" startarrowlength="short" endarrowwidth="narrow" endarrowlength="short" joinstyle="round"/>
                  <v:textbox inset="2.53958mm,2.53958mm,2.53958mm,2.53958mm">
                    <w:txbxContent>
                      <w:p w14:paraId="0EDCAD19" w14:textId="77777777" w:rsidR="006730D6" w:rsidRDefault="00325EAC">
                        <w:pPr>
                          <w:spacing w:line="240" w:lineRule="auto"/>
                          <w:textDirection w:val="btLr"/>
                        </w:pPr>
                        <w:r>
                          <w:rPr>
                            <w:color w:val="000000"/>
                            <w:sz w:val="36"/>
                          </w:rPr>
                          <w:t>Базы первичных данных хранилища</w:t>
                        </w:r>
                      </w:p>
                    </w:txbxContent>
                  </v:textbox>
                </v:shape>
                <v:shape id="Надпись 17" o:spid="_x0000_s1042" type="#_x0000_t202" style="position:absolute;left:64590;top:21020;width:22791;height:81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JV/cMA&#10;AADbAAAADwAAAGRycy9kb3ducmV2LnhtbESPQWvCQBCF7wX/wzJCL8Vs0oNKzCoiCC300ih4HbLT&#10;bGh2NmTXmPjr3ULB2wzfm/feFLvRtmKg3jeOFWRJCoK4crrhWsH5dFysQfiArLF1TAom8rDbzl4K&#10;zLW78TcNZahFNGGfowITQpdL6StDFn3iOuLIflxvMcS1r6Xu8RbNbSvf03QpLTYcEwx2dDBU/ZZX&#10;q6C+8Gnpj5Eesq/y07xNeO8mpV7n434DItAYnuL/6w8d66/g75c4gN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fJV/cMAAADbAAAADwAAAAAAAAAAAAAAAACYAgAAZHJzL2Rv&#10;d25yZXYueG1sUEsFBgAAAAAEAAQA9QAAAIgDAAAAAA==&#10;" filled="f" strokeweight="2.25pt">
                  <v:stroke startarrowwidth="narrow" startarrowlength="short" endarrowwidth="narrow" endarrowlength="short" joinstyle="round"/>
                  <v:textbox inset="2.53958mm,2.53958mm,2.53958mm,2.53958mm">
                    <w:txbxContent>
                      <w:p w14:paraId="0DA5205D" w14:textId="77777777" w:rsidR="006730D6" w:rsidRDefault="00325EAC">
                        <w:pPr>
                          <w:spacing w:line="240" w:lineRule="auto"/>
                          <w:textDirection w:val="btLr"/>
                        </w:pPr>
                        <w:r>
                          <w:rPr>
                            <w:color w:val="000000"/>
                            <w:sz w:val="36"/>
                          </w:rPr>
                          <w:t>Базы знаний хранилища</w:t>
                        </w:r>
                      </w:p>
                    </w:txbxContent>
                  </v:textbox>
                </v:shape>
                <v:roundrect id="Скругленный прямоугольник 18" o:spid="_x0000_s1043" style="position:absolute;left:51113;top:47353;width:40941;height:963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a6JcYA&#10;AADbAAAADwAAAGRycy9kb3ducmV2LnhtbESPQWvCQBCF74X+h2UKXkQ37aHU6CqlUCpIKY2KHofs&#10;mESzsyG7muiv7xwK3mZ4b977ZrboXa0u1IbKs4HncQKKOPe24sLAZv05egMVIrLF2jMZuFKAxfzx&#10;YYap9R3/0iWLhZIQDikaKGNsUq1DXpLDMPYNsWgH3zqMsraFti12Eu5q/ZIkr9phxdJQYkMfJeWn&#10;7OwMJNX3cJ/tVt1Qf926ers8nn8mR2MGT/37FFSkPt7N/9dLK/gCK7/IAHr+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Ya6JcYAAADbAAAADwAAAAAAAAAAAAAAAACYAgAAZHJz&#10;L2Rvd25yZXYueG1sUEsFBgAAAAAEAAQA9QAAAIsDAAAAAA==&#10;" filled="f">
                  <v:stroke startarrowwidth="narrow" startarrowlength="short" endarrowwidth="narrow" endarrowlength="short"/>
                  <v:textbox inset="2.53958mm,2.53958mm,2.53958mm,2.53958mm">
                    <w:txbxContent>
                      <w:p w14:paraId="6661BCD7" w14:textId="77777777" w:rsidR="006730D6" w:rsidRDefault="00325EAC">
                        <w:pPr>
                          <w:spacing w:line="240" w:lineRule="auto"/>
                          <w:textDirection w:val="btLr"/>
                        </w:pPr>
                        <w:r>
                          <w:rPr>
                            <w:color w:val="000000"/>
                            <w:sz w:val="36"/>
                          </w:rPr>
                          <w:t>Системные и специализированные компоненты</w:t>
                        </w:r>
                      </w:p>
                    </w:txbxContent>
                  </v:textbox>
                </v:roundrect>
                <w10:anchorlock/>
              </v:group>
            </w:pict>
          </mc:Fallback>
        </mc:AlternateContent>
      </w:r>
    </w:p>
    <w:p w14:paraId="36D3CE5F" w14:textId="77777777" w:rsidR="006730D6" w:rsidRDefault="00325EAC">
      <w:pPr>
        <w:pBdr>
          <w:top w:val="nil"/>
          <w:left w:val="nil"/>
          <w:bottom w:val="nil"/>
          <w:right w:val="nil"/>
          <w:between w:val="nil"/>
        </w:pBdr>
        <w:spacing w:line="360" w:lineRule="auto"/>
        <w:jc w:val="center"/>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Рис. 1. Концептуальная схема ГХ</w:t>
      </w:r>
    </w:p>
    <w:p w14:paraId="76A0E6A7" w14:textId="77777777" w:rsidR="006730D6" w:rsidRDefault="006730D6">
      <w:pPr>
        <w:spacing w:line="360" w:lineRule="auto"/>
        <w:ind w:firstLine="720"/>
        <w:jc w:val="both"/>
        <w:rPr>
          <w:rFonts w:ascii="Times New Roman" w:eastAsia="Times New Roman" w:hAnsi="Times New Roman" w:cs="Times New Roman"/>
          <w:b/>
          <w:sz w:val="28"/>
          <w:szCs w:val="28"/>
          <w:highlight w:val="white"/>
        </w:rPr>
      </w:pPr>
    </w:p>
    <w:p w14:paraId="15BD9433" w14:textId="77777777" w:rsidR="006730D6" w:rsidRDefault="00325EAC">
      <w:pPr>
        <w:spacing w:line="360" w:lineRule="auto"/>
        <w:ind w:firstLine="720"/>
        <w:jc w:val="both"/>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lastRenderedPageBreak/>
        <w:t>Программными компонентами</w:t>
      </w:r>
      <w:r>
        <w:rPr>
          <w:rFonts w:ascii="Times New Roman" w:eastAsia="Times New Roman" w:hAnsi="Times New Roman" w:cs="Times New Roman"/>
          <w:sz w:val="28"/>
          <w:szCs w:val="28"/>
          <w:highlight w:val="white"/>
        </w:rPr>
        <w:t xml:space="preserve"> являются: исходные коды программ, программные агенты,  инструментальные оболочки, прикладные программные системы и сервисы. Мы выделяем: системные и специ</w:t>
      </w:r>
      <w:r>
        <w:rPr>
          <w:rFonts w:ascii="Times New Roman" w:eastAsia="Times New Roman" w:hAnsi="Times New Roman" w:cs="Times New Roman"/>
          <w:sz w:val="28"/>
          <w:szCs w:val="28"/>
          <w:highlight w:val="white"/>
        </w:rPr>
        <w:t xml:space="preserve">ализированные, а также прикладные. </w:t>
      </w:r>
    </w:p>
    <w:p w14:paraId="24EB2200" w14:textId="77777777" w:rsidR="006730D6" w:rsidRDefault="00325EAC">
      <w:pPr>
        <w:spacing w:line="360" w:lineRule="auto"/>
        <w:ind w:firstLine="720"/>
        <w:jc w:val="both"/>
        <w:rPr>
          <w:rFonts w:ascii="Times New Roman" w:eastAsia="Times New Roman" w:hAnsi="Times New Roman" w:cs="Times New Roman"/>
          <w:sz w:val="28"/>
          <w:szCs w:val="28"/>
          <w:highlight w:val="white"/>
        </w:rPr>
      </w:pPr>
      <w:r>
        <w:rPr>
          <w:rFonts w:ascii="Times New Roman" w:eastAsia="Times New Roman" w:hAnsi="Times New Roman" w:cs="Times New Roman"/>
          <w:b/>
          <w:sz w:val="28"/>
          <w:szCs w:val="28"/>
          <w:highlight w:val="white"/>
        </w:rPr>
        <w:t>Системные программные компоненты</w:t>
      </w:r>
      <w:r>
        <w:rPr>
          <w:rFonts w:ascii="Times New Roman" w:eastAsia="Times New Roman" w:hAnsi="Times New Roman" w:cs="Times New Roman"/>
          <w:sz w:val="28"/>
          <w:szCs w:val="28"/>
          <w:highlight w:val="white"/>
        </w:rPr>
        <w:t xml:space="preserve"> предназначены для организации эффективного функционирования ГХ, а их примерами являются сервис авторизации и управления правами пользователей, генератор агентов, генератор редакторов инфо</w:t>
      </w:r>
      <w:r>
        <w:rPr>
          <w:rFonts w:ascii="Times New Roman" w:eastAsia="Times New Roman" w:hAnsi="Times New Roman" w:cs="Times New Roman"/>
          <w:sz w:val="28"/>
          <w:szCs w:val="28"/>
          <w:highlight w:val="white"/>
        </w:rPr>
        <w:t xml:space="preserve">рмационных ресурсов, сервис импорта и экспорта данных в ГХ и др. </w:t>
      </w:r>
    </w:p>
    <w:p w14:paraId="6B8419B0" w14:textId="77777777" w:rsidR="006730D6" w:rsidRDefault="00325EAC">
      <w:pPr>
        <w:spacing w:line="360" w:lineRule="auto"/>
        <w:ind w:firstLine="720"/>
        <w:jc w:val="both"/>
        <w:rPr>
          <w:rFonts w:ascii="Times New Roman" w:eastAsia="Times New Roman" w:hAnsi="Times New Roman" w:cs="Times New Roman"/>
          <w:sz w:val="28"/>
          <w:szCs w:val="28"/>
          <w:highlight w:val="white"/>
        </w:rPr>
      </w:pPr>
      <w:r>
        <w:rPr>
          <w:rFonts w:ascii="Times New Roman" w:eastAsia="Times New Roman" w:hAnsi="Times New Roman" w:cs="Times New Roman"/>
          <w:b/>
          <w:sz w:val="28"/>
          <w:szCs w:val="28"/>
          <w:highlight w:val="white"/>
        </w:rPr>
        <w:t>Специализированные программные компоненты</w:t>
      </w:r>
      <w:r>
        <w:rPr>
          <w:rFonts w:ascii="Times New Roman" w:eastAsia="Times New Roman" w:hAnsi="Times New Roman" w:cs="Times New Roman"/>
          <w:sz w:val="28"/>
          <w:szCs w:val="28"/>
          <w:highlight w:val="white"/>
        </w:rPr>
        <w:t xml:space="preserve"> предлагают пользователю ряд сервисных функций, необходимых, прежде всего, для подготовки данных к обработке. Примерами таких компонентов являются се</w:t>
      </w:r>
      <w:r>
        <w:rPr>
          <w:rFonts w:ascii="Times New Roman" w:eastAsia="Times New Roman" w:hAnsi="Times New Roman" w:cs="Times New Roman"/>
          <w:sz w:val="28"/>
          <w:szCs w:val="28"/>
          <w:highlight w:val="white"/>
        </w:rPr>
        <w:t>рвисы преобразования информации из одного формата в другой, сервис формализации текста из неформализованного вида и др. К специализированным программным компонентам также относятся  программные оболочки, предназначенные для создания на их основе  программн</w:t>
      </w:r>
      <w:r>
        <w:rPr>
          <w:rFonts w:ascii="Times New Roman" w:eastAsia="Times New Roman" w:hAnsi="Times New Roman" w:cs="Times New Roman"/>
          <w:sz w:val="28"/>
          <w:szCs w:val="28"/>
          <w:highlight w:val="white"/>
        </w:rPr>
        <w:t>ых систем и сервисов, ориентированных на заданный в оболочке класс задач, например, специализированная оболочка для создания интеллектуальных систем по диагностике заболеваний.</w:t>
      </w:r>
    </w:p>
    <w:p w14:paraId="45DA5DE9" w14:textId="77777777" w:rsidR="006730D6" w:rsidRDefault="00325EAC">
      <w:pPr>
        <w:spacing w:line="360" w:lineRule="auto"/>
        <w:ind w:firstLine="720"/>
        <w:jc w:val="both"/>
        <w:rPr>
          <w:rFonts w:ascii="Times New Roman" w:eastAsia="Times New Roman" w:hAnsi="Times New Roman" w:cs="Times New Roman"/>
          <w:sz w:val="28"/>
          <w:szCs w:val="28"/>
          <w:highlight w:val="white"/>
        </w:rPr>
      </w:pPr>
      <w:r>
        <w:rPr>
          <w:rFonts w:ascii="Times New Roman" w:eastAsia="Times New Roman" w:hAnsi="Times New Roman" w:cs="Times New Roman"/>
          <w:b/>
          <w:sz w:val="28"/>
          <w:szCs w:val="28"/>
          <w:highlight w:val="white"/>
        </w:rPr>
        <w:t>Прикладные программные компоненты</w:t>
      </w:r>
      <w:r>
        <w:rPr>
          <w:rFonts w:ascii="Times New Roman" w:eastAsia="Times New Roman" w:hAnsi="Times New Roman" w:cs="Times New Roman"/>
          <w:sz w:val="28"/>
          <w:szCs w:val="28"/>
          <w:highlight w:val="white"/>
        </w:rPr>
        <w:t xml:space="preserve"> предназначены для решения научно-исследовател</w:t>
      </w:r>
      <w:r>
        <w:rPr>
          <w:rFonts w:ascii="Times New Roman" w:eastAsia="Times New Roman" w:hAnsi="Times New Roman" w:cs="Times New Roman"/>
          <w:sz w:val="28"/>
          <w:szCs w:val="28"/>
          <w:highlight w:val="white"/>
        </w:rPr>
        <w:t>ьских и практически-значимых задач в медицине, включая обучающие системы. К прикладным программным компонентам относятся информационно-аналитические системы, системы мониторинга и прогноза, поддержки принятия врачебных решений, система поддержки проведения</w:t>
      </w:r>
      <w:r>
        <w:rPr>
          <w:rFonts w:ascii="Times New Roman" w:eastAsia="Times New Roman" w:hAnsi="Times New Roman" w:cs="Times New Roman"/>
          <w:sz w:val="28"/>
          <w:szCs w:val="28"/>
          <w:highlight w:val="white"/>
        </w:rPr>
        <w:t xml:space="preserve"> научных исследований, компьютерные тренажеры для отработки моторных навыков и знаний студентов.</w:t>
      </w:r>
    </w:p>
    <w:p w14:paraId="65519FEA" w14:textId="77777777" w:rsidR="006730D6" w:rsidRDefault="00325EAC">
      <w:pPr>
        <w:spacing w:line="360" w:lineRule="auto"/>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Онтологии</w:t>
      </w:r>
    </w:p>
    <w:p w14:paraId="0770BFE9" w14:textId="77777777" w:rsidR="006730D6" w:rsidRDefault="00325EAC">
      <w:pPr>
        <w:spacing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Для описания используемых в хранилище структурированных информационных компонентов (данных и знаний), программных компонентов </w:t>
      </w:r>
      <w:r>
        <w:rPr>
          <w:rFonts w:ascii="Times New Roman" w:eastAsia="Times New Roman" w:hAnsi="Times New Roman" w:cs="Times New Roman"/>
          <w:sz w:val="28"/>
          <w:szCs w:val="28"/>
        </w:rPr>
        <w:lastRenderedPageBreak/>
        <w:t>(сервисов, агентов, шаб</w:t>
      </w:r>
      <w:r>
        <w:rPr>
          <w:rFonts w:ascii="Times New Roman" w:eastAsia="Times New Roman" w:hAnsi="Times New Roman" w:cs="Times New Roman"/>
          <w:sz w:val="28"/>
          <w:szCs w:val="28"/>
        </w:rPr>
        <w:t>лонов сообщений), а также структуры хранилища и связей между его логическими элементами используются онтологии. В настоящее время   использование онтологического подхода   положено в основу создания многих современных компьютерных систем и тематических пор</w:t>
      </w:r>
      <w:r>
        <w:rPr>
          <w:rFonts w:ascii="Times New Roman" w:eastAsia="Times New Roman" w:hAnsi="Times New Roman" w:cs="Times New Roman"/>
          <w:sz w:val="28"/>
          <w:szCs w:val="28"/>
        </w:rPr>
        <w:t>талов знаний для упрощения навигации, формирования и сопровождения сложно-структурированной информации различных уровней абстракции в привычной для ее носителей системе понятий – без специального обучения последних или участия в этом процессе специалистов-</w:t>
      </w:r>
      <w:r>
        <w:rPr>
          <w:rFonts w:ascii="Times New Roman" w:eastAsia="Times New Roman" w:hAnsi="Times New Roman" w:cs="Times New Roman"/>
          <w:sz w:val="28"/>
          <w:szCs w:val="28"/>
        </w:rPr>
        <w:t>посредников.</w:t>
      </w:r>
    </w:p>
    <w:p w14:paraId="0B7EF057" w14:textId="77777777" w:rsidR="006730D6" w:rsidRDefault="00325EAC">
      <w:pPr>
        <w:spacing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Онтологии ГХ условно можно разделить на три логических уровня (рис. 2). Первый из них является инфраструктурным. Данный уровень включает онтологии, разработанные для организации и поддержки инфраструктуры ГХ. К ним можно отнести онтологию прог</w:t>
      </w:r>
      <w:r>
        <w:rPr>
          <w:rFonts w:ascii="Times New Roman" w:eastAsia="Times New Roman" w:hAnsi="Times New Roman" w:cs="Times New Roman"/>
          <w:sz w:val="28"/>
          <w:szCs w:val="28"/>
        </w:rPr>
        <w:t xml:space="preserve">раммных и информационных ресурсов, личных кабинетов пользователей, коллективной разработки и др. [21]. </w:t>
      </w:r>
    </w:p>
    <w:p w14:paraId="1FD6F0E8" w14:textId="77777777" w:rsidR="006730D6" w:rsidRDefault="00325EAC">
      <w:pPr>
        <w:spacing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Второй логический уровень  - информационный</w:t>
      </w:r>
      <w:r>
        <w:rPr>
          <w:rFonts w:ascii="Times New Roman" w:eastAsia="Times New Roman" w:hAnsi="Times New Roman" w:cs="Times New Roman"/>
          <w:i/>
          <w:sz w:val="28"/>
          <w:szCs w:val="28"/>
        </w:rPr>
        <w:t>,</w:t>
      </w:r>
      <w:r>
        <w:rPr>
          <w:rFonts w:ascii="Times New Roman" w:eastAsia="Times New Roman" w:hAnsi="Times New Roman" w:cs="Times New Roman"/>
          <w:sz w:val="28"/>
          <w:szCs w:val="28"/>
        </w:rPr>
        <w:t xml:space="preserve"> содержит онтологии, поддерживающие формирование информационных компонентов ГХ - баз данных и баз знаний, пр</w:t>
      </w:r>
      <w:r>
        <w:rPr>
          <w:rFonts w:ascii="Times New Roman" w:eastAsia="Times New Roman" w:hAnsi="Times New Roman" w:cs="Times New Roman"/>
          <w:sz w:val="28"/>
          <w:szCs w:val="28"/>
        </w:rPr>
        <w:t>едназначенных для решения научных и практических задач в медицине, а также обучения студентов и повышения квалификации врачей.  Среди таких онтологий, прежде всего, необходимо выделить онтологию медицинской терминологии и наблюдений, которая задает унифици</w:t>
      </w:r>
      <w:r>
        <w:rPr>
          <w:rFonts w:ascii="Times New Roman" w:eastAsia="Times New Roman" w:hAnsi="Times New Roman" w:cs="Times New Roman"/>
          <w:sz w:val="28"/>
          <w:szCs w:val="28"/>
        </w:rPr>
        <w:t>рованную структуру описания всех медицинских терминов и наблюдений, онтологию истории болезни, статистических данных, лекарственных препаратов, научных исследований и другие онтологии данных, которые к настоящему времени уже созданы и находятся в ГХ, а так</w:t>
      </w:r>
      <w:r>
        <w:rPr>
          <w:rFonts w:ascii="Times New Roman" w:eastAsia="Times New Roman" w:hAnsi="Times New Roman" w:cs="Times New Roman"/>
          <w:sz w:val="28"/>
          <w:szCs w:val="28"/>
        </w:rPr>
        <w:t xml:space="preserve">же которые будут создаваться пользователями ГХ при постановке новых научно-практических задач.  К данному уровню также относятся онтологии знаний, которые, прежде всего, необходимы для создания интеллектуальных систем поддержки принятия врачебных решений: </w:t>
      </w:r>
      <w:r>
        <w:rPr>
          <w:rFonts w:ascii="Times New Roman" w:eastAsia="Times New Roman" w:hAnsi="Times New Roman" w:cs="Times New Roman"/>
          <w:sz w:val="28"/>
          <w:szCs w:val="28"/>
        </w:rPr>
        <w:t xml:space="preserve">онтология диагностики острых и хронических заболеваний [22, 23], онтология назначения лечения  - медикаментозного и восстановительного [24, 25]. Здесь же располагаются </w:t>
      </w:r>
      <w:r>
        <w:rPr>
          <w:rFonts w:ascii="Times New Roman" w:eastAsia="Times New Roman" w:hAnsi="Times New Roman" w:cs="Times New Roman"/>
          <w:sz w:val="28"/>
          <w:szCs w:val="28"/>
        </w:rPr>
        <w:lastRenderedPageBreak/>
        <w:t>онтологии, описывающие экспериментальные медицинские знания, полученные в результате про</w:t>
      </w:r>
      <w:r>
        <w:rPr>
          <w:rFonts w:ascii="Times New Roman" w:eastAsia="Times New Roman" w:hAnsi="Times New Roman" w:cs="Times New Roman"/>
          <w:sz w:val="28"/>
          <w:szCs w:val="28"/>
        </w:rPr>
        <w:t>ведения научных исследований на основе данных ГХ.</w:t>
      </w:r>
    </w:p>
    <w:p w14:paraId="13E4A9B5" w14:textId="77777777" w:rsidR="006730D6" w:rsidRDefault="00325EAC">
      <w:pPr>
        <w:spacing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Третий логический уровень - программный.</w:t>
      </w:r>
      <w:r>
        <w:rPr>
          <w:rFonts w:ascii="Times New Roman" w:eastAsia="Times New Roman" w:hAnsi="Times New Roman" w:cs="Times New Roman"/>
          <w:i/>
          <w:sz w:val="28"/>
          <w:szCs w:val="28"/>
        </w:rPr>
        <w:t xml:space="preserve"> </w:t>
      </w:r>
      <w:r>
        <w:rPr>
          <w:rFonts w:ascii="Times New Roman" w:eastAsia="Times New Roman" w:hAnsi="Times New Roman" w:cs="Times New Roman"/>
          <w:sz w:val="28"/>
          <w:szCs w:val="28"/>
        </w:rPr>
        <w:t xml:space="preserve">Данный уровень содержит множество онтологий, описывающих структуры программных сервисов и их компонентов: онтологии сервисов, агентов, шаблонов сообщений, онтология </w:t>
      </w:r>
      <w:r>
        <w:rPr>
          <w:rFonts w:ascii="Times New Roman" w:eastAsia="Times New Roman" w:hAnsi="Times New Roman" w:cs="Times New Roman"/>
          <w:sz w:val="28"/>
          <w:szCs w:val="28"/>
        </w:rPr>
        <w:t>методов обработки, сценариев научных исследования и др.</w:t>
      </w:r>
    </w:p>
    <w:p w14:paraId="464F4BC9" w14:textId="77777777" w:rsidR="006730D6" w:rsidRDefault="006730D6">
      <w:pPr>
        <w:spacing w:line="360" w:lineRule="auto"/>
        <w:jc w:val="center"/>
        <w:rPr>
          <w:rFonts w:ascii="Times New Roman" w:eastAsia="Times New Roman" w:hAnsi="Times New Roman" w:cs="Times New Roman"/>
          <w:sz w:val="28"/>
          <w:szCs w:val="28"/>
        </w:rPr>
      </w:pPr>
    </w:p>
    <w:p w14:paraId="6B1B3F59" w14:textId="77777777" w:rsidR="006730D6" w:rsidRDefault="00325EAC">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lang w:val="ru-RU"/>
        </w:rPr>
        <w:drawing>
          <wp:inline distT="114300" distB="114300" distL="114300" distR="114300" wp14:anchorId="2491C3F7" wp14:editId="071791E2">
            <wp:extent cx="6123900" cy="3530600"/>
            <wp:effectExtent l="0" t="0" r="0" b="0"/>
            <wp:docPr id="2"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7"/>
                    <a:srcRect/>
                    <a:stretch>
                      <a:fillRect/>
                    </a:stretch>
                  </pic:blipFill>
                  <pic:spPr>
                    <a:xfrm>
                      <a:off x="0" y="0"/>
                      <a:ext cx="6123900" cy="3530600"/>
                    </a:xfrm>
                    <a:prstGeom prst="rect">
                      <a:avLst/>
                    </a:prstGeom>
                    <a:ln/>
                  </pic:spPr>
                </pic:pic>
              </a:graphicData>
            </a:graphic>
          </wp:inline>
        </w:drawing>
      </w:r>
    </w:p>
    <w:p w14:paraId="0F5A37AA" w14:textId="77777777" w:rsidR="006730D6" w:rsidRDefault="00325EAC">
      <w:pPr>
        <w:spacing w:line="360" w:lineRule="auto"/>
        <w:jc w:val="center"/>
        <w:rPr>
          <w:rFonts w:ascii="Times New Roman" w:eastAsia="Times New Roman" w:hAnsi="Times New Roman" w:cs="Times New Roman"/>
          <w:b/>
          <w:color w:val="FF0000"/>
          <w:sz w:val="28"/>
          <w:szCs w:val="28"/>
          <w:highlight w:val="white"/>
        </w:rPr>
      </w:pPr>
      <w:r>
        <w:rPr>
          <w:rFonts w:ascii="Times New Roman" w:eastAsia="Times New Roman" w:hAnsi="Times New Roman" w:cs="Times New Roman"/>
          <w:sz w:val="28"/>
          <w:szCs w:val="28"/>
        </w:rPr>
        <w:t>Рис. 2. Онтологии хранилища биомедицинских данных</w:t>
      </w:r>
    </w:p>
    <w:p w14:paraId="131631D4" w14:textId="77777777" w:rsidR="006730D6" w:rsidRDefault="00325EAC">
      <w:pPr>
        <w:spacing w:line="360" w:lineRule="auto"/>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 xml:space="preserve">Данные </w:t>
      </w:r>
    </w:p>
    <w:p w14:paraId="558246EA" w14:textId="77777777" w:rsidR="006730D6" w:rsidRDefault="00325EAC">
      <w:pPr>
        <w:spacing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Данные ГХ делятся на </w:t>
      </w:r>
      <w:r>
        <w:rPr>
          <w:rFonts w:ascii="Times New Roman" w:eastAsia="Times New Roman" w:hAnsi="Times New Roman" w:cs="Times New Roman"/>
          <w:b/>
          <w:sz w:val="28"/>
          <w:szCs w:val="28"/>
        </w:rPr>
        <w:t>первичные,</w:t>
      </w:r>
      <w:r>
        <w:rPr>
          <w:rFonts w:ascii="Times New Roman" w:eastAsia="Times New Roman" w:hAnsi="Times New Roman" w:cs="Times New Roman"/>
          <w:sz w:val="28"/>
          <w:szCs w:val="28"/>
        </w:rPr>
        <w:t xml:space="preserve"> полученные из различных внешних источников, или сгенерированные средствами программных компонентов ГХ с целью их дальнейшей обработки, и </w:t>
      </w:r>
      <w:r>
        <w:rPr>
          <w:rFonts w:ascii="Times New Roman" w:eastAsia="Times New Roman" w:hAnsi="Times New Roman" w:cs="Times New Roman"/>
          <w:b/>
          <w:sz w:val="28"/>
          <w:szCs w:val="28"/>
        </w:rPr>
        <w:t>вторичные</w:t>
      </w:r>
      <w:r>
        <w:rPr>
          <w:rFonts w:ascii="Times New Roman" w:eastAsia="Times New Roman" w:hAnsi="Times New Roman" w:cs="Times New Roman"/>
          <w:sz w:val="28"/>
          <w:szCs w:val="28"/>
        </w:rPr>
        <w:t xml:space="preserve">, являющиеся результатом  обработки, например, проведенного научного исследования в соответствие с некоторым </w:t>
      </w:r>
      <w:r>
        <w:rPr>
          <w:rFonts w:ascii="Times New Roman" w:eastAsia="Times New Roman" w:hAnsi="Times New Roman" w:cs="Times New Roman"/>
          <w:sz w:val="28"/>
          <w:szCs w:val="28"/>
        </w:rPr>
        <w:t xml:space="preserve">сценарием, также представляющем собой вторичные данные. </w:t>
      </w:r>
    </w:p>
    <w:p w14:paraId="01E761FE" w14:textId="77777777" w:rsidR="006730D6" w:rsidRDefault="00325EAC">
      <w:pPr>
        <w:spacing w:line="360" w:lineRule="auto"/>
        <w:ind w:firstLine="7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rPr>
        <w:t xml:space="preserve">Первичные данные могут быть строго-, слабо- и не формализованными.  Все данные, введенные из внешних источников, требуют предварительной </w:t>
      </w:r>
      <w:r>
        <w:rPr>
          <w:rFonts w:ascii="Times New Roman" w:eastAsia="Times New Roman" w:hAnsi="Times New Roman" w:cs="Times New Roman"/>
          <w:sz w:val="28"/>
          <w:szCs w:val="28"/>
        </w:rPr>
        <w:lastRenderedPageBreak/>
        <w:t>обработки их с целью формализации, верификации и преобразовани</w:t>
      </w:r>
      <w:r>
        <w:rPr>
          <w:rFonts w:ascii="Times New Roman" w:eastAsia="Times New Roman" w:hAnsi="Times New Roman" w:cs="Times New Roman"/>
          <w:sz w:val="28"/>
          <w:szCs w:val="28"/>
        </w:rPr>
        <w:t>я в соответствии со структурой терминов. ГХ поддерживает следующие типы данных:</w:t>
      </w:r>
      <w:r>
        <w:rPr>
          <w:rFonts w:ascii="Times New Roman" w:eastAsia="Times New Roman" w:hAnsi="Times New Roman" w:cs="Times New Roman"/>
          <w:sz w:val="28"/>
          <w:szCs w:val="28"/>
          <w:highlight w:val="white"/>
        </w:rPr>
        <w:t xml:space="preserve"> </w:t>
      </w:r>
    </w:p>
    <w:p w14:paraId="24A6FEBA" w14:textId="77777777" w:rsidR="006730D6" w:rsidRDefault="00325EAC">
      <w:pPr>
        <w:numPr>
          <w:ilvl w:val="0"/>
          <w:numId w:val="1"/>
        </w:numPr>
        <w:spacing w:line="360" w:lineRule="auto"/>
        <w:ind w:left="425"/>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истории болезни, внесенные в ГХ через интерфейс программных компонентов, извлеченные из МИС,  либо представленные в формате текстовых файлов, подготовленных врачами в медицинс</w:t>
      </w:r>
      <w:r>
        <w:rPr>
          <w:rFonts w:ascii="Times New Roman" w:eastAsia="Times New Roman" w:hAnsi="Times New Roman" w:cs="Times New Roman"/>
          <w:sz w:val="28"/>
          <w:szCs w:val="28"/>
          <w:highlight w:val="white"/>
        </w:rPr>
        <w:t>ких организациях, где отсутствуют МИС;</w:t>
      </w:r>
    </w:p>
    <w:p w14:paraId="3586FAEB" w14:textId="77777777" w:rsidR="006730D6" w:rsidRDefault="00325EAC">
      <w:pPr>
        <w:numPr>
          <w:ilvl w:val="0"/>
          <w:numId w:val="1"/>
        </w:numPr>
        <w:pBdr>
          <w:top w:val="nil"/>
          <w:left w:val="nil"/>
          <w:bottom w:val="nil"/>
          <w:right w:val="nil"/>
          <w:between w:val="nil"/>
        </w:pBdr>
        <w:spacing w:line="360" w:lineRule="auto"/>
        <w:ind w:left="425"/>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формализованные данные медицинской организации, характеризующие ее процессы и эффективность работы;</w:t>
      </w:r>
    </w:p>
    <w:p w14:paraId="1654CF95" w14:textId="77777777" w:rsidR="006730D6" w:rsidRDefault="00325EAC">
      <w:pPr>
        <w:numPr>
          <w:ilvl w:val="0"/>
          <w:numId w:val="1"/>
        </w:numPr>
        <w:pBdr>
          <w:top w:val="nil"/>
          <w:left w:val="nil"/>
          <w:bottom w:val="nil"/>
          <w:right w:val="nil"/>
          <w:between w:val="nil"/>
        </w:pBdr>
        <w:spacing w:line="360" w:lineRule="auto"/>
        <w:ind w:left="425"/>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данные медицинской статистики, описывающие региональные и  федеральные системы здравоохранения; </w:t>
      </w:r>
    </w:p>
    <w:p w14:paraId="4EAC422C" w14:textId="77777777" w:rsidR="006730D6" w:rsidRDefault="00325EAC">
      <w:pPr>
        <w:numPr>
          <w:ilvl w:val="0"/>
          <w:numId w:val="1"/>
        </w:numPr>
        <w:pBdr>
          <w:top w:val="nil"/>
          <w:left w:val="nil"/>
          <w:bottom w:val="nil"/>
          <w:right w:val="nil"/>
          <w:between w:val="nil"/>
        </w:pBdr>
        <w:spacing w:line="360" w:lineRule="auto"/>
        <w:ind w:left="425"/>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данные экологическог</w:t>
      </w:r>
      <w:r>
        <w:rPr>
          <w:rFonts w:ascii="Times New Roman" w:eastAsia="Times New Roman" w:hAnsi="Times New Roman" w:cs="Times New Roman"/>
          <w:sz w:val="28"/>
          <w:szCs w:val="28"/>
          <w:highlight w:val="white"/>
        </w:rPr>
        <w:t>о, социально-экономического других видов мониторинга.</w:t>
      </w:r>
    </w:p>
    <w:p w14:paraId="417370EB" w14:textId="77777777" w:rsidR="006730D6" w:rsidRDefault="00325EAC">
      <w:pPr>
        <w:spacing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Реализация алгоритмов диагностики заболеваний и поиска аналогичных случаев, определение и оценка корректности процедур лечения, проведение исследований методами машинного обучения с целью извлечения нов</w:t>
      </w:r>
      <w:r>
        <w:rPr>
          <w:rFonts w:ascii="Times New Roman" w:eastAsia="Times New Roman" w:hAnsi="Times New Roman" w:cs="Times New Roman"/>
          <w:sz w:val="28"/>
          <w:szCs w:val="28"/>
        </w:rPr>
        <w:t>ых медицинских знаний возможны только на основе строго формализованных данных. Такие данные вводятся в ГХ через предоставляемый им  программный и пользовательский интерфейс. Для повышения качества исследований и принятия решений необходимо проводить процед</w:t>
      </w:r>
      <w:r>
        <w:rPr>
          <w:rFonts w:ascii="Times New Roman" w:eastAsia="Times New Roman" w:hAnsi="Times New Roman" w:cs="Times New Roman"/>
          <w:sz w:val="28"/>
          <w:szCs w:val="28"/>
        </w:rPr>
        <w:t xml:space="preserve">уры верификации строго формализованных данных, которые обеспечивают взаимосвязь историй болезни одного и того же пациента в течение жизни вплоть до смерти. </w:t>
      </w:r>
    </w:p>
    <w:p w14:paraId="04BFC689" w14:textId="77777777" w:rsidR="006730D6" w:rsidRDefault="00325EAC">
      <w:pPr>
        <w:spacing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Различные МИС содержат в большинстве случаев слабо-формализованные данные, хотя уровень формализаци</w:t>
      </w:r>
      <w:r>
        <w:rPr>
          <w:rFonts w:ascii="Times New Roman" w:eastAsia="Times New Roman" w:hAnsi="Times New Roman" w:cs="Times New Roman"/>
          <w:sz w:val="28"/>
          <w:szCs w:val="28"/>
        </w:rPr>
        <w:t>и существенно варьирует: от 10% до 90% объема информации истории болезни. Интерес для исследователей представляют и неформализованные истории болезни, например, формата doc, которых еще достаточно много в медицинских организациях России. Эти два типа данны</w:t>
      </w:r>
      <w:r>
        <w:rPr>
          <w:rFonts w:ascii="Times New Roman" w:eastAsia="Times New Roman" w:hAnsi="Times New Roman" w:cs="Times New Roman"/>
          <w:sz w:val="28"/>
          <w:szCs w:val="28"/>
        </w:rPr>
        <w:t xml:space="preserve">х должны быть подвергнуты специализированным процедурам формализации. Результаты лабораторных и </w:t>
      </w:r>
      <w:r>
        <w:rPr>
          <w:rFonts w:ascii="Times New Roman" w:eastAsia="Times New Roman" w:hAnsi="Times New Roman" w:cs="Times New Roman"/>
          <w:sz w:val="28"/>
          <w:szCs w:val="28"/>
        </w:rPr>
        <w:lastRenderedPageBreak/>
        <w:t>инструментальных исследований фактически являются частью историй болезни, и представляют собой строго формализованные лабораторные данные, изображения или разли</w:t>
      </w:r>
      <w:r>
        <w:rPr>
          <w:rFonts w:ascii="Times New Roman" w:eastAsia="Times New Roman" w:hAnsi="Times New Roman" w:cs="Times New Roman"/>
          <w:sz w:val="28"/>
          <w:szCs w:val="28"/>
        </w:rPr>
        <w:t xml:space="preserve">чные виды сигналов. Информация о процессах медицинской организации обычно может быть получена из МИС, и использоваться для оценки эффективности управления и деятельности таких организаций.  </w:t>
      </w:r>
    </w:p>
    <w:p w14:paraId="4C301D1B" w14:textId="77777777" w:rsidR="006730D6" w:rsidRDefault="00325EAC">
      <w:pPr>
        <w:spacing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Данные медицинской статистики описывают региональную или федераль</w:t>
      </w:r>
      <w:r>
        <w:rPr>
          <w:rFonts w:ascii="Times New Roman" w:eastAsia="Times New Roman" w:hAnsi="Times New Roman" w:cs="Times New Roman"/>
          <w:sz w:val="28"/>
          <w:szCs w:val="28"/>
        </w:rPr>
        <w:t>ную системы здравоохранения и извлекаются из систем медицинской статистики в медицинских информационно-аналитических центрах региона. Несмотря на то, что данные представлены в табличной форме, они требует процедур предварительной обработки. Проблемы связан</w:t>
      </w:r>
      <w:r>
        <w:rPr>
          <w:rFonts w:ascii="Times New Roman" w:eastAsia="Times New Roman" w:hAnsi="Times New Roman" w:cs="Times New Roman"/>
          <w:sz w:val="28"/>
          <w:szCs w:val="28"/>
        </w:rPr>
        <w:t>ы с тем, что формы статистической отчетности меняются ежегодно, как по объектам учета, так и по их атрибутике и типам. Кроме того, возникают проблемы, связанные с институциональными изменениями  системы регионального здравоохранения, которые необходимо учи</w:t>
      </w:r>
      <w:r>
        <w:rPr>
          <w:rFonts w:ascii="Times New Roman" w:eastAsia="Times New Roman" w:hAnsi="Times New Roman" w:cs="Times New Roman"/>
          <w:sz w:val="28"/>
          <w:szCs w:val="28"/>
        </w:rPr>
        <w:t xml:space="preserve">тывать при анализе временных рядов. </w:t>
      </w:r>
    </w:p>
    <w:p w14:paraId="6CD97C82" w14:textId="77777777" w:rsidR="006730D6" w:rsidRDefault="00325EAC">
      <w:pPr>
        <w:spacing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Данные экологического мониторинга (вода/воздух/почва) могут быть получены из систем Центров гигиены и эпидемиологии, которые также требуют предварительной обработки. Данные социально-экономического мониторинга могут быт</w:t>
      </w:r>
      <w:r>
        <w:rPr>
          <w:rFonts w:ascii="Times New Roman" w:eastAsia="Times New Roman" w:hAnsi="Times New Roman" w:cs="Times New Roman"/>
          <w:sz w:val="28"/>
          <w:szCs w:val="28"/>
        </w:rPr>
        <w:t xml:space="preserve">ь получены из открытых источников в виде таблиц, они характеризуют социально-экономический статус различных регионов и муниципальных образований. Для извлечения этих данных требуются специализированные программные компоненты предварительной обработки.  </w:t>
      </w:r>
    </w:p>
    <w:p w14:paraId="6E8A700C" w14:textId="77777777" w:rsidR="006730D6" w:rsidRDefault="00325EAC">
      <w:pPr>
        <w:spacing w:line="360" w:lineRule="auto"/>
        <w:ind w:firstLine="720"/>
        <w:jc w:val="both"/>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 xml:space="preserve">К </w:t>
      </w:r>
      <w:r>
        <w:rPr>
          <w:rFonts w:ascii="Times New Roman" w:eastAsia="Times New Roman" w:hAnsi="Times New Roman" w:cs="Times New Roman"/>
          <w:b/>
          <w:sz w:val="28"/>
          <w:szCs w:val="28"/>
          <w:highlight w:val="white"/>
        </w:rPr>
        <w:t>первичным данным мы относим и справочник медицинской терминологии и наблюдений.</w:t>
      </w:r>
      <w:r>
        <w:rPr>
          <w:rFonts w:ascii="Times New Roman" w:eastAsia="Times New Roman" w:hAnsi="Times New Roman" w:cs="Times New Roman"/>
          <w:sz w:val="28"/>
          <w:szCs w:val="28"/>
          <w:highlight w:val="white"/>
        </w:rPr>
        <w:t xml:space="preserve"> Базовый ресурс ГХ содержит формальное описание медицинских терминов, относящихся к определенным группам: морфология, физиология, патология, фармакология и др.; наблюдения, соде</w:t>
      </w:r>
      <w:r>
        <w:rPr>
          <w:rFonts w:ascii="Times New Roman" w:eastAsia="Times New Roman" w:hAnsi="Times New Roman" w:cs="Times New Roman"/>
          <w:sz w:val="28"/>
          <w:szCs w:val="28"/>
          <w:highlight w:val="white"/>
        </w:rPr>
        <w:t xml:space="preserve">ржащие группы признаков (жалобы, данные объективного исследования, данные лабораторных и инструментальных исследований), события (лечебные, диагностические мероприятия, осложнения и др.), факторы (профессиональные </w:t>
      </w:r>
      <w:r>
        <w:rPr>
          <w:rFonts w:ascii="Times New Roman" w:eastAsia="Times New Roman" w:hAnsi="Times New Roman" w:cs="Times New Roman"/>
          <w:sz w:val="28"/>
          <w:szCs w:val="28"/>
          <w:highlight w:val="white"/>
        </w:rPr>
        <w:lastRenderedPageBreak/>
        <w:t>вредности, вредные привычки и др.), справо</w:t>
      </w:r>
      <w:r>
        <w:rPr>
          <w:rFonts w:ascii="Times New Roman" w:eastAsia="Times New Roman" w:hAnsi="Times New Roman" w:cs="Times New Roman"/>
          <w:sz w:val="28"/>
          <w:szCs w:val="28"/>
          <w:highlight w:val="white"/>
        </w:rPr>
        <w:t xml:space="preserve">чник заболеваний МКБ. В настоящее время справочник медицинской терминологии и наблюдений включает около 24000 различных понятий и активно развивается всеми пользователями ГХ. </w:t>
      </w:r>
    </w:p>
    <w:p w14:paraId="4FF9810F" w14:textId="77777777" w:rsidR="006730D6" w:rsidRDefault="00325EAC">
      <w:pPr>
        <w:spacing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Вторичные данные</w:t>
      </w:r>
      <w:r>
        <w:rPr>
          <w:rFonts w:ascii="Times New Roman" w:eastAsia="Times New Roman" w:hAnsi="Times New Roman" w:cs="Times New Roman"/>
          <w:sz w:val="28"/>
          <w:szCs w:val="28"/>
        </w:rPr>
        <w:t xml:space="preserve"> представляю собой, во-первых, результаты обработки методами ста</w:t>
      </w:r>
      <w:r>
        <w:rPr>
          <w:rFonts w:ascii="Times New Roman" w:eastAsia="Times New Roman" w:hAnsi="Times New Roman" w:cs="Times New Roman"/>
          <w:sz w:val="28"/>
          <w:szCs w:val="28"/>
        </w:rPr>
        <w:t>тистического анализа, машинного обучения и искусственного интеллекта. Во-вторых, к вторичным данным относятся описания проведенных научных исследований, включая дизайн проекта, условия выборки первичных данных, последовательность применения методов и др. Н</w:t>
      </w:r>
      <w:r>
        <w:rPr>
          <w:rFonts w:ascii="Times New Roman" w:eastAsia="Times New Roman" w:hAnsi="Times New Roman" w:cs="Times New Roman"/>
          <w:sz w:val="28"/>
          <w:szCs w:val="28"/>
        </w:rPr>
        <w:t xml:space="preserve">аучные исследования проводятся в соответствии с некоторым сценарием, в который включаются условия выборки первичных данных, методы обработки и входные параметры, результаты обработки, их интерпретация, скрипты обработки на языках R или Python и др. Важной </w:t>
      </w:r>
      <w:r>
        <w:rPr>
          <w:rFonts w:ascii="Times New Roman" w:eastAsia="Times New Roman" w:hAnsi="Times New Roman" w:cs="Times New Roman"/>
          <w:sz w:val="28"/>
          <w:szCs w:val="28"/>
        </w:rPr>
        <w:t>целью сохранения в ГХ информации об исследовании является воспроизводимость (повторяемость) научных результатов, сравнение их между собой при изменении условий выборки, расширении объема первичных данных, условий применения методов обработки и др. К вторич</w:t>
      </w:r>
      <w:r>
        <w:rPr>
          <w:rFonts w:ascii="Times New Roman" w:eastAsia="Times New Roman" w:hAnsi="Times New Roman" w:cs="Times New Roman"/>
          <w:sz w:val="28"/>
          <w:szCs w:val="28"/>
        </w:rPr>
        <w:t>ным данным относят также все случаи применения интеллектуальных сервисов профилактики, диагностики и лечения заболеваний с логированием предложенной врачебной помощи и результатами применения. Эти данные необходимы для постоянного совершенствования получен</w:t>
      </w:r>
      <w:r>
        <w:rPr>
          <w:rFonts w:ascii="Times New Roman" w:eastAsia="Times New Roman" w:hAnsi="Times New Roman" w:cs="Times New Roman"/>
          <w:sz w:val="28"/>
          <w:szCs w:val="28"/>
        </w:rPr>
        <w:t xml:space="preserve">ных знаний, разрабатываемых алгоритмов и интеллектуальных систем. </w:t>
      </w:r>
    </w:p>
    <w:p w14:paraId="31D8EA4D" w14:textId="77777777" w:rsidR="006730D6" w:rsidRDefault="00325EAC">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Базы знаний</w:t>
      </w:r>
    </w:p>
    <w:p w14:paraId="69A15B3F" w14:textId="77777777" w:rsidR="006730D6" w:rsidRDefault="00325EAC">
      <w:pPr>
        <w:pBdr>
          <w:top w:val="nil"/>
          <w:left w:val="nil"/>
          <w:bottom w:val="nil"/>
          <w:right w:val="nil"/>
          <w:between w:val="nil"/>
        </w:pBdr>
        <w:spacing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К настоящему времени в медицине накоплены уникальные знания по диагностике, лечению и профилактике заболеваний, которые представлены в медицинской литературе, научных отчетах и многочисленных статьях. Однако такие знания в не формализованном виде  использу</w:t>
      </w:r>
      <w:r>
        <w:rPr>
          <w:rFonts w:ascii="Times New Roman" w:eastAsia="Times New Roman" w:hAnsi="Times New Roman" w:cs="Times New Roman"/>
          <w:sz w:val="28"/>
          <w:szCs w:val="28"/>
          <w:highlight w:val="white"/>
        </w:rPr>
        <w:t xml:space="preserve">ются только специалистами в своей узкой области. Для повышения эффективности врачебных решений, необходимо расширение применения знаний, а для этого они должны быть </w:t>
      </w:r>
      <w:r>
        <w:rPr>
          <w:rFonts w:ascii="Times New Roman" w:eastAsia="Times New Roman" w:hAnsi="Times New Roman" w:cs="Times New Roman"/>
          <w:sz w:val="28"/>
          <w:szCs w:val="28"/>
          <w:highlight w:val="white"/>
        </w:rPr>
        <w:lastRenderedPageBreak/>
        <w:t xml:space="preserve">доступны для обработки программными системами, которые помогут врачам принять обоснованные </w:t>
      </w:r>
      <w:r>
        <w:rPr>
          <w:rFonts w:ascii="Times New Roman" w:eastAsia="Times New Roman" w:hAnsi="Times New Roman" w:cs="Times New Roman"/>
          <w:sz w:val="28"/>
          <w:szCs w:val="28"/>
          <w:highlight w:val="white"/>
        </w:rPr>
        <w:t>клинические решения. С этой целью знания формализуют и формируют базы знаний, структура которых представлена в онтологиях. Основными базами знания ГХ являют</w:t>
      </w:r>
      <w:r>
        <w:rPr>
          <w:rFonts w:ascii="Times New Roman" w:eastAsia="Times New Roman" w:hAnsi="Times New Roman" w:cs="Times New Roman"/>
          <w:sz w:val="28"/>
          <w:szCs w:val="28"/>
        </w:rPr>
        <w:t>ся: базы знаний по диагностике острых, хронических заболеваний и синдромов, базы знаний по медикамен</w:t>
      </w:r>
      <w:r>
        <w:rPr>
          <w:rFonts w:ascii="Times New Roman" w:eastAsia="Times New Roman" w:hAnsi="Times New Roman" w:cs="Times New Roman"/>
          <w:sz w:val="28"/>
          <w:szCs w:val="28"/>
        </w:rPr>
        <w:t xml:space="preserve">тозному и восстановительному лечению, </w:t>
      </w:r>
      <w:r>
        <w:rPr>
          <w:rFonts w:ascii="Times New Roman" w:eastAsia="Times New Roman" w:hAnsi="Times New Roman" w:cs="Times New Roman"/>
          <w:sz w:val="28"/>
          <w:szCs w:val="28"/>
          <w:highlight w:val="white"/>
        </w:rPr>
        <w:t>база знаний по фармакотерапии, базы эксперименталь</w:t>
      </w:r>
      <w:r>
        <w:rPr>
          <w:rFonts w:ascii="Times New Roman" w:eastAsia="Times New Roman" w:hAnsi="Times New Roman" w:cs="Times New Roman"/>
          <w:sz w:val="28"/>
          <w:szCs w:val="28"/>
        </w:rPr>
        <w:t>ных знаний, полученных в результате научных исследований с данными ГХ и др.</w:t>
      </w:r>
    </w:p>
    <w:p w14:paraId="6E366077" w14:textId="77777777" w:rsidR="006730D6" w:rsidRDefault="00325EAC">
      <w:pPr>
        <w:spacing w:line="360"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b/>
          <w:sz w:val="28"/>
          <w:szCs w:val="28"/>
          <w:highlight w:val="white"/>
        </w:rPr>
        <w:t xml:space="preserve">Базы знаний по диагностике острых, хронических заболеваний и синдромов. </w:t>
      </w:r>
      <w:r>
        <w:rPr>
          <w:rFonts w:ascii="Times New Roman" w:eastAsia="Times New Roman" w:hAnsi="Times New Roman" w:cs="Times New Roman"/>
          <w:sz w:val="28"/>
          <w:szCs w:val="28"/>
          <w:highlight w:val="white"/>
        </w:rPr>
        <w:t>Базы знаний включают</w:t>
      </w:r>
      <w:r>
        <w:rPr>
          <w:rFonts w:ascii="Times New Roman" w:eastAsia="Times New Roman" w:hAnsi="Times New Roman" w:cs="Times New Roman"/>
          <w:sz w:val="28"/>
          <w:szCs w:val="28"/>
          <w:highlight w:val="white"/>
        </w:rPr>
        <w:t>: комплекс диагностических признаков и вариативность их динамики;  специфичность симптомов заболеваний; средства уточнения диагнозов с учетом этиологии, патогенеза, варианта течения; определение необходимых условий для развития заболеваний  и др. Базы знан</w:t>
      </w:r>
      <w:r>
        <w:rPr>
          <w:rFonts w:ascii="Times New Roman" w:eastAsia="Times New Roman" w:hAnsi="Times New Roman" w:cs="Times New Roman"/>
          <w:sz w:val="28"/>
          <w:szCs w:val="28"/>
          <w:highlight w:val="white"/>
        </w:rPr>
        <w:t xml:space="preserve">ий групп заболеваний, доступные в ГХ в  настоящее время, представлены на рис. 3; на </w:t>
      </w:r>
      <w:r>
        <w:rPr>
          <w:rFonts w:ascii="Times New Roman" w:eastAsia="Times New Roman" w:hAnsi="Times New Roman" w:cs="Times New Roman"/>
          <w:sz w:val="28"/>
          <w:szCs w:val="28"/>
        </w:rPr>
        <w:t xml:space="preserve">рис. 4 </w:t>
      </w:r>
      <w:r>
        <w:rPr>
          <w:rFonts w:ascii="Times New Roman" w:eastAsia="Times New Roman" w:hAnsi="Times New Roman" w:cs="Times New Roman"/>
          <w:sz w:val="28"/>
          <w:szCs w:val="28"/>
          <w:highlight w:val="white"/>
        </w:rPr>
        <w:t xml:space="preserve">представлен скриншот фрагмента базы знаний  по диагностике геморрагической лихорадки с почечным синдромом </w:t>
      </w:r>
      <w:r>
        <w:rPr>
          <w:rFonts w:ascii="Times New Roman" w:eastAsia="Times New Roman" w:hAnsi="Times New Roman" w:cs="Times New Roman"/>
          <w:sz w:val="28"/>
          <w:szCs w:val="28"/>
        </w:rPr>
        <w:t>(ГЛПС)</w:t>
      </w:r>
      <w:r>
        <w:rPr>
          <w:rFonts w:ascii="Times New Roman" w:eastAsia="Times New Roman" w:hAnsi="Times New Roman" w:cs="Times New Roman"/>
          <w:sz w:val="28"/>
          <w:szCs w:val="28"/>
          <w:highlight w:val="white"/>
        </w:rPr>
        <w:t xml:space="preserve">. </w:t>
      </w:r>
    </w:p>
    <w:p w14:paraId="371FBA9B" w14:textId="77777777" w:rsidR="006730D6" w:rsidRDefault="00325EAC">
      <w:pPr>
        <w:spacing w:line="360"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b/>
          <w:noProof/>
          <w:sz w:val="28"/>
          <w:szCs w:val="28"/>
          <w:highlight w:val="white"/>
          <w:lang w:val="ru-RU"/>
        </w:rPr>
        <w:drawing>
          <wp:inline distT="114300" distB="114300" distL="114300" distR="114300" wp14:anchorId="2E443297" wp14:editId="09559A22">
            <wp:extent cx="6123900" cy="127000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6123900" cy="1270000"/>
                    </a:xfrm>
                    <a:prstGeom prst="rect">
                      <a:avLst/>
                    </a:prstGeom>
                    <a:ln/>
                  </pic:spPr>
                </pic:pic>
              </a:graphicData>
            </a:graphic>
          </wp:inline>
        </w:drawing>
      </w:r>
    </w:p>
    <w:p w14:paraId="57468C12" w14:textId="77777777" w:rsidR="006730D6" w:rsidRDefault="00325EAC">
      <w:pPr>
        <w:spacing w:line="360" w:lineRule="auto"/>
        <w:jc w:val="both"/>
        <w:rPr>
          <w:rFonts w:ascii="Times New Roman" w:eastAsia="Times New Roman" w:hAnsi="Times New Roman" w:cs="Times New Roman"/>
          <w:b/>
          <w:sz w:val="28"/>
          <w:szCs w:val="28"/>
          <w:highlight w:val="white"/>
        </w:rPr>
      </w:pPr>
      <w:r>
        <w:rPr>
          <w:rFonts w:ascii="Times New Roman" w:eastAsia="Times New Roman" w:hAnsi="Times New Roman" w:cs="Times New Roman"/>
          <w:sz w:val="28"/>
          <w:szCs w:val="28"/>
          <w:highlight w:val="white"/>
        </w:rPr>
        <w:t>Рис. 3. Скриншот групп заболеваний, доступных дл</w:t>
      </w:r>
      <w:r>
        <w:rPr>
          <w:rFonts w:ascii="Times New Roman" w:eastAsia="Times New Roman" w:hAnsi="Times New Roman" w:cs="Times New Roman"/>
          <w:sz w:val="28"/>
          <w:szCs w:val="28"/>
          <w:highlight w:val="white"/>
        </w:rPr>
        <w:t>я диагностики</w:t>
      </w:r>
    </w:p>
    <w:p w14:paraId="48787E7B" w14:textId="77777777" w:rsidR="006730D6" w:rsidRDefault="00325EAC">
      <w:pPr>
        <w:spacing w:line="360"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b/>
          <w:sz w:val="28"/>
          <w:szCs w:val="28"/>
          <w:highlight w:val="white"/>
        </w:rPr>
        <w:t xml:space="preserve">База знаний по назначению лечения (медикаментозного и восстановительного). </w:t>
      </w:r>
      <w:r>
        <w:rPr>
          <w:rFonts w:ascii="Times New Roman" w:eastAsia="Times New Roman" w:hAnsi="Times New Roman" w:cs="Times New Roman"/>
          <w:sz w:val="28"/>
          <w:szCs w:val="28"/>
          <w:highlight w:val="white"/>
        </w:rPr>
        <w:t>В ГХ содержатся базы знаний по назначению медикаментозного и восстановительного лечения, включающие описание Группы заболеваний с общими принципами лечения, как правил</w:t>
      </w:r>
      <w:r>
        <w:rPr>
          <w:rFonts w:ascii="Times New Roman" w:eastAsia="Times New Roman" w:hAnsi="Times New Roman" w:cs="Times New Roman"/>
          <w:sz w:val="28"/>
          <w:szCs w:val="28"/>
          <w:highlight w:val="white"/>
        </w:rPr>
        <w:t>о, симптоматического и/или патогенетического, в том числе модель, вид, цель и схему терапии. Каждый раздел базы знаний описывается набором условий, представляющих собой клиническое наблюдение, относящееся или к персональным данным пациента, или к клиническ</w:t>
      </w:r>
      <w:r>
        <w:rPr>
          <w:rFonts w:ascii="Times New Roman" w:eastAsia="Times New Roman" w:hAnsi="Times New Roman" w:cs="Times New Roman"/>
          <w:sz w:val="28"/>
          <w:szCs w:val="28"/>
          <w:highlight w:val="white"/>
        </w:rPr>
        <w:t xml:space="preserve">ой картине заболевания, </w:t>
      </w:r>
      <w:r>
        <w:rPr>
          <w:rFonts w:ascii="Times New Roman" w:eastAsia="Times New Roman" w:hAnsi="Times New Roman" w:cs="Times New Roman"/>
          <w:sz w:val="28"/>
          <w:szCs w:val="28"/>
          <w:highlight w:val="white"/>
        </w:rPr>
        <w:lastRenderedPageBreak/>
        <w:t>результатам лабораторных и инструментальных исследований. Базы знаний по восстановительному лечению описывают возможные варианты использования методов восстановительного лечения заболеваний, учитывая назначенную медикаментозную тера</w:t>
      </w:r>
      <w:r>
        <w:rPr>
          <w:rFonts w:ascii="Times New Roman" w:eastAsia="Times New Roman" w:hAnsi="Times New Roman" w:cs="Times New Roman"/>
          <w:sz w:val="28"/>
          <w:szCs w:val="28"/>
          <w:highlight w:val="white"/>
        </w:rPr>
        <w:t xml:space="preserve">пию, персональные особенности пациента, индивидуальность клинической картины заболевания. </w:t>
      </w:r>
    </w:p>
    <w:p w14:paraId="51991CC2" w14:textId="77777777" w:rsidR="006730D6" w:rsidRDefault="00325EAC">
      <w:pPr>
        <w:spacing w:line="360"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noProof/>
          <w:sz w:val="28"/>
          <w:szCs w:val="28"/>
          <w:highlight w:val="white"/>
          <w:lang w:val="ru-RU"/>
        </w:rPr>
        <w:drawing>
          <wp:inline distT="114300" distB="114300" distL="114300" distR="114300" wp14:anchorId="3406C492" wp14:editId="02AFF40D">
            <wp:extent cx="5599838" cy="4319626"/>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b="26134"/>
                    <a:stretch>
                      <a:fillRect/>
                    </a:stretch>
                  </pic:blipFill>
                  <pic:spPr>
                    <a:xfrm>
                      <a:off x="0" y="0"/>
                      <a:ext cx="5599838" cy="4319626"/>
                    </a:xfrm>
                    <a:prstGeom prst="rect">
                      <a:avLst/>
                    </a:prstGeom>
                    <a:ln/>
                  </pic:spPr>
                </pic:pic>
              </a:graphicData>
            </a:graphic>
          </wp:inline>
        </w:drawing>
      </w:r>
    </w:p>
    <w:p w14:paraId="79F123C7" w14:textId="77777777" w:rsidR="006730D6" w:rsidRDefault="00325EAC">
      <w:pPr>
        <w:spacing w:line="360" w:lineRule="auto"/>
        <w:ind w:left="7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Рис. 4. Скриншот фрагмента базы знаний по диагностике ГЛПС</w:t>
      </w:r>
    </w:p>
    <w:p w14:paraId="32F67950" w14:textId="77777777" w:rsidR="006730D6" w:rsidRDefault="00325EAC">
      <w:pPr>
        <w:spacing w:line="360"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b/>
          <w:sz w:val="28"/>
          <w:szCs w:val="28"/>
          <w:highlight w:val="white"/>
        </w:rPr>
        <w:t xml:space="preserve">База знаний фармакотерапии. </w:t>
      </w:r>
      <w:r>
        <w:rPr>
          <w:rFonts w:ascii="Times New Roman" w:eastAsia="Times New Roman" w:hAnsi="Times New Roman" w:cs="Times New Roman"/>
          <w:sz w:val="28"/>
          <w:szCs w:val="28"/>
          <w:highlight w:val="white"/>
        </w:rPr>
        <w:t xml:space="preserve">База фармакотерапии включает описание действующих веществ с их </w:t>
      </w:r>
      <w:r>
        <w:rPr>
          <w:rFonts w:ascii="Times New Roman" w:eastAsia="Times New Roman" w:hAnsi="Times New Roman" w:cs="Times New Roman"/>
          <w:sz w:val="28"/>
          <w:szCs w:val="28"/>
        </w:rPr>
        <w:t>фармакологическими группами, свойствами, заболеваниями. Ее особенностью и принципиальным отличием от аналогов является формальное описание таких значимых для систем поддержки принятия решений атрибутов как противопоказания, побочные действия, передозировка</w:t>
      </w:r>
      <w:r>
        <w:rPr>
          <w:rFonts w:ascii="Times New Roman" w:eastAsia="Times New Roman" w:hAnsi="Times New Roman" w:cs="Times New Roman"/>
          <w:sz w:val="28"/>
          <w:szCs w:val="28"/>
        </w:rPr>
        <w:t>, взаимодействие с другими лекарственными средствами. Данные атрибуты описываются как множество значений признаков, событий и факторов, связанных логически</w:t>
      </w:r>
      <w:r>
        <w:rPr>
          <w:rFonts w:ascii="Times New Roman" w:eastAsia="Times New Roman" w:hAnsi="Times New Roman" w:cs="Times New Roman"/>
          <w:sz w:val="28"/>
          <w:szCs w:val="28"/>
          <w:highlight w:val="white"/>
        </w:rPr>
        <w:t>ми условиями, каждый из которых имеет структуру, определенную в базе терминологии и наблюдений.</w:t>
      </w:r>
    </w:p>
    <w:p w14:paraId="3498BAD2" w14:textId="77777777" w:rsidR="006730D6" w:rsidRDefault="00325EAC">
      <w:pPr>
        <w:spacing w:line="360"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b/>
          <w:sz w:val="28"/>
          <w:szCs w:val="28"/>
          <w:highlight w:val="white"/>
        </w:rPr>
        <w:lastRenderedPageBreak/>
        <w:t xml:space="preserve">База </w:t>
      </w:r>
      <w:r>
        <w:rPr>
          <w:rFonts w:ascii="Times New Roman" w:eastAsia="Times New Roman" w:hAnsi="Times New Roman" w:cs="Times New Roman"/>
          <w:b/>
          <w:sz w:val="28"/>
          <w:szCs w:val="28"/>
          <w:highlight w:val="white"/>
        </w:rPr>
        <w:t xml:space="preserve">экспериментальных медицинских знаний. </w:t>
      </w:r>
      <w:r>
        <w:rPr>
          <w:rFonts w:ascii="Times New Roman" w:eastAsia="Times New Roman" w:hAnsi="Times New Roman" w:cs="Times New Roman"/>
          <w:sz w:val="28"/>
          <w:szCs w:val="28"/>
          <w:highlight w:val="white"/>
        </w:rPr>
        <w:t>База представляет собой новые медицинские знания, полученные в результате обработки и анализа первичных клинических и статистических данных ГХ. Эти знания ранее не были нигде описаны  и являются результатом анализа дан</w:t>
      </w:r>
      <w:r>
        <w:rPr>
          <w:rFonts w:ascii="Times New Roman" w:eastAsia="Times New Roman" w:hAnsi="Times New Roman" w:cs="Times New Roman"/>
          <w:sz w:val="28"/>
          <w:szCs w:val="28"/>
          <w:highlight w:val="white"/>
        </w:rPr>
        <w:t>ных ГХ методами искусственного интеллекта. Знания имеют различные формы, например</w:t>
      </w:r>
      <w:r>
        <w:rPr>
          <w:rFonts w:ascii="Times New Roman" w:eastAsia="Times New Roman" w:hAnsi="Times New Roman" w:cs="Times New Roman"/>
          <w:sz w:val="28"/>
          <w:szCs w:val="28"/>
        </w:rPr>
        <w:t xml:space="preserve"> л</w:t>
      </w:r>
      <w:r>
        <w:rPr>
          <w:rFonts w:ascii="Times New Roman" w:eastAsia="Times New Roman" w:hAnsi="Times New Roman" w:cs="Times New Roman"/>
          <w:sz w:val="28"/>
          <w:szCs w:val="28"/>
          <w:highlight w:val="white"/>
        </w:rPr>
        <w:t>инейной, логистической, мультиномиальной, порядковой регрессий, искусственной нейронной сети и др. Эти модели вместе со своими весовыми коэффициентами, предикторами, свободн</w:t>
      </w:r>
      <w:r>
        <w:rPr>
          <w:rFonts w:ascii="Times New Roman" w:eastAsia="Times New Roman" w:hAnsi="Times New Roman" w:cs="Times New Roman"/>
          <w:sz w:val="28"/>
          <w:szCs w:val="28"/>
          <w:highlight w:val="white"/>
        </w:rPr>
        <w:t>ыми членами и архитектурой описывают физиологические процессы, определяют прогноз течения и степень тяжести заболеваний, вероятность осложнений, длительность жизни после операции и др. [26, 27]. Полученные знания должны заново верифицироваться при расширен</w:t>
      </w:r>
      <w:r>
        <w:rPr>
          <w:rFonts w:ascii="Times New Roman" w:eastAsia="Times New Roman" w:hAnsi="Times New Roman" w:cs="Times New Roman"/>
          <w:sz w:val="28"/>
          <w:szCs w:val="28"/>
          <w:highlight w:val="white"/>
        </w:rPr>
        <w:t xml:space="preserve">ии базы первичных данных. Они используются наравне с ранее введенными в ГХ знаниями из внешних источников: стандартами лечения, правилами диагностики заболевания, назначения лечения и др. </w:t>
      </w:r>
      <w:r>
        <w:rPr>
          <w:rFonts w:ascii="Times New Roman" w:eastAsia="Times New Roman" w:hAnsi="Times New Roman" w:cs="Times New Roman"/>
          <w:sz w:val="28"/>
          <w:szCs w:val="28"/>
        </w:rPr>
        <w:t>Компоненты, которые реализуют интеллектуальные сервисы по профилакти</w:t>
      </w:r>
      <w:r>
        <w:rPr>
          <w:rFonts w:ascii="Times New Roman" w:eastAsia="Times New Roman" w:hAnsi="Times New Roman" w:cs="Times New Roman"/>
          <w:sz w:val="28"/>
          <w:szCs w:val="28"/>
        </w:rPr>
        <w:t xml:space="preserve">ке, диагностике и лечению, обеспечивая поддержку врачебных решений, используют эти знания </w:t>
      </w:r>
      <w:r>
        <w:rPr>
          <w:rFonts w:ascii="Times New Roman" w:eastAsia="Times New Roman" w:hAnsi="Times New Roman" w:cs="Times New Roman"/>
          <w:sz w:val="28"/>
          <w:szCs w:val="28"/>
          <w:highlight w:val="white"/>
        </w:rPr>
        <w:t xml:space="preserve">и фиксируют все случаи их применения.  Эта информация в дальнейшем учитывается для уточнения медицинских знаний. </w:t>
      </w:r>
    </w:p>
    <w:p w14:paraId="6243CC13" w14:textId="77777777" w:rsidR="006730D6" w:rsidRDefault="00325EAC">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Программные компоненты </w:t>
      </w:r>
    </w:p>
    <w:p w14:paraId="5DF8E12C" w14:textId="77777777" w:rsidR="006730D6" w:rsidRDefault="00325EAC">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Программные компоненты ГХ  -</w:t>
      </w:r>
      <w:r>
        <w:rPr>
          <w:rFonts w:ascii="Times New Roman" w:eastAsia="Times New Roman" w:hAnsi="Times New Roman" w:cs="Times New Roman"/>
          <w:sz w:val="28"/>
          <w:szCs w:val="28"/>
        </w:rPr>
        <w:t xml:space="preserve"> это, прежде всего, прикладные программные сервисы интеллектуальной обработки данных и знаний для решения научных задач, а также задач практической медицины и образования. Для их создания используются фреймворки и программные средства общего назначения, на</w:t>
      </w:r>
      <w:r>
        <w:rPr>
          <w:rFonts w:ascii="Times New Roman" w:eastAsia="Times New Roman" w:hAnsi="Times New Roman" w:cs="Times New Roman"/>
          <w:sz w:val="28"/>
          <w:szCs w:val="28"/>
        </w:rPr>
        <w:t>пример,  платформа IACPaaS [28], предназначенная для создания интеллектуальных сервисов в произвольных предметных областях, платформы вместе с библиотеками, поддерживающие обработку больших массивов данных, например, R-studio (с языком R), Anaconda (с язык</w:t>
      </w:r>
      <w:r>
        <w:rPr>
          <w:rFonts w:ascii="Times New Roman" w:eastAsia="Times New Roman" w:hAnsi="Times New Roman" w:cs="Times New Roman"/>
          <w:sz w:val="28"/>
          <w:szCs w:val="28"/>
        </w:rPr>
        <w:t xml:space="preserve">ом Python), а также специализированные оболочки и системы, ориентированные на создание </w:t>
      </w:r>
      <w:r>
        <w:rPr>
          <w:rFonts w:ascii="Times New Roman" w:eastAsia="Times New Roman" w:hAnsi="Times New Roman" w:cs="Times New Roman"/>
          <w:sz w:val="28"/>
          <w:szCs w:val="28"/>
        </w:rPr>
        <w:lastRenderedPageBreak/>
        <w:t>интеллектуальных систем и сервисов, решающих задачи определенных классов, например, диагностики процессов (заболеваний).</w:t>
      </w:r>
    </w:p>
    <w:p w14:paraId="2FE340E2" w14:textId="77777777" w:rsidR="006730D6" w:rsidRDefault="00325EAC">
      <w:pPr>
        <w:spacing w:line="360"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b/>
          <w:sz w:val="28"/>
          <w:szCs w:val="28"/>
          <w:highlight w:val="white"/>
        </w:rPr>
        <w:t>Системная программная компонента импорта и экспо</w:t>
      </w:r>
      <w:r>
        <w:rPr>
          <w:rFonts w:ascii="Times New Roman" w:eastAsia="Times New Roman" w:hAnsi="Times New Roman" w:cs="Times New Roman"/>
          <w:b/>
          <w:sz w:val="28"/>
          <w:szCs w:val="28"/>
          <w:highlight w:val="white"/>
        </w:rPr>
        <w:t xml:space="preserve">рта данных в/из ГХ. </w:t>
      </w:r>
      <w:r>
        <w:rPr>
          <w:rFonts w:ascii="Times New Roman" w:eastAsia="Times New Roman" w:hAnsi="Times New Roman" w:cs="Times New Roman"/>
          <w:sz w:val="28"/>
          <w:szCs w:val="28"/>
          <w:highlight w:val="white"/>
        </w:rPr>
        <w:t>Импорт клинических данных выполняется в соответствии с онтологиями истории болезни, используя  базу данных медицинской терминологии и наблюдений. Импортировать можно только строго формализованные данные.</w:t>
      </w:r>
    </w:p>
    <w:p w14:paraId="3C3CE728" w14:textId="77777777" w:rsidR="006730D6" w:rsidRDefault="00325EAC">
      <w:pPr>
        <w:pBdr>
          <w:top w:val="nil"/>
          <w:left w:val="nil"/>
          <w:bottom w:val="nil"/>
          <w:right w:val="nil"/>
          <w:between w:val="nil"/>
        </w:pBd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highlight w:val="white"/>
        </w:rPr>
        <w:t>Специализированная программная к</w:t>
      </w:r>
      <w:r>
        <w:rPr>
          <w:rFonts w:ascii="Times New Roman" w:eastAsia="Times New Roman" w:hAnsi="Times New Roman" w:cs="Times New Roman"/>
          <w:b/>
          <w:sz w:val="28"/>
          <w:szCs w:val="28"/>
          <w:highlight w:val="white"/>
        </w:rPr>
        <w:t xml:space="preserve">омпонента предварительной обработки клинических данных. </w:t>
      </w:r>
      <w:r>
        <w:rPr>
          <w:rFonts w:ascii="Times New Roman" w:eastAsia="Times New Roman" w:hAnsi="Times New Roman" w:cs="Times New Roman"/>
          <w:sz w:val="28"/>
          <w:szCs w:val="28"/>
          <w:highlight w:val="white"/>
        </w:rPr>
        <w:t xml:space="preserve">Предварительная </w:t>
      </w:r>
      <w:r>
        <w:rPr>
          <w:rFonts w:ascii="Times New Roman" w:eastAsia="Times New Roman" w:hAnsi="Times New Roman" w:cs="Times New Roman"/>
          <w:sz w:val="28"/>
          <w:szCs w:val="28"/>
        </w:rPr>
        <w:t>обработка клинических данных включает: структурирование историй болезни и формализацию  ее разделов. Структурирование историй болезни выполняется в соответствие с онтологией истории бо</w:t>
      </w:r>
      <w:r>
        <w:rPr>
          <w:rFonts w:ascii="Times New Roman" w:eastAsia="Times New Roman" w:hAnsi="Times New Roman" w:cs="Times New Roman"/>
          <w:sz w:val="28"/>
          <w:szCs w:val="28"/>
        </w:rPr>
        <w:t>лезни, когда из неструктурированных файлов, обычно формата doc, выделяются разделы (жалобы, дневники, выписка, эпикриз и др.) и фиксируется текст внутри каждого раздела. Формализация истории болезни подразумевает превращение текста внутри разделов в числов</w:t>
      </w:r>
      <w:r>
        <w:rPr>
          <w:rFonts w:ascii="Times New Roman" w:eastAsia="Times New Roman" w:hAnsi="Times New Roman" w:cs="Times New Roman"/>
          <w:sz w:val="28"/>
          <w:szCs w:val="28"/>
        </w:rPr>
        <w:t>ые, строковые и категориальные переменные. По определенным правилам, соответствующим разделам историй болезни, формируются грамматики, которые с помощью средств обработки текста, например, Томита-парсер обеспечивают формализацию текста. В качестве словарей</w:t>
      </w:r>
      <w:r>
        <w:rPr>
          <w:rFonts w:ascii="Times New Roman" w:eastAsia="Times New Roman" w:hAnsi="Times New Roman" w:cs="Times New Roman"/>
          <w:sz w:val="28"/>
          <w:szCs w:val="28"/>
        </w:rPr>
        <w:t xml:space="preserve"> используются база данных медицинских терминов и наблюдений и база знаний диагностики и лечения. </w:t>
      </w:r>
    </w:p>
    <w:p w14:paraId="077CC732" w14:textId="77777777" w:rsidR="006730D6" w:rsidRDefault="00325EAC">
      <w:pPr>
        <w:spacing w:line="360"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b/>
          <w:sz w:val="28"/>
          <w:szCs w:val="28"/>
          <w:highlight w:val="white"/>
        </w:rPr>
        <w:t xml:space="preserve">Специализированная программная компонента предварительной обработки статистических данных. </w:t>
      </w:r>
      <w:r>
        <w:rPr>
          <w:rFonts w:ascii="Times New Roman" w:eastAsia="Times New Roman" w:hAnsi="Times New Roman" w:cs="Times New Roman"/>
          <w:sz w:val="28"/>
          <w:szCs w:val="28"/>
          <w:highlight w:val="white"/>
        </w:rPr>
        <w:t>Компонента обеспечивает решение проблем данных, связанных с ежегодн</w:t>
      </w:r>
      <w:r>
        <w:rPr>
          <w:rFonts w:ascii="Times New Roman" w:eastAsia="Times New Roman" w:hAnsi="Times New Roman" w:cs="Times New Roman"/>
          <w:sz w:val="28"/>
          <w:szCs w:val="28"/>
          <w:highlight w:val="white"/>
        </w:rPr>
        <w:t>ым изменением форм статистической отчетности, изменением объектов учета, их атрибутов и позволяет формировать временные ряды, которые пригодны для соответствующего анализа [29]. Также эта компонента позволяет приводить к табличном виду статистические данны</w:t>
      </w:r>
      <w:r>
        <w:rPr>
          <w:rFonts w:ascii="Times New Roman" w:eastAsia="Times New Roman" w:hAnsi="Times New Roman" w:cs="Times New Roman"/>
          <w:sz w:val="28"/>
          <w:szCs w:val="28"/>
          <w:highlight w:val="white"/>
        </w:rPr>
        <w:t xml:space="preserve">е, собранные из открытых источников (РОССТАТ, НИИ Информатизации здравоохранения и др.) </w:t>
      </w:r>
    </w:p>
    <w:p w14:paraId="58F27E96" w14:textId="77777777" w:rsidR="006730D6" w:rsidRDefault="00325EAC">
      <w:pPr>
        <w:spacing w:line="360"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b/>
          <w:sz w:val="28"/>
          <w:szCs w:val="28"/>
          <w:highlight w:val="white"/>
        </w:rPr>
        <w:t xml:space="preserve">Специализированная оболочка для создания систем поддержки принятия решений для практической медицины </w:t>
      </w:r>
      <w:r>
        <w:rPr>
          <w:rFonts w:ascii="Times New Roman" w:eastAsia="Times New Roman" w:hAnsi="Times New Roman" w:cs="Times New Roman"/>
          <w:sz w:val="28"/>
          <w:szCs w:val="28"/>
          <w:highlight w:val="white"/>
        </w:rPr>
        <w:t xml:space="preserve">[30,31]. Данная оболочка обеспечивает </w:t>
      </w:r>
      <w:r>
        <w:rPr>
          <w:rFonts w:ascii="Times New Roman" w:eastAsia="Times New Roman" w:hAnsi="Times New Roman" w:cs="Times New Roman"/>
          <w:sz w:val="28"/>
          <w:szCs w:val="28"/>
          <w:highlight w:val="white"/>
        </w:rPr>
        <w:lastRenderedPageBreak/>
        <w:t>поддержку принятия клиническ</w:t>
      </w:r>
      <w:r>
        <w:rPr>
          <w:rFonts w:ascii="Times New Roman" w:eastAsia="Times New Roman" w:hAnsi="Times New Roman" w:cs="Times New Roman"/>
          <w:sz w:val="28"/>
          <w:szCs w:val="28"/>
          <w:highlight w:val="white"/>
        </w:rPr>
        <w:t>их решений по диагностике и лечению заболеваний в различных разделах медицины. Она использует, помимо информационных компонентов ГХ, решатели задач по диагностике и назначению лечения. Расширение областей применения оболочки связано с формированием новых р</w:t>
      </w:r>
      <w:r>
        <w:rPr>
          <w:rFonts w:ascii="Times New Roman" w:eastAsia="Times New Roman" w:hAnsi="Times New Roman" w:cs="Times New Roman"/>
          <w:sz w:val="28"/>
          <w:szCs w:val="28"/>
          <w:highlight w:val="white"/>
        </w:rPr>
        <w:t>азделов медицины в базах данных и знаний ГХ. Оболочка предоставляются пользователям как облачный сервис.</w:t>
      </w:r>
    </w:p>
    <w:p w14:paraId="69EF2DE3" w14:textId="77777777" w:rsidR="006730D6" w:rsidRDefault="00325EAC">
      <w:pPr>
        <w:spacing w:line="360" w:lineRule="auto"/>
        <w:jc w:val="center"/>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Заключение</w:t>
      </w:r>
    </w:p>
    <w:p w14:paraId="17C03ECD" w14:textId="77777777" w:rsidR="006730D6" w:rsidRDefault="00325EAC">
      <w:pPr>
        <w:pBdr>
          <w:top w:val="nil"/>
          <w:left w:val="nil"/>
          <w:bottom w:val="nil"/>
          <w:right w:val="nil"/>
          <w:between w:val="nil"/>
        </w:pBdr>
        <w:spacing w:line="360" w:lineRule="auto"/>
        <w:jc w:val="both"/>
        <w:rPr>
          <w:rFonts w:ascii="Times New Roman" w:eastAsia="Times New Roman" w:hAnsi="Times New Roman" w:cs="Times New Roman"/>
          <w:sz w:val="28"/>
          <w:szCs w:val="28"/>
          <w:highlight w:val="white"/>
        </w:rPr>
      </w:pPr>
      <w:r>
        <w:tab/>
      </w:r>
      <w:r>
        <w:rPr>
          <w:rFonts w:ascii="Times New Roman" w:eastAsia="Times New Roman" w:hAnsi="Times New Roman" w:cs="Times New Roman"/>
          <w:sz w:val="28"/>
          <w:szCs w:val="28"/>
          <w:highlight w:val="white"/>
        </w:rPr>
        <w:t xml:space="preserve">Быстрый рост объемов биомедицинской информации позволяет надеяться на развитие тренда персонализированной медицины. Одним из серьезных препятствий к исследованиям в этом направлении является отсутствие технологии хранения, обработки, анализа и верификации </w:t>
      </w:r>
      <w:r>
        <w:rPr>
          <w:rFonts w:ascii="Times New Roman" w:eastAsia="Times New Roman" w:hAnsi="Times New Roman" w:cs="Times New Roman"/>
          <w:sz w:val="28"/>
          <w:szCs w:val="28"/>
          <w:highlight w:val="white"/>
        </w:rPr>
        <w:t>такой информации. В работе предложена концепция хранилища биомедицинских данных и знаний, объединяющая данные из разных источников, разной природы. Архитектурной особенностью хранилища является интеграция первичных клинических и статистических данных, резу</w:t>
      </w:r>
      <w:r>
        <w:rPr>
          <w:rFonts w:ascii="Times New Roman" w:eastAsia="Times New Roman" w:hAnsi="Times New Roman" w:cs="Times New Roman"/>
          <w:sz w:val="28"/>
          <w:szCs w:val="28"/>
          <w:highlight w:val="white"/>
        </w:rPr>
        <w:t>льтатов их обработки и анализа, объединение последних с известными медицинскими знаниями по диагностике и лечению заболеваний и использование их для развития персонализированных трендов в клинической медицине. ГХ имеет компонентную распределенную архитекту</w:t>
      </w:r>
      <w:r>
        <w:rPr>
          <w:rFonts w:ascii="Times New Roman" w:eastAsia="Times New Roman" w:hAnsi="Times New Roman" w:cs="Times New Roman"/>
          <w:sz w:val="28"/>
          <w:szCs w:val="28"/>
          <w:highlight w:val="white"/>
        </w:rPr>
        <w:t>ру и объединяет информационные и программные компоненты. К первым относятся: данные, онтологии и базы знаний, к вторым - системные, специализированные и прикладные компоненты. К настоящему времени разработаны и используются многие программные и информацион</w:t>
      </w:r>
      <w:r>
        <w:rPr>
          <w:rFonts w:ascii="Times New Roman" w:eastAsia="Times New Roman" w:hAnsi="Times New Roman" w:cs="Times New Roman"/>
          <w:sz w:val="28"/>
          <w:szCs w:val="28"/>
          <w:highlight w:val="white"/>
        </w:rPr>
        <w:t xml:space="preserve">ные компоненты ГХ, продолжаются работы по созданию новых компонентов ГХ и усовершенствованию имеющихся. </w:t>
      </w:r>
    </w:p>
    <w:p w14:paraId="4535F013" w14:textId="77777777" w:rsidR="006730D6" w:rsidRDefault="00325EAC">
      <w:pPr>
        <w:pBdr>
          <w:top w:val="nil"/>
          <w:left w:val="nil"/>
          <w:bottom w:val="nil"/>
          <w:right w:val="nil"/>
          <w:between w:val="nil"/>
        </w:pBdr>
        <w:spacing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Исследование в</w:t>
      </w:r>
      <w:r>
        <w:rPr>
          <w:rFonts w:ascii="Times New Roman" w:eastAsia="Times New Roman" w:hAnsi="Times New Roman" w:cs="Times New Roman"/>
          <w:sz w:val="28"/>
          <w:szCs w:val="28"/>
        </w:rPr>
        <w:t xml:space="preserve">ыполнено при частичной финансовой поддержке РФФИ в рамках научных проектов № 18-29-03131, 17-07-00956. </w:t>
      </w:r>
    </w:p>
    <w:p w14:paraId="4147EC2F" w14:textId="77777777" w:rsidR="006730D6" w:rsidRDefault="00325EAC">
      <w:pPr>
        <w:pBdr>
          <w:top w:val="nil"/>
          <w:left w:val="nil"/>
          <w:bottom w:val="nil"/>
          <w:right w:val="nil"/>
          <w:between w:val="nil"/>
        </w:pBd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Список литературы </w:t>
      </w:r>
    </w:p>
    <w:p w14:paraId="7F3C9466" w14:textId="77777777" w:rsidR="006730D6" w:rsidRDefault="00325EAC">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w:t>
      </w:r>
      <w:r>
        <w:rPr>
          <w:rFonts w:ascii="Times New Roman" w:eastAsia="Times New Roman" w:hAnsi="Times New Roman" w:cs="Times New Roman"/>
          <w:b/>
          <w:sz w:val="28"/>
          <w:szCs w:val="28"/>
        </w:rPr>
        <w:t>Andreu-Pere</w:t>
      </w:r>
      <w:r>
        <w:rPr>
          <w:rFonts w:ascii="Times New Roman" w:eastAsia="Times New Roman" w:hAnsi="Times New Roman" w:cs="Times New Roman"/>
          <w:b/>
          <w:sz w:val="28"/>
          <w:szCs w:val="28"/>
        </w:rPr>
        <w:t xml:space="preserve">z J., Poon C.C.Y., </w:t>
      </w:r>
      <w:r>
        <w:rPr>
          <w:rFonts w:ascii="Times New Roman" w:eastAsia="Times New Roman" w:hAnsi="Times New Roman" w:cs="Times New Roman"/>
          <w:b/>
          <w:sz w:val="28"/>
          <w:szCs w:val="28"/>
          <w:highlight w:val="white"/>
        </w:rPr>
        <w:t xml:space="preserve"> et al.</w:t>
      </w:r>
      <w:r>
        <w:rPr>
          <w:rFonts w:ascii="Times New Roman" w:eastAsia="Times New Roman" w:hAnsi="Times New Roman" w:cs="Times New Roman"/>
          <w:sz w:val="28"/>
          <w:szCs w:val="28"/>
        </w:rPr>
        <w:t xml:space="preserve"> Big Data for Health // IEEE Journal of biomedical and health informatics. 2015. Vol. 19, N. 4. P.1193-11208.</w:t>
      </w:r>
    </w:p>
    <w:p w14:paraId="5215F847" w14:textId="77777777" w:rsidR="006730D6" w:rsidRDefault="00325EAC">
      <w:pPr>
        <w:pBdr>
          <w:top w:val="nil"/>
          <w:left w:val="nil"/>
          <w:bottom w:val="nil"/>
          <w:right w:val="nil"/>
          <w:between w:val="nil"/>
        </w:pBd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w:t>
      </w:r>
      <w:r>
        <w:rPr>
          <w:rFonts w:ascii="Times New Roman" w:eastAsia="Times New Roman" w:hAnsi="Times New Roman" w:cs="Times New Roman"/>
          <w:b/>
          <w:sz w:val="28"/>
          <w:szCs w:val="28"/>
        </w:rPr>
        <w:t xml:space="preserve"> Evans  </w:t>
      </w:r>
      <w:hyperlink r:id="rId10">
        <w:r>
          <w:rPr>
            <w:rFonts w:ascii="Times New Roman" w:eastAsia="Times New Roman" w:hAnsi="Times New Roman" w:cs="Times New Roman"/>
            <w:b/>
            <w:sz w:val="28"/>
            <w:szCs w:val="28"/>
          </w:rPr>
          <w:t>R.</w:t>
        </w:r>
      </w:hyperlink>
      <w:r>
        <w:rPr>
          <w:rFonts w:ascii="Times New Roman" w:eastAsia="Times New Roman" w:hAnsi="Times New Roman" w:cs="Times New Roman"/>
          <w:b/>
          <w:sz w:val="28"/>
          <w:szCs w:val="28"/>
        </w:rPr>
        <w:t>S., Lloyd J.F., Pierce L.A.</w:t>
      </w:r>
      <w:r>
        <w:rPr>
          <w:rFonts w:ascii="Times New Roman" w:eastAsia="Times New Roman" w:hAnsi="Times New Roman" w:cs="Times New Roman"/>
          <w:sz w:val="28"/>
          <w:szCs w:val="28"/>
        </w:rPr>
        <w:t xml:space="preserve">  Clinical Use of an Enterprise Data Warehouse // AMIA Annu Symp Proc. 2012. P. 189–198. </w:t>
      </w:r>
    </w:p>
    <w:p w14:paraId="2FE292F0" w14:textId="77777777" w:rsidR="006730D6" w:rsidRDefault="00325EAC">
      <w:pPr>
        <w:pBdr>
          <w:top w:val="nil"/>
          <w:left w:val="nil"/>
          <w:bottom w:val="nil"/>
          <w:right w:val="nil"/>
          <w:between w:val="nil"/>
        </w:pBd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HL7 Standards.  UR</w:t>
      </w:r>
      <w:r>
        <w:rPr>
          <w:rFonts w:ascii="Times New Roman" w:eastAsia="Times New Roman" w:hAnsi="Times New Roman" w:cs="Times New Roman"/>
          <w:sz w:val="28"/>
          <w:szCs w:val="28"/>
        </w:rPr>
        <w:t xml:space="preserve">L: </w:t>
      </w:r>
      <w:hyperlink r:id="rId11">
        <w:r>
          <w:rPr>
            <w:rFonts w:ascii="Times New Roman" w:eastAsia="Times New Roman" w:hAnsi="Times New Roman" w:cs="Times New Roman"/>
            <w:color w:val="1155CC"/>
            <w:sz w:val="28"/>
            <w:szCs w:val="28"/>
            <w:u w:val="single"/>
          </w:rPr>
          <w:t>http://www.hl7.org/implement/standards/index.cfm?ref=nav</w:t>
        </w:r>
      </w:hyperlink>
      <w:r>
        <w:rPr>
          <w:rFonts w:ascii="Times New Roman" w:eastAsia="Times New Roman" w:hAnsi="Times New Roman" w:cs="Times New Roman"/>
          <w:sz w:val="28"/>
          <w:szCs w:val="28"/>
        </w:rPr>
        <w:t xml:space="preserve"> (дата обращения 10.11.2018).</w:t>
      </w:r>
    </w:p>
    <w:p w14:paraId="222BBE2E" w14:textId="77777777" w:rsidR="006730D6" w:rsidRDefault="00325EAC">
      <w:pPr>
        <w:pBdr>
          <w:top w:val="nil"/>
          <w:left w:val="nil"/>
          <w:bottom w:val="nil"/>
          <w:right w:val="nil"/>
          <w:between w:val="nil"/>
        </w:pBd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Национальный стандарт "Электронная история болезни. Общие положения" (ГОСТ Р 52636-2006)</w:t>
      </w:r>
      <w:r>
        <w:rPr>
          <w:rFonts w:ascii="Times New Roman" w:eastAsia="Times New Roman" w:hAnsi="Times New Roman" w:cs="Times New Roman"/>
          <w:sz w:val="28"/>
          <w:szCs w:val="28"/>
        </w:rPr>
        <w:t xml:space="preserve">. </w:t>
      </w:r>
    </w:p>
    <w:p w14:paraId="032BBF02" w14:textId="77777777" w:rsidR="006730D6" w:rsidRDefault="00325EAC">
      <w:pPr>
        <w:pBdr>
          <w:top w:val="nil"/>
          <w:left w:val="nil"/>
          <w:bottom w:val="nil"/>
          <w:right w:val="nil"/>
          <w:between w:val="nil"/>
        </w:pBd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5. </w:t>
      </w:r>
      <w:r>
        <w:rPr>
          <w:rFonts w:ascii="Times New Roman" w:eastAsia="Times New Roman" w:hAnsi="Times New Roman" w:cs="Times New Roman"/>
          <w:b/>
          <w:sz w:val="28"/>
          <w:szCs w:val="28"/>
        </w:rPr>
        <w:t>Chute C.G., Beck S.A., Fisk T.B., Mohr D.N.</w:t>
      </w:r>
      <w:r>
        <w:rPr>
          <w:rFonts w:ascii="Times New Roman" w:eastAsia="Times New Roman" w:hAnsi="Times New Roman" w:cs="Times New Roman"/>
          <w:sz w:val="28"/>
          <w:szCs w:val="28"/>
        </w:rPr>
        <w:t xml:space="preserve"> The Enterprise Data Trust at Mayo Clinic: a semantically integrated warehouse of biomedical data // </w:t>
      </w:r>
      <w:hyperlink r:id="rId12">
        <w:r>
          <w:rPr>
            <w:rFonts w:ascii="Times New Roman" w:eastAsia="Times New Roman" w:hAnsi="Times New Roman" w:cs="Times New Roman"/>
            <w:sz w:val="28"/>
            <w:szCs w:val="28"/>
          </w:rPr>
          <w:t>J Am Med Inform Assoc</w:t>
        </w:r>
      </w:hyperlink>
      <w:r>
        <w:rPr>
          <w:rFonts w:ascii="Times New Roman" w:eastAsia="Times New Roman" w:hAnsi="Times New Roman" w:cs="Times New Roman"/>
          <w:sz w:val="28"/>
          <w:szCs w:val="28"/>
        </w:rPr>
        <w:t>. 2010. Vol.</w:t>
      </w:r>
      <w:r>
        <w:rPr>
          <w:rFonts w:ascii="Times New Roman" w:eastAsia="Times New Roman" w:hAnsi="Times New Roman" w:cs="Times New Roman"/>
          <w:sz w:val="28"/>
          <w:szCs w:val="28"/>
        </w:rPr>
        <w:t xml:space="preserve"> 17, N. 2. P. 131–135.</w:t>
      </w:r>
    </w:p>
    <w:p w14:paraId="404B7077" w14:textId="77777777" w:rsidR="006730D6" w:rsidRDefault="00325EAC">
      <w:pPr>
        <w:pBdr>
          <w:top w:val="nil"/>
          <w:left w:val="nil"/>
          <w:bottom w:val="nil"/>
          <w:right w:val="nil"/>
          <w:between w:val="nil"/>
        </w:pBd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 </w:t>
      </w:r>
      <w:r>
        <w:rPr>
          <w:rFonts w:ascii="Times New Roman" w:eastAsia="Times New Roman" w:hAnsi="Times New Roman" w:cs="Times New Roman"/>
          <w:b/>
          <w:sz w:val="28"/>
          <w:szCs w:val="28"/>
        </w:rPr>
        <w:t>Verma R, Harper J.</w:t>
      </w:r>
      <w:r>
        <w:rPr>
          <w:rFonts w:ascii="Times New Roman" w:eastAsia="Times New Roman" w:hAnsi="Times New Roman" w:cs="Times New Roman"/>
          <w:sz w:val="28"/>
          <w:szCs w:val="28"/>
        </w:rPr>
        <w:t xml:space="preserve"> Life cycle of a data warehousing project in healthcare // Healthc Inf Manag. 2001. Vol. 15, N. 2. P.107-17.</w:t>
      </w:r>
    </w:p>
    <w:p w14:paraId="29265CAD" w14:textId="77777777" w:rsidR="006730D6" w:rsidRDefault="00325EAC">
      <w:pPr>
        <w:pBdr>
          <w:top w:val="nil"/>
          <w:left w:val="nil"/>
          <w:bottom w:val="nil"/>
          <w:right w:val="nil"/>
          <w:between w:val="nil"/>
        </w:pBd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7. </w:t>
      </w:r>
      <w:r>
        <w:rPr>
          <w:rFonts w:ascii="Times New Roman" w:eastAsia="Times New Roman" w:hAnsi="Times New Roman" w:cs="Times New Roman"/>
          <w:b/>
          <w:sz w:val="28"/>
          <w:szCs w:val="28"/>
        </w:rPr>
        <w:t>Kerkri E.M., Quantin C., et al.</w:t>
      </w:r>
      <w:r>
        <w:rPr>
          <w:rFonts w:ascii="Times New Roman" w:eastAsia="Times New Roman" w:hAnsi="Times New Roman" w:cs="Times New Roman"/>
          <w:sz w:val="28"/>
          <w:szCs w:val="28"/>
        </w:rPr>
        <w:t xml:space="preserve"> An approach for integrating heterogeneous information sources in a m</w:t>
      </w:r>
      <w:r>
        <w:rPr>
          <w:rFonts w:ascii="Times New Roman" w:eastAsia="Times New Roman" w:hAnsi="Times New Roman" w:cs="Times New Roman"/>
          <w:sz w:val="28"/>
          <w:szCs w:val="28"/>
        </w:rPr>
        <w:t>edical data warehouse. J Med Syst. 2001; 25 (3): 167-76.</w:t>
      </w:r>
    </w:p>
    <w:p w14:paraId="3FBE225A" w14:textId="77777777" w:rsidR="006730D6" w:rsidRDefault="00325EAC">
      <w:pPr>
        <w:pBdr>
          <w:top w:val="nil"/>
          <w:left w:val="nil"/>
          <w:bottom w:val="nil"/>
          <w:right w:val="nil"/>
          <w:between w:val="nil"/>
        </w:pBd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8. </w:t>
      </w:r>
      <w:r>
        <w:rPr>
          <w:rFonts w:ascii="Times New Roman" w:eastAsia="Times New Roman" w:hAnsi="Times New Roman" w:cs="Times New Roman"/>
          <w:b/>
          <w:sz w:val="28"/>
          <w:szCs w:val="28"/>
        </w:rPr>
        <w:t>Kamal J., Liu J., Ostrander M., et al.</w:t>
      </w:r>
      <w:r>
        <w:rPr>
          <w:rFonts w:ascii="Times New Roman" w:eastAsia="Times New Roman" w:hAnsi="Times New Roman" w:cs="Times New Roman"/>
          <w:sz w:val="28"/>
          <w:szCs w:val="28"/>
        </w:rPr>
        <w:t xml:space="preserve"> Information warehouse - a comprehensive informatics platform for business, clinical, and research applications // AMIA Annu Symp Proc. 2010. N. 13. P.452–6. </w:t>
      </w:r>
    </w:p>
    <w:p w14:paraId="7C38B7CD" w14:textId="77777777" w:rsidR="006730D6" w:rsidRDefault="00325EAC">
      <w:pPr>
        <w:pBdr>
          <w:top w:val="nil"/>
          <w:left w:val="nil"/>
          <w:bottom w:val="nil"/>
          <w:right w:val="nil"/>
          <w:between w:val="nil"/>
        </w:pBd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9. </w:t>
      </w:r>
      <w:r>
        <w:rPr>
          <w:rFonts w:ascii="Times New Roman" w:eastAsia="Times New Roman" w:hAnsi="Times New Roman" w:cs="Times New Roman"/>
          <w:b/>
          <w:sz w:val="28"/>
          <w:szCs w:val="28"/>
        </w:rPr>
        <w:t>Grant A., Moshyk A., Diab H., et al.</w:t>
      </w:r>
      <w:r>
        <w:rPr>
          <w:rFonts w:ascii="Times New Roman" w:eastAsia="Times New Roman" w:hAnsi="Times New Roman" w:cs="Times New Roman"/>
          <w:sz w:val="28"/>
          <w:szCs w:val="28"/>
        </w:rPr>
        <w:t xml:space="preserve"> Integrating feedback from a clinical data warehouse into practice organisation // Int J Med Inform. 2006. Vol.75, N. 3–4. P. 232–9. </w:t>
      </w:r>
    </w:p>
    <w:p w14:paraId="26F01CE6" w14:textId="77777777" w:rsidR="006730D6" w:rsidRDefault="00325EAC">
      <w:pPr>
        <w:pBdr>
          <w:top w:val="nil"/>
          <w:left w:val="nil"/>
          <w:bottom w:val="nil"/>
          <w:right w:val="nil"/>
          <w:between w:val="nil"/>
        </w:pBd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 Cao X., Wong S.T.,  et al. A web-based federated neuroinformatics model for su</w:t>
      </w:r>
      <w:r>
        <w:rPr>
          <w:rFonts w:ascii="Times New Roman" w:eastAsia="Times New Roman" w:hAnsi="Times New Roman" w:cs="Times New Roman"/>
          <w:sz w:val="28"/>
          <w:szCs w:val="28"/>
        </w:rPr>
        <w:t>rgical planning and clinical research applications in epilepsy. Neuroinformatics. 2004;2(1):101–18.</w:t>
      </w:r>
    </w:p>
    <w:p w14:paraId="64916CE8" w14:textId="77777777" w:rsidR="006730D6" w:rsidRDefault="00325EAC">
      <w:pPr>
        <w:pBdr>
          <w:top w:val="nil"/>
          <w:left w:val="nil"/>
          <w:bottom w:val="nil"/>
          <w:right w:val="nil"/>
          <w:between w:val="nil"/>
        </w:pBd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11. Livne O.E., Schultz N.D., Narus S.P. Federated Querying Architecture with Clinical &amp; Translational Health IT Application. J Med Syst. 2011 ;35(5):1211–2</w:t>
      </w:r>
      <w:r>
        <w:rPr>
          <w:rFonts w:ascii="Times New Roman" w:eastAsia="Times New Roman" w:hAnsi="Times New Roman" w:cs="Times New Roman"/>
          <w:sz w:val="28"/>
          <w:szCs w:val="28"/>
        </w:rPr>
        <w:t xml:space="preserve">4. </w:t>
      </w:r>
    </w:p>
    <w:p w14:paraId="3A0BF9D1" w14:textId="77777777" w:rsidR="006730D6" w:rsidRDefault="00325EAC">
      <w:pPr>
        <w:pBdr>
          <w:top w:val="nil"/>
          <w:left w:val="nil"/>
          <w:bottom w:val="nil"/>
          <w:right w:val="nil"/>
          <w:between w:val="nil"/>
        </w:pBd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12. Erdal B.S., Liu J., et al. A Database De-identification Framework to Enable Direct Queries on Medical Data for Secondary Use. Methods Inf Med. 2012; 7:51(2) </w:t>
      </w:r>
    </w:p>
    <w:p w14:paraId="787B923A" w14:textId="77777777" w:rsidR="006730D6" w:rsidRDefault="00325EAC">
      <w:pPr>
        <w:pBdr>
          <w:top w:val="nil"/>
          <w:left w:val="nil"/>
          <w:bottom w:val="nil"/>
          <w:right w:val="nil"/>
          <w:between w:val="nil"/>
        </w:pBd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13. Silver M., Sakata T.,  et al. Case study: how to apply data mining techniques in a healthcare data warehouse. J Healthc Inf Manag. 2001;15(2):155–64. </w:t>
      </w:r>
    </w:p>
    <w:p w14:paraId="37A5A9F7" w14:textId="77777777" w:rsidR="006730D6" w:rsidRDefault="00325EAC">
      <w:pPr>
        <w:pBdr>
          <w:top w:val="nil"/>
          <w:left w:val="nil"/>
          <w:bottom w:val="nil"/>
          <w:right w:val="nil"/>
          <w:between w:val="nil"/>
        </w:pBd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14. Chen Y., Matsumura Y.,  et al. Analysis of yearly variations in drug expenditure for one patient </w:t>
      </w:r>
      <w:r>
        <w:rPr>
          <w:rFonts w:ascii="Times New Roman" w:eastAsia="Times New Roman" w:hAnsi="Times New Roman" w:cs="Times New Roman"/>
          <w:sz w:val="28"/>
          <w:szCs w:val="28"/>
        </w:rPr>
        <w:t xml:space="preserve">using data warehouse in a hospital. J Med Syst. 2007; 31(1):17–24. </w:t>
      </w:r>
    </w:p>
    <w:p w14:paraId="69763BF9" w14:textId="77777777" w:rsidR="006730D6" w:rsidRDefault="00325EAC">
      <w:pPr>
        <w:pBdr>
          <w:top w:val="nil"/>
          <w:left w:val="nil"/>
          <w:bottom w:val="nil"/>
          <w:right w:val="nil"/>
          <w:between w:val="nil"/>
        </w:pBd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15. Zhou X., Chen S,. Liu B., et al. Development of traditional Chinese medicine clinical data warehouse for medical knowledge discovery and decision support. Artif Intell Med. 2010;(2–3):</w:t>
      </w:r>
      <w:r>
        <w:rPr>
          <w:rFonts w:ascii="Times New Roman" w:eastAsia="Times New Roman" w:hAnsi="Times New Roman" w:cs="Times New Roman"/>
          <w:sz w:val="28"/>
          <w:szCs w:val="28"/>
        </w:rPr>
        <w:t>48. 139–52.</w:t>
      </w:r>
    </w:p>
    <w:p w14:paraId="77E7B817" w14:textId="77777777" w:rsidR="006730D6" w:rsidRDefault="00325EAC">
      <w:pPr>
        <w:pBdr>
          <w:top w:val="nil"/>
          <w:left w:val="nil"/>
          <w:bottom w:val="nil"/>
          <w:right w:val="nil"/>
          <w:between w:val="nil"/>
        </w:pBd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16. Cho I.S., Haug P.J. The contribution of nursing data to the development of a predictive model for the detection of acute pancreatitis. Stud Health Technol Inform. 2006;122:139–42.</w:t>
      </w:r>
    </w:p>
    <w:p w14:paraId="0F8E3522" w14:textId="77777777" w:rsidR="006730D6" w:rsidRDefault="00325EAC">
      <w:pPr>
        <w:pBdr>
          <w:top w:val="nil"/>
          <w:left w:val="nil"/>
          <w:bottom w:val="nil"/>
          <w:right w:val="nil"/>
          <w:between w:val="nil"/>
        </w:pBd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17. Botsis T., Anagnostou V.K., Hartvigsen G., Hripcsak G., </w:t>
      </w:r>
      <w:r>
        <w:rPr>
          <w:rFonts w:ascii="Times New Roman" w:eastAsia="Times New Roman" w:hAnsi="Times New Roman" w:cs="Times New Roman"/>
          <w:sz w:val="28"/>
          <w:szCs w:val="28"/>
        </w:rPr>
        <w:t>Weng C. Developing a multivariable prognostic model for pancreatic endocrine tumors using the clinical data warehouse resources of a single institution. Appl Clin Inform. 2010;1(1):38–49.</w:t>
      </w:r>
    </w:p>
    <w:p w14:paraId="5D9906AF" w14:textId="77777777" w:rsidR="006730D6" w:rsidRDefault="00325EAC">
      <w:pPr>
        <w:pBdr>
          <w:top w:val="nil"/>
          <w:left w:val="nil"/>
          <w:bottom w:val="nil"/>
          <w:right w:val="nil"/>
          <w:between w:val="nil"/>
        </w:pBd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18. Hollis J. Deploying an HMO’s data warehouse. Health Manag Techno</w:t>
      </w:r>
      <w:r>
        <w:rPr>
          <w:rFonts w:ascii="Times New Roman" w:eastAsia="Times New Roman" w:hAnsi="Times New Roman" w:cs="Times New Roman"/>
          <w:sz w:val="28"/>
          <w:szCs w:val="28"/>
        </w:rPr>
        <w:t xml:space="preserve">l. 1998 Jul;19(8):46–8. </w:t>
      </w:r>
    </w:p>
    <w:p w14:paraId="52A23D4B" w14:textId="77777777" w:rsidR="006730D6" w:rsidRDefault="00325EAC">
      <w:pPr>
        <w:pBdr>
          <w:top w:val="nil"/>
          <w:left w:val="nil"/>
          <w:bottom w:val="nil"/>
          <w:right w:val="nil"/>
          <w:between w:val="nil"/>
        </w:pBd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19. Sim I., Gorman P., Greenes R.A,  et al. Clinical Decision Support Systems for the Practice of Evidence-based Medicine. J Am Med Inform Assoc. 2001 Nov-Dec; 8(6): 527–534.</w:t>
      </w:r>
    </w:p>
    <w:p w14:paraId="3516384B" w14:textId="77777777" w:rsidR="006730D6" w:rsidRDefault="00325EAC">
      <w:pPr>
        <w:pBdr>
          <w:top w:val="nil"/>
          <w:left w:val="nil"/>
          <w:bottom w:val="nil"/>
          <w:right w:val="nil"/>
          <w:between w:val="nil"/>
        </w:pBd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20. Moja L., Friz H.P.,  et al.  Implementing an evidenc</w:t>
      </w:r>
      <w:r>
        <w:rPr>
          <w:rFonts w:ascii="Times New Roman" w:eastAsia="Times New Roman" w:hAnsi="Times New Roman" w:cs="Times New Roman"/>
          <w:sz w:val="28"/>
          <w:szCs w:val="28"/>
        </w:rPr>
        <w:t xml:space="preserve">e-based computerized decision support system to improve patient care in a general hospital: the CODES study protocol for a randomized controlled trial.  Implementation Science (2016) 11:89. </w:t>
      </w:r>
    </w:p>
    <w:p w14:paraId="307A6B1D" w14:textId="77777777" w:rsidR="006730D6" w:rsidRDefault="00325EAC">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21. Грибова В.В., Клещев А.С., Москаленко Ф.М., Тимченко В.А., Фе</w:t>
      </w:r>
      <w:r>
        <w:rPr>
          <w:rFonts w:ascii="Times New Roman" w:eastAsia="Times New Roman" w:hAnsi="Times New Roman" w:cs="Times New Roman"/>
          <w:sz w:val="28"/>
          <w:szCs w:val="28"/>
        </w:rPr>
        <w:t>дорищев Л.А., Шалфеева Е.А. Управляемая графовыми грамматиками разработка оболочек интеллектуальных сервисов на облачной платформе IACPaaS // Программная инженерия. 2017. №10. С. 435-447.</w:t>
      </w:r>
    </w:p>
    <w:p w14:paraId="636C1784" w14:textId="77777777" w:rsidR="006730D6" w:rsidRDefault="00325EAC">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22. Gribova V., Okun D., Petryaeva M., Shalfeeva E., Tarasov A. (201</w:t>
      </w:r>
      <w:r>
        <w:rPr>
          <w:rFonts w:ascii="Times New Roman" w:eastAsia="Times New Roman" w:hAnsi="Times New Roman" w:cs="Times New Roman"/>
          <w:sz w:val="28"/>
          <w:szCs w:val="28"/>
        </w:rPr>
        <w:t>8) Ontology for Differential Diagnosis of Acute and Chronic Diseases. Communications in Computer and Information Science, vol 934. Springer, Cham – Pp. 152-163.</w:t>
      </w:r>
    </w:p>
    <w:p w14:paraId="44CF16F1" w14:textId="77777777" w:rsidR="006730D6" w:rsidRDefault="00325EAC">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23. Грибова В.В., Петряева М.В., Окунь Д.Б., Шалфеева Е.А. Онтология медицинской диагностики дл</w:t>
      </w:r>
      <w:r>
        <w:rPr>
          <w:rFonts w:ascii="Times New Roman" w:eastAsia="Times New Roman" w:hAnsi="Times New Roman" w:cs="Times New Roman"/>
          <w:sz w:val="28"/>
          <w:szCs w:val="28"/>
        </w:rPr>
        <w:t>я интеллектуальных систем поддержки принятия решений // Онтология проектирования. 2018. Т. 8. №1(27). С. 58-73.</w:t>
      </w:r>
    </w:p>
    <w:p w14:paraId="57AFFC48" w14:textId="77777777" w:rsidR="006730D6" w:rsidRDefault="00325EAC">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24. </w:t>
      </w:r>
      <w:r>
        <w:rPr>
          <w:rFonts w:ascii="Times New Roman" w:eastAsia="Times New Roman" w:hAnsi="Times New Roman" w:cs="Times New Roman"/>
          <w:b/>
          <w:sz w:val="28"/>
          <w:szCs w:val="28"/>
        </w:rPr>
        <w:t>Грибова В.В., Окунь Д.Б.</w:t>
      </w:r>
      <w:r>
        <w:rPr>
          <w:rFonts w:ascii="Times New Roman" w:eastAsia="Times New Roman" w:hAnsi="Times New Roman" w:cs="Times New Roman"/>
          <w:sz w:val="28"/>
          <w:szCs w:val="28"/>
        </w:rPr>
        <w:t xml:space="preserve"> Онтологии для формирования баз знаний и реализации лечебных мероприятий в медицинских интеллектуальных системах // </w:t>
      </w:r>
      <w:r>
        <w:rPr>
          <w:rFonts w:ascii="Times New Roman" w:eastAsia="Times New Roman" w:hAnsi="Times New Roman" w:cs="Times New Roman"/>
          <w:sz w:val="28"/>
          <w:szCs w:val="28"/>
        </w:rPr>
        <w:t xml:space="preserve">Информатика и системы управления. 2018.№ 3(57). С. 71-80. </w:t>
      </w:r>
    </w:p>
    <w:p w14:paraId="156E431B" w14:textId="77777777" w:rsidR="006730D6" w:rsidRDefault="00325EAC">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25. Грибова В.В., Окунь Д.Б. Онтология база знаний восстановительного лечения // Материалы XII международной научной конференции "Системный анализ в медицине" (САМ 2018) / под общ. ред. В.П.Колосов</w:t>
      </w:r>
      <w:r>
        <w:rPr>
          <w:rFonts w:ascii="Times New Roman" w:eastAsia="Times New Roman" w:hAnsi="Times New Roman" w:cs="Times New Roman"/>
          <w:sz w:val="28"/>
          <w:szCs w:val="28"/>
        </w:rPr>
        <w:t xml:space="preserve">а. Благовещенск, 2018. С. 47-50. </w:t>
      </w:r>
    </w:p>
    <w:p w14:paraId="42111A55" w14:textId="77777777" w:rsidR="006730D6" w:rsidRDefault="00325EAC">
      <w:pPr>
        <w:pBdr>
          <w:top w:val="nil"/>
          <w:left w:val="nil"/>
          <w:bottom w:val="nil"/>
          <w:right w:val="nil"/>
          <w:between w:val="nil"/>
        </w:pBd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26. Гельцер Б.И., Скляр Л.Ф., Елисеева В.С., Шахгельдян К.И. и др. </w:t>
      </w:r>
      <w:hyperlink r:id="rId13">
        <w:r>
          <w:rPr>
            <w:rFonts w:ascii="Times New Roman" w:eastAsia="Times New Roman" w:hAnsi="Times New Roman" w:cs="Times New Roman"/>
            <w:sz w:val="28"/>
            <w:szCs w:val="28"/>
          </w:rPr>
          <w:t xml:space="preserve">Оценка иммунологических показателей при лекарственной устойчивости вич на фоне ВААРТ </w:t>
        </w:r>
      </w:hyperlink>
      <w:r>
        <w:rPr>
          <w:rFonts w:ascii="Times New Roman" w:eastAsia="Times New Roman" w:hAnsi="Times New Roman" w:cs="Times New Roman"/>
          <w:sz w:val="28"/>
          <w:szCs w:val="28"/>
        </w:rPr>
        <w:t xml:space="preserve">// </w:t>
      </w:r>
      <w:hyperlink r:id="rId14">
        <w:r>
          <w:rPr>
            <w:rFonts w:ascii="Times New Roman" w:eastAsia="Times New Roman" w:hAnsi="Times New Roman" w:cs="Times New Roman"/>
            <w:sz w:val="28"/>
            <w:szCs w:val="28"/>
          </w:rPr>
          <w:t>ВИЧ-инфекция и иммуносупрессии</w:t>
        </w:r>
      </w:hyperlink>
      <w:r>
        <w:rPr>
          <w:rFonts w:ascii="Times New Roman" w:eastAsia="Times New Roman" w:hAnsi="Times New Roman" w:cs="Times New Roman"/>
          <w:sz w:val="28"/>
          <w:szCs w:val="28"/>
        </w:rPr>
        <w:t xml:space="preserve">. 2018. Т. 10. </w:t>
      </w:r>
      <w:hyperlink r:id="rId15">
        <w:r>
          <w:rPr>
            <w:rFonts w:ascii="Times New Roman" w:eastAsia="Times New Roman" w:hAnsi="Times New Roman" w:cs="Times New Roman"/>
            <w:sz w:val="28"/>
            <w:szCs w:val="28"/>
          </w:rPr>
          <w:t>№ 1</w:t>
        </w:r>
      </w:hyperlink>
      <w:r>
        <w:rPr>
          <w:rFonts w:ascii="Times New Roman" w:eastAsia="Times New Roman" w:hAnsi="Times New Roman" w:cs="Times New Roman"/>
          <w:sz w:val="28"/>
          <w:szCs w:val="28"/>
        </w:rPr>
        <w:t>. С. 54-62.</w:t>
      </w:r>
    </w:p>
    <w:p w14:paraId="252BF936" w14:textId="77777777" w:rsidR="006730D6" w:rsidRDefault="00325EAC">
      <w:pPr>
        <w:pBdr>
          <w:top w:val="nil"/>
          <w:left w:val="nil"/>
          <w:bottom w:val="nil"/>
          <w:right w:val="nil"/>
          <w:between w:val="nil"/>
        </w:pBd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27. </w:t>
      </w:r>
      <w:r>
        <w:rPr>
          <w:rFonts w:ascii="Times New Roman" w:eastAsia="Times New Roman" w:hAnsi="Times New Roman" w:cs="Times New Roman"/>
          <w:b/>
          <w:sz w:val="28"/>
          <w:szCs w:val="28"/>
        </w:rPr>
        <w:t>Гельцер Б.И., Шахгельдян Б.И., Курпатов И.А., Котел</w:t>
      </w:r>
      <w:r>
        <w:rPr>
          <w:rFonts w:ascii="Times New Roman" w:eastAsia="Times New Roman" w:hAnsi="Times New Roman" w:cs="Times New Roman"/>
          <w:b/>
          <w:sz w:val="28"/>
          <w:szCs w:val="28"/>
        </w:rPr>
        <w:t xml:space="preserve">ьников В.Н. </w:t>
      </w:r>
      <w:r>
        <w:rPr>
          <w:rFonts w:ascii="Times New Roman" w:eastAsia="Times New Roman" w:hAnsi="Times New Roman" w:cs="Times New Roman"/>
          <w:sz w:val="28"/>
          <w:szCs w:val="28"/>
        </w:rPr>
        <w:t xml:space="preserve">Результаты моделирования должных величин силы дыхательных мышц на основе методов искусственного интеллекта // Российский физиологический журнал им. И.М. Сеченова. - 2018.-№9. </w:t>
      </w:r>
    </w:p>
    <w:p w14:paraId="2304474A" w14:textId="77777777" w:rsidR="006730D6" w:rsidRDefault="00325EAC">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28.</w:t>
      </w:r>
      <w:r>
        <w:rPr>
          <w:rFonts w:ascii="Times New Roman" w:eastAsia="Times New Roman" w:hAnsi="Times New Roman" w:cs="Times New Roman"/>
          <w:b/>
          <w:sz w:val="28"/>
          <w:szCs w:val="28"/>
        </w:rPr>
        <w:t xml:space="preserve"> Грибова В.В., Клещев А.С., Москаленко Ф.М., Тимченко В.А. и др.</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Облачная платформа IACPaaS для разработки оболочек интеллектуальных сервисов: состояние и перспективы развития // Программные продукты и системы. 2018. Т. 31. № 3. С.527-536. </w:t>
      </w:r>
    </w:p>
    <w:p w14:paraId="762F9DF9" w14:textId="77777777" w:rsidR="006730D6" w:rsidRDefault="00325EAC">
      <w:pPr>
        <w:pBdr>
          <w:top w:val="nil"/>
          <w:left w:val="nil"/>
          <w:bottom w:val="nil"/>
          <w:right w:val="nil"/>
          <w:between w:val="nil"/>
        </w:pBd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29. </w:t>
      </w:r>
      <w:r>
        <w:rPr>
          <w:rFonts w:ascii="Times New Roman" w:eastAsia="Times New Roman" w:hAnsi="Times New Roman" w:cs="Times New Roman"/>
          <w:b/>
          <w:sz w:val="28"/>
          <w:szCs w:val="28"/>
        </w:rPr>
        <w:t>Шахгельдян К.И., Гельцер Б.И., Гмарь Д.В., Кривелевич Е.Б. и др.</w:t>
      </w:r>
      <w:r>
        <w:rPr>
          <w:rFonts w:ascii="Times New Roman" w:eastAsia="Times New Roman" w:hAnsi="Times New Roman" w:cs="Times New Roman"/>
          <w:sz w:val="28"/>
          <w:szCs w:val="28"/>
        </w:rPr>
        <w:t xml:space="preserve"> Проблемы ан</w:t>
      </w:r>
      <w:r>
        <w:rPr>
          <w:rFonts w:ascii="Times New Roman" w:eastAsia="Times New Roman" w:hAnsi="Times New Roman" w:cs="Times New Roman"/>
          <w:sz w:val="28"/>
          <w:szCs w:val="28"/>
        </w:rPr>
        <w:t xml:space="preserve">ализа данных медицинской статистики// Проблемы социальной гигиены, здравоохранения и истории медицины. 2018. - № 3, С.  132-136. </w:t>
      </w:r>
    </w:p>
    <w:p w14:paraId="1BCC4D39" w14:textId="77777777" w:rsidR="006730D6" w:rsidRDefault="00325EAC">
      <w:pPr>
        <w:pBdr>
          <w:top w:val="nil"/>
          <w:left w:val="nil"/>
          <w:bottom w:val="nil"/>
          <w:right w:val="nil"/>
          <w:between w:val="nil"/>
        </w:pBd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30. </w:t>
      </w:r>
      <w:r>
        <w:rPr>
          <w:rFonts w:ascii="Times New Roman" w:eastAsia="Times New Roman" w:hAnsi="Times New Roman" w:cs="Times New Roman"/>
          <w:b/>
          <w:sz w:val="28"/>
          <w:szCs w:val="28"/>
        </w:rPr>
        <w:t>Gribova V.V., Petryaeva M.V., Okun D.B., Tarasov A.V.</w:t>
      </w:r>
      <w:r>
        <w:rPr>
          <w:rFonts w:ascii="Times New Roman" w:eastAsia="Times New Roman" w:hAnsi="Times New Roman" w:cs="Times New Roman"/>
          <w:sz w:val="28"/>
          <w:szCs w:val="28"/>
        </w:rPr>
        <w:t xml:space="preserve"> Software Toolkit for Creating Intelligent Systems in Practical and E</w:t>
      </w:r>
      <w:r>
        <w:rPr>
          <w:rFonts w:ascii="Times New Roman" w:eastAsia="Times New Roman" w:hAnsi="Times New Roman" w:cs="Times New Roman"/>
          <w:sz w:val="28"/>
          <w:szCs w:val="28"/>
        </w:rPr>
        <w:t>ducational Medicine //</w:t>
      </w:r>
      <w:hyperlink r:id="rId16">
        <w:r>
          <w:rPr>
            <w:rFonts w:ascii="Times New Roman" w:eastAsia="Times New Roman" w:hAnsi="Times New Roman" w:cs="Times New Roman"/>
            <w:sz w:val="28"/>
            <w:szCs w:val="28"/>
          </w:rPr>
          <w:t xml:space="preserve"> IEEE Xplore</w:t>
        </w:r>
      </w:hyperlink>
      <w:r>
        <w:rPr>
          <w:rFonts w:ascii="Times New Roman" w:eastAsia="Times New Roman" w:hAnsi="Times New Roman" w:cs="Times New Roman"/>
          <w:sz w:val="28"/>
          <w:szCs w:val="28"/>
        </w:rPr>
        <w:t>. 2018. DOI:</w:t>
      </w:r>
      <w:hyperlink r:id="rId17">
        <w:r>
          <w:rPr>
            <w:rFonts w:ascii="Times New Roman" w:eastAsia="Times New Roman" w:hAnsi="Times New Roman" w:cs="Times New Roman"/>
            <w:sz w:val="28"/>
            <w:szCs w:val="28"/>
          </w:rPr>
          <w:t xml:space="preserve"> </w:t>
        </w:r>
      </w:hyperlink>
      <w:hyperlink r:id="rId18">
        <w:r>
          <w:rPr>
            <w:rFonts w:ascii="Times New Roman" w:eastAsia="Times New Roman" w:hAnsi="Times New Roman" w:cs="Times New Roman"/>
            <w:sz w:val="28"/>
            <w:szCs w:val="28"/>
          </w:rPr>
          <w:t>1</w:t>
        </w:r>
        <w:r>
          <w:rPr>
            <w:rFonts w:ascii="Times New Roman" w:eastAsia="Times New Roman" w:hAnsi="Times New Roman" w:cs="Times New Roman"/>
            <w:sz w:val="28"/>
            <w:szCs w:val="28"/>
          </w:rPr>
          <w:t>0.1109/RPC.2018.8482130</w:t>
        </w:r>
      </w:hyperlink>
      <w:r>
        <w:rPr>
          <w:rFonts w:ascii="Times New Roman" w:eastAsia="Times New Roman" w:hAnsi="Times New Roman" w:cs="Times New Roman"/>
          <w:sz w:val="28"/>
          <w:szCs w:val="28"/>
        </w:rPr>
        <w:t xml:space="preserve"> </w:t>
      </w:r>
    </w:p>
    <w:p w14:paraId="07BB4F9D" w14:textId="77777777" w:rsidR="006730D6" w:rsidRDefault="00325EAC">
      <w:pPr>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8"/>
          <w:szCs w:val="28"/>
        </w:rPr>
        <w:lastRenderedPageBreak/>
        <w:t xml:space="preserve"> 31.  </w:t>
      </w:r>
      <w:r>
        <w:rPr>
          <w:rFonts w:ascii="Times New Roman" w:eastAsia="Times New Roman" w:hAnsi="Times New Roman" w:cs="Times New Roman"/>
          <w:b/>
          <w:sz w:val="28"/>
          <w:szCs w:val="28"/>
        </w:rPr>
        <w:t>Грибова В.В., Москаленко Ф.М., Окунь Д.Б., Петряева М.В.</w:t>
      </w:r>
      <w:r>
        <w:rPr>
          <w:rFonts w:ascii="Times New Roman" w:eastAsia="Times New Roman" w:hAnsi="Times New Roman" w:cs="Times New Roman"/>
          <w:sz w:val="28"/>
          <w:szCs w:val="28"/>
        </w:rPr>
        <w:t xml:space="preserve"> Облачная среда для поддержки клинической медицины и образования // Врач и информационные технологии. - 2016. №1. С. 60-66. </w:t>
      </w:r>
    </w:p>
    <w:p w14:paraId="37E9ED96" w14:textId="77777777" w:rsidR="006730D6" w:rsidRDefault="006730D6">
      <w:pPr>
        <w:spacing w:line="360" w:lineRule="auto"/>
        <w:rPr>
          <w:rFonts w:ascii="Times New Roman" w:eastAsia="Times New Roman" w:hAnsi="Times New Roman" w:cs="Times New Roman"/>
          <w:sz w:val="24"/>
          <w:szCs w:val="24"/>
          <w:highlight w:val="white"/>
        </w:rPr>
      </w:pPr>
    </w:p>
    <w:p w14:paraId="244C6C22" w14:textId="77777777" w:rsidR="006730D6" w:rsidRDefault="006730D6"/>
    <w:p w14:paraId="22DD299F" w14:textId="77777777" w:rsidR="006730D6" w:rsidRDefault="006730D6"/>
    <w:p w14:paraId="1992875D" w14:textId="77777777" w:rsidR="006730D6" w:rsidRDefault="006730D6"/>
    <w:p w14:paraId="255FC305" w14:textId="77777777" w:rsidR="006730D6" w:rsidRDefault="006730D6"/>
    <w:p w14:paraId="65C94E30" w14:textId="77777777" w:rsidR="006730D6" w:rsidRDefault="00325EAC">
      <w:r>
        <w:br w:type="page"/>
      </w:r>
    </w:p>
    <w:p w14:paraId="76C96A31" w14:textId="77777777" w:rsidR="006730D6" w:rsidRDefault="006730D6">
      <w:pPr>
        <w:jc w:val="both"/>
        <w:rPr>
          <w:rFonts w:ascii="Times New Roman" w:eastAsia="Times New Roman" w:hAnsi="Times New Roman" w:cs="Times New Roman"/>
          <w:sz w:val="28"/>
          <w:szCs w:val="28"/>
        </w:rPr>
      </w:pPr>
    </w:p>
    <w:p w14:paraId="27FBC314" w14:textId="77777777" w:rsidR="006730D6" w:rsidRDefault="00325EAC">
      <w:pPr>
        <w:spacing w:line="240" w:lineRule="auto"/>
        <w:jc w:val="both"/>
        <w:rPr>
          <w:rFonts w:ascii="Times New Roman" w:eastAsia="Times New Roman" w:hAnsi="Times New Roman" w:cs="Times New Roman"/>
          <w:sz w:val="28"/>
          <w:szCs w:val="28"/>
          <w:highlight w:val="cyan"/>
        </w:rPr>
      </w:pPr>
      <w:r>
        <w:rPr>
          <w:rFonts w:ascii="Times New Roman" w:eastAsia="Times New Roman" w:hAnsi="Times New Roman" w:cs="Times New Roman"/>
          <w:sz w:val="28"/>
          <w:szCs w:val="28"/>
          <w:highlight w:val="cyan"/>
        </w:rPr>
        <w:t>A Concept for a Heterogeneous Repository of Biomedical Information</w:t>
      </w:r>
    </w:p>
    <w:p w14:paraId="007791B0" w14:textId="77777777" w:rsidR="006730D6" w:rsidRDefault="006730D6">
      <w:pPr>
        <w:spacing w:line="240" w:lineRule="auto"/>
        <w:jc w:val="both"/>
        <w:rPr>
          <w:rFonts w:ascii="Times New Roman" w:eastAsia="Times New Roman" w:hAnsi="Times New Roman" w:cs="Times New Roman"/>
          <w:sz w:val="28"/>
          <w:szCs w:val="28"/>
          <w:highlight w:val="cyan"/>
        </w:rPr>
      </w:pPr>
    </w:p>
    <w:p w14:paraId="061CC1FE" w14:textId="77777777" w:rsidR="006730D6" w:rsidRDefault="00325EAC">
      <w:pPr>
        <w:spacing w:line="240" w:lineRule="auto"/>
        <w:jc w:val="both"/>
        <w:rPr>
          <w:rFonts w:ascii="Times New Roman" w:eastAsia="Times New Roman" w:hAnsi="Times New Roman" w:cs="Times New Roman"/>
          <w:sz w:val="28"/>
          <w:szCs w:val="28"/>
          <w:highlight w:val="cyan"/>
        </w:rPr>
      </w:pPr>
      <w:r>
        <w:rPr>
          <w:rFonts w:ascii="Times New Roman" w:eastAsia="Times New Roman" w:hAnsi="Times New Roman" w:cs="Times New Roman"/>
          <w:sz w:val="28"/>
          <w:szCs w:val="28"/>
          <w:highlight w:val="cyan"/>
        </w:rPr>
        <w:t xml:space="preserve">The paper proposes a concept of biomedical data and knowledge </w:t>
      </w:r>
      <w:commentRangeStart w:id="1"/>
      <w:r>
        <w:rPr>
          <w:rFonts w:ascii="Times New Roman" w:eastAsia="Times New Roman" w:hAnsi="Times New Roman" w:cs="Times New Roman"/>
          <w:sz w:val="28"/>
          <w:szCs w:val="28"/>
          <w:highlight w:val="cyan"/>
        </w:rPr>
        <w:t>repository</w:t>
      </w:r>
      <w:commentRangeEnd w:id="1"/>
      <w:r>
        <w:commentReference w:id="1"/>
      </w:r>
      <w:r>
        <w:rPr>
          <w:rFonts w:ascii="Times New Roman" w:eastAsia="Times New Roman" w:hAnsi="Times New Roman" w:cs="Times New Roman"/>
          <w:sz w:val="28"/>
          <w:szCs w:val="28"/>
          <w:highlight w:val="cyan"/>
        </w:rPr>
        <w:t>.</w:t>
      </w:r>
      <w:r>
        <w:rPr>
          <w:rFonts w:ascii="Times New Roman" w:eastAsia="Times New Roman" w:hAnsi="Times New Roman" w:cs="Times New Roman"/>
          <w:sz w:val="28"/>
          <w:szCs w:val="28"/>
          <w:highlight w:val="cyan"/>
        </w:rPr>
        <w:t xml:space="preserve"> The architectural feature of the repository is the integration of primary clinical and statistical data, results of their processing and analysis, combination of the latter with known medical knowledge on diagnostics and disease treatment and their use fo</w:t>
      </w:r>
      <w:r>
        <w:rPr>
          <w:rFonts w:ascii="Times New Roman" w:eastAsia="Times New Roman" w:hAnsi="Times New Roman" w:cs="Times New Roman"/>
          <w:sz w:val="28"/>
          <w:szCs w:val="28"/>
          <w:highlight w:val="cyan"/>
        </w:rPr>
        <w:t>r the development of personalized trends in clinical medicine. Heterogeneous repository has a component distributed architecture and combines information (data, ontologies and knowledge bases) and software (system, specialized and applied) units.</w:t>
      </w:r>
    </w:p>
    <w:p w14:paraId="184AD178" w14:textId="77777777" w:rsidR="006730D6" w:rsidRDefault="00325EAC">
      <w:pPr>
        <w:spacing w:line="240" w:lineRule="auto"/>
        <w:jc w:val="both"/>
        <w:rPr>
          <w:rFonts w:ascii="Times New Roman" w:eastAsia="Times New Roman" w:hAnsi="Times New Roman" w:cs="Times New Roman"/>
          <w:sz w:val="28"/>
          <w:szCs w:val="28"/>
          <w:highlight w:val="cyan"/>
        </w:rPr>
      </w:pPr>
      <w:r>
        <w:rPr>
          <w:rFonts w:ascii="Times New Roman" w:eastAsia="Times New Roman" w:hAnsi="Times New Roman" w:cs="Times New Roman"/>
          <w:sz w:val="28"/>
          <w:szCs w:val="28"/>
          <w:highlight w:val="cyan"/>
        </w:rPr>
        <w:t xml:space="preserve"> </w:t>
      </w:r>
    </w:p>
    <w:p w14:paraId="09529D4E" w14:textId="77777777" w:rsidR="006730D6" w:rsidRDefault="00325EAC">
      <w:pPr>
        <w:spacing w:after="200" w:line="240" w:lineRule="auto"/>
        <w:jc w:val="both"/>
        <w:rPr>
          <w:rFonts w:ascii="Times New Roman" w:eastAsia="Times New Roman" w:hAnsi="Times New Roman" w:cs="Times New Roman"/>
          <w:sz w:val="24"/>
          <w:szCs w:val="24"/>
          <w:highlight w:val="cyan"/>
        </w:rPr>
      </w:pPr>
      <w:r>
        <w:rPr>
          <w:rFonts w:ascii="Times New Roman" w:eastAsia="Times New Roman" w:hAnsi="Times New Roman" w:cs="Times New Roman"/>
          <w:sz w:val="28"/>
          <w:szCs w:val="28"/>
          <w:highlight w:val="cyan"/>
        </w:rPr>
        <w:t>Keyword</w:t>
      </w:r>
      <w:r>
        <w:rPr>
          <w:rFonts w:ascii="Times New Roman" w:eastAsia="Times New Roman" w:hAnsi="Times New Roman" w:cs="Times New Roman"/>
          <w:sz w:val="28"/>
          <w:szCs w:val="28"/>
          <w:highlight w:val="cyan"/>
        </w:rPr>
        <w:t>s: heterogeneous repository of biomedical information, intelligent information systems, data analysis methods, ontologies, knowledge bases</w:t>
      </w:r>
    </w:p>
    <w:p w14:paraId="41697017" w14:textId="77777777" w:rsidR="006730D6" w:rsidRDefault="006730D6"/>
    <w:p w14:paraId="04FDFB95" w14:textId="77777777" w:rsidR="006730D6" w:rsidRDefault="00325EAC">
      <w:r>
        <w:br w:type="page"/>
      </w:r>
    </w:p>
    <w:p w14:paraId="1EA924ED" w14:textId="77777777" w:rsidR="006730D6" w:rsidRDefault="00325EAC">
      <w:pP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Сведения об авторах</w:t>
      </w:r>
    </w:p>
    <w:p w14:paraId="59FA4880" w14:textId="77777777" w:rsidR="006730D6" w:rsidRDefault="00325EAC">
      <w:pPr>
        <w:numPr>
          <w:ilvl w:val="0"/>
          <w:numId w:val="3"/>
        </w:numPr>
        <w:ind w:left="425"/>
        <w:rPr>
          <w:rFonts w:ascii="Times New Roman" w:eastAsia="Times New Roman" w:hAnsi="Times New Roman" w:cs="Times New Roman"/>
          <w:sz w:val="28"/>
          <w:szCs w:val="28"/>
        </w:rPr>
      </w:pPr>
      <w:r>
        <w:rPr>
          <w:rFonts w:ascii="Times New Roman" w:eastAsia="Times New Roman" w:hAnsi="Times New Roman" w:cs="Times New Roman"/>
          <w:sz w:val="28"/>
          <w:szCs w:val="28"/>
        </w:rPr>
        <w:t>Грибова Валерия Викторовна, д.т.н., с.н.с., заместитель директора по научной работе, заведующи</w:t>
      </w:r>
      <w:r>
        <w:rPr>
          <w:rFonts w:ascii="Times New Roman" w:eastAsia="Times New Roman" w:hAnsi="Times New Roman" w:cs="Times New Roman"/>
          <w:sz w:val="28"/>
          <w:szCs w:val="28"/>
        </w:rPr>
        <w:t>й лабораторией интеллектуальных систем Института автоматики и процессов управления (ИАПУ) ДВО РАН, Служебный адрес: г. Владивосток, ул. Радио 5, Домашний адрес: г. Владивосток, д. Бедного, 4, кв. 3, тел.:+7-423-2313-999 E-mail: gribova@iacp.dvo.ru</w:t>
      </w:r>
    </w:p>
    <w:p w14:paraId="71BC3D60" w14:textId="77777777" w:rsidR="006730D6" w:rsidRDefault="00325EAC">
      <w:pPr>
        <w:numPr>
          <w:ilvl w:val="0"/>
          <w:numId w:val="3"/>
        </w:numPr>
        <w:ind w:left="425"/>
        <w:rPr>
          <w:rFonts w:ascii="Times New Roman" w:eastAsia="Times New Roman" w:hAnsi="Times New Roman" w:cs="Times New Roman"/>
          <w:sz w:val="28"/>
          <w:szCs w:val="28"/>
        </w:rPr>
      </w:pPr>
      <w:r>
        <w:rPr>
          <w:rFonts w:ascii="Times New Roman" w:eastAsia="Times New Roman" w:hAnsi="Times New Roman" w:cs="Times New Roman"/>
          <w:sz w:val="28"/>
          <w:szCs w:val="28"/>
        </w:rPr>
        <w:t>Шахгельд</w:t>
      </w:r>
      <w:r>
        <w:rPr>
          <w:rFonts w:ascii="Times New Roman" w:eastAsia="Times New Roman" w:hAnsi="Times New Roman" w:cs="Times New Roman"/>
          <w:sz w:val="28"/>
          <w:szCs w:val="28"/>
        </w:rPr>
        <w:t>ян Карина Иосифовна, д.т.н., доцент, директор института информационных технологий Владивостокского государственного университета экономики и сервиса (ВГУЭС), зав. лабораторией анализа больших данных в биомедицине и здравоохранении Дальневосточного федераль</w:t>
      </w:r>
      <w:r>
        <w:rPr>
          <w:rFonts w:ascii="Times New Roman" w:eastAsia="Times New Roman" w:hAnsi="Times New Roman" w:cs="Times New Roman"/>
          <w:sz w:val="28"/>
          <w:szCs w:val="28"/>
        </w:rPr>
        <w:t xml:space="preserve">ного университета (ДВФУ), Служебный адрес: г. Владивосток, Гоголя 41. Домашний адрес: г. Владивосток, Пологая 62, кв. 22, тел.: +7-423-240-42-26, моб.:+7-924-231-44-91, </w:t>
      </w:r>
      <w:hyperlink r:id="rId21">
        <w:r>
          <w:rPr>
            <w:rFonts w:ascii="Times New Roman" w:eastAsia="Times New Roman" w:hAnsi="Times New Roman" w:cs="Times New Roman"/>
            <w:sz w:val="28"/>
            <w:szCs w:val="28"/>
          </w:rPr>
          <w:t>carinash@vvsu.ru</w:t>
        </w:r>
      </w:hyperlink>
    </w:p>
    <w:p w14:paraId="5D8B74C6" w14:textId="77777777" w:rsidR="006730D6" w:rsidRDefault="00325EAC">
      <w:pPr>
        <w:numPr>
          <w:ilvl w:val="0"/>
          <w:numId w:val="3"/>
        </w:numPr>
        <w:ind w:left="425"/>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Гельцер Борис Израйльевич, </w:t>
      </w:r>
      <w:r>
        <w:rPr>
          <w:rFonts w:ascii="Times New Roman" w:eastAsia="Times New Roman" w:hAnsi="Times New Roman" w:cs="Times New Roman"/>
          <w:sz w:val="28"/>
          <w:szCs w:val="28"/>
        </w:rPr>
        <w:t>д.м.н., профессор, член-корр. РАН, директор департамента клинической медицины Школы биомедицины Дальневосточного федерального университета (ДВФУ), Владивосток, Россия. Почтовый адрес: 690091, г. Владивосток, ул. Суханова, д. 8, ДВФУ, Школа биомедицины. Дом</w:t>
      </w:r>
      <w:r>
        <w:rPr>
          <w:rFonts w:ascii="Times New Roman" w:eastAsia="Times New Roman" w:hAnsi="Times New Roman" w:cs="Times New Roman"/>
          <w:sz w:val="28"/>
          <w:szCs w:val="28"/>
        </w:rPr>
        <w:t xml:space="preserve">. адрес: Владивосток, пр-т Острякова 8, кв. 9. Телефон: 8-914-703-38-04, boris.geltser@vvsu.ru </w:t>
      </w:r>
    </w:p>
    <w:p w14:paraId="4A0BB528" w14:textId="77777777" w:rsidR="006730D6" w:rsidRDefault="00325EAC">
      <w:pPr>
        <w:numPr>
          <w:ilvl w:val="0"/>
          <w:numId w:val="3"/>
        </w:numPr>
        <w:ind w:left="425"/>
        <w:rPr>
          <w:rFonts w:ascii="Times New Roman" w:eastAsia="Times New Roman" w:hAnsi="Times New Roman" w:cs="Times New Roman"/>
          <w:sz w:val="28"/>
          <w:szCs w:val="28"/>
        </w:rPr>
      </w:pPr>
      <w:r>
        <w:rPr>
          <w:rFonts w:ascii="Times New Roman" w:eastAsia="Times New Roman" w:hAnsi="Times New Roman" w:cs="Times New Roman"/>
          <w:sz w:val="28"/>
          <w:szCs w:val="28"/>
        </w:rPr>
        <w:t>Москаленко Филипп Михайлович, к.т.н., с.н.с. лаборатории интеллектуальных систем Института автоматики и процессов управления (ИАПУ) ДВО РАН, Служебный адрес: г.</w:t>
      </w:r>
      <w:r>
        <w:rPr>
          <w:rFonts w:ascii="Times New Roman" w:eastAsia="Times New Roman" w:hAnsi="Times New Roman" w:cs="Times New Roman"/>
          <w:sz w:val="28"/>
          <w:szCs w:val="28"/>
        </w:rPr>
        <w:t xml:space="preserve"> Владивосток, ул. Радио 5, к. 623, Домашний адрес: г. Владивосток, Днепровская 41, кв. 8, тел.:+7-423-272-2376 E-mail: philipmm@iacp.dvo.ru</w:t>
      </w:r>
    </w:p>
    <w:p w14:paraId="3E31A895" w14:textId="77777777" w:rsidR="006730D6" w:rsidRDefault="00325EAC">
      <w:pPr>
        <w:numPr>
          <w:ilvl w:val="0"/>
          <w:numId w:val="3"/>
        </w:numPr>
        <w:ind w:left="425"/>
        <w:rPr>
          <w:rFonts w:ascii="Times New Roman" w:eastAsia="Times New Roman" w:hAnsi="Times New Roman" w:cs="Times New Roman"/>
          <w:sz w:val="28"/>
          <w:szCs w:val="28"/>
        </w:rPr>
      </w:pPr>
      <w:r>
        <w:rPr>
          <w:rFonts w:ascii="Times New Roman" w:eastAsia="Times New Roman" w:hAnsi="Times New Roman" w:cs="Times New Roman"/>
          <w:sz w:val="28"/>
          <w:szCs w:val="28"/>
        </w:rPr>
        <w:t>Гмарь Дмитрий Викторович, руководитель Центра информационно-технического обеспечения Владивостокского государственно</w:t>
      </w:r>
      <w:r>
        <w:rPr>
          <w:rFonts w:ascii="Times New Roman" w:eastAsia="Times New Roman" w:hAnsi="Times New Roman" w:cs="Times New Roman"/>
          <w:sz w:val="28"/>
          <w:szCs w:val="28"/>
        </w:rPr>
        <w:t>го университета экономики и сервиса (ВГУЭС), Служебный адрес: 690014, Владивосток, Гоголя 41, Домашний адрес: г. Владивосток, пр-т Красного Знамени 46, кв. 19, тел.: +7-(423)-240-40-15,  моб.: +7-908-995-09-40, e-mail: dmitriy.gmar@vvsu.ru</w:t>
      </w:r>
    </w:p>
    <w:p w14:paraId="121D28EF" w14:textId="77777777" w:rsidR="006730D6" w:rsidRDefault="006730D6"/>
    <w:p w14:paraId="03B81346" w14:textId="77777777" w:rsidR="006730D6" w:rsidRDefault="00325EAC">
      <w:pPr>
        <w:spacing w:line="360" w:lineRule="auto"/>
        <w:ind w:right="-732"/>
        <w:jc w:val="both"/>
      </w:pPr>
      <w:r>
        <w:rPr>
          <w:rFonts w:ascii="Times New Roman" w:eastAsia="Times New Roman" w:hAnsi="Times New Roman" w:cs="Times New Roman"/>
          <w:sz w:val="28"/>
          <w:szCs w:val="28"/>
          <w:highlight w:val="white"/>
        </w:rPr>
        <w:t>Требование журн</w:t>
      </w:r>
      <w:r>
        <w:rPr>
          <w:rFonts w:ascii="Times New Roman" w:eastAsia="Times New Roman" w:hAnsi="Times New Roman" w:cs="Times New Roman"/>
          <w:sz w:val="28"/>
          <w:szCs w:val="28"/>
          <w:highlight w:val="white"/>
        </w:rPr>
        <w:t xml:space="preserve">ала </w:t>
      </w:r>
      <w:hyperlink r:id="rId22">
        <w:r>
          <w:rPr>
            <w:rFonts w:ascii="Times New Roman" w:eastAsia="Times New Roman" w:hAnsi="Times New Roman" w:cs="Times New Roman"/>
            <w:color w:val="1155CC"/>
            <w:sz w:val="28"/>
            <w:szCs w:val="28"/>
            <w:highlight w:val="white"/>
            <w:u w:val="single"/>
          </w:rPr>
          <w:t>http://novtex.ru/IT/autor.htm</w:t>
        </w:r>
      </w:hyperlink>
    </w:p>
    <w:sectPr w:rsidR="006730D6">
      <w:footerReference w:type="default" r:id="rId23"/>
      <w:pgSz w:w="11909" w:h="16834"/>
      <w:pgMar w:top="1440" w:right="1132" w:bottom="1231" w:left="1133" w:header="0" w:footer="720" w:gutter="0"/>
      <w:pgNumType w:start="1"/>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Karina Shakhgeldyan" w:date="2018-11-12T01:46:00Z" w:initials="">
    <w:p w14:paraId="2D2CC2FE" w14:textId="77777777" w:rsidR="006730D6" w:rsidRDefault="00325EAC">
      <w:pPr>
        <w:widowControl w:val="0"/>
        <w:pBdr>
          <w:top w:val="nil"/>
          <w:left w:val="nil"/>
          <w:bottom w:val="nil"/>
          <w:right w:val="nil"/>
          <w:between w:val="nil"/>
        </w:pBdr>
        <w:spacing w:line="240" w:lineRule="auto"/>
        <w:rPr>
          <w:color w:val="000000"/>
        </w:rPr>
      </w:pPr>
      <w:r>
        <w:rPr>
          <w:color w:val="000000"/>
        </w:rPr>
        <w:t>или warehaouse?</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D2CC2FE"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230442" w14:textId="77777777" w:rsidR="00000000" w:rsidRDefault="00325EAC">
      <w:pPr>
        <w:spacing w:line="240" w:lineRule="auto"/>
      </w:pPr>
      <w:r>
        <w:separator/>
      </w:r>
    </w:p>
  </w:endnote>
  <w:endnote w:type="continuationSeparator" w:id="0">
    <w:p w14:paraId="37C734F0" w14:textId="77777777" w:rsidR="00000000" w:rsidRDefault="00325EA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9B73B4" w14:textId="77777777" w:rsidR="006730D6" w:rsidRDefault="00325EAC">
    <w:pPr>
      <w:jc w:val="right"/>
    </w:pPr>
    <w:r>
      <w:fldChar w:fldCharType="begin"/>
    </w:r>
    <w:r>
      <w:instrText>PAGE</w:instrText>
    </w:r>
    <w:r>
      <w:fldChar w:fldCharType="separate"/>
    </w:r>
    <w:r>
      <w:rPr>
        <w:noProof/>
      </w:rPr>
      <w:t>5</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7F6025" w14:textId="77777777" w:rsidR="00000000" w:rsidRDefault="00325EAC">
      <w:pPr>
        <w:spacing w:line="240" w:lineRule="auto"/>
      </w:pPr>
      <w:r>
        <w:separator/>
      </w:r>
    </w:p>
  </w:footnote>
  <w:footnote w:type="continuationSeparator" w:id="0">
    <w:p w14:paraId="6919251F" w14:textId="77777777" w:rsidR="00000000" w:rsidRDefault="00325EAC">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332A71"/>
    <w:multiLevelType w:val="multilevel"/>
    <w:tmpl w:val="B296922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192A20C9"/>
    <w:multiLevelType w:val="multilevel"/>
    <w:tmpl w:val="1092F73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2ABE01BF"/>
    <w:multiLevelType w:val="multilevel"/>
    <w:tmpl w:val="69D0CC6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71564424"/>
    <w:multiLevelType w:val="multilevel"/>
    <w:tmpl w:val="B574A36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30D6"/>
    <w:rsid w:val="00325EAC"/>
    <w:rsid w:val="006730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89138"/>
  <w15:docId w15:val="{26CDB5A4-1B98-492F-A960-A003D6F2F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ru" w:eastAsia="ru-RU"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paragraph" w:styleId="a5">
    <w:name w:val="annotation text"/>
    <w:basedOn w:val="a"/>
    <w:link w:val="a6"/>
    <w:uiPriority w:val="99"/>
    <w:semiHidden/>
    <w:unhideWhenUsed/>
    <w:pPr>
      <w:spacing w:line="240" w:lineRule="auto"/>
    </w:pPr>
    <w:rPr>
      <w:sz w:val="20"/>
      <w:szCs w:val="20"/>
    </w:rPr>
  </w:style>
  <w:style w:type="character" w:customStyle="1" w:styleId="a6">
    <w:name w:val="Текст примечания Знак"/>
    <w:basedOn w:val="a0"/>
    <w:link w:val="a5"/>
    <w:uiPriority w:val="99"/>
    <w:semiHidden/>
    <w:rPr>
      <w:sz w:val="20"/>
      <w:szCs w:val="20"/>
    </w:rPr>
  </w:style>
  <w:style w:type="character" w:styleId="a7">
    <w:name w:val="annotation reference"/>
    <w:basedOn w:val="a0"/>
    <w:uiPriority w:val="99"/>
    <w:semiHidden/>
    <w:unhideWhenUsed/>
    <w:rPr>
      <w:sz w:val="16"/>
      <w:szCs w:val="16"/>
    </w:rPr>
  </w:style>
  <w:style w:type="paragraph" w:styleId="a8">
    <w:name w:val="Balloon Text"/>
    <w:basedOn w:val="a"/>
    <w:link w:val="a9"/>
    <w:uiPriority w:val="99"/>
    <w:semiHidden/>
    <w:unhideWhenUsed/>
    <w:rsid w:val="00325EAC"/>
    <w:pPr>
      <w:spacing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325EA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elibrary.ru/item.asp?id=32738895" TargetMode="External"/><Relationship Id="rId18" Type="http://schemas.openxmlformats.org/officeDocument/2006/relationships/hyperlink" Target="https://doi.org/10.1109/RPC.2018.8482130" TargetMode="External"/><Relationship Id="rId3" Type="http://schemas.openxmlformats.org/officeDocument/2006/relationships/settings" Target="settings.xml"/><Relationship Id="rId21" Type="http://schemas.openxmlformats.org/officeDocument/2006/relationships/hyperlink" Target="mailto:carinash@vvsu.ru" TargetMode="External"/><Relationship Id="rId7" Type="http://schemas.openxmlformats.org/officeDocument/2006/relationships/image" Target="media/image1.jpg"/><Relationship Id="rId12" Type="http://schemas.openxmlformats.org/officeDocument/2006/relationships/hyperlink" Target="https://www.ncbi.nlm.nih.gov/pmc/articles/PMC3000789/" TargetMode="External"/><Relationship Id="rId17" Type="http://schemas.openxmlformats.org/officeDocument/2006/relationships/hyperlink" Target="https://doi.org/10.1109/RPC.2018.8482130"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ieeexplore.ieee.org/xpl/mostRecentIssue.jsp?punumber=8469127" TargetMode="External"/><Relationship Id="rId20" Type="http://schemas.microsoft.com/office/2011/relationships/commentsExtended" Target="commentsExtended.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hl7.org/implement/standards/index.cfm?ref=nav"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elibrary.ru/contents.asp?id=34840931&amp;selid=32738895" TargetMode="External"/><Relationship Id="rId23" Type="http://schemas.openxmlformats.org/officeDocument/2006/relationships/footer" Target="footer1.xml"/><Relationship Id="rId10" Type="http://schemas.openxmlformats.org/officeDocument/2006/relationships/hyperlink" Target="https://www.ncbi.nlm.nih.gov/pubmed/?term=Evans%20RS%5BAuthor%5D&amp;cauthor=true&amp;cauthor_uid=23304288" TargetMode="External"/><Relationship Id="rId19" Type="http://schemas.openxmlformats.org/officeDocument/2006/relationships/comments" Target="comments.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elibrary.ru/contents.asp?id=34840931" TargetMode="External"/><Relationship Id="rId22" Type="http://schemas.openxmlformats.org/officeDocument/2006/relationships/hyperlink" Target="http://novtex.ru/IT/autor.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22</Pages>
  <Words>5319</Words>
  <Characters>30323</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35571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Шахгельдян Карина</dc:creator>
  <cp:lastModifiedBy>Шахгельдян Карина</cp:lastModifiedBy>
  <cp:revision>2</cp:revision>
  <dcterms:created xsi:type="dcterms:W3CDTF">2019-03-22T04:15:00Z</dcterms:created>
  <dcterms:modified xsi:type="dcterms:W3CDTF">2019-03-22T04:15:00Z</dcterms:modified>
</cp:coreProperties>
</file>