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2EDA" w:rsidRDefault="00E02EDA" w:rsidP="00E02EDA">
      <w:pPr>
        <w:pStyle w:val="a3"/>
        <w:spacing w:before="0" w:beforeAutospacing="0" w:after="0" w:afterAutospacing="0"/>
        <w:ind w:firstLine="284"/>
        <w:rPr>
          <w:b/>
          <w:bCs/>
          <w:sz w:val="22"/>
          <w:szCs w:val="22"/>
        </w:rPr>
      </w:pPr>
      <w:r w:rsidRPr="00E02EDA">
        <w:rPr>
          <w:b/>
          <w:bCs/>
          <w:sz w:val="22"/>
          <w:szCs w:val="22"/>
        </w:rPr>
        <w:t>УДК</w:t>
      </w:r>
      <w:r>
        <w:rPr>
          <w:b/>
          <w:bCs/>
          <w:sz w:val="22"/>
          <w:szCs w:val="22"/>
        </w:rPr>
        <w:t xml:space="preserve"> </w:t>
      </w:r>
      <w:r w:rsidR="00D3128A">
        <w:rPr>
          <w:b/>
          <w:bCs/>
          <w:sz w:val="22"/>
          <w:szCs w:val="22"/>
        </w:rPr>
        <w:t>336.64</w:t>
      </w:r>
    </w:p>
    <w:p w:rsidR="00E02EDA" w:rsidRPr="00E02EDA" w:rsidRDefault="00E02EDA" w:rsidP="00E02EDA">
      <w:pPr>
        <w:pStyle w:val="a3"/>
        <w:spacing w:before="0" w:beforeAutospacing="0" w:after="0" w:afterAutospacing="0"/>
        <w:ind w:firstLine="284"/>
        <w:jc w:val="center"/>
        <w:rPr>
          <w:b/>
          <w:bCs/>
          <w:sz w:val="28"/>
          <w:szCs w:val="28"/>
        </w:rPr>
      </w:pPr>
      <w:r w:rsidRPr="00E02EDA">
        <w:rPr>
          <w:b/>
          <w:iCs/>
          <w:sz w:val="28"/>
          <w:szCs w:val="28"/>
        </w:rPr>
        <w:t xml:space="preserve">Подход к построению аналитического баланса в соответствии </w:t>
      </w:r>
      <w:r w:rsidRPr="00E02EDA">
        <w:rPr>
          <w:b/>
          <w:iCs/>
          <w:sz w:val="28"/>
          <w:szCs w:val="28"/>
          <w:lang w:val="en-US"/>
        </w:rPr>
        <w:t>c</w:t>
      </w:r>
      <w:r w:rsidRPr="00E02EDA">
        <w:rPr>
          <w:b/>
          <w:iCs/>
          <w:sz w:val="28"/>
          <w:szCs w:val="28"/>
        </w:rPr>
        <w:t xml:space="preserve"> </w:t>
      </w:r>
      <w:r w:rsidRPr="00E02EDA">
        <w:rPr>
          <w:b/>
          <w:iCs/>
          <w:sz w:val="28"/>
          <w:szCs w:val="28"/>
          <w:lang w:val="en-US"/>
        </w:rPr>
        <w:t>IFRS</w:t>
      </w:r>
      <w:r w:rsidRPr="00E02EDA">
        <w:rPr>
          <w:b/>
          <w:iCs/>
          <w:sz w:val="28"/>
          <w:szCs w:val="28"/>
        </w:rPr>
        <w:t xml:space="preserve"> 18</w:t>
      </w:r>
    </w:p>
    <w:p w:rsidR="00E02EDA" w:rsidRDefault="00E02EDA" w:rsidP="003D5338">
      <w:pPr>
        <w:pStyle w:val="a3"/>
        <w:spacing w:before="0" w:beforeAutospacing="0" w:after="0" w:afterAutospacing="0"/>
        <w:ind w:firstLine="284"/>
        <w:jc w:val="center"/>
        <w:rPr>
          <w:i/>
          <w:iCs/>
          <w:sz w:val="22"/>
          <w:szCs w:val="22"/>
        </w:rPr>
      </w:pPr>
    </w:p>
    <w:p w:rsidR="00072ACA" w:rsidRPr="003D5338" w:rsidRDefault="00072ACA" w:rsidP="003D5338">
      <w:pPr>
        <w:pStyle w:val="a3"/>
        <w:spacing w:before="0" w:beforeAutospacing="0" w:after="0" w:afterAutospacing="0"/>
        <w:ind w:firstLine="284"/>
        <w:jc w:val="center"/>
        <w:rPr>
          <w:i/>
          <w:iCs/>
          <w:sz w:val="22"/>
          <w:szCs w:val="22"/>
        </w:rPr>
      </w:pPr>
      <w:r w:rsidRPr="003D5338">
        <w:rPr>
          <w:i/>
          <w:iCs/>
          <w:sz w:val="22"/>
          <w:szCs w:val="22"/>
        </w:rPr>
        <w:t xml:space="preserve">Т.В. Бубновская, М.В. </w:t>
      </w:r>
      <w:proofErr w:type="spellStart"/>
      <w:r w:rsidRPr="003D5338">
        <w:rPr>
          <w:i/>
          <w:iCs/>
          <w:sz w:val="22"/>
          <w:szCs w:val="22"/>
        </w:rPr>
        <w:t>Ослопова</w:t>
      </w:r>
      <w:proofErr w:type="spellEnd"/>
    </w:p>
    <w:p w:rsidR="00072ACA" w:rsidRPr="003D5338" w:rsidRDefault="00072ACA" w:rsidP="003D5338">
      <w:pPr>
        <w:pStyle w:val="a3"/>
        <w:spacing w:before="0" w:beforeAutospacing="0" w:after="0" w:afterAutospacing="0"/>
        <w:ind w:firstLine="284"/>
        <w:jc w:val="center"/>
        <w:rPr>
          <w:b/>
          <w:iCs/>
          <w:sz w:val="22"/>
          <w:szCs w:val="22"/>
        </w:rPr>
      </w:pPr>
    </w:p>
    <w:p w:rsidR="00796D0B" w:rsidRPr="00796D0B" w:rsidRDefault="00796D0B" w:rsidP="0084728E">
      <w:pPr>
        <w:pStyle w:val="a3"/>
        <w:spacing w:before="0" w:beforeAutospacing="0" w:after="0" w:afterAutospacing="0"/>
        <w:ind w:firstLine="284"/>
        <w:jc w:val="both"/>
        <w:rPr>
          <w:rStyle w:val="a4"/>
          <w:sz w:val="22"/>
          <w:szCs w:val="22"/>
        </w:rPr>
      </w:pPr>
      <w:r>
        <w:rPr>
          <w:rStyle w:val="a4"/>
          <w:sz w:val="22"/>
          <w:szCs w:val="22"/>
        </w:rPr>
        <w:t>Введение</w:t>
      </w:r>
      <w:r w:rsidR="00797AC1" w:rsidRPr="00796D0B">
        <w:rPr>
          <w:rStyle w:val="a4"/>
          <w:sz w:val="22"/>
          <w:szCs w:val="22"/>
        </w:rPr>
        <w:t xml:space="preserve"> </w:t>
      </w:r>
    </w:p>
    <w:p w:rsidR="00EF3BAF" w:rsidRPr="003D5338" w:rsidRDefault="00EF3BAF" w:rsidP="0084728E">
      <w:pPr>
        <w:pStyle w:val="a3"/>
        <w:spacing w:before="0" w:beforeAutospacing="0" w:after="0" w:afterAutospacing="0"/>
        <w:ind w:firstLine="284"/>
        <w:jc w:val="both"/>
        <w:rPr>
          <w:sz w:val="22"/>
          <w:szCs w:val="22"/>
        </w:rPr>
      </w:pPr>
      <w:r w:rsidRPr="003D5338">
        <w:rPr>
          <w:sz w:val="22"/>
          <w:szCs w:val="22"/>
        </w:rPr>
        <w:t>Бухгалтерская финансовая отчетность выступает основным источником информации о финансовом и имущественном положении организации, а также предоставляет пользователям отчетности сведения о финансовых результатах и движении денежных средств. В современных условиях возрастают требования не только к признанию и оценке элементов отчетности, но и к качеству их представления и раскрытия. От того, как выстроена структура отчетности и насколько детализированы ее показатели, зависит полезность отчетных данных для принятия управленческих решений.</w:t>
      </w:r>
    </w:p>
    <w:p w:rsidR="00EF3BAF" w:rsidRPr="003D5338" w:rsidRDefault="00EF3BAF" w:rsidP="003D5338">
      <w:pPr>
        <w:pStyle w:val="a3"/>
        <w:spacing w:before="0" w:beforeAutospacing="0" w:after="0" w:afterAutospacing="0"/>
        <w:ind w:firstLine="284"/>
        <w:jc w:val="both"/>
        <w:rPr>
          <w:sz w:val="22"/>
          <w:szCs w:val="22"/>
        </w:rPr>
      </w:pPr>
      <w:r w:rsidRPr="003D5338">
        <w:rPr>
          <w:sz w:val="22"/>
          <w:szCs w:val="22"/>
        </w:rPr>
        <w:t>Принятие IFRS 18 стало закономерным этапом дальнейшего совершенствования бухгалтерской финансовой отчетности, поскольку ранее действовавшие подходы к представлению отчетности в IAS 1 «Представление финансовой отчетности» не всегда обеспечивали необходимую сопоставимость и понятность информации. В наибольшей степени это проявлялось в отношении промежуточных итогов бухгалтерских отчетов, структуры показателей и уровня их детализации.</w:t>
      </w:r>
    </w:p>
    <w:p w:rsidR="00EF3BAF" w:rsidRPr="003D5338" w:rsidRDefault="00EF3BAF" w:rsidP="003D5338">
      <w:pPr>
        <w:pStyle w:val="a3"/>
        <w:spacing w:before="0" w:beforeAutospacing="0" w:after="0" w:afterAutospacing="0"/>
        <w:ind w:firstLine="284"/>
        <w:jc w:val="both"/>
        <w:rPr>
          <w:sz w:val="22"/>
          <w:szCs w:val="22"/>
        </w:rPr>
      </w:pPr>
      <w:r w:rsidRPr="003D5338">
        <w:rPr>
          <w:sz w:val="22"/>
          <w:szCs w:val="22"/>
        </w:rPr>
        <w:t>IFRS 18 вводит понятие основных финансовых отчетов, закрепляет их равную значимость в составе отчетности и конкретизирует роль примечаний как инструмента раскрытия существенной информации. Данный стандарт подлежит обязательному применению при составлении отчетности за 2027 год, однако подготовка к его применению требует предварительного осмысления его положений.</w:t>
      </w:r>
    </w:p>
    <w:p w:rsidR="00EF3BAF" w:rsidRPr="003D5338" w:rsidRDefault="00EF3BAF" w:rsidP="003D5338">
      <w:pPr>
        <w:pStyle w:val="a3"/>
        <w:spacing w:before="0" w:beforeAutospacing="0" w:after="0" w:afterAutospacing="0"/>
        <w:ind w:firstLine="284"/>
        <w:jc w:val="both"/>
        <w:rPr>
          <w:sz w:val="22"/>
          <w:szCs w:val="22"/>
        </w:rPr>
      </w:pPr>
      <w:r w:rsidRPr="003D5338">
        <w:rPr>
          <w:sz w:val="22"/>
          <w:szCs w:val="22"/>
        </w:rPr>
        <w:t>Наиболее заметные изменения IFRS 18 связаны с отчетом о прибылях и убытках, однако методологические установки стандарта затрагивают и бухгалтерский баланс. В связи с этим возникает необходимость осмыслить, каким образом IFRS 18 влияет на представление и раскрытие информации в данной форме отчетности.</w:t>
      </w:r>
    </w:p>
    <w:p w:rsidR="00EF3BAF" w:rsidRPr="003D5338" w:rsidRDefault="00EF3BAF" w:rsidP="003D5338">
      <w:pPr>
        <w:pStyle w:val="a3"/>
        <w:spacing w:before="0" w:beforeAutospacing="0" w:after="0" w:afterAutospacing="0"/>
        <w:ind w:firstLine="284"/>
        <w:jc w:val="both"/>
        <w:rPr>
          <w:sz w:val="22"/>
          <w:szCs w:val="22"/>
        </w:rPr>
      </w:pPr>
      <w:r w:rsidRPr="003D5338">
        <w:rPr>
          <w:sz w:val="22"/>
          <w:szCs w:val="22"/>
        </w:rPr>
        <w:t xml:space="preserve">В зарубежной и российской научной литературе рассматриваются вопросы повышения сопоставимости и качества раскрытия информации. В работе Малиновской Н.В. анализируются проблемы структуры финансовой отчетности, а также недостатки действующей модели представления финансовых результатов в отчете о прибыли и убытках </w:t>
      </w:r>
      <w:bookmarkStart w:id="0" w:name="_Hlk226644859"/>
      <w:r w:rsidRPr="003D5338">
        <w:rPr>
          <w:sz w:val="22"/>
          <w:szCs w:val="22"/>
        </w:rPr>
        <w:t>[1]</w:t>
      </w:r>
      <w:bookmarkEnd w:id="0"/>
      <w:r w:rsidRPr="003D5338">
        <w:rPr>
          <w:sz w:val="22"/>
          <w:szCs w:val="22"/>
        </w:rPr>
        <w:t>.</w:t>
      </w:r>
      <w:r w:rsidR="0055210C">
        <w:rPr>
          <w:sz w:val="22"/>
          <w:szCs w:val="22"/>
        </w:rPr>
        <w:t xml:space="preserve"> </w:t>
      </w:r>
      <w:r w:rsidR="0055210C" w:rsidRPr="0055210C">
        <w:rPr>
          <w:sz w:val="22"/>
          <w:szCs w:val="22"/>
        </w:rPr>
        <w:t>Ряд авторов рассматривают влияние IFRS 18 на представление и раскрытие информации в различных отраслях промышленности. Морозова Т.В. рассматривает перспективы применения IFRS 18 строительными организациями</w:t>
      </w:r>
      <w:r w:rsidR="0055210C">
        <w:rPr>
          <w:sz w:val="22"/>
          <w:szCs w:val="22"/>
        </w:rPr>
        <w:t xml:space="preserve"> </w:t>
      </w:r>
      <w:r w:rsidR="0055210C" w:rsidRPr="0055210C">
        <w:rPr>
          <w:sz w:val="22"/>
          <w:szCs w:val="22"/>
        </w:rPr>
        <w:t>[</w:t>
      </w:r>
      <w:r w:rsidR="0055210C">
        <w:rPr>
          <w:sz w:val="22"/>
          <w:szCs w:val="22"/>
        </w:rPr>
        <w:t>2</w:t>
      </w:r>
      <w:r w:rsidR="0055210C" w:rsidRPr="0055210C">
        <w:rPr>
          <w:sz w:val="22"/>
          <w:szCs w:val="22"/>
        </w:rPr>
        <w:t xml:space="preserve">], </w:t>
      </w:r>
      <w:proofErr w:type="spellStart"/>
      <w:r w:rsidR="0055210C" w:rsidRPr="0055210C">
        <w:rPr>
          <w:sz w:val="22"/>
          <w:szCs w:val="22"/>
        </w:rPr>
        <w:t>Чемова</w:t>
      </w:r>
      <w:proofErr w:type="spellEnd"/>
      <w:r w:rsidR="0055210C" w:rsidRPr="0055210C">
        <w:rPr>
          <w:sz w:val="22"/>
          <w:szCs w:val="22"/>
        </w:rPr>
        <w:t xml:space="preserve"> Е.А. в своей статье оценивает влияние IFRS 18   на финансовую отчетность российских банков</w:t>
      </w:r>
      <w:r w:rsidR="0055210C">
        <w:rPr>
          <w:sz w:val="22"/>
          <w:szCs w:val="22"/>
        </w:rPr>
        <w:t xml:space="preserve"> </w:t>
      </w:r>
      <w:r w:rsidR="0055210C" w:rsidRPr="0055210C">
        <w:rPr>
          <w:sz w:val="22"/>
          <w:szCs w:val="22"/>
        </w:rPr>
        <w:t>[</w:t>
      </w:r>
      <w:r w:rsidR="0055210C">
        <w:rPr>
          <w:sz w:val="22"/>
          <w:szCs w:val="22"/>
        </w:rPr>
        <w:t>3</w:t>
      </w:r>
      <w:r w:rsidR="0055210C" w:rsidRPr="0055210C">
        <w:rPr>
          <w:sz w:val="22"/>
          <w:szCs w:val="22"/>
        </w:rPr>
        <w:t xml:space="preserve">]. </w:t>
      </w:r>
      <w:proofErr w:type="spellStart"/>
      <w:r w:rsidR="0055210C" w:rsidRPr="0055210C">
        <w:rPr>
          <w:sz w:val="22"/>
          <w:szCs w:val="22"/>
        </w:rPr>
        <w:t>Дружиловская</w:t>
      </w:r>
      <w:proofErr w:type="spellEnd"/>
      <w:r w:rsidR="0055210C" w:rsidRPr="0055210C">
        <w:rPr>
          <w:sz w:val="22"/>
          <w:szCs w:val="22"/>
        </w:rPr>
        <w:t xml:space="preserve"> Э.С. анализирует влияние стандарта на формирование отчетности и оценку объектов бухгалтерского учета в бюджетной сфере</w:t>
      </w:r>
      <w:r w:rsidR="0055210C">
        <w:rPr>
          <w:sz w:val="22"/>
          <w:szCs w:val="22"/>
        </w:rPr>
        <w:t xml:space="preserve"> </w:t>
      </w:r>
      <w:r w:rsidR="0055210C" w:rsidRPr="0055210C">
        <w:rPr>
          <w:sz w:val="22"/>
          <w:szCs w:val="22"/>
        </w:rPr>
        <w:t>[</w:t>
      </w:r>
      <w:r w:rsidR="0055210C">
        <w:rPr>
          <w:sz w:val="22"/>
          <w:szCs w:val="22"/>
        </w:rPr>
        <w:t>4, 5</w:t>
      </w:r>
      <w:r w:rsidR="0055210C" w:rsidRPr="0055210C">
        <w:rPr>
          <w:sz w:val="22"/>
          <w:szCs w:val="22"/>
        </w:rPr>
        <w:t>].</w:t>
      </w:r>
    </w:p>
    <w:p w:rsidR="00EF3BAF" w:rsidRPr="003D5338" w:rsidRDefault="00EF3BAF" w:rsidP="003D5338">
      <w:pPr>
        <w:pStyle w:val="a3"/>
        <w:spacing w:before="0" w:beforeAutospacing="0" w:after="0" w:afterAutospacing="0"/>
        <w:ind w:firstLine="284"/>
        <w:jc w:val="both"/>
        <w:rPr>
          <w:sz w:val="22"/>
          <w:szCs w:val="22"/>
        </w:rPr>
      </w:pPr>
      <w:r w:rsidRPr="003D5338">
        <w:rPr>
          <w:sz w:val="22"/>
          <w:szCs w:val="22"/>
        </w:rPr>
        <w:t>Анализ научных публикаций показывает, что большинство исследователей сосредоточивают основное внимание на отчете о прибылях и убытках в контексте IFRS 18</w:t>
      </w:r>
      <w:r w:rsidR="0055210C">
        <w:rPr>
          <w:sz w:val="22"/>
          <w:szCs w:val="22"/>
        </w:rPr>
        <w:t xml:space="preserve"> [6-8]</w:t>
      </w:r>
      <w:r w:rsidRPr="003D5338">
        <w:rPr>
          <w:sz w:val="22"/>
          <w:szCs w:val="22"/>
        </w:rPr>
        <w:t xml:space="preserve">, тогда как влияние нового стандарта на бухгалтерский баланс остается практически не исследованным. </w:t>
      </w:r>
      <w:r w:rsidR="002C3C3B" w:rsidRPr="002C3C3B">
        <w:rPr>
          <w:sz w:val="22"/>
          <w:szCs w:val="22"/>
        </w:rPr>
        <w:t xml:space="preserve">При этом, ряд авторов определяют необходимость  разработки мер по повышению степени информативности и аналитичности, в том числе и бухгалтерского баланса, с учетом экспертного мнения и запросов пользователей </w:t>
      </w:r>
      <w:r w:rsidR="009F5BE0">
        <w:rPr>
          <w:sz w:val="22"/>
          <w:szCs w:val="22"/>
        </w:rPr>
        <w:t xml:space="preserve">данных отчетной и </w:t>
      </w:r>
      <w:r w:rsidR="002C3C3B" w:rsidRPr="002C3C3B">
        <w:rPr>
          <w:sz w:val="22"/>
          <w:szCs w:val="22"/>
        </w:rPr>
        <w:t>аналитической информации [9</w:t>
      </w:r>
      <w:r w:rsidR="009F5BE0">
        <w:rPr>
          <w:sz w:val="22"/>
          <w:szCs w:val="22"/>
        </w:rPr>
        <w:t>, 10</w:t>
      </w:r>
      <w:r w:rsidR="002C3C3B" w:rsidRPr="002C3C3B">
        <w:rPr>
          <w:sz w:val="22"/>
          <w:szCs w:val="22"/>
        </w:rPr>
        <w:t xml:space="preserve">]. </w:t>
      </w:r>
      <w:r w:rsidRPr="003D5338">
        <w:rPr>
          <w:sz w:val="22"/>
          <w:szCs w:val="22"/>
        </w:rPr>
        <w:t>Это позволяет говорить об актуальности темы, связанной с анализом представления и раскрытия информации в бухгалтерском балансе в логике IFRS 18.</w:t>
      </w:r>
    </w:p>
    <w:p w:rsidR="00EF3BAF" w:rsidRPr="003D5338" w:rsidRDefault="00EF3BAF" w:rsidP="003D5338">
      <w:pPr>
        <w:pStyle w:val="a3"/>
        <w:spacing w:before="0" w:beforeAutospacing="0" w:after="0" w:afterAutospacing="0"/>
        <w:ind w:firstLine="284"/>
        <w:jc w:val="both"/>
        <w:rPr>
          <w:sz w:val="22"/>
          <w:szCs w:val="22"/>
        </w:rPr>
      </w:pPr>
      <w:r w:rsidRPr="003D5338">
        <w:rPr>
          <w:sz w:val="22"/>
          <w:szCs w:val="22"/>
        </w:rPr>
        <w:t>Проблема исследования заключается в том, что информация, представленная в бухгалтерском балансе, не всегда обеспечивает необходимый уровень прозрачности и аналитической полезности. В большинстве случаев предприятия формируют баланс по общеустановленной форме с ограниченной степенью детализации. При этом существенная информация либо не выносится в примечания, либо раскрывается в них без достаточной связи с основными статьями отчетности. Это затрудняет понимание реального состава активов и обязательств, а также снижает удобство использования бухгалтерского баланса для оценки ликвидности, платежеспособности и финансовой устойчивости.</w:t>
      </w:r>
    </w:p>
    <w:p w:rsidR="00EF3BAF" w:rsidRPr="003D5338" w:rsidRDefault="00EF3BAF" w:rsidP="003D5338">
      <w:pPr>
        <w:pStyle w:val="a3"/>
        <w:spacing w:before="0" w:beforeAutospacing="0" w:after="0" w:afterAutospacing="0"/>
        <w:ind w:firstLine="284"/>
        <w:jc w:val="both"/>
        <w:rPr>
          <w:sz w:val="22"/>
          <w:szCs w:val="22"/>
        </w:rPr>
      </w:pPr>
      <w:r w:rsidRPr="003D5338">
        <w:rPr>
          <w:sz w:val="22"/>
          <w:szCs w:val="22"/>
        </w:rPr>
        <w:lastRenderedPageBreak/>
        <w:t xml:space="preserve">IFRS 18 расставляет иные акценты при формировании финансовой отчетности по сравнению с IAS 1. А именно: основные отчеты содержат структурированную обобщенную информацию, а примечания раскрывают существенные сведения, необходимые для понимания статей отчетности. Такой подход имеет принципиальное значение для бухгалтерского баланса, поскольку позволяет по-новому определить границы агрегирования и </w:t>
      </w:r>
      <w:proofErr w:type="spellStart"/>
      <w:r w:rsidRPr="003D5338">
        <w:rPr>
          <w:sz w:val="22"/>
          <w:szCs w:val="22"/>
        </w:rPr>
        <w:t>дезагрегирования</w:t>
      </w:r>
      <w:proofErr w:type="spellEnd"/>
      <w:r w:rsidRPr="003D5338">
        <w:rPr>
          <w:sz w:val="22"/>
          <w:szCs w:val="22"/>
        </w:rPr>
        <w:t xml:space="preserve"> его показателей, а также требования к логике раскрытия данных.</w:t>
      </w:r>
    </w:p>
    <w:p w:rsidR="00EF3BAF" w:rsidRPr="003D5338" w:rsidRDefault="00EF3BAF" w:rsidP="003D5338">
      <w:pPr>
        <w:pStyle w:val="a3"/>
        <w:spacing w:before="0" w:beforeAutospacing="0" w:after="0" w:afterAutospacing="0"/>
        <w:ind w:firstLine="284"/>
        <w:jc w:val="both"/>
        <w:rPr>
          <w:sz w:val="22"/>
          <w:szCs w:val="22"/>
        </w:rPr>
      </w:pPr>
      <w:r w:rsidRPr="00797AC1">
        <w:rPr>
          <w:i/>
          <w:iCs/>
          <w:sz w:val="22"/>
          <w:szCs w:val="22"/>
        </w:rPr>
        <w:t>Цель исследования</w:t>
      </w:r>
      <w:r w:rsidRPr="003D5338">
        <w:rPr>
          <w:sz w:val="22"/>
          <w:szCs w:val="22"/>
        </w:rPr>
        <w:t xml:space="preserve"> состоит в разработке </w:t>
      </w:r>
      <w:r w:rsidR="00CD2F75" w:rsidRPr="003D5338">
        <w:rPr>
          <w:sz w:val="22"/>
          <w:szCs w:val="22"/>
        </w:rPr>
        <w:t>теоретических</w:t>
      </w:r>
      <w:r w:rsidRPr="003D5338">
        <w:rPr>
          <w:sz w:val="22"/>
          <w:szCs w:val="22"/>
        </w:rPr>
        <w:t xml:space="preserve"> положений по представлению и раскрытию информации в бухгалтерском балансе в соответствии с IFRS 18 и в определении направлений повышения его аналитичности.</w:t>
      </w:r>
    </w:p>
    <w:p w:rsidR="004D3931" w:rsidRPr="003D5338" w:rsidRDefault="004D3931" w:rsidP="003D5338">
      <w:pPr>
        <w:spacing w:after="0" w:line="240" w:lineRule="auto"/>
        <w:ind w:firstLine="284"/>
        <w:jc w:val="both"/>
        <w:rPr>
          <w:rFonts w:ascii="Times New Roman" w:hAnsi="Times New Roman" w:cs="Times New Roman"/>
        </w:rPr>
      </w:pPr>
      <w:r w:rsidRPr="00797AC1">
        <w:rPr>
          <w:rFonts w:ascii="Times New Roman" w:hAnsi="Times New Roman" w:cs="Times New Roman"/>
          <w:i/>
          <w:iCs/>
        </w:rPr>
        <w:t>Методология исследования</w:t>
      </w:r>
      <w:r w:rsidRPr="003D5338">
        <w:rPr>
          <w:rFonts w:ascii="Times New Roman" w:hAnsi="Times New Roman" w:cs="Times New Roman"/>
        </w:rPr>
        <w:t>: общенаучные методы анализа, синтеза, сравнения, обобщения и абстрагирования.</w:t>
      </w:r>
    </w:p>
    <w:p w:rsidR="00796D0B" w:rsidRDefault="004D3931" w:rsidP="00797AC1">
      <w:pPr>
        <w:spacing w:after="0" w:line="240" w:lineRule="auto"/>
        <w:ind w:firstLine="284"/>
        <w:jc w:val="both"/>
        <w:rPr>
          <w:rFonts w:ascii="Times New Roman" w:hAnsi="Times New Roman" w:cs="Times New Roman"/>
          <w:i/>
          <w:iCs/>
        </w:rPr>
      </w:pPr>
      <w:r w:rsidRPr="00796D0B">
        <w:rPr>
          <w:rFonts w:ascii="Times New Roman" w:hAnsi="Times New Roman" w:cs="Times New Roman"/>
          <w:b/>
          <w:bCs/>
        </w:rPr>
        <w:t>Основная часть</w:t>
      </w:r>
      <w:r w:rsidR="00797AC1">
        <w:rPr>
          <w:rFonts w:ascii="Times New Roman" w:hAnsi="Times New Roman" w:cs="Times New Roman"/>
          <w:i/>
          <w:iCs/>
        </w:rPr>
        <w:t xml:space="preserve"> </w:t>
      </w:r>
    </w:p>
    <w:p w:rsidR="004D3931" w:rsidRPr="00797AC1" w:rsidRDefault="00681D60" w:rsidP="00797AC1">
      <w:pPr>
        <w:spacing w:after="0" w:line="240" w:lineRule="auto"/>
        <w:ind w:firstLine="284"/>
        <w:jc w:val="both"/>
        <w:rPr>
          <w:rFonts w:ascii="Times New Roman" w:hAnsi="Times New Roman" w:cs="Times New Roman"/>
          <w:i/>
          <w:iCs/>
        </w:rPr>
      </w:pPr>
      <w:r w:rsidRPr="003D5338">
        <w:rPr>
          <w:rFonts w:ascii="Times New Roman" w:eastAsia="Times New Roman" w:hAnsi="Times New Roman" w:cs="Times New Roman"/>
          <w:lang w:eastAsia="ru-RU"/>
        </w:rPr>
        <w:t xml:space="preserve">Анализ положений и требований, изложенных в IFRS 18, позволяет утверждать, что существенно изменяется подход к структурированию информации в отчете о финансовых результатах и при этом, практически, напрямую, не определяются направления трансформации бухгалтерского баланса. Между тем, такое «невнимание» к данной форме отчетности не совсем справедливо. Безусловно, ориентация на собственников и удовлетворение их интересов с точки зрения, формирования более объективной и </w:t>
      </w:r>
      <w:proofErr w:type="spellStart"/>
      <w:r w:rsidRPr="003D5338">
        <w:rPr>
          <w:rFonts w:ascii="Times New Roman" w:eastAsia="Times New Roman" w:hAnsi="Times New Roman" w:cs="Times New Roman"/>
          <w:lang w:eastAsia="ru-RU"/>
        </w:rPr>
        <w:t>аналитичной</w:t>
      </w:r>
      <w:proofErr w:type="spellEnd"/>
      <w:r w:rsidRPr="003D5338">
        <w:rPr>
          <w:rFonts w:ascii="Times New Roman" w:eastAsia="Times New Roman" w:hAnsi="Times New Roman" w:cs="Times New Roman"/>
          <w:lang w:eastAsia="ru-RU"/>
        </w:rPr>
        <w:t xml:space="preserve"> информации о величине финансового результата – важный аспект. При этом формирование качественной и структурированной информации об имущественно-финансовом положении компании, на наш взгляд не менее актуально.</w:t>
      </w:r>
      <w:r w:rsidR="004D3931" w:rsidRPr="003D5338">
        <w:rPr>
          <w:rFonts w:ascii="Times New Roman" w:hAnsi="Times New Roman" w:cs="Times New Roman"/>
        </w:rPr>
        <w:t xml:space="preserve"> </w:t>
      </w:r>
    </w:p>
    <w:p w:rsidR="004D3931" w:rsidRPr="003D5338" w:rsidRDefault="004D3931" w:rsidP="003D5338">
      <w:pPr>
        <w:spacing w:after="0" w:line="240" w:lineRule="auto"/>
        <w:ind w:firstLine="284"/>
        <w:jc w:val="both"/>
        <w:rPr>
          <w:rFonts w:ascii="Times New Roman" w:hAnsi="Times New Roman" w:cs="Times New Roman"/>
        </w:rPr>
      </w:pPr>
      <w:r w:rsidRPr="003D5338">
        <w:rPr>
          <w:rFonts w:ascii="Times New Roman" w:hAnsi="Times New Roman" w:cs="Times New Roman"/>
          <w:lang w:val="en-US"/>
        </w:rPr>
        <w:t>IFRS</w:t>
      </w:r>
      <w:r w:rsidRPr="003D5338">
        <w:rPr>
          <w:rFonts w:ascii="Times New Roman" w:hAnsi="Times New Roman" w:cs="Times New Roman"/>
        </w:rPr>
        <w:t xml:space="preserve"> 18 сохраняет перечень типовых строк баланса, но не предписывает жесткий формат и порядок. </w:t>
      </w:r>
      <w:r w:rsidR="00681D60" w:rsidRPr="003D5338">
        <w:rPr>
          <w:rFonts w:ascii="Times New Roman" w:hAnsi="Times New Roman" w:cs="Times New Roman"/>
        </w:rPr>
        <w:t>При этом первичные формы должны давать полезные структурированные данные, а более детальная расшифровка должна отражаться в примечаниях.</w:t>
      </w:r>
      <w:r w:rsidR="00681D60">
        <w:rPr>
          <w:rFonts w:ascii="Times New Roman" w:hAnsi="Times New Roman" w:cs="Times New Roman"/>
        </w:rPr>
        <w:t xml:space="preserve"> </w:t>
      </w:r>
      <w:r w:rsidRPr="003D5338">
        <w:rPr>
          <w:rFonts w:ascii="Times New Roman" w:hAnsi="Times New Roman" w:cs="Times New Roman"/>
        </w:rPr>
        <w:t xml:space="preserve">Хозяйствующий субъект должен решить, нужны ли дополнительные строки, чтобы баланс был информативным. </w:t>
      </w:r>
    </w:p>
    <w:p w:rsidR="004D3931" w:rsidRPr="003D5338" w:rsidRDefault="004D3931"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 xml:space="preserve">IFRS 18 отдельно подчеркивает, что строки и раскрытия должны называться так, чтобы правдиво отражать их экономическую природу. Название статьи баланса как «Прочие активы» допустимы только если более информативную метку подобрать нельзя. </w:t>
      </w:r>
    </w:p>
    <w:p w:rsidR="004D3931" w:rsidRPr="003D5338" w:rsidRDefault="004D3931"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 xml:space="preserve">То есть влияние на структуру баланса можно сформулировать так: не революция в классификации, а усиление аналитичности представления. Базовые блоки остаются, но компаниям необходимо принять решение, какие активы объединять, какие - раскрывать отдельно, и как их называть. Это особенно касается смешанных строк вроде «прочие активы», «прочая дебиторская задолженность», «прочие внеоборотные активы». </w:t>
      </w:r>
    </w:p>
    <w:p w:rsidR="004D3931" w:rsidRPr="003D5338" w:rsidRDefault="004D3931"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 xml:space="preserve">Для самого баланса IFRS 18 по-прежнему требует или допускает отдельное представление, в частности, по основным средствам, инвестиционной недвижимости, гудвиллу, финансовым активам, биологическим активам, запасам, торговой и прочей дебиторской задолженности, денежным средствам, налоговым активам и т.д. Но порядок и детализация могут быть адаптированы под бизнес-модель, если это делает баланс полезнее для пользователя. </w:t>
      </w:r>
    </w:p>
    <w:p w:rsidR="004D3931" w:rsidRPr="003D5338" w:rsidRDefault="004D3931"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Таким образом, IFRS 18 задает направление к более осмысленному построению бухгалтерского баланса, при котором форма должна быть ориентирована не только на соблюдение требований стандарта, но и на информационные потребности пользователей.</w:t>
      </w:r>
    </w:p>
    <w:p w:rsidR="004D3931" w:rsidRDefault="004D3931"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Проведенный анализ позволяет выделить ряд проблем, характерных для современной практики составления бухгалтерского баланса</w:t>
      </w:r>
      <w:r w:rsidR="00FE301C">
        <w:rPr>
          <w:rFonts w:ascii="Times New Roman" w:hAnsi="Times New Roman" w:cs="Times New Roman"/>
        </w:rPr>
        <w:t xml:space="preserve"> (рисунок 1)</w:t>
      </w:r>
      <w:r w:rsidRPr="003D5338">
        <w:rPr>
          <w:rFonts w:ascii="Times New Roman" w:hAnsi="Times New Roman" w:cs="Times New Roman"/>
        </w:rPr>
        <w:t>.</w:t>
      </w:r>
    </w:p>
    <w:p w:rsidR="002833D3" w:rsidRPr="003D5338" w:rsidRDefault="002833D3" w:rsidP="003D5338">
      <w:pPr>
        <w:spacing w:after="0" w:line="240" w:lineRule="auto"/>
        <w:ind w:firstLine="284"/>
        <w:jc w:val="both"/>
        <w:rPr>
          <w:rFonts w:ascii="Times New Roman" w:hAnsi="Times New Roman" w:cs="Times New Roman"/>
        </w:rPr>
      </w:pPr>
    </w:p>
    <w:p w:rsidR="004D3931" w:rsidRPr="003D5338" w:rsidRDefault="00FE301C" w:rsidP="003D5338">
      <w:pPr>
        <w:spacing w:after="0" w:line="240" w:lineRule="auto"/>
        <w:ind w:firstLine="284"/>
        <w:jc w:val="both"/>
        <w:rPr>
          <w:rFonts w:ascii="Times New Roman" w:hAnsi="Times New Roman" w:cs="Times New Roman"/>
        </w:rPr>
      </w:pPr>
      <w:r>
        <w:rPr>
          <w:rFonts w:ascii="Times New Roman" w:hAnsi="Times New Roman" w:cs="Times New Roman"/>
          <w:noProof/>
          <w:lang w:eastAsia="ru-RU"/>
        </w:rPr>
        <w:lastRenderedPageBreak/>
        <w:drawing>
          <wp:inline distT="0" distB="0" distL="0" distR="0">
            <wp:extent cx="5486400" cy="3200400"/>
            <wp:effectExtent l="0" t="19050" r="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4D3931" w:rsidRPr="003D5338" w:rsidRDefault="004D3931" w:rsidP="003D5338">
      <w:pPr>
        <w:spacing w:after="0" w:line="240" w:lineRule="auto"/>
        <w:ind w:firstLine="284"/>
        <w:jc w:val="both"/>
        <w:rPr>
          <w:rFonts w:ascii="Times New Roman" w:hAnsi="Times New Roman" w:cs="Times New Roman"/>
        </w:rPr>
      </w:pPr>
    </w:p>
    <w:p w:rsidR="00FE301C" w:rsidRDefault="00FE301C" w:rsidP="00FE301C">
      <w:pPr>
        <w:spacing w:after="0" w:line="240" w:lineRule="auto"/>
        <w:ind w:firstLine="284"/>
        <w:jc w:val="center"/>
        <w:rPr>
          <w:rFonts w:ascii="Times New Roman" w:hAnsi="Times New Roman" w:cs="Times New Roman"/>
        </w:rPr>
      </w:pPr>
      <w:r>
        <w:rPr>
          <w:rFonts w:ascii="Times New Roman" w:hAnsi="Times New Roman" w:cs="Times New Roman"/>
        </w:rPr>
        <w:t xml:space="preserve">Рисунок 1 – Проблемы составления бухгалтерского баланса в контексте </w:t>
      </w:r>
      <w:r w:rsidRPr="00FE301C">
        <w:rPr>
          <w:rFonts w:ascii="Times New Roman" w:hAnsi="Times New Roman" w:cs="Times New Roman"/>
        </w:rPr>
        <w:t>IFRS 18</w:t>
      </w:r>
    </w:p>
    <w:p w:rsidR="00FE301C" w:rsidRDefault="00FE301C" w:rsidP="003D5338">
      <w:pPr>
        <w:spacing w:after="0" w:line="240" w:lineRule="auto"/>
        <w:ind w:firstLine="284"/>
        <w:jc w:val="both"/>
        <w:rPr>
          <w:rFonts w:ascii="Times New Roman" w:hAnsi="Times New Roman" w:cs="Times New Roman"/>
        </w:rPr>
      </w:pPr>
    </w:p>
    <w:p w:rsidR="004D3931" w:rsidRDefault="004D3931"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На основе положений IFRS 18 можно выделить несколько направлений совершенствования бухгалтерского баланса</w:t>
      </w:r>
      <w:r w:rsidR="00FE301C">
        <w:rPr>
          <w:rFonts w:ascii="Times New Roman" w:hAnsi="Times New Roman" w:cs="Times New Roman"/>
        </w:rPr>
        <w:t xml:space="preserve"> (рисунок 2)</w:t>
      </w:r>
      <w:r w:rsidRPr="003D5338">
        <w:rPr>
          <w:rFonts w:ascii="Times New Roman" w:hAnsi="Times New Roman" w:cs="Times New Roman"/>
        </w:rPr>
        <w:t>.</w:t>
      </w:r>
    </w:p>
    <w:p w:rsidR="00FE301C" w:rsidRPr="003D5338" w:rsidRDefault="00FE301C" w:rsidP="003D5338">
      <w:pPr>
        <w:spacing w:after="0" w:line="240" w:lineRule="auto"/>
        <w:ind w:firstLine="284"/>
        <w:jc w:val="both"/>
        <w:rPr>
          <w:rFonts w:ascii="Times New Roman" w:hAnsi="Times New Roman" w:cs="Times New Roman"/>
        </w:rPr>
      </w:pPr>
      <w:r>
        <w:rPr>
          <w:rFonts w:ascii="Times New Roman" w:hAnsi="Times New Roman" w:cs="Times New Roman"/>
          <w:noProof/>
          <w:lang w:eastAsia="ru-RU"/>
        </w:rPr>
        <w:drawing>
          <wp:inline distT="0" distB="0" distL="0" distR="0">
            <wp:extent cx="5486400" cy="3200400"/>
            <wp:effectExtent l="0" t="0" r="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E301C" w:rsidRDefault="00FE301C" w:rsidP="003D5338">
      <w:pPr>
        <w:spacing w:after="0" w:line="240" w:lineRule="auto"/>
        <w:ind w:firstLine="284"/>
        <w:jc w:val="both"/>
        <w:rPr>
          <w:rFonts w:ascii="Times New Roman" w:hAnsi="Times New Roman" w:cs="Times New Roman"/>
        </w:rPr>
      </w:pPr>
      <w:r>
        <w:rPr>
          <w:rFonts w:ascii="Times New Roman" w:hAnsi="Times New Roman" w:cs="Times New Roman"/>
        </w:rPr>
        <w:t xml:space="preserve">Рисунок 2 – Направления совершенствования бухгалтерского баланса в контексте </w:t>
      </w:r>
      <w:r w:rsidRPr="00FE301C">
        <w:rPr>
          <w:rFonts w:ascii="Times New Roman" w:hAnsi="Times New Roman" w:cs="Times New Roman"/>
        </w:rPr>
        <w:t>IFRS 18</w:t>
      </w:r>
    </w:p>
    <w:p w:rsidR="00FE301C" w:rsidRDefault="00FE301C" w:rsidP="003D5338">
      <w:pPr>
        <w:spacing w:after="0" w:line="240" w:lineRule="auto"/>
        <w:ind w:firstLine="284"/>
        <w:jc w:val="both"/>
        <w:rPr>
          <w:rFonts w:ascii="Times New Roman" w:hAnsi="Times New Roman" w:cs="Times New Roman"/>
        </w:rPr>
      </w:pPr>
    </w:p>
    <w:p w:rsidR="004D3931" w:rsidRPr="003D5338" w:rsidRDefault="004D3931"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 xml:space="preserve">В результате проведенного исследования было установлено, что </w:t>
      </w:r>
      <w:r w:rsidRPr="003D5338">
        <w:rPr>
          <w:rFonts w:ascii="Times New Roman" w:hAnsi="Times New Roman" w:cs="Times New Roman"/>
          <w:lang w:val="en-US"/>
        </w:rPr>
        <w:t>IFRS</w:t>
      </w:r>
      <w:r w:rsidRPr="003D5338">
        <w:rPr>
          <w:rFonts w:ascii="Times New Roman" w:hAnsi="Times New Roman" w:cs="Times New Roman"/>
        </w:rPr>
        <w:t xml:space="preserve"> 18 формирует новые ориентиры для представления и раскрытия информации в бухгалтерском балансе. Новый стандарт усиливает требования к логике его построения, качеству группировки показателей и разграничению информации между основной формой и примечаниями.</w:t>
      </w:r>
    </w:p>
    <w:p w:rsidR="004D3931" w:rsidRPr="003D5338" w:rsidRDefault="004D3931"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 xml:space="preserve">Авторами было выявлено, что основными проблемами представления информации в бухгалтерском балансе остаются чрезмерная </w:t>
      </w:r>
      <w:proofErr w:type="spellStart"/>
      <w:r w:rsidRPr="003D5338">
        <w:rPr>
          <w:rFonts w:ascii="Times New Roman" w:hAnsi="Times New Roman" w:cs="Times New Roman"/>
        </w:rPr>
        <w:t>агрегированность</w:t>
      </w:r>
      <w:proofErr w:type="spellEnd"/>
      <w:r w:rsidRPr="003D5338">
        <w:rPr>
          <w:rFonts w:ascii="Times New Roman" w:hAnsi="Times New Roman" w:cs="Times New Roman"/>
        </w:rPr>
        <w:t xml:space="preserve"> данных, недостаточная прозрачность структуры активов и обязательств. </w:t>
      </w:r>
    </w:p>
    <w:p w:rsidR="00073175" w:rsidRPr="003D5338" w:rsidRDefault="00073175" w:rsidP="003D5338">
      <w:pPr>
        <w:widowControl w:val="0"/>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Ряд принципиальных моментов, транслируемых в IFRS </w:t>
      </w:r>
      <w:r w:rsidR="003D5338" w:rsidRPr="003D5338">
        <w:rPr>
          <w:rFonts w:ascii="Times New Roman" w:eastAsia="Times New Roman" w:hAnsi="Times New Roman" w:cs="Times New Roman"/>
          <w:lang w:eastAsia="ru-RU"/>
        </w:rPr>
        <w:t>18, могут</w:t>
      </w:r>
      <w:r w:rsidRPr="003D5338">
        <w:rPr>
          <w:rFonts w:ascii="Times New Roman" w:eastAsia="Times New Roman" w:hAnsi="Times New Roman" w:cs="Times New Roman"/>
          <w:lang w:eastAsia="ru-RU"/>
        </w:rPr>
        <w:t xml:space="preserve"> быть распространены и в </w:t>
      </w:r>
      <w:r w:rsidRPr="003D5338">
        <w:rPr>
          <w:rFonts w:ascii="Times New Roman" w:eastAsia="Times New Roman" w:hAnsi="Times New Roman" w:cs="Times New Roman"/>
          <w:lang w:eastAsia="ru-RU"/>
        </w:rPr>
        <w:lastRenderedPageBreak/>
        <w:t xml:space="preserve">контексте формирования показателей бухгалтерского баланса, используемых при финансовом анализе. </w:t>
      </w:r>
    </w:p>
    <w:p w:rsidR="00073175" w:rsidRPr="003D5338" w:rsidRDefault="00073175" w:rsidP="003D5338">
      <w:pPr>
        <w:widowControl w:val="0"/>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В частности, подход к агрегированию и </w:t>
      </w:r>
      <w:proofErr w:type="spellStart"/>
      <w:r w:rsidRPr="003D5338">
        <w:rPr>
          <w:rFonts w:ascii="Times New Roman" w:eastAsia="Times New Roman" w:hAnsi="Times New Roman" w:cs="Times New Roman"/>
          <w:lang w:eastAsia="ru-RU"/>
        </w:rPr>
        <w:t>дезагр</w:t>
      </w:r>
      <w:r w:rsidR="00681D60">
        <w:rPr>
          <w:rFonts w:ascii="Times New Roman" w:eastAsia="Times New Roman" w:hAnsi="Times New Roman" w:cs="Times New Roman"/>
          <w:lang w:eastAsia="ru-RU"/>
        </w:rPr>
        <w:t>е</w:t>
      </w:r>
      <w:r w:rsidRPr="003D5338">
        <w:rPr>
          <w:rFonts w:ascii="Times New Roman" w:eastAsia="Times New Roman" w:hAnsi="Times New Roman" w:cs="Times New Roman"/>
          <w:lang w:eastAsia="ru-RU"/>
        </w:rPr>
        <w:t>гированию</w:t>
      </w:r>
      <w:proofErr w:type="spellEnd"/>
      <w:r w:rsidRPr="003D5338">
        <w:rPr>
          <w:rFonts w:ascii="Times New Roman" w:eastAsia="Times New Roman" w:hAnsi="Times New Roman" w:cs="Times New Roman"/>
          <w:lang w:eastAsia="ru-RU"/>
        </w:rPr>
        <w:t xml:space="preserve"> показателей в бухгалтерском балансе в первую очередь, позволит повысить аналитичность информации, в зависимости от целей анализа. Следует пояснить, что если отчет о финансовых результатах позволяет аналитику оценивать деятельность компании с позиции прибыльности и рентабельности, то функционально, баланс является более информативным. </w:t>
      </w:r>
    </w:p>
    <w:p w:rsidR="00073175" w:rsidRPr="003D5338" w:rsidRDefault="00073175" w:rsidP="003D5338">
      <w:pPr>
        <w:widowControl w:val="0"/>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Так, показатели, отраженные </w:t>
      </w:r>
      <w:r w:rsidR="003D5338" w:rsidRPr="003D5338">
        <w:rPr>
          <w:rFonts w:ascii="Times New Roman" w:eastAsia="Times New Roman" w:hAnsi="Times New Roman" w:cs="Times New Roman"/>
          <w:lang w:eastAsia="ru-RU"/>
        </w:rPr>
        <w:t>в бухгалтерском балансе,</w:t>
      </w:r>
      <w:r w:rsidRPr="003D5338">
        <w:rPr>
          <w:rFonts w:ascii="Times New Roman" w:eastAsia="Times New Roman" w:hAnsi="Times New Roman" w:cs="Times New Roman"/>
          <w:lang w:eastAsia="ru-RU"/>
        </w:rPr>
        <w:t xml:space="preserve"> позволяют провести оценку деятельности компании на предмет степени ее платежеспособности и риска возникновения «кассовых разрывов». И в данном случае важным является подход к </w:t>
      </w:r>
      <w:r w:rsidR="00681D60" w:rsidRPr="003D5338">
        <w:rPr>
          <w:rFonts w:ascii="Times New Roman" w:eastAsia="Times New Roman" w:hAnsi="Times New Roman" w:cs="Times New Roman"/>
          <w:lang w:eastAsia="ru-RU"/>
        </w:rPr>
        <w:t>раскрытию информации</w:t>
      </w:r>
      <w:r w:rsidRPr="003D5338">
        <w:rPr>
          <w:rFonts w:ascii="Times New Roman" w:eastAsia="Times New Roman" w:hAnsi="Times New Roman" w:cs="Times New Roman"/>
          <w:lang w:eastAsia="ru-RU"/>
        </w:rPr>
        <w:t xml:space="preserve"> с позиции «реальной» ликвидности активов.</w:t>
      </w:r>
    </w:p>
    <w:p w:rsidR="00073175" w:rsidRPr="003D5338" w:rsidRDefault="00073175" w:rsidP="003D5338">
      <w:pPr>
        <w:widowControl w:val="0"/>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При оценке степени финансовой устойчивости и риска вероятности банкротства важным является структура источников финансирования, с точки зрения «принадлежности» и сроков возникновения (собственные/привлеченные, долгосрочные/краткосрочные). </w:t>
      </w:r>
    </w:p>
    <w:p w:rsidR="00073175" w:rsidRPr="003D5338" w:rsidRDefault="00073175" w:rsidP="003D5338">
      <w:pPr>
        <w:widowControl w:val="0"/>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При оценке степени деловой активности </w:t>
      </w:r>
      <w:r w:rsidR="003D5338" w:rsidRPr="003D5338">
        <w:rPr>
          <w:rFonts w:ascii="Times New Roman" w:eastAsia="Times New Roman" w:hAnsi="Times New Roman" w:cs="Times New Roman"/>
          <w:lang w:eastAsia="ru-RU"/>
        </w:rPr>
        <w:t>компании важным</w:t>
      </w:r>
      <w:r w:rsidRPr="003D5338">
        <w:rPr>
          <w:rFonts w:ascii="Times New Roman" w:eastAsia="Times New Roman" w:hAnsi="Times New Roman" w:cs="Times New Roman"/>
          <w:lang w:eastAsia="ru-RU"/>
        </w:rPr>
        <w:t xml:space="preserve"> является величина и структура оборотных активов, с четким пониманием, какие элементы и на каком этапе могут привести к замедлению активов и снижению уровня деловой активности.</w:t>
      </w:r>
    </w:p>
    <w:p w:rsidR="00073175" w:rsidRPr="003D5338" w:rsidRDefault="00073175"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 xml:space="preserve">Подход, установленный в </w:t>
      </w:r>
      <w:r w:rsidRPr="003D5338">
        <w:rPr>
          <w:rFonts w:ascii="Times New Roman" w:hAnsi="Times New Roman" w:cs="Times New Roman"/>
          <w:lang w:val="en-US"/>
        </w:rPr>
        <w:t>IFRS</w:t>
      </w:r>
      <w:r w:rsidRPr="003D5338">
        <w:rPr>
          <w:rFonts w:ascii="Times New Roman" w:hAnsi="Times New Roman" w:cs="Times New Roman"/>
        </w:rPr>
        <w:t xml:space="preserve"> 18, повышающий значимость и роль профессионального суждения специалиста определяет возможность переклассификации и декомпозиции активов, обязательств, собственного и привлеченного капитал, на основе, как традиционных характеристик, так и на основе характеристик, исходя из целей оценки. </w:t>
      </w:r>
    </w:p>
    <w:p w:rsidR="00073175" w:rsidRPr="003D5338" w:rsidRDefault="00073175"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 xml:space="preserve">Так, показатели можно детализировать, если полученная в результате детализированная </w:t>
      </w:r>
      <w:r w:rsidR="003D5338" w:rsidRPr="003D5338">
        <w:rPr>
          <w:rFonts w:ascii="Times New Roman" w:hAnsi="Times New Roman" w:cs="Times New Roman"/>
        </w:rPr>
        <w:t>информация, носит существенный</w:t>
      </w:r>
      <w:r w:rsidRPr="003D5338">
        <w:rPr>
          <w:rFonts w:ascii="Times New Roman" w:hAnsi="Times New Roman" w:cs="Times New Roman"/>
        </w:rPr>
        <w:t xml:space="preserve"> характер. Если, с точки зрения целей анализа, объединение показателей не снижает результаты анализа, то информация может быть агрегирована без дополнительных расшифровок. </w:t>
      </w:r>
    </w:p>
    <w:p w:rsidR="00073175" w:rsidRPr="003D5338" w:rsidRDefault="00073175"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 xml:space="preserve">Содержание стандарта допускает следующие признаки, по которым, на наш взгляд, могут быть агрегированы/дезагрегированы статьи в балансе: </w:t>
      </w:r>
    </w:p>
    <w:p w:rsidR="00073175" w:rsidRPr="003D5338" w:rsidRDefault="00073175" w:rsidP="003D5338">
      <w:pPr>
        <w:numPr>
          <w:ilvl w:val="0"/>
          <w:numId w:val="3"/>
        </w:numPr>
        <w:spacing w:after="0" w:line="240" w:lineRule="auto"/>
        <w:ind w:left="0"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функция в бизнесе; </w:t>
      </w:r>
    </w:p>
    <w:p w:rsidR="00073175" w:rsidRPr="003D5338" w:rsidRDefault="00073175" w:rsidP="003D5338">
      <w:pPr>
        <w:numPr>
          <w:ilvl w:val="0"/>
          <w:numId w:val="3"/>
        </w:numPr>
        <w:spacing w:after="0" w:line="240" w:lineRule="auto"/>
        <w:ind w:left="0"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продолжительность оборота/ срок погашения; </w:t>
      </w:r>
    </w:p>
    <w:p w:rsidR="00073175" w:rsidRPr="003D5338" w:rsidRDefault="00073175" w:rsidP="003D5338">
      <w:pPr>
        <w:numPr>
          <w:ilvl w:val="0"/>
          <w:numId w:val="3"/>
        </w:numPr>
        <w:spacing w:after="0" w:line="240" w:lineRule="auto"/>
        <w:ind w:left="0"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ликвидность; </w:t>
      </w:r>
    </w:p>
    <w:p w:rsidR="00073175" w:rsidRPr="003D5338" w:rsidRDefault="00073175" w:rsidP="003D5338">
      <w:pPr>
        <w:numPr>
          <w:ilvl w:val="0"/>
          <w:numId w:val="3"/>
        </w:numPr>
        <w:spacing w:after="0" w:line="240" w:lineRule="auto"/>
        <w:ind w:left="0"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база расчета и оценки; </w:t>
      </w:r>
    </w:p>
    <w:p w:rsidR="00073175" w:rsidRPr="003D5338" w:rsidRDefault="00073175" w:rsidP="003D5338">
      <w:pPr>
        <w:numPr>
          <w:ilvl w:val="0"/>
          <w:numId w:val="3"/>
        </w:numPr>
        <w:spacing w:after="0" w:line="240" w:lineRule="auto"/>
        <w:ind w:left="0"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наличие правовых ограничений на использование актива/передачи обязательств; </w:t>
      </w:r>
    </w:p>
    <w:p w:rsidR="00073175" w:rsidRPr="003D5338" w:rsidRDefault="00073175" w:rsidP="003D5338">
      <w:pPr>
        <w:numPr>
          <w:ilvl w:val="0"/>
          <w:numId w:val="3"/>
        </w:numPr>
        <w:spacing w:after="0" w:line="240" w:lineRule="auto"/>
        <w:ind w:left="0"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связь с основным операционным циклом</w:t>
      </w:r>
    </w:p>
    <w:p w:rsidR="00073175" w:rsidRPr="003D5338" w:rsidRDefault="00073175" w:rsidP="003D5338">
      <w:pPr>
        <w:numPr>
          <w:ilvl w:val="0"/>
          <w:numId w:val="3"/>
        </w:numPr>
        <w:spacing w:after="0" w:line="240" w:lineRule="auto"/>
        <w:ind w:left="0"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вид товара/услуги</w:t>
      </w:r>
    </w:p>
    <w:p w:rsidR="00073175" w:rsidRPr="003D5338" w:rsidRDefault="00073175" w:rsidP="003D5338">
      <w:pPr>
        <w:numPr>
          <w:ilvl w:val="0"/>
          <w:numId w:val="3"/>
        </w:numPr>
        <w:spacing w:after="0" w:line="240" w:lineRule="auto"/>
        <w:ind w:left="0"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тип дебиторов</w:t>
      </w:r>
    </w:p>
    <w:p w:rsidR="00073175" w:rsidRPr="003D5338" w:rsidRDefault="00073175" w:rsidP="003D5338">
      <w:pPr>
        <w:numPr>
          <w:ilvl w:val="0"/>
          <w:numId w:val="3"/>
        </w:numPr>
        <w:spacing w:after="0" w:line="240" w:lineRule="auto"/>
        <w:ind w:left="0"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риск. </w:t>
      </w:r>
    </w:p>
    <w:p w:rsidR="00073175" w:rsidRPr="003D5338" w:rsidRDefault="00073175" w:rsidP="003D5338">
      <w:pPr>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Отдельного внимания заслуживает принцип классификации доходов и расходов, определенный стандартом, когда выделяется пять классификационных групп, а именно: о</w:t>
      </w:r>
      <w:r w:rsidRPr="003D5338">
        <w:rPr>
          <w:rFonts w:ascii="Times New Roman" w:eastAsia="Times New Roman" w:hAnsi="Times New Roman" w:cs="Times New Roman"/>
          <w:bCs/>
          <w:lang w:eastAsia="ru-RU"/>
        </w:rPr>
        <w:t>перационная деятельность</w:t>
      </w:r>
      <w:r w:rsidRPr="003D5338">
        <w:rPr>
          <w:rFonts w:ascii="Times New Roman" w:eastAsia="Times New Roman" w:hAnsi="Times New Roman" w:cs="Times New Roman"/>
          <w:lang w:eastAsia="ru-RU"/>
        </w:rPr>
        <w:t>; и</w:t>
      </w:r>
      <w:r w:rsidRPr="003D5338">
        <w:rPr>
          <w:rFonts w:ascii="Times New Roman" w:eastAsia="Times New Roman" w:hAnsi="Times New Roman" w:cs="Times New Roman"/>
          <w:bCs/>
          <w:lang w:eastAsia="ru-RU"/>
        </w:rPr>
        <w:t>нвестиционная деятельность</w:t>
      </w:r>
      <w:r w:rsidRPr="003D5338">
        <w:rPr>
          <w:rFonts w:ascii="Times New Roman" w:eastAsia="Times New Roman" w:hAnsi="Times New Roman" w:cs="Times New Roman"/>
          <w:lang w:eastAsia="ru-RU"/>
        </w:rPr>
        <w:t>; ф</w:t>
      </w:r>
      <w:r w:rsidRPr="003D5338">
        <w:rPr>
          <w:rFonts w:ascii="Times New Roman" w:eastAsia="Times New Roman" w:hAnsi="Times New Roman" w:cs="Times New Roman"/>
          <w:bCs/>
          <w:lang w:eastAsia="ru-RU"/>
        </w:rPr>
        <w:t xml:space="preserve">инансовая </w:t>
      </w:r>
      <w:r w:rsidR="003D5338" w:rsidRPr="003D5338">
        <w:rPr>
          <w:rFonts w:ascii="Times New Roman" w:eastAsia="Times New Roman" w:hAnsi="Times New Roman" w:cs="Times New Roman"/>
          <w:bCs/>
          <w:lang w:eastAsia="ru-RU"/>
        </w:rPr>
        <w:t>деятельность; налог</w:t>
      </w:r>
      <w:r w:rsidRPr="003D5338">
        <w:rPr>
          <w:rFonts w:ascii="Times New Roman" w:eastAsia="Times New Roman" w:hAnsi="Times New Roman" w:cs="Times New Roman"/>
          <w:bCs/>
          <w:lang w:eastAsia="ru-RU"/>
        </w:rPr>
        <w:t xml:space="preserve"> на прибыль</w:t>
      </w:r>
      <w:r w:rsidRPr="003D5338">
        <w:rPr>
          <w:rFonts w:ascii="Times New Roman" w:eastAsia="Times New Roman" w:hAnsi="Times New Roman" w:cs="Times New Roman"/>
          <w:lang w:eastAsia="ru-RU"/>
        </w:rPr>
        <w:t>; п</w:t>
      </w:r>
      <w:r w:rsidRPr="003D5338">
        <w:rPr>
          <w:rFonts w:ascii="Times New Roman" w:eastAsia="Times New Roman" w:hAnsi="Times New Roman" w:cs="Times New Roman"/>
          <w:bCs/>
          <w:lang w:eastAsia="ru-RU"/>
        </w:rPr>
        <w:t>рекращенная деятельность</w:t>
      </w:r>
      <w:r w:rsidRPr="003D5338">
        <w:rPr>
          <w:rFonts w:ascii="Times New Roman" w:eastAsia="Times New Roman" w:hAnsi="Times New Roman" w:cs="Times New Roman"/>
          <w:lang w:eastAsia="ru-RU"/>
        </w:rPr>
        <w:t>. Данный подход, на наш взгляд, так же может быть применим и в отношении статей баланса при их агрегировании/</w:t>
      </w:r>
      <w:proofErr w:type="spellStart"/>
      <w:r w:rsidRPr="003D5338">
        <w:rPr>
          <w:rFonts w:ascii="Times New Roman" w:eastAsia="Times New Roman" w:hAnsi="Times New Roman" w:cs="Times New Roman"/>
          <w:lang w:eastAsia="ru-RU"/>
        </w:rPr>
        <w:t>дезагрегировании</w:t>
      </w:r>
      <w:proofErr w:type="spellEnd"/>
      <w:r w:rsidRPr="003D5338">
        <w:rPr>
          <w:rFonts w:ascii="Times New Roman" w:eastAsia="Times New Roman" w:hAnsi="Times New Roman" w:cs="Times New Roman"/>
          <w:lang w:eastAsia="ru-RU"/>
        </w:rPr>
        <w:t xml:space="preserve">. </w:t>
      </w:r>
    </w:p>
    <w:p w:rsidR="00073175" w:rsidRPr="003D5338" w:rsidRDefault="00073175" w:rsidP="003D5338">
      <w:pPr>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Таким образом, можно констатировать, что влияние норм IFRS 18 на структуру баланса нельзя считать «</w:t>
      </w:r>
      <w:r w:rsidRPr="003D5338">
        <w:rPr>
          <w:rFonts w:ascii="Times New Roman" w:eastAsia="Times New Roman" w:hAnsi="Times New Roman" w:cs="Times New Roman"/>
          <w:bCs/>
          <w:lang w:eastAsia="ru-RU"/>
        </w:rPr>
        <w:t>революционными», однако усиление аналитичности представления данных становиться возможным</w:t>
      </w:r>
      <w:r w:rsidRPr="003D5338">
        <w:rPr>
          <w:rFonts w:ascii="Times New Roman" w:eastAsia="Times New Roman" w:hAnsi="Times New Roman" w:cs="Times New Roman"/>
          <w:lang w:eastAsia="ru-RU"/>
        </w:rPr>
        <w:t xml:space="preserve">. Базовые разделы, безусловно, не изменятся, но </w:t>
      </w:r>
      <w:r w:rsidR="003D5338" w:rsidRPr="003D5338">
        <w:rPr>
          <w:rFonts w:ascii="Times New Roman" w:eastAsia="Times New Roman" w:hAnsi="Times New Roman" w:cs="Times New Roman"/>
          <w:lang w:eastAsia="ru-RU"/>
        </w:rPr>
        <w:t>компании могут</w:t>
      </w:r>
      <w:r w:rsidRPr="003D5338">
        <w:rPr>
          <w:rFonts w:ascii="Times New Roman" w:eastAsia="Times New Roman" w:hAnsi="Times New Roman" w:cs="Times New Roman"/>
          <w:lang w:eastAsia="ru-RU"/>
        </w:rPr>
        <w:t xml:space="preserve">, исходя из целей и потребностей, и на основе профессионального суждения решать, какие активы объединять, какие </w:t>
      </w:r>
      <w:r w:rsidR="00690EB2">
        <w:rPr>
          <w:rFonts w:ascii="Times New Roman" w:eastAsia="Times New Roman" w:hAnsi="Times New Roman" w:cs="Times New Roman"/>
          <w:lang w:eastAsia="ru-RU"/>
        </w:rPr>
        <w:t>-</w:t>
      </w:r>
      <w:r w:rsidRPr="003D5338">
        <w:rPr>
          <w:rFonts w:ascii="Times New Roman" w:eastAsia="Times New Roman" w:hAnsi="Times New Roman" w:cs="Times New Roman"/>
          <w:lang w:eastAsia="ru-RU"/>
        </w:rPr>
        <w:t xml:space="preserve"> раскрывать отдельно, и как их называть. </w:t>
      </w:r>
    </w:p>
    <w:p w:rsidR="00073175" w:rsidRPr="003D5338" w:rsidRDefault="00073175" w:rsidP="003D5338">
      <w:pPr>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Таким образом, порядок и детализация статей в балансе могут быть адаптированы под бизнес-модель, что позволит повысить степень информативности и аналитичности баланса для пользователей. </w:t>
      </w:r>
    </w:p>
    <w:p w:rsidR="00073175" w:rsidRPr="003D5338" w:rsidRDefault="00073175" w:rsidP="003D5338">
      <w:pPr>
        <w:spacing w:after="0" w:line="240" w:lineRule="auto"/>
        <w:ind w:firstLine="284"/>
        <w:jc w:val="both"/>
        <w:rPr>
          <w:rFonts w:ascii="Times New Roman" w:eastAsia="Times New Roman" w:hAnsi="Times New Roman" w:cs="Times New Roman"/>
          <w:bCs/>
          <w:lang w:eastAsia="ru-RU"/>
        </w:rPr>
      </w:pPr>
      <w:r w:rsidRPr="003D5338">
        <w:rPr>
          <w:rFonts w:ascii="Times New Roman" w:eastAsia="Times New Roman" w:hAnsi="Times New Roman" w:cs="Times New Roman"/>
          <w:lang w:eastAsia="ru-RU"/>
        </w:rPr>
        <w:t xml:space="preserve">На наш взгляд, целесообразным является подход, основанный на двухуровневой системе признаков при реструктуризации показателей баланса.  </w:t>
      </w:r>
      <w:r w:rsidRPr="003D5338">
        <w:rPr>
          <w:rFonts w:ascii="Times New Roman" w:eastAsia="Times New Roman" w:hAnsi="Times New Roman" w:cs="Times New Roman"/>
          <w:bCs/>
          <w:lang w:eastAsia="ru-RU"/>
        </w:rPr>
        <w:t xml:space="preserve">Первый уровень предусматривает использование классического подхода структурирования статей по виду – внеоборотные/оборотные активы; собственный/привлеченный капитал. </w:t>
      </w:r>
    </w:p>
    <w:p w:rsidR="00073175" w:rsidRPr="003D5338" w:rsidRDefault="00073175" w:rsidP="003D5338">
      <w:pPr>
        <w:spacing w:after="0" w:line="240" w:lineRule="auto"/>
        <w:ind w:firstLine="284"/>
        <w:jc w:val="both"/>
        <w:rPr>
          <w:rFonts w:ascii="Times New Roman" w:hAnsi="Times New Roman" w:cs="Times New Roman"/>
        </w:rPr>
      </w:pPr>
      <w:r w:rsidRPr="003D5338">
        <w:rPr>
          <w:rFonts w:ascii="Times New Roman" w:eastAsia="Times New Roman" w:hAnsi="Times New Roman" w:cs="Times New Roman"/>
          <w:bCs/>
          <w:lang w:eastAsia="ru-RU"/>
        </w:rPr>
        <w:lastRenderedPageBreak/>
        <w:t xml:space="preserve">Второй уровень предусматривает аналитическую </w:t>
      </w:r>
      <w:proofErr w:type="spellStart"/>
      <w:r w:rsidRPr="003D5338">
        <w:rPr>
          <w:rFonts w:ascii="Times New Roman" w:eastAsia="Times New Roman" w:hAnsi="Times New Roman" w:cs="Times New Roman"/>
          <w:bCs/>
          <w:lang w:eastAsia="ru-RU"/>
        </w:rPr>
        <w:t>дезагрегацию</w:t>
      </w:r>
      <w:proofErr w:type="spellEnd"/>
      <w:r w:rsidRPr="003D5338">
        <w:rPr>
          <w:rFonts w:ascii="Times New Roman" w:eastAsia="Times New Roman" w:hAnsi="Times New Roman" w:cs="Times New Roman"/>
          <w:bCs/>
          <w:lang w:eastAsia="ru-RU"/>
        </w:rPr>
        <w:t xml:space="preserve"> внутри базовых разделов. Например, можно с</w:t>
      </w:r>
      <w:r w:rsidRPr="003D5338">
        <w:rPr>
          <w:rFonts w:ascii="Times New Roman" w:eastAsia="Times New Roman" w:hAnsi="Times New Roman" w:cs="Times New Roman"/>
          <w:lang w:eastAsia="ru-RU"/>
        </w:rPr>
        <w:t xml:space="preserve">группировать активы по </w:t>
      </w:r>
      <w:r w:rsidRPr="003D5338">
        <w:rPr>
          <w:rFonts w:ascii="Times New Roman" w:eastAsia="Times New Roman" w:hAnsi="Times New Roman" w:cs="Times New Roman"/>
          <w:bCs/>
          <w:lang w:eastAsia="ru-RU"/>
        </w:rPr>
        <w:t>экономической функции и ликвидности</w:t>
      </w:r>
      <w:r w:rsidRPr="003D5338">
        <w:rPr>
          <w:rFonts w:ascii="Times New Roman" w:eastAsia="Times New Roman" w:hAnsi="Times New Roman" w:cs="Times New Roman"/>
          <w:lang w:eastAsia="ru-RU"/>
        </w:rPr>
        <w:t xml:space="preserve">. </w:t>
      </w:r>
      <w:r w:rsidRPr="003D5338">
        <w:rPr>
          <w:rFonts w:ascii="Times New Roman" w:hAnsi="Times New Roman" w:cs="Times New Roman"/>
          <w:color w:val="0A0A0A"/>
          <w:shd w:val="clear" w:color="auto" w:fill="FFFFFF"/>
        </w:rPr>
        <w:t>Группировка имущества компании по экономической функции </w:t>
      </w:r>
      <w:r w:rsidRPr="003D5338">
        <w:rPr>
          <w:rFonts w:ascii="Times New Roman" w:hAnsi="Times New Roman" w:cs="Times New Roman"/>
        </w:rPr>
        <w:t xml:space="preserve">базируется на их роли в процессе деятельности и генерировании дохода. </w:t>
      </w:r>
    </w:p>
    <w:p w:rsidR="00073175" w:rsidRPr="003D5338" w:rsidRDefault="00073175" w:rsidP="003D5338">
      <w:pPr>
        <w:spacing w:after="0" w:line="240" w:lineRule="auto"/>
        <w:ind w:firstLine="284"/>
        <w:jc w:val="both"/>
        <w:rPr>
          <w:rFonts w:ascii="Times New Roman" w:eastAsia="Times New Roman" w:hAnsi="Times New Roman" w:cs="Times New Roman"/>
          <w:lang w:eastAsia="ru-RU"/>
        </w:rPr>
      </w:pPr>
      <w:r w:rsidRPr="003D5338">
        <w:rPr>
          <w:rFonts w:ascii="Times New Roman" w:hAnsi="Times New Roman" w:cs="Times New Roman"/>
        </w:rPr>
        <w:t>Так, можно выделить:</w:t>
      </w:r>
    </w:p>
    <w:p w:rsidR="00073175" w:rsidRPr="003D5338" w:rsidRDefault="00073175" w:rsidP="003D5338">
      <w:pPr>
        <w:spacing w:after="0" w:line="240" w:lineRule="auto"/>
        <w:ind w:firstLine="284"/>
        <w:jc w:val="both"/>
        <w:outlineLvl w:val="3"/>
        <w:rPr>
          <w:rFonts w:ascii="Times New Roman" w:eastAsia="Times New Roman" w:hAnsi="Times New Roman" w:cs="Times New Roman"/>
          <w:lang w:eastAsia="ru-RU"/>
        </w:rPr>
      </w:pPr>
      <w:r w:rsidRPr="003D5338">
        <w:rPr>
          <w:rFonts w:ascii="Times New Roman" w:eastAsia="Times New Roman" w:hAnsi="Times New Roman" w:cs="Times New Roman"/>
          <w:bCs/>
          <w:lang w:eastAsia="ru-RU"/>
        </w:rPr>
        <w:t xml:space="preserve">1. </w:t>
      </w:r>
      <w:r w:rsidR="00A721B5">
        <w:rPr>
          <w:rFonts w:ascii="Times New Roman" w:eastAsia="Times New Roman" w:hAnsi="Times New Roman" w:cs="Times New Roman"/>
          <w:bCs/>
          <w:lang w:eastAsia="ru-RU"/>
        </w:rPr>
        <w:t>О</w:t>
      </w:r>
      <w:r w:rsidRPr="003D5338">
        <w:rPr>
          <w:rFonts w:ascii="Times New Roman" w:eastAsia="Times New Roman" w:hAnsi="Times New Roman" w:cs="Times New Roman"/>
          <w:bCs/>
          <w:lang w:eastAsia="ru-RU"/>
        </w:rPr>
        <w:t xml:space="preserve">перационные активы, которые </w:t>
      </w:r>
      <w:r w:rsidRPr="003D5338">
        <w:rPr>
          <w:rFonts w:ascii="Times New Roman" w:eastAsia="Times New Roman" w:hAnsi="Times New Roman" w:cs="Times New Roman"/>
          <w:lang w:eastAsia="ru-RU"/>
        </w:rPr>
        <w:t>напрямую участвуют в бизнесе и обеспечивают операционный финансовый результат. Сюда следует отнести:</w:t>
      </w:r>
    </w:p>
    <w:p w:rsidR="00073175" w:rsidRPr="003D5338" w:rsidRDefault="000B5C44" w:rsidP="003D5338">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w:t>
      </w:r>
      <w:r w:rsidR="00073175" w:rsidRPr="003D5338">
        <w:rPr>
          <w:rFonts w:ascii="Times New Roman" w:eastAsia="Times New Roman" w:hAnsi="Times New Roman" w:cs="Times New Roman"/>
          <w:lang w:eastAsia="ru-RU"/>
        </w:rPr>
        <w:t xml:space="preserve">Запасы </w:t>
      </w:r>
    </w:p>
    <w:p w:rsidR="00073175" w:rsidRPr="003D5338" w:rsidRDefault="003D5338" w:rsidP="003D5338">
      <w:pPr>
        <w:spacing w:after="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73175" w:rsidRPr="003D5338">
        <w:rPr>
          <w:rFonts w:ascii="Times New Roman" w:eastAsia="Times New Roman" w:hAnsi="Times New Roman" w:cs="Times New Roman"/>
          <w:lang w:eastAsia="ru-RU"/>
        </w:rPr>
        <w:t>сырье и материалы</w:t>
      </w:r>
      <w:r w:rsidR="00A721B5">
        <w:rPr>
          <w:rFonts w:ascii="Times New Roman" w:eastAsia="Times New Roman" w:hAnsi="Times New Roman" w:cs="Times New Roman"/>
          <w:lang w:eastAsia="ru-RU"/>
        </w:rPr>
        <w:t>;</w:t>
      </w:r>
      <w:r w:rsidR="00073175" w:rsidRPr="003D5338">
        <w:rPr>
          <w:rFonts w:ascii="Times New Roman" w:eastAsia="Times New Roman" w:hAnsi="Times New Roman" w:cs="Times New Roman"/>
          <w:lang w:eastAsia="ru-RU"/>
        </w:rPr>
        <w:t xml:space="preserve"> </w:t>
      </w:r>
    </w:p>
    <w:p w:rsidR="00073175" w:rsidRPr="003D5338" w:rsidRDefault="003D5338" w:rsidP="003D5338">
      <w:pPr>
        <w:spacing w:after="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73175" w:rsidRPr="003D5338">
        <w:rPr>
          <w:rFonts w:ascii="Times New Roman" w:eastAsia="Times New Roman" w:hAnsi="Times New Roman" w:cs="Times New Roman"/>
          <w:lang w:eastAsia="ru-RU"/>
        </w:rPr>
        <w:t>НЗП</w:t>
      </w:r>
      <w:r w:rsidR="00A721B5">
        <w:rPr>
          <w:rFonts w:ascii="Times New Roman" w:eastAsia="Times New Roman" w:hAnsi="Times New Roman" w:cs="Times New Roman"/>
          <w:lang w:eastAsia="ru-RU"/>
        </w:rPr>
        <w:t>;</w:t>
      </w:r>
      <w:r w:rsidR="00073175" w:rsidRPr="003D5338">
        <w:rPr>
          <w:rFonts w:ascii="Times New Roman" w:eastAsia="Times New Roman" w:hAnsi="Times New Roman" w:cs="Times New Roman"/>
          <w:lang w:eastAsia="ru-RU"/>
        </w:rPr>
        <w:t xml:space="preserve"> </w:t>
      </w:r>
    </w:p>
    <w:p w:rsidR="00073175" w:rsidRPr="003D5338" w:rsidRDefault="003D5338" w:rsidP="003D5338">
      <w:pPr>
        <w:spacing w:after="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73175" w:rsidRPr="003D5338">
        <w:rPr>
          <w:rFonts w:ascii="Times New Roman" w:eastAsia="Times New Roman" w:hAnsi="Times New Roman" w:cs="Times New Roman"/>
          <w:lang w:eastAsia="ru-RU"/>
        </w:rPr>
        <w:t>готовая продукция</w:t>
      </w:r>
      <w:r w:rsidR="00A721B5">
        <w:rPr>
          <w:rFonts w:ascii="Times New Roman" w:eastAsia="Times New Roman" w:hAnsi="Times New Roman" w:cs="Times New Roman"/>
          <w:lang w:eastAsia="ru-RU"/>
        </w:rPr>
        <w:t>;</w:t>
      </w:r>
      <w:r w:rsidR="00073175" w:rsidRPr="003D5338">
        <w:rPr>
          <w:rFonts w:ascii="Times New Roman" w:eastAsia="Times New Roman" w:hAnsi="Times New Roman" w:cs="Times New Roman"/>
          <w:lang w:eastAsia="ru-RU"/>
        </w:rPr>
        <w:t xml:space="preserve"> </w:t>
      </w:r>
    </w:p>
    <w:p w:rsidR="00073175" w:rsidRPr="003D5338" w:rsidRDefault="003D5338" w:rsidP="003D5338">
      <w:pPr>
        <w:spacing w:after="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73175" w:rsidRPr="003D5338">
        <w:rPr>
          <w:rFonts w:ascii="Times New Roman" w:eastAsia="Times New Roman" w:hAnsi="Times New Roman" w:cs="Times New Roman"/>
          <w:lang w:eastAsia="ru-RU"/>
        </w:rPr>
        <w:t>товары</w:t>
      </w:r>
      <w:r w:rsidR="00A721B5">
        <w:rPr>
          <w:rFonts w:ascii="Times New Roman" w:eastAsia="Times New Roman" w:hAnsi="Times New Roman" w:cs="Times New Roman"/>
          <w:lang w:eastAsia="ru-RU"/>
        </w:rPr>
        <w:t>;</w:t>
      </w:r>
      <w:r w:rsidR="00073175" w:rsidRPr="003D5338">
        <w:rPr>
          <w:rFonts w:ascii="Times New Roman" w:eastAsia="Times New Roman" w:hAnsi="Times New Roman" w:cs="Times New Roman"/>
          <w:lang w:eastAsia="ru-RU"/>
        </w:rPr>
        <w:t xml:space="preserve"> </w:t>
      </w:r>
    </w:p>
    <w:p w:rsidR="00073175" w:rsidRPr="003D5338" w:rsidRDefault="000B5C44" w:rsidP="003D5338">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w:t>
      </w:r>
      <w:r w:rsidR="00073175" w:rsidRPr="003D5338">
        <w:rPr>
          <w:rFonts w:ascii="Times New Roman" w:eastAsia="Times New Roman" w:hAnsi="Times New Roman" w:cs="Times New Roman"/>
          <w:lang w:eastAsia="ru-RU"/>
        </w:rPr>
        <w:t xml:space="preserve">Торговую дебиторскую задолженность </w:t>
      </w:r>
    </w:p>
    <w:p w:rsidR="00073175" w:rsidRPr="003D5338" w:rsidRDefault="003D5338" w:rsidP="003D5338">
      <w:pPr>
        <w:pStyle w:val="a5"/>
        <w:spacing w:after="0" w:line="240" w:lineRule="auto"/>
        <w:ind w:left="284"/>
        <w:contextualSpacing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73175" w:rsidRPr="003D5338">
        <w:rPr>
          <w:rFonts w:ascii="Times New Roman" w:eastAsia="Times New Roman" w:hAnsi="Times New Roman" w:cs="Times New Roman"/>
          <w:lang w:eastAsia="ru-RU"/>
        </w:rPr>
        <w:t>покупатели</w:t>
      </w:r>
      <w:r w:rsidR="00A721B5">
        <w:rPr>
          <w:rFonts w:ascii="Times New Roman" w:eastAsia="Times New Roman" w:hAnsi="Times New Roman" w:cs="Times New Roman"/>
          <w:lang w:eastAsia="ru-RU"/>
        </w:rPr>
        <w:t>;</w:t>
      </w:r>
    </w:p>
    <w:p w:rsidR="00073175" w:rsidRPr="003D5338" w:rsidRDefault="003D5338" w:rsidP="003D5338">
      <w:pPr>
        <w:pStyle w:val="a5"/>
        <w:spacing w:after="0" w:line="240" w:lineRule="auto"/>
        <w:ind w:left="284"/>
        <w:contextualSpacing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73175" w:rsidRPr="003D5338">
        <w:rPr>
          <w:rFonts w:ascii="Times New Roman" w:eastAsia="Times New Roman" w:hAnsi="Times New Roman" w:cs="Times New Roman"/>
          <w:lang w:eastAsia="ru-RU"/>
        </w:rPr>
        <w:t>заказчики</w:t>
      </w:r>
      <w:r w:rsidR="00A721B5">
        <w:rPr>
          <w:rFonts w:ascii="Times New Roman" w:eastAsia="Times New Roman" w:hAnsi="Times New Roman" w:cs="Times New Roman"/>
          <w:lang w:eastAsia="ru-RU"/>
        </w:rPr>
        <w:t>;</w:t>
      </w:r>
    </w:p>
    <w:p w:rsidR="00073175" w:rsidRPr="003D5338" w:rsidRDefault="000B5C44" w:rsidP="003D5338">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w:t>
      </w:r>
      <w:r w:rsidR="00073175" w:rsidRPr="003D5338">
        <w:rPr>
          <w:rFonts w:ascii="Times New Roman" w:eastAsia="Times New Roman" w:hAnsi="Times New Roman" w:cs="Times New Roman"/>
          <w:lang w:eastAsia="ru-RU"/>
        </w:rPr>
        <w:t xml:space="preserve">Контрактные активы </w:t>
      </w:r>
    </w:p>
    <w:p w:rsidR="00073175" w:rsidRPr="003D5338" w:rsidRDefault="000B5C44" w:rsidP="003D5338">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w:t>
      </w:r>
      <w:r w:rsidR="00073175" w:rsidRPr="003D5338">
        <w:rPr>
          <w:rFonts w:ascii="Times New Roman" w:eastAsia="Times New Roman" w:hAnsi="Times New Roman" w:cs="Times New Roman"/>
          <w:lang w:eastAsia="ru-RU"/>
        </w:rPr>
        <w:t xml:space="preserve">Предоплаты поставщикам </w:t>
      </w:r>
    </w:p>
    <w:p w:rsidR="00073175" w:rsidRPr="003D5338" w:rsidRDefault="000B5C44" w:rsidP="003D5338">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w:t>
      </w:r>
      <w:r w:rsidR="00073175" w:rsidRPr="003D5338">
        <w:rPr>
          <w:rFonts w:ascii="Times New Roman" w:eastAsia="Times New Roman" w:hAnsi="Times New Roman" w:cs="Times New Roman"/>
          <w:lang w:eastAsia="ru-RU"/>
        </w:rPr>
        <w:t xml:space="preserve">Операционные основные средства </w:t>
      </w:r>
    </w:p>
    <w:p w:rsidR="00073175" w:rsidRPr="003D5338" w:rsidRDefault="000B5C44" w:rsidP="003D5338">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 </w:t>
      </w:r>
      <w:r w:rsidR="00073175" w:rsidRPr="003D5338">
        <w:rPr>
          <w:rFonts w:ascii="Times New Roman" w:eastAsia="Times New Roman" w:hAnsi="Times New Roman" w:cs="Times New Roman"/>
          <w:lang w:eastAsia="ru-RU"/>
        </w:rPr>
        <w:t xml:space="preserve">Арендованные активы, если они задействованы в операционной деятельности </w:t>
      </w:r>
    </w:p>
    <w:p w:rsidR="00073175" w:rsidRPr="003D5338" w:rsidRDefault="00073175" w:rsidP="003D5338">
      <w:pPr>
        <w:spacing w:after="0" w:line="240" w:lineRule="auto"/>
        <w:ind w:firstLine="284"/>
        <w:jc w:val="both"/>
        <w:outlineLvl w:val="3"/>
        <w:rPr>
          <w:rFonts w:ascii="Times New Roman" w:eastAsia="Times New Roman" w:hAnsi="Times New Roman" w:cs="Times New Roman"/>
          <w:lang w:eastAsia="ru-RU"/>
        </w:rPr>
      </w:pPr>
      <w:r w:rsidRPr="003D5338">
        <w:rPr>
          <w:rFonts w:ascii="Times New Roman" w:eastAsia="Times New Roman" w:hAnsi="Times New Roman" w:cs="Times New Roman"/>
          <w:bCs/>
          <w:lang w:eastAsia="ru-RU"/>
        </w:rPr>
        <w:t xml:space="preserve">2. </w:t>
      </w:r>
      <w:r w:rsidR="00A721B5">
        <w:rPr>
          <w:rFonts w:ascii="Times New Roman" w:eastAsia="Times New Roman" w:hAnsi="Times New Roman" w:cs="Times New Roman"/>
          <w:bCs/>
          <w:lang w:eastAsia="ru-RU"/>
        </w:rPr>
        <w:t>И</w:t>
      </w:r>
      <w:r w:rsidRPr="003D5338">
        <w:rPr>
          <w:rFonts w:ascii="Times New Roman" w:eastAsia="Times New Roman" w:hAnsi="Times New Roman" w:cs="Times New Roman"/>
          <w:bCs/>
          <w:lang w:eastAsia="ru-RU"/>
        </w:rPr>
        <w:t>нвестиционные активы, которые</w:t>
      </w:r>
      <w:r w:rsidRPr="003D5338">
        <w:rPr>
          <w:rFonts w:ascii="Times New Roman" w:eastAsia="Times New Roman" w:hAnsi="Times New Roman" w:cs="Times New Roman"/>
          <w:b/>
          <w:bCs/>
          <w:lang w:eastAsia="ru-RU"/>
        </w:rPr>
        <w:t xml:space="preserve"> </w:t>
      </w:r>
      <w:r w:rsidRPr="003D5338">
        <w:rPr>
          <w:rFonts w:ascii="Times New Roman" w:eastAsia="Times New Roman" w:hAnsi="Times New Roman" w:cs="Times New Roman"/>
          <w:lang w:eastAsia="ru-RU"/>
        </w:rPr>
        <w:t>не участвует напрямую в операционном цикле, но приносят доход.</w:t>
      </w:r>
    </w:p>
    <w:p w:rsidR="00073175" w:rsidRPr="003D5338" w:rsidRDefault="003D5338" w:rsidP="003D5338">
      <w:pPr>
        <w:pStyle w:val="a5"/>
        <w:spacing w:after="0" w:line="240" w:lineRule="auto"/>
        <w:ind w:left="284"/>
        <w:contextualSpacing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73175" w:rsidRPr="003D5338">
        <w:rPr>
          <w:rFonts w:ascii="Times New Roman" w:eastAsia="Times New Roman" w:hAnsi="Times New Roman" w:cs="Times New Roman"/>
          <w:lang w:eastAsia="ru-RU"/>
        </w:rPr>
        <w:t xml:space="preserve">инвестиционная недвижимость </w:t>
      </w:r>
    </w:p>
    <w:p w:rsidR="00073175" w:rsidRPr="003D5338" w:rsidRDefault="003D5338" w:rsidP="003D5338">
      <w:pPr>
        <w:pStyle w:val="a5"/>
        <w:spacing w:after="0" w:line="240" w:lineRule="auto"/>
        <w:ind w:left="284"/>
        <w:contextualSpacing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73175" w:rsidRPr="003D5338">
        <w:rPr>
          <w:rFonts w:ascii="Times New Roman" w:eastAsia="Times New Roman" w:hAnsi="Times New Roman" w:cs="Times New Roman"/>
          <w:lang w:eastAsia="ru-RU"/>
        </w:rPr>
        <w:t xml:space="preserve">долгосрочные финансовые вложения </w:t>
      </w:r>
    </w:p>
    <w:p w:rsidR="00073175" w:rsidRPr="003D5338" w:rsidRDefault="003D5338" w:rsidP="003D5338">
      <w:pPr>
        <w:pStyle w:val="a5"/>
        <w:spacing w:after="0" w:line="240" w:lineRule="auto"/>
        <w:ind w:left="284"/>
        <w:contextualSpacing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73175" w:rsidRPr="003D5338">
        <w:rPr>
          <w:rFonts w:ascii="Times New Roman" w:eastAsia="Times New Roman" w:hAnsi="Times New Roman" w:cs="Times New Roman"/>
          <w:lang w:eastAsia="ru-RU"/>
        </w:rPr>
        <w:t xml:space="preserve">инвестиции в акционерный капитал </w:t>
      </w:r>
    </w:p>
    <w:p w:rsidR="00073175" w:rsidRPr="003D5338" w:rsidRDefault="003D5338" w:rsidP="003D5338">
      <w:pPr>
        <w:pStyle w:val="a5"/>
        <w:spacing w:after="0" w:line="240" w:lineRule="auto"/>
        <w:ind w:left="284"/>
        <w:contextualSpacing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73175" w:rsidRPr="003D5338">
        <w:rPr>
          <w:rFonts w:ascii="Times New Roman" w:eastAsia="Times New Roman" w:hAnsi="Times New Roman" w:cs="Times New Roman"/>
          <w:lang w:eastAsia="ru-RU"/>
        </w:rPr>
        <w:t xml:space="preserve">долговые инвестиции </w:t>
      </w:r>
    </w:p>
    <w:p w:rsidR="00073175" w:rsidRPr="003D5338" w:rsidRDefault="003D5338" w:rsidP="003D5338">
      <w:pPr>
        <w:pStyle w:val="a5"/>
        <w:spacing w:after="0" w:line="240" w:lineRule="auto"/>
        <w:ind w:left="284"/>
        <w:contextualSpacing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73175" w:rsidRPr="003D5338">
        <w:rPr>
          <w:rFonts w:ascii="Times New Roman" w:eastAsia="Times New Roman" w:hAnsi="Times New Roman" w:cs="Times New Roman"/>
          <w:lang w:eastAsia="ru-RU"/>
        </w:rPr>
        <w:t>инвестиции в ассоциированные компании / совместные предприятия</w:t>
      </w:r>
    </w:p>
    <w:p w:rsidR="00073175" w:rsidRPr="003D5338" w:rsidRDefault="00073175" w:rsidP="003D5338">
      <w:pPr>
        <w:spacing w:after="0" w:line="240" w:lineRule="auto"/>
        <w:ind w:firstLine="284"/>
        <w:jc w:val="both"/>
        <w:outlineLvl w:val="3"/>
        <w:rPr>
          <w:rFonts w:ascii="Times New Roman" w:eastAsia="Times New Roman" w:hAnsi="Times New Roman" w:cs="Times New Roman"/>
          <w:lang w:eastAsia="ru-RU"/>
        </w:rPr>
      </w:pPr>
      <w:r w:rsidRPr="003D5338">
        <w:rPr>
          <w:rFonts w:ascii="Times New Roman" w:eastAsia="Times New Roman" w:hAnsi="Times New Roman" w:cs="Times New Roman"/>
          <w:bCs/>
          <w:lang w:eastAsia="ru-RU"/>
        </w:rPr>
        <w:t xml:space="preserve">3. </w:t>
      </w:r>
      <w:r w:rsidR="00A721B5">
        <w:rPr>
          <w:rFonts w:ascii="Times New Roman" w:eastAsia="Times New Roman" w:hAnsi="Times New Roman" w:cs="Times New Roman"/>
          <w:bCs/>
          <w:lang w:eastAsia="ru-RU"/>
        </w:rPr>
        <w:t>Т</w:t>
      </w:r>
      <w:r w:rsidRPr="003D5338">
        <w:rPr>
          <w:rFonts w:ascii="Times New Roman" w:eastAsia="Times New Roman" w:hAnsi="Times New Roman" w:cs="Times New Roman"/>
          <w:bCs/>
          <w:lang w:eastAsia="ru-RU"/>
        </w:rPr>
        <w:t xml:space="preserve">рудно реализуемые активы, целесообразно </w:t>
      </w:r>
      <w:r w:rsidRPr="003D5338">
        <w:rPr>
          <w:rFonts w:ascii="Times New Roman" w:eastAsia="Times New Roman" w:hAnsi="Times New Roman" w:cs="Times New Roman"/>
          <w:lang w:eastAsia="ru-RU"/>
        </w:rPr>
        <w:t>выделять отдельно, чтобы не отождествлять их с «рабочим» капиталом.</w:t>
      </w:r>
    </w:p>
    <w:p w:rsidR="00073175" w:rsidRPr="003D5338" w:rsidRDefault="003D5338" w:rsidP="003D5338">
      <w:pPr>
        <w:pStyle w:val="a5"/>
        <w:spacing w:after="0" w:line="240" w:lineRule="auto"/>
        <w:ind w:left="284"/>
        <w:contextualSpacing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721B5">
        <w:rPr>
          <w:rFonts w:ascii="Times New Roman" w:eastAsia="Times New Roman" w:hAnsi="Times New Roman" w:cs="Times New Roman"/>
          <w:lang w:eastAsia="ru-RU"/>
        </w:rPr>
        <w:t>г</w:t>
      </w:r>
      <w:r w:rsidR="00073175" w:rsidRPr="003D5338">
        <w:rPr>
          <w:rFonts w:ascii="Times New Roman" w:eastAsia="Times New Roman" w:hAnsi="Times New Roman" w:cs="Times New Roman"/>
          <w:lang w:eastAsia="ru-RU"/>
        </w:rPr>
        <w:t xml:space="preserve">удвилл </w:t>
      </w:r>
    </w:p>
    <w:p w:rsidR="00073175" w:rsidRPr="003D5338" w:rsidRDefault="003D5338" w:rsidP="003D5338">
      <w:pPr>
        <w:pStyle w:val="a5"/>
        <w:spacing w:after="0" w:line="240" w:lineRule="auto"/>
        <w:ind w:left="284"/>
        <w:contextualSpacing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721B5">
        <w:rPr>
          <w:rFonts w:ascii="Times New Roman" w:eastAsia="Times New Roman" w:hAnsi="Times New Roman" w:cs="Times New Roman"/>
          <w:lang w:eastAsia="ru-RU"/>
        </w:rPr>
        <w:t>б</w:t>
      </w:r>
      <w:r w:rsidR="00073175" w:rsidRPr="003D5338">
        <w:rPr>
          <w:rFonts w:ascii="Times New Roman" w:eastAsia="Times New Roman" w:hAnsi="Times New Roman" w:cs="Times New Roman"/>
          <w:lang w:eastAsia="ru-RU"/>
        </w:rPr>
        <w:t xml:space="preserve">ренды и прочие НМА с неопределенным сроком </w:t>
      </w:r>
    </w:p>
    <w:p w:rsidR="00073175" w:rsidRPr="003D5338" w:rsidRDefault="003D5338" w:rsidP="003D5338">
      <w:pPr>
        <w:pStyle w:val="a5"/>
        <w:spacing w:after="0" w:line="240" w:lineRule="auto"/>
        <w:ind w:left="284"/>
        <w:contextualSpacing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721B5">
        <w:rPr>
          <w:rFonts w:ascii="Times New Roman" w:eastAsia="Times New Roman" w:hAnsi="Times New Roman" w:cs="Times New Roman"/>
          <w:lang w:eastAsia="ru-RU"/>
        </w:rPr>
        <w:t>к</w:t>
      </w:r>
      <w:r w:rsidR="00073175" w:rsidRPr="003D5338">
        <w:rPr>
          <w:rFonts w:ascii="Times New Roman" w:eastAsia="Times New Roman" w:hAnsi="Times New Roman" w:cs="Times New Roman"/>
          <w:lang w:eastAsia="ru-RU"/>
        </w:rPr>
        <w:t xml:space="preserve">апитализированные затраты на разработку </w:t>
      </w:r>
    </w:p>
    <w:p w:rsidR="00073175" w:rsidRPr="003D5338" w:rsidRDefault="003D5338" w:rsidP="003D5338">
      <w:pPr>
        <w:pStyle w:val="a5"/>
        <w:spacing w:after="0" w:line="240" w:lineRule="auto"/>
        <w:ind w:left="284"/>
        <w:contextualSpacing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721B5">
        <w:rPr>
          <w:rFonts w:ascii="Times New Roman" w:eastAsia="Times New Roman" w:hAnsi="Times New Roman" w:cs="Times New Roman"/>
          <w:lang w:eastAsia="ru-RU"/>
        </w:rPr>
        <w:t>д</w:t>
      </w:r>
      <w:r w:rsidR="00073175" w:rsidRPr="003D5338">
        <w:rPr>
          <w:rFonts w:ascii="Times New Roman" w:eastAsia="Times New Roman" w:hAnsi="Times New Roman" w:cs="Times New Roman"/>
          <w:lang w:eastAsia="ru-RU"/>
        </w:rPr>
        <w:t xml:space="preserve">олгосрочные авансы / депозиты </w:t>
      </w:r>
    </w:p>
    <w:p w:rsidR="00073175" w:rsidRPr="003D5338" w:rsidRDefault="00073175" w:rsidP="003D5338">
      <w:pPr>
        <w:spacing w:after="0" w:line="240" w:lineRule="auto"/>
        <w:ind w:firstLine="284"/>
        <w:jc w:val="both"/>
        <w:outlineLvl w:val="3"/>
        <w:rPr>
          <w:rFonts w:ascii="Times New Roman" w:eastAsia="Times New Roman" w:hAnsi="Times New Roman" w:cs="Times New Roman"/>
          <w:lang w:eastAsia="ru-RU"/>
        </w:rPr>
      </w:pPr>
      <w:r w:rsidRPr="003D5338">
        <w:rPr>
          <w:rFonts w:ascii="Times New Roman" w:eastAsia="Times New Roman" w:hAnsi="Times New Roman" w:cs="Times New Roman"/>
          <w:bCs/>
          <w:lang w:eastAsia="ru-RU"/>
        </w:rPr>
        <w:t xml:space="preserve">4. </w:t>
      </w:r>
      <w:r w:rsidR="00A721B5">
        <w:rPr>
          <w:rFonts w:ascii="Times New Roman" w:eastAsia="Times New Roman" w:hAnsi="Times New Roman" w:cs="Times New Roman"/>
          <w:bCs/>
          <w:lang w:eastAsia="ru-RU"/>
        </w:rPr>
        <w:t>Л</w:t>
      </w:r>
      <w:r w:rsidRPr="003D5338">
        <w:rPr>
          <w:rFonts w:ascii="Times New Roman" w:eastAsia="Times New Roman" w:hAnsi="Times New Roman" w:cs="Times New Roman"/>
          <w:bCs/>
          <w:lang w:eastAsia="ru-RU"/>
        </w:rPr>
        <w:t xml:space="preserve">иквидные активы. Целесообразно выделять для оценки </w:t>
      </w:r>
      <w:r w:rsidR="003D5338" w:rsidRPr="003D5338">
        <w:rPr>
          <w:rFonts w:ascii="Times New Roman" w:eastAsia="Times New Roman" w:hAnsi="Times New Roman" w:cs="Times New Roman"/>
          <w:bCs/>
          <w:lang w:eastAsia="ru-RU"/>
        </w:rPr>
        <w:t xml:space="preserve">уровня </w:t>
      </w:r>
      <w:r w:rsidR="003D5338" w:rsidRPr="003D5338">
        <w:rPr>
          <w:rFonts w:ascii="Times New Roman" w:eastAsia="Times New Roman" w:hAnsi="Times New Roman" w:cs="Times New Roman"/>
          <w:lang w:eastAsia="ru-RU"/>
        </w:rPr>
        <w:t>платежеспособности</w:t>
      </w:r>
      <w:r w:rsidRPr="003D5338">
        <w:rPr>
          <w:rFonts w:ascii="Times New Roman" w:eastAsia="Times New Roman" w:hAnsi="Times New Roman" w:cs="Times New Roman"/>
          <w:lang w:eastAsia="ru-RU"/>
        </w:rPr>
        <w:t xml:space="preserve"> компании.</w:t>
      </w:r>
    </w:p>
    <w:p w:rsidR="00073175" w:rsidRPr="003D5338" w:rsidRDefault="00A721B5" w:rsidP="00A721B5">
      <w:pPr>
        <w:spacing w:after="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д</w:t>
      </w:r>
      <w:r w:rsidR="00073175" w:rsidRPr="003D5338">
        <w:rPr>
          <w:rFonts w:ascii="Times New Roman" w:eastAsia="Times New Roman" w:hAnsi="Times New Roman" w:cs="Times New Roman"/>
          <w:lang w:eastAsia="ru-RU"/>
        </w:rPr>
        <w:t xml:space="preserve">енежные средства и эквиваленты </w:t>
      </w:r>
    </w:p>
    <w:p w:rsidR="00073175" w:rsidRPr="003D5338" w:rsidRDefault="00A721B5" w:rsidP="00A721B5">
      <w:pPr>
        <w:spacing w:after="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к</w:t>
      </w:r>
      <w:r w:rsidR="00073175" w:rsidRPr="003D5338">
        <w:rPr>
          <w:rFonts w:ascii="Times New Roman" w:eastAsia="Times New Roman" w:hAnsi="Times New Roman" w:cs="Times New Roman"/>
          <w:lang w:eastAsia="ru-RU"/>
        </w:rPr>
        <w:t xml:space="preserve">раткосрочные депозиты </w:t>
      </w:r>
    </w:p>
    <w:p w:rsidR="00073175" w:rsidRPr="003D5338" w:rsidRDefault="00A721B5" w:rsidP="00A721B5">
      <w:pPr>
        <w:spacing w:after="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п</w:t>
      </w:r>
      <w:r w:rsidR="00073175" w:rsidRPr="003D5338">
        <w:rPr>
          <w:rFonts w:ascii="Times New Roman" w:eastAsia="Times New Roman" w:hAnsi="Times New Roman" w:cs="Times New Roman"/>
          <w:lang w:eastAsia="ru-RU"/>
        </w:rPr>
        <w:t xml:space="preserve">рочие легко реализуемые финансовые активы </w:t>
      </w:r>
    </w:p>
    <w:p w:rsidR="00073175" w:rsidRPr="003D5338" w:rsidRDefault="00073175" w:rsidP="003D5338">
      <w:pPr>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5. </w:t>
      </w:r>
      <w:r w:rsidR="00A721B5">
        <w:rPr>
          <w:rFonts w:ascii="Times New Roman" w:eastAsia="Times New Roman" w:hAnsi="Times New Roman" w:cs="Times New Roman"/>
          <w:lang w:eastAsia="ru-RU"/>
        </w:rPr>
        <w:t>А</w:t>
      </w:r>
      <w:r w:rsidRPr="003D5338">
        <w:rPr>
          <w:rFonts w:ascii="Times New Roman" w:eastAsia="Times New Roman" w:hAnsi="Times New Roman" w:cs="Times New Roman"/>
          <w:lang w:eastAsia="ru-RU"/>
        </w:rPr>
        <w:t xml:space="preserve">ктивы к продаже. Целесообразно выделять, так как по данным активам (как правило, внеоборотным) принимается решение о том, что он не будет использоваться в текущей деятельности, а будет продан. Соответственно, он прекращает обслуживание операционного цикла. </w:t>
      </w:r>
    </w:p>
    <w:p w:rsidR="00073175" w:rsidRPr="003D5338" w:rsidRDefault="00073175" w:rsidP="003D5338">
      <w:pPr>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Логика представленного подхода позволяет аналитику более качественно оценивать структуру активов, определять сколько активов реально работает в операционном </w:t>
      </w:r>
      <w:r w:rsidR="00A721B5" w:rsidRPr="003D5338">
        <w:rPr>
          <w:rFonts w:ascii="Times New Roman" w:eastAsia="Times New Roman" w:hAnsi="Times New Roman" w:cs="Times New Roman"/>
          <w:lang w:eastAsia="ru-RU"/>
        </w:rPr>
        <w:t>цикле; сколько</w:t>
      </w:r>
      <w:r w:rsidRPr="003D5338">
        <w:rPr>
          <w:rFonts w:ascii="Times New Roman" w:eastAsia="Times New Roman" w:hAnsi="Times New Roman" w:cs="Times New Roman"/>
          <w:lang w:eastAsia="ru-RU"/>
        </w:rPr>
        <w:t xml:space="preserve"> капитала </w:t>
      </w:r>
      <w:r w:rsidR="00A721B5">
        <w:rPr>
          <w:rFonts w:ascii="Times New Roman" w:eastAsia="Times New Roman" w:hAnsi="Times New Roman" w:cs="Times New Roman"/>
          <w:lang w:eastAsia="ru-RU"/>
        </w:rPr>
        <w:t>«</w:t>
      </w:r>
      <w:r w:rsidRPr="003D5338">
        <w:rPr>
          <w:rFonts w:ascii="Times New Roman" w:eastAsia="Times New Roman" w:hAnsi="Times New Roman" w:cs="Times New Roman"/>
          <w:lang w:eastAsia="ru-RU"/>
        </w:rPr>
        <w:t>заморожено</w:t>
      </w:r>
      <w:r w:rsidR="00A721B5">
        <w:rPr>
          <w:rFonts w:ascii="Times New Roman" w:eastAsia="Times New Roman" w:hAnsi="Times New Roman" w:cs="Times New Roman"/>
          <w:lang w:eastAsia="ru-RU"/>
        </w:rPr>
        <w:t>»</w:t>
      </w:r>
      <w:r w:rsidRPr="003D5338">
        <w:rPr>
          <w:rFonts w:ascii="Times New Roman" w:eastAsia="Times New Roman" w:hAnsi="Times New Roman" w:cs="Times New Roman"/>
          <w:lang w:eastAsia="ru-RU"/>
        </w:rPr>
        <w:t xml:space="preserve"> в долгосрочных или </w:t>
      </w:r>
      <w:proofErr w:type="spellStart"/>
      <w:r w:rsidRPr="003D5338">
        <w:rPr>
          <w:rFonts w:ascii="Times New Roman" w:eastAsia="Times New Roman" w:hAnsi="Times New Roman" w:cs="Times New Roman"/>
          <w:lang w:eastAsia="ru-RU"/>
        </w:rPr>
        <w:t>низколиквидных</w:t>
      </w:r>
      <w:proofErr w:type="spellEnd"/>
      <w:r w:rsidRPr="003D5338">
        <w:rPr>
          <w:rFonts w:ascii="Times New Roman" w:eastAsia="Times New Roman" w:hAnsi="Times New Roman" w:cs="Times New Roman"/>
          <w:lang w:eastAsia="ru-RU"/>
        </w:rPr>
        <w:t xml:space="preserve"> </w:t>
      </w:r>
      <w:r w:rsidR="00A721B5" w:rsidRPr="003D5338">
        <w:rPr>
          <w:rFonts w:ascii="Times New Roman" w:eastAsia="Times New Roman" w:hAnsi="Times New Roman" w:cs="Times New Roman"/>
          <w:lang w:eastAsia="ru-RU"/>
        </w:rPr>
        <w:t>позициях.</w:t>
      </w:r>
    </w:p>
    <w:p w:rsidR="00073175" w:rsidRPr="003D5338" w:rsidRDefault="00073175" w:rsidP="003D5338">
      <w:pPr>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Аналогичный принцип </w:t>
      </w:r>
      <w:proofErr w:type="spellStart"/>
      <w:r w:rsidRPr="003D5338">
        <w:rPr>
          <w:rFonts w:ascii="Times New Roman" w:eastAsia="Times New Roman" w:hAnsi="Times New Roman" w:cs="Times New Roman"/>
          <w:lang w:eastAsia="ru-RU"/>
        </w:rPr>
        <w:t>дезагрегации</w:t>
      </w:r>
      <w:proofErr w:type="spellEnd"/>
      <w:r w:rsidRPr="003D5338">
        <w:rPr>
          <w:rFonts w:ascii="Times New Roman" w:eastAsia="Times New Roman" w:hAnsi="Times New Roman" w:cs="Times New Roman"/>
          <w:lang w:eastAsia="ru-RU"/>
        </w:rPr>
        <w:t xml:space="preserve"> статей может быть применен и относительно пассивов компании. Так, в обязательствах можно выделять операционные и </w:t>
      </w:r>
      <w:proofErr w:type="spellStart"/>
      <w:r w:rsidRPr="003D5338">
        <w:rPr>
          <w:rFonts w:ascii="Times New Roman" w:eastAsia="Times New Roman" w:hAnsi="Times New Roman" w:cs="Times New Roman"/>
          <w:lang w:eastAsia="ru-RU"/>
        </w:rPr>
        <w:t>неоперационные</w:t>
      </w:r>
      <w:proofErr w:type="spellEnd"/>
      <w:r w:rsidRPr="003D5338">
        <w:rPr>
          <w:rFonts w:ascii="Times New Roman" w:eastAsia="Times New Roman" w:hAnsi="Times New Roman" w:cs="Times New Roman"/>
          <w:lang w:eastAsia="ru-RU"/>
        </w:rPr>
        <w:t xml:space="preserve"> обязательства. </w:t>
      </w:r>
    </w:p>
    <w:p w:rsidR="00073175" w:rsidRPr="003D5338" w:rsidRDefault="00073175" w:rsidP="003D5338">
      <w:pPr>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1.</w:t>
      </w:r>
      <w:r w:rsidR="00A721B5">
        <w:rPr>
          <w:rFonts w:ascii="Times New Roman" w:eastAsia="Times New Roman" w:hAnsi="Times New Roman" w:cs="Times New Roman"/>
          <w:lang w:eastAsia="ru-RU"/>
        </w:rPr>
        <w:t xml:space="preserve"> </w:t>
      </w:r>
      <w:r w:rsidRPr="003D5338">
        <w:rPr>
          <w:rFonts w:ascii="Times New Roman" w:eastAsia="Times New Roman" w:hAnsi="Times New Roman" w:cs="Times New Roman"/>
          <w:lang w:eastAsia="ru-RU"/>
        </w:rPr>
        <w:t xml:space="preserve">Операционные обязательства целесообразно выделять, так как они требуют непосредственного погашения и их величина важна при реальной оценке </w:t>
      </w:r>
      <w:r w:rsidR="00A721B5" w:rsidRPr="003D5338">
        <w:rPr>
          <w:rFonts w:ascii="Times New Roman" w:eastAsia="Times New Roman" w:hAnsi="Times New Roman" w:cs="Times New Roman"/>
          <w:lang w:eastAsia="ru-RU"/>
        </w:rPr>
        <w:t>платёжеспособности</w:t>
      </w:r>
      <w:r w:rsidRPr="003D5338">
        <w:rPr>
          <w:rFonts w:ascii="Times New Roman" w:eastAsia="Times New Roman" w:hAnsi="Times New Roman" w:cs="Times New Roman"/>
          <w:lang w:eastAsia="ru-RU"/>
        </w:rPr>
        <w:t xml:space="preserve"> компании. К ним можно отнести:</w:t>
      </w:r>
    </w:p>
    <w:p w:rsidR="00073175" w:rsidRPr="003D5338" w:rsidRDefault="00A721B5" w:rsidP="003D5338">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з</w:t>
      </w:r>
      <w:r w:rsidR="00073175" w:rsidRPr="003D5338">
        <w:rPr>
          <w:rFonts w:ascii="Times New Roman" w:eastAsia="Times New Roman" w:hAnsi="Times New Roman" w:cs="Times New Roman"/>
          <w:lang w:eastAsia="ru-RU"/>
        </w:rPr>
        <w:t>адолженность по кредитам, обслуживающим операционный цикл</w:t>
      </w:r>
      <w:r>
        <w:rPr>
          <w:rFonts w:ascii="Times New Roman" w:eastAsia="Times New Roman" w:hAnsi="Times New Roman" w:cs="Times New Roman"/>
          <w:lang w:eastAsia="ru-RU"/>
        </w:rPr>
        <w:t>;</w:t>
      </w:r>
    </w:p>
    <w:p w:rsidR="00073175" w:rsidRPr="003D5338" w:rsidRDefault="00A721B5" w:rsidP="003D5338">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к</w:t>
      </w:r>
      <w:r w:rsidR="00073175" w:rsidRPr="003D5338">
        <w:rPr>
          <w:rFonts w:ascii="Times New Roman" w:eastAsia="Times New Roman" w:hAnsi="Times New Roman" w:cs="Times New Roman"/>
          <w:lang w:eastAsia="ru-RU"/>
        </w:rPr>
        <w:t>редиторскую задолженность поставщикам</w:t>
      </w:r>
      <w:r>
        <w:rPr>
          <w:rFonts w:ascii="Times New Roman" w:eastAsia="Times New Roman" w:hAnsi="Times New Roman" w:cs="Times New Roman"/>
          <w:lang w:eastAsia="ru-RU"/>
        </w:rPr>
        <w:t>;</w:t>
      </w:r>
    </w:p>
    <w:p w:rsidR="00073175" w:rsidRPr="003D5338" w:rsidRDefault="00A721B5" w:rsidP="003D5338">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з</w:t>
      </w:r>
      <w:r w:rsidR="00073175" w:rsidRPr="003D5338">
        <w:rPr>
          <w:rFonts w:ascii="Times New Roman" w:eastAsia="Times New Roman" w:hAnsi="Times New Roman" w:cs="Times New Roman"/>
          <w:lang w:eastAsia="ru-RU"/>
        </w:rPr>
        <w:t>адолженность по авансам покупателей</w:t>
      </w:r>
      <w:r>
        <w:rPr>
          <w:rFonts w:ascii="Times New Roman" w:eastAsia="Times New Roman" w:hAnsi="Times New Roman" w:cs="Times New Roman"/>
          <w:lang w:eastAsia="ru-RU"/>
        </w:rPr>
        <w:t>;</w:t>
      </w:r>
    </w:p>
    <w:p w:rsidR="00073175" w:rsidRPr="003D5338" w:rsidRDefault="00A721B5" w:rsidP="003D5338">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а</w:t>
      </w:r>
      <w:r w:rsidR="00073175" w:rsidRPr="003D5338">
        <w:rPr>
          <w:rFonts w:ascii="Times New Roman" w:eastAsia="Times New Roman" w:hAnsi="Times New Roman" w:cs="Times New Roman"/>
          <w:lang w:eastAsia="ru-RU"/>
        </w:rPr>
        <w:t>рендные обязательства</w:t>
      </w:r>
      <w:r>
        <w:rPr>
          <w:rFonts w:ascii="Times New Roman" w:eastAsia="Times New Roman" w:hAnsi="Times New Roman" w:cs="Times New Roman"/>
          <w:lang w:eastAsia="ru-RU"/>
        </w:rPr>
        <w:t>;</w:t>
      </w:r>
    </w:p>
    <w:p w:rsidR="00073175" w:rsidRPr="003D5338" w:rsidRDefault="00A721B5" w:rsidP="003D5338">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з</w:t>
      </w:r>
      <w:r w:rsidR="00073175" w:rsidRPr="003D5338">
        <w:rPr>
          <w:rFonts w:ascii="Times New Roman" w:eastAsia="Times New Roman" w:hAnsi="Times New Roman" w:cs="Times New Roman"/>
          <w:lang w:eastAsia="ru-RU"/>
        </w:rPr>
        <w:t>адолженность персоналу по оплате труда</w:t>
      </w:r>
      <w:r>
        <w:rPr>
          <w:rFonts w:ascii="Times New Roman" w:eastAsia="Times New Roman" w:hAnsi="Times New Roman" w:cs="Times New Roman"/>
          <w:lang w:eastAsia="ru-RU"/>
        </w:rPr>
        <w:t>;</w:t>
      </w:r>
    </w:p>
    <w:p w:rsidR="00073175" w:rsidRPr="003D5338" w:rsidRDefault="00A721B5" w:rsidP="003D5338">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н</w:t>
      </w:r>
      <w:r w:rsidR="00073175" w:rsidRPr="003D5338">
        <w:rPr>
          <w:rFonts w:ascii="Times New Roman" w:eastAsia="Times New Roman" w:hAnsi="Times New Roman" w:cs="Times New Roman"/>
          <w:lang w:eastAsia="ru-RU"/>
        </w:rPr>
        <w:t>алоговую текущая задолженность</w:t>
      </w:r>
    </w:p>
    <w:p w:rsidR="00073175" w:rsidRPr="003D5338" w:rsidRDefault="00073175" w:rsidP="003D5338">
      <w:pPr>
        <w:spacing w:after="0" w:line="240" w:lineRule="auto"/>
        <w:ind w:firstLine="284"/>
        <w:jc w:val="both"/>
        <w:rPr>
          <w:rFonts w:ascii="Times New Roman" w:eastAsia="Times New Roman" w:hAnsi="Times New Roman" w:cs="Times New Roman"/>
          <w:lang w:eastAsia="ru-RU"/>
        </w:rPr>
      </w:pPr>
      <w:r w:rsidRPr="00E02EDA">
        <w:rPr>
          <w:rFonts w:ascii="Times New Roman" w:eastAsia="Times New Roman" w:hAnsi="Times New Roman" w:cs="Times New Roman"/>
          <w:lang w:eastAsia="ru-RU"/>
        </w:rPr>
        <w:lastRenderedPageBreak/>
        <w:t>2. Резервы (операционные/</w:t>
      </w:r>
      <w:proofErr w:type="spellStart"/>
      <w:r w:rsidRPr="00E02EDA">
        <w:rPr>
          <w:rFonts w:ascii="Times New Roman" w:eastAsia="Times New Roman" w:hAnsi="Times New Roman" w:cs="Times New Roman"/>
          <w:lang w:eastAsia="ru-RU"/>
        </w:rPr>
        <w:t>неоперационные</w:t>
      </w:r>
      <w:proofErr w:type="spellEnd"/>
      <w:r w:rsidRPr="00E02EDA">
        <w:rPr>
          <w:rFonts w:ascii="Times New Roman" w:eastAsia="Times New Roman" w:hAnsi="Times New Roman" w:cs="Times New Roman"/>
          <w:lang w:eastAsia="ru-RU"/>
        </w:rPr>
        <w:t>).</w:t>
      </w:r>
      <w:r w:rsidRPr="003D5338">
        <w:rPr>
          <w:rFonts w:ascii="Times New Roman" w:eastAsia="Times New Roman" w:hAnsi="Times New Roman" w:cs="Times New Roman"/>
          <w:lang w:eastAsia="ru-RU"/>
        </w:rPr>
        <w:t xml:space="preserve"> Целесообразно выделять, так как резерв следует рассматривать как «потенциальное» обязательство, с неопределенностью по размеру и сроку погашения. Отдельно можно выделять резервы (как долгосрочные, так и краткосрочные), что позволит получить более объективную «очищенную» величину собственного капитала как реального источника финансирования, а также «реальную» величину операционных обязательств.  </w:t>
      </w:r>
    </w:p>
    <w:p w:rsidR="00073175" w:rsidRPr="003D5338" w:rsidRDefault="00073175" w:rsidP="003D5338">
      <w:pPr>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Отдельно стоит остановиться на статьях, связанных с отложенными налогами, </w:t>
      </w:r>
      <w:r w:rsidR="003D5338" w:rsidRPr="003D5338">
        <w:rPr>
          <w:rFonts w:ascii="Times New Roman" w:eastAsia="Times New Roman" w:hAnsi="Times New Roman" w:cs="Times New Roman"/>
          <w:lang w:eastAsia="ru-RU"/>
        </w:rPr>
        <w:t>которые обусловлены наличием</w:t>
      </w:r>
      <w:r w:rsidRPr="003D5338">
        <w:rPr>
          <w:rFonts w:ascii="Times New Roman" w:eastAsia="Times New Roman" w:hAnsi="Times New Roman" w:cs="Times New Roman"/>
          <w:lang w:eastAsia="ru-RU"/>
        </w:rPr>
        <w:t xml:space="preserve"> </w:t>
      </w:r>
      <w:r w:rsidRPr="003D5338">
        <w:rPr>
          <w:rFonts w:ascii="Times New Roman" w:eastAsia="Times New Roman" w:hAnsi="Times New Roman" w:cs="Times New Roman"/>
          <w:bCs/>
          <w:lang w:eastAsia="ru-RU"/>
        </w:rPr>
        <w:t>временных разниц</w:t>
      </w:r>
      <w:r w:rsidRPr="003D5338">
        <w:rPr>
          <w:rFonts w:ascii="Times New Roman" w:eastAsia="Times New Roman" w:hAnsi="Times New Roman" w:cs="Times New Roman"/>
          <w:lang w:eastAsia="ru-RU"/>
        </w:rPr>
        <w:t xml:space="preserve"> между бухгалтерской и налоговой базой налога на прибыль. Речь идет о таких показателях, как отложенные налоговые </w:t>
      </w:r>
      <w:r w:rsidR="003D5338" w:rsidRPr="003D5338">
        <w:rPr>
          <w:rFonts w:ascii="Times New Roman" w:eastAsia="Times New Roman" w:hAnsi="Times New Roman" w:cs="Times New Roman"/>
          <w:lang w:eastAsia="ru-RU"/>
        </w:rPr>
        <w:t>активы (</w:t>
      </w:r>
      <w:r w:rsidRPr="003D5338">
        <w:rPr>
          <w:rFonts w:ascii="Times New Roman" w:eastAsia="Times New Roman" w:hAnsi="Times New Roman" w:cs="Times New Roman"/>
          <w:lang w:eastAsia="ru-RU"/>
        </w:rPr>
        <w:t xml:space="preserve">ОНА) и отложенные налоговые обязательства (ОНО). С точки зрения аналитика, их целесообразно отражать отдельно, как налоговые корректировки. ОНА не имеет материально-вещественной формы и не участвует как ресурс в операционном цикле, ОНО, в свою очередь не является прямым источником финансирования, операционной деятельности, которое требует дальнейшего погашения. </w:t>
      </w:r>
    </w:p>
    <w:p w:rsidR="00073175" w:rsidRPr="003D5338" w:rsidRDefault="00073175" w:rsidP="003D5338">
      <w:pPr>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Таким образом, данные статьи можно выделять в </w:t>
      </w:r>
      <w:proofErr w:type="spellStart"/>
      <w:r w:rsidRPr="003D5338">
        <w:rPr>
          <w:rFonts w:ascii="Times New Roman" w:eastAsia="Times New Roman" w:hAnsi="Times New Roman" w:cs="Times New Roman"/>
          <w:lang w:eastAsia="ru-RU"/>
        </w:rPr>
        <w:t>неоперационные</w:t>
      </w:r>
      <w:proofErr w:type="spellEnd"/>
      <w:r w:rsidRPr="003D5338">
        <w:rPr>
          <w:rFonts w:ascii="Times New Roman" w:eastAsia="Times New Roman" w:hAnsi="Times New Roman" w:cs="Times New Roman"/>
          <w:lang w:eastAsia="ru-RU"/>
        </w:rPr>
        <w:t xml:space="preserve"> налоговые активы и </w:t>
      </w:r>
      <w:proofErr w:type="spellStart"/>
      <w:r w:rsidRPr="003D5338">
        <w:rPr>
          <w:rFonts w:ascii="Times New Roman" w:eastAsia="Times New Roman" w:hAnsi="Times New Roman" w:cs="Times New Roman"/>
          <w:lang w:eastAsia="ru-RU"/>
        </w:rPr>
        <w:t>неоперационные</w:t>
      </w:r>
      <w:proofErr w:type="spellEnd"/>
      <w:r w:rsidRPr="003D5338">
        <w:rPr>
          <w:rFonts w:ascii="Times New Roman" w:eastAsia="Times New Roman" w:hAnsi="Times New Roman" w:cs="Times New Roman"/>
          <w:lang w:eastAsia="ru-RU"/>
        </w:rPr>
        <w:t xml:space="preserve"> налоговые обязательства. Такой подход позволит аналитику иметь более корректную информацию о величине операционных активов и операционных обязательствах, что повысит качество оценки ликвидности, платежеспособности и финансовой устойчивости компании.  </w:t>
      </w:r>
    </w:p>
    <w:p w:rsidR="00073175" w:rsidRPr="003D5338" w:rsidRDefault="00073175" w:rsidP="003D5338">
      <w:pPr>
        <w:spacing w:after="0" w:line="240" w:lineRule="auto"/>
        <w:ind w:firstLine="284"/>
        <w:jc w:val="both"/>
        <w:rPr>
          <w:rFonts w:ascii="Times New Roman" w:eastAsia="Times New Roman" w:hAnsi="Times New Roman" w:cs="Times New Roman"/>
          <w:lang w:eastAsia="ru-RU"/>
        </w:rPr>
      </w:pPr>
      <w:r w:rsidRPr="003D5338">
        <w:rPr>
          <w:rFonts w:ascii="Times New Roman" w:eastAsia="Times New Roman" w:hAnsi="Times New Roman" w:cs="Times New Roman"/>
          <w:lang w:eastAsia="ru-RU"/>
        </w:rPr>
        <w:t xml:space="preserve">Ниже, в </w:t>
      </w:r>
      <w:r w:rsidR="003D5338" w:rsidRPr="003D5338">
        <w:rPr>
          <w:rFonts w:ascii="Times New Roman" w:eastAsia="Times New Roman" w:hAnsi="Times New Roman" w:cs="Times New Roman"/>
          <w:lang w:eastAsia="ru-RU"/>
        </w:rPr>
        <w:t>таблице предлагаем</w:t>
      </w:r>
      <w:r w:rsidRPr="003D5338">
        <w:rPr>
          <w:rFonts w:ascii="Times New Roman" w:eastAsia="Times New Roman" w:hAnsi="Times New Roman" w:cs="Times New Roman"/>
          <w:lang w:eastAsia="ru-RU"/>
        </w:rPr>
        <w:t xml:space="preserve"> дезагрегированную сводную форму аналитического баланса, построенного на основе предложенных подходов.</w:t>
      </w:r>
    </w:p>
    <w:p w:rsidR="00073175" w:rsidRPr="003D5338" w:rsidRDefault="003D5338" w:rsidP="003D5338">
      <w:pPr>
        <w:spacing w:after="0" w:line="240" w:lineRule="auto"/>
        <w:ind w:firstLine="284"/>
        <w:jc w:val="center"/>
        <w:rPr>
          <w:rFonts w:ascii="Times New Roman" w:eastAsia="Times New Roman" w:hAnsi="Times New Roman" w:cs="Times New Roman"/>
          <w:b/>
          <w:bCs/>
          <w:sz w:val="18"/>
          <w:szCs w:val="18"/>
          <w:lang w:eastAsia="ru-RU"/>
        </w:rPr>
      </w:pPr>
      <w:r w:rsidRPr="003D5338">
        <w:rPr>
          <w:rFonts w:ascii="Times New Roman" w:eastAsia="Times New Roman" w:hAnsi="Times New Roman" w:cs="Times New Roman"/>
          <w:b/>
          <w:bCs/>
          <w:sz w:val="18"/>
          <w:szCs w:val="18"/>
          <w:lang w:eastAsia="ru-RU"/>
        </w:rPr>
        <w:t>Таблица –</w:t>
      </w:r>
      <w:r w:rsidR="00073175" w:rsidRPr="003D5338">
        <w:rPr>
          <w:rFonts w:ascii="Times New Roman" w:eastAsia="Times New Roman" w:hAnsi="Times New Roman" w:cs="Times New Roman"/>
          <w:b/>
          <w:bCs/>
          <w:sz w:val="18"/>
          <w:szCs w:val="18"/>
          <w:lang w:eastAsia="ru-RU"/>
        </w:rPr>
        <w:t xml:space="preserve"> Сводный аналитический баланс</w:t>
      </w:r>
    </w:p>
    <w:p w:rsidR="00073175" w:rsidRPr="003D5338" w:rsidRDefault="00073175" w:rsidP="003D5338">
      <w:pPr>
        <w:spacing w:after="0" w:line="240" w:lineRule="auto"/>
        <w:ind w:firstLine="284"/>
        <w:jc w:val="both"/>
        <w:rPr>
          <w:rFonts w:ascii="Times New Roman" w:eastAsia="Times New Roman" w:hAnsi="Times New Roman" w:cs="Times New Roman"/>
          <w:sz w:val="18"/>
          <w:szCs w:val="18"/>
          <w:lang w:eastAsia="ru-RU"/>
        </w:rPr>
      </w:pPr>
    </w:p>
    <w:tbl>
      <w:tblPr>
        <w:tblStyle w:val="a6"/>
        <w:tblW w:w="4997" w:type="pct"/>
        <w:tblLook w:val="04A0" w:firstRow="1" w:lastRow="0" w:firstColumn="1" w:lastColumn="0" w:noHBand="0" w:noVBand="1"/>
      </w:tblPr>
      <w:tblGrid>
        <w:gridCol w:w="2057"/>
        <w:gridCol w:w="1363"/>
        <w:gridCol w:w="1363"/>
        <w:gridCol w:w="1879"/>
        <w:gridCol w:w="1310"/>
        <w:gridCol w:w="1141"/>
      </w:tblGrid>
      <w:tr w:rsidR="00073175" w:rsidRPr="003D5338" w:rsidTr="005A780B">
        <w:tc>
          <w:tcPr>
            <w:tcW w:w="1128" w:type="pct"/>
          </w:tcPr>
          <w:p w:rsidR="00073175" w:rsidRPr="003D5338" w:rsidRDefault="00073175" w:rsidP="003D5338">
            <w:pPr>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Статьи актива</w:t>
            </w:r>
          </w:p>
        </w:tc>
        <w:tc>
          <w:tcPr>
            <w:tcW w:w="748" w:type="pct"/>
          </w:tcPr>
          <w:p w:rsidR="00073175" w:rsidRPr="003D5338" w:rsidRDefault="00073175" w:rsidP="003D5338">
            <w:pPr>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На начало периода</w:t>
            </w:r>
          </w:p>
        </w:tc>
        <w:tc>
          <w:tcPr>
            <w:tcW w:w="748" w:type="pct"/>
          </w:tcPr>
          <w:p w:rsidR="00073175" w:rsidRPr="003D5338" w:rsidRDefault="00073175" w:rsidP="003D5338">
            <w:pPr>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На конец периода</w:t>
            </w:r>
          </w:p>
        </w:tc>
        <w:tc>
          <w:tcPr>
            <w:tcW w:w="1031" w:type="pct"/>
          </w:tcPr>
          <w:p w:rsidR="00073175" w:rsidRPr="003D5338" w:rsidRDefault="00073175" w:rsidP="003D5338">
            <w:pPr>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Статьи пассива</w:t>
            </w:r>
          </w:p>
        </w:tc>
        <w:tc>
          <w:tcPr>
            <w:tcW w:w="719" w:type="pct"/>
          </w:tcPr>
          <w:p w:rsidR="00073175" w:rsidRPr="003D5338" w:rsidRDefault="00073175" w:rsidP="003D5338">
            <w:pPr>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На начало периода</w:t>
            </w:r>
          </w:p>
        </w:tc>
        <w:tc>
          <w:tcPr>
            <w:tcW w:w="627" w:type="pct"/>
          </w:tcPr>
          <w:p w:rsidR="00073175" w:rsidRPr="003D5338" w:rsidRDefault="00073175" w:rsidP="003D5338">
            <w:pPr>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На конец периода</w:t>
            </w:r>
          </w:p>
        </w:tc>
      </w:tr>
      <w:tr w:rsidR="00073175" w:rsidRPr="003D5338" w:rsidTr="005A780B">
        <w:tc>
          <w:tcPr>
            <w:tcW w:w="1128" w:type="pct"/>
          </w:tcPr>
          <w:p w:rsidR="00073175" w:rsidRPr="003D5338" w:rsidRDefault="00073175" w:rsidP="003D5338">
            <w:pPr>
              <w:widowControl w:val="0"/>
              <w:jc w:val="both"/>
              <w:rPr>
                <w:rFonts w:ascii="Times New Roman" w:eastAsia="Times New Roman" w:hAnsi="Times New Roman" w:cs="Times New Roman"/>
                <w:bCs/>
                <w:sz w:val="18"/>
                <w:szCs w:val="18"/>
                <w:lang w:eastAsia="ru-RU"/>
              </w:rPr>
            </w:pPr>
            <w:r w:rsidRPr="003D5338">
              <w:rPr>
                <w:rFonts w:ascii="Times New Roman" w:eastAsia="Times New Roman" w:hAnsi="Times New Roman" w:cs="Times New Roman"/>
                <w:bCs/>
                <w:sz w:val="18"/>
                <w:szCs w:val="18"/>
                <w:lang w:eastAsia="ru-RU"/>
              </w:rPr>
              <w:t xml:space="preserve">Операционные </w:t>
            </w:r>
          </w:p>
          <w:p w:rsidR="00073175" w:rsidRPr="003D5338" w:rsidRDefault="00073175" w:rsidP="003D5338">
            <w:pPr>
              <w:widowControl w:val="0"/>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bCs/>
                <w:sz w:val="18"/>
                <w:szCs w:val="18"/>
                <w:lang w:eastAsia="ru-RU"/>
              </w:rPr>
              <w:t>активы</w:t>
            </w:r>
          </w:p>
        </w:tc>
        <w:tc>
          <w:tcPr>
            <w:tcW w:w="74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74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1031"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 xml:space="preserve">Собственный </w:t>
            </w:r>
          </w:p>
          <w:p w:rsidR="00073175" w:rsidRPr="003D5338" w:rsidRDefault="00073175" w:rsidP="003D5338">
            <w:pPr>
              <w:widowControl w:val="0"/>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капитал</w:t>
            </w:r>
          </w:p>
        </w:tc>
        <w:tc>
          <w:tcPr>
            <w:tcW w:w="719"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627"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r>
      <w:tr w:rsidR="00073175" w:rsidRPr="003D5338" w:rsidTr="005A780B">
        <w:tc>
          <w:tcPr>
            <w:tcW w:w="112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bCs/>
                <w:sz w:val="18"/>
                <w:szCs w:val="18"/>
                <w:lang w:eastAsia="ru-RU"/>
              </w:rPr>
              <w:t>Инвестиционные активы</w:t>
            </w:r>
          </w:p>
        </w:tc>
        <w:tc>
          <w:tcPr>
            <w:tcW w:w="74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74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1031"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Операционные обязательства</w:t>
            </w:r>
          </w:p>
        </w:tc>
        <w:tc>
          <w:tcPr>
            <w:tcW w:w="719"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627"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r>
      <w:tr w:rsidR="00073175" w:rsidRPr="003D5338" w:rsidTr="005A780B">
        <w:tc>
          <w:tcPr>
            <w:tcW w:w="112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bCs/>
                <w:sz w:val="18"/>
                <w:szCs w:val="18"/>
                <w:lang w:eastAsia="ru-RU"/>
              </w:rPr>
              <w:t>Трудно реализуемые активы</w:t>
            </w:r>
          </w:p>
        </w:tc>
        <w:tc>
          <w:tcPr>
            <w:tcW w:w="74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74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1031"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Резервы</w:t>
            </w:r>
          </w:p>
        </w:tc>
        <w:tc>
          <w:tcPr>
            <w:tcW w:w="719"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627"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r>
      <w:tr w:rsidR="00073175" w:rsidRPr="003D5338" w:rsidTr="005A780B">
        <w:tc>
          <w:tcPr>
            <w:tcW w:w="1128" w:type="pct"/>
          </w:tcPr>
          <w:p w:rsidR="00073175" w:rsidRPr="003D5338" w:rsidRDefault="00073175" w:rsidP="003D5338">
            <w:pPr>
              <w:widowControl w:val="0"/>
              <w:jc w:val="both"/>
              <w:rPr>
                <w:rFonts w:ascii="Times New Roman" w:eastAsia="Times New Roman" w:hAnsi="Times New Roman" w:cs="Times New Roman"/>
                <w:bCs/>
                <w:sz w:val="18"/>
                <w:szCs w:val="18"/>
                <w:lang w:eastAsia="ru-RU"/>
              </w:rPr>
            </w:pPr>
            <w:r w:rsidRPr="003D5338">
              <w:rPr>
                <w:rFonts w:ascii="Times New Roman" w:eastAsia="Times New Roman" w:hAnsi="Times New Roman" w:cs="Times New Roman"/>
                <w:bCs/>
                <w:sz w:val="18"/>
                <w:szCs w:val="18"/>
                <w:lang w:eastAsia="ru-RU"/>
              </w:rPr>
              <w:t xml:space="preserve">Ликвидные </w:t>
            </w:r>
          </w:p>
          <w:p w:rsidR="00073175" w:rsidRPr="003D5338" w:rsidRDefault="00073175" w:rsidP="003D5338">
            <w:pPr>
              <w:widowControl w:val="0"/>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bCs/>
                <w:sz w:val="18"/>
                <w:szCs w:val="18"/>
                <w:lang w:eastAsia="ru-RU"/>
              </w:rPr>
              <w:t>активы</w:t>
            </w:r>
          </w:p>
        </w:tc>
        <w:tc>
          <w:tcPr>
            <w:tcW w:w="74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74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1031" w:type="pct"/>
            <w:vMerge w:val="restart"/>
          </w:tcPr>
          <w:p w:rsidR="00073175" w:rsidRPr="003D5338" w:rsidRDefault="00073175" w:rsidP="003D5338">
            <w:pPr>
              <w:widowControl w:val="0"/>
              <w:jc w:val="both"/>
              <w:rPr>
                <w:rFonts w:ascii="Times New Roman" w:eastAsia="Times New Roman" w:hAnsi="Times New Roman" w:cs="Times New Roman"/>
                <w:sz w:val="18"/>
                <w:szCs w:val="18"/>
                <w:lang w:eastAsia="ru-RU"/>
              </w:rPr>
            </w:pPr>
            <w:proofErr w:type="spellStart"/>
            <w:r w:rsidRPr="003D5338">
              <w:rPr>
                <w:rFonts w:ascii="Times New Roman" w:eastAsia="Times New Roman" w:hAnsi="Times New Roman" w:cs="Times New Roman"/>
                <w:sz w:val="18"/>
                <w:szCs w:val="18"/>
                <w:lang w:eastAsia="ru-RU"/>
              </w:rPr>
              <w:t>Неоперационные</w:t>
            </w:r>
            <w:proofErr w:type="spellEnd"/>
            <w:r w:rsidRPr="003D5338">
              <w:rPr>
                <w:rFonts w:ascii="Times New Roman" w:eastAsia="Times New Roman" w:hAnsi="Times New Roman" w:cs="Times New Roman"/>
                <w:sz w:val="18"/>
                <w:szCs w:val="18"/>
                <w:lang w:eastAsia="ru-RU"/>
              </w:rPr>
              <w:t xml:space="preserve"> налоговые </w:t>
            </w:r>
          </w:p>
          <w:p w:rsidR="00073175" w:rsidRPr="003D5338" w:rsidRDefault="00073175" w:rsidP="003D5338">
            <w:pPr>
              <w:widowControl w:val="0"/>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обязательства</w:t>
            </w:r>
          </w:p>
        </w:tc>
        <w:tc>
          <w:tcPr>
            <w:tcW w:w="719" w:type="pct"/>
            <w:vMerge w:val="restar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627" w:type="pct"/>
            <w:vMerge w:val="restar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r>
      <w:tr w:rsidR="00073175" w:rsidRPr="003D5338" w:rsidTr="00A721B5">
        <w:trPr>
          <w:trHeight w:val="253"/>
        </w:trPr>
        <w:tc>
          <w:tcPr>
            <w:tcW w:w="112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Активы к продаже</w:t>
            </w:r>
          </w:p>
        </w:tc>
        <w:tc>
          <w:tcPr>
            <w:tcW w:w="74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74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1031" w:type="pct"/>
            <w:vMerge/>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719" w:type="pct"/>
            <w:vMerge/>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627" w:type="pct"/>
            <w:vMerge/>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r>
      <w:tr w:rsidR="00073175" w:rsidRPr="003D5338" w:rsidTr="005A780B">
        <w:tc>
          <w:tcPr>
            <w:tcW w:w="112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roofErr w:type="spellStart"/>
            <w:r w:rsidRPr="003D5338">
              <w:rPr>
                <w:rFonts w:ascii="Times New Roman" w:eastAsia="Times New Roman" w:hAnsi="Times New Roman" w:cs="Times New Roman"/>
                <w:sz w:val="18"/>
                <w:szCs w:val="18"/>
                <w:lang w:eastAsia="ru-RU"/>
              </w:rPr>
              <w:t>Неоперационные</w:t>
            </w:r>
            <w:proofErr w:type="spellEnd"/>
            <w:r w:rsidRPr="003D5338">
              <w:rPr>
                <w:rFonts w:ascii="Times New Roman" w:eastAsia="Times New Roman" w:hAnsi="Times New Roman" w:cs="Times New Roman"/>
                <w:sz w:val="18"/>
                <w:szCs w:val="18"/>
                <w:lang w:eastAsia="ru-RU"/>
              </w:rPr>
              <w:t xml:space="preserve"> налоговые </w:t>
            </w:r>
          </w:p>
          <w:p w:rsidR="00073175" w:rsidRPr="003D5338" w:rsidRDefault="00073175" w:rsidP="003D5338">
            <w:pPr>
              <w:widowControl w:val="0"/>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активы</w:t>
            </w:r>
          </w:p>
        </w:tc>
        <w:tc>
          <w:tcPr>
            <w:tcW w:w="74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748"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1031"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 xml:space="preserve">Прочие </w:t>
            </w:r>
          </w:p>
          <w:p w:rsidR="00073175" w:rsidRPr="003D5338" w:rsidRDefault="00073175" w:rsidP="003D5338">
            <w:pPr>
              <w:widowControl w:val="0"/>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обязательства</w:t>
            </w:r>
          </w:p>
        </w:tc>
        <w:tc>
          <w:tcPr>
            <w:tcW w:w="719"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c>
          <w:tcPr>
            <w:tcW w:w="627" w:type="pct"/>
          </w:tcPr>
          <w:p w:rsidR="00073175" w:rsidRPr="003D5338" w:rsidRDefault="00073175" w:rsidP="003D5338">
            <w:pPr>
              <w:widowControl w:val="0"/>
              <w:jc w:val="both"/>
              <w:rPr>
                <w:rFonts w:ascii="Times New Roman" w:eastAsia="Times New Roman" w:hAnsi="Times New Roman" w:cs="Times New Roman"/>
                <w:sz w:val="18"/>
                <w:szCs w:val="18"/>
                <w:lang w:eastAsia="ru-RU"/>
              </w:rPr>
            </w:pPr>
          </w:p>
        </w:tc>
      </w:tr>
      <w:tr w:rsidR="00073175" w:rsidRPr="003D5338" w:rsidTr="005A780B">
        <w:tc>
          <w:tcPr>
            <w:tcW w:w="1128" w:type="pct"/>
          </w:tcPr>
          <w:p w:rsidR="00073175" w:rsidRPr="003D5338" w:rsidRDefault="00073175" w:rsidP="003D5338">
            <w:pPr>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Итог баланса</w:t>
            </w:r>
          </w:p>
        </w:tc>
        <w:tc>
          <w:tcPr>
            <w:tcW w:w="748" w:type="pct"/>
          </w:tcPr>
          <w:p w:rsidR="00073175" w:rsidRPr="003D5338" w:rsidRDefault="00073175" w:rsidP="003D5338">
            <w:pPr>
              <w:jc w:val="both"/>
              <w:rPr>
                <w:rFonts w:ascii="Times New Roman" w:eastAsia="Times New Roman" w:hAnsi="Times New Roman" w:cs="Times New Roman"/>
                <w:sz w:val="18"/>
                <w:szCs w:val="18"/>
                <w:lang w:eastAsia="ru-RU"/>
              </w:rPr>
            </w:pPr>
          </w:p>
        </w:tc>
        <w:tc>
          <w:tcPr>
            <w:tcW w:w="748" w:type="pct"/>
          </w:tcPr>
          <w:p w:rsidR="00073175" w:rsidRPr="003D5338" w:rsidRDefault="00073175" w:rsidP="003D5338">
            <w:pPr>
              <w:jc w:val="both"/>
              <w:rPr>
                <w:rFonts w:ascii="Times New Roman" w:eastAsia="Times New Roman" w:hAnsi="Times New Roman" w:cs="Times New Roman"/>
                <w:sz w:val="18"/>
                <w:szCs w:val="18"/>
                <w:lang w:eastAsia="ru-RU"/>
              </w:rPr>
            </w:pPr>
          </w:p>
        </w:tc>
        <w:tc>
          <w:tcPr>
            <w:tcW w:w="1031" w:type="pct"/>
          </w:tcPr>
          <w:p w:rsidR="00073175" w:rsidRPr="003D5338" w:rsidRDefault="00073175" w:rsidP="003D5338">
            <w:pPr>
              <w:jc w:val="both"/>
              <w:rPr>
                <w:rFonts w:ascii="Times New Roman" w:eastAsia="Times New Roman" w:hAnsi="Times New Roman" w:cs="Times New Roman"/>
                <w:sz w:val="18"/>
                <w:szCs w:val="18"/>
                <w:lang w:eastAsia="ru-RU"/>
              </w:rPr>
            </w:pPr>
            <w:r w:rsidRPr="003D5338">
              <w:rPr>
                <w:rFonts w:ascii="Times New Roman" w:eastAsia="Times New Roman" w:hAnsi="Times New Roman" w:cs="Times New Roman"/>
                <w:sz w:val="18"/>
                <w:szCs w:val="18"/>
                <w:lang w:eastAsia="ru-RU"/>
              </w:rPr>
              <w:t>Итог баланса</w:t>
            </w:r>
          </w:p>
        </w:tc>
        <w:tc>
          <w:tcPr>
            <w:tcW w:w="719" w:type="pct"/>
          </w:tcPr>
          <w:p w:rsidR="00073175" w:rsidRPr="003D5338" w:rsidRDefault="00073175" w:rsidP="003D5338">
            <w:pPr>
              <w:jc w:val="both"/>
              <w:rPr>
                <w:rFonts w:ascii="Times New Roman" w:eastAsia="Times New Roman" w:hAnsi="Times New Roman" w:cs="Times New Roman"/>
                <w:sz w:val="18"/>
                <w:szCs w:val="18"/>
                <w:lang w:eastAsia="ru-RU"/>
              </w:rPr>
            </w:pPr>
          </w:p>
        </w:tc>
        <w:tc>
          <w:tcPr>
            <w:tcW w:w="627" w:type="pct"/>
          </w:tcPr>
          <w:p w:rsidR="00073175" w:rsidRPr="003D5338" w:rsidRDefault="00073175" w:rsidP="003D5338">
            <w:pPr>
              <w:jc w:val="both"/>
              <w:rPr>
                <w:rFonts w:ascii="Times New Roman" w:eastAsia="Times New Roman" w:hAnsi="Times New Roman" w:cs="Times New Roman"/>
                <w:sz w:val="18"/>
                <w:szCs w:val="18"/>
                <w:lang w:eastAsia="ru-RU"/>
              </w:rPr>
            </w:pPr>
          </w:p>
        </w:tc>
      </w:tr>
    </w:tbl>
    <w:p w:rsidR="00D3128A" w:rsidRPr="00D3128A" w:rsidRDefault="00D3128A" w:rsidP="003D5338">
      <w:pPr>
        <w:spacing w:after="0" w:line="240" w:lineRule="auto"/>
        <w:ind w:firstLine="284"/>
        <w:jc w:val="both"/>
        <w:rPr>
          <w:rFonts w:ascii="Times New Roman" w:eastAsia="Times New Roman" w:hAnsi="Times New Roman" w:cs="Times New Roman"/>
          <w:i/>
          <w:iCs/>
          <w:sz w:val="18"/>
          <w:szCs w:val="18"/>
          <w:lang w:eastAsia="ru-RU"/>
        </w:rPr>
      </w:pPr>
      <w:r w:rsidRPr="00D3128A">
        <w:rPr>
          <w:rFonts w:ascii="Times New Roman" w:eastAsia="Times New Roman" w:hAnsi="Times New Roman" w:cs="Times New Roman"/>
          <w:i/>
          <w:iCs/>
          <w:sz w:val="18"/>
          <w:szCs w:val="18"/>
          <w:lang w:eastAsia="ru-RU"/>
        </w:rPr>
        <w:t>Источник: разработано авторами</w:t>
      </w:r>
      <w:r w:rsidR="00073175" w:rsidRPr="00D3128A">
        <w:rPr>
          <w:rFonts w:ascii="Times New Roman" w:eastAsia="Times New Roman" w:hAnsi="Times New Roman" w:cs="Times New Roman"/>
          <w:i/>
          <w:iCs/>
          <w:sz w:val="18"/>
          <w:szCs w:val="18"/>
          <w:lang w:eastAsia="ru-RU"/>
        </w:rPr>
        <w:t xml:space="preserve"> </w:t>
      </w:r>
    </w:p>
    <w:p w:rsidR="00D3128A" w:rsidRDefault="00D3128A" w:rsidP="003D5338">
      <w:pPr>
        <w:spacing w:after="0" w:line="240" w:lineRule="auto"/>
        <w:ind w:firstLine="284"/>
        <w:jc w:val="both"/>
        <w:rPr>
          <w:rFonts w:ascii="Times New Roman" w:eastAsia="Times New Roman" w:hAnsi="Times New Roman" w:cs="Times New Roman"/>
          <w:lang w:eastAsia="ru-RU"/>
        </w:rPr>
      </w:pPr>
    </w:p>
    <w:p w:rsidR="00073175" w:rsidRPr="003D5338" w:rsidRDefault="00073175" w:rsidP="003D5338">
      <w:pPr>
        <w:spacing w:after="0" w:line="240" w:lineRule="auto"/>
        <w:ind w:firstLine="284"/>
        <w:jc w:val="both"/>
        <w:rPr>
          <w:rFonts w:ascii="Times New Roman" w:eastAsia="Times New Roman" w:hAnsi="Times New Roman" w:cs="Times New Roman"/>
          <w:bCs/>
          <w:lang w:eastAsia="ru-RU"/>
        </w:rPr>
      </w:pPr>
      <w:r w:rsidRPr="003D5338">
        <w:rPr>
          <w:rFonts w:ascii="Times New Roman" w:eastAsia="Times New Roman" w:hAnsi="Times New Roman" w:cs="Times New Roman"/>
          <w:lang w:eastAsia="ru-RU"/>
        </w:rPr>
        <w:t xml:space="preserve">Таким образом, можно резюмировать, что требования, изложенные в </w:t>
      </w:r>
      <w:r w:rsidRPr="003D5338">
        <w:rPr>
          <w:rFonts w:ascii="Times New Roman" w:eastAsia="Times New Roman" w:hAnsi="Times New Roman" w:cs="Times New Roman"/>
          <w:lang w:val="en-US" w:eastAsia="ru-RU"/>
        </w:rPr>
        <w:t>IFRS</w:t>
      </w:r>
      <w:r w:rsidRPr="003D5338">
        <w:rPr>
          <w:rFonts w:ascii="Times New Roman" w:eastAsia="Times New Roman" w:hAnsi="Times New Roman" w:cs="Times New Roman"/>
          <w:lang w:eastAsia="ru-RU"/>
        </w:rPr>
        <w:t xml:space="preserve"> 18, не изменяют принципиально содержание баланса, но повышают требования к </w:t>
      </w:r>
      <w:r w:rsidRPr="003D5338">
        <w:rPr>
          <w:rFonts w:ascii="Times New Roman" w:eastAsia="Times New Roman" w:hAnsi="Times New Roman" w:cs="Times New Roman"/>
          <w:bCs/>
          <w:lang w:eastAsia="ru-RU"/>
        </w:rPr>
        <w:t>агрегации/</w:t>
      </w:r>
      <w:proofErr w:type="spellStart"/>
      <w:r w:rsidRPr="003D5338">
        <w:rPr>
          <w:rFonts w:ascii="Times New Roman" w:eastAsia="Times New Roman" w:hAnsi="Times New Roman" w:cs="Times New Roman"/>
          <w:bCs/>
          <w:lang w:eastAsia="ru-RU"/>
        </w:rPr>
        <w:t>дезагрегации</w:t>
      </w:r>
      <w:proofErr w:type="spellEnd"/>
      <w:r w:rsidRPr="003D5338">
        <w:rPr>
          <w:rFonts w:ascii="Times New Roman" w:eastAsia="Times New Roman" w:hAnsi="Times New Roman" w:cs="Times New Roman"/>
          <w:bCs/>
          <w:lang w:eastAsia="ru-RU"/>
        </w:rPr>
        <w:t xml:space="preserve"> показателей.</w:t>
      </w:r>
      <w:r w:rsidRPr="003D5338">
        <w:rPr>
          <w:rFonts w:ascii="Times New Roman" w:eastAsia="Times New Roman" w:hAnsi="Times New Roman" w:cs="Times New Roman"/>
          <w:lang w:eastAsia="ru-RU"/>
        </w:rPr>
        <w:t xml:space="preserve"> В целом, повышается ценность аналитичности информации. При этом возрастает роль субъективных профессиональных суждений </w:t>
      </w:r>
      <w:r w:rsidRPr="003D5338">
        <w:rPr>
          <w:rFonts w:ascii="Times New Roman" w:eastAsia="Times New Roman" w:hAnsi="Times New Roman" w:cs="Times New Roman"/>
          <w:bCs/>
          <w:lang w:eastAsia="ru-RU"/>
        </w:rPr>
        <w:t xml:space="preserve">об уровне существенности статьи и о том, какие строки выделять отдельно. </w:t>
      </w:r>
      <w:r w:rsidRPr="00E02EDA">
        <w:rPr>
          <w:rFonts w:ascii="Times New Roman" w:eastAsia="Times New Roman" w:hAnsi="Times New Roman" w:cs="Times New Roman"/>
          <w:bCs/>
          <w:lang w:eastAsia="ru-RU"/>
        </w:rPr>
        <w:t xml:space="preserve">Целесообразным является </w:t>
      </w:r>
      <w:bookmarkStart w:id="1" w:name="_Hlk226640809"/>
      <w:r w:rsidRPr="00E02EDA">
        <w:rPr>
          <w:rFonts w:ascii="Times New Roman" w:eastAsia="Times New Roman" w:hAnsi="Times New Roman" w:cs="Times New Roman"/>
          <w:bCs/>
          <w:lang w:eastAsia="ru-RU"/>
        </w:rPr>
        <w:t>подход, основанный на двухуровневой группировке</w:t>
      </w:r>
      <w:r w:rsidRPr="003D5338">
        <w:rPr>
          <w:rFonts w:ascii="Times New Roman" w:eastAsia="Times New Roman" w:hAnsi="Times New Roman" w:cs="Times New Roman"/>
          <w:bCs/>
          <w:lang w:eastAsia="ru-RU"/>
        </w:rPr>
        <w:t xml:space="preserve"> статей</w:t>
      </w:r>
      <w:bookmarkEnd w:id="1"/>
      <w:r w:rsidRPr="003D5338">
        <w:rPr>
          <w:rFonts w:ascii="Times New Roman" w:eastAsia="Times New Roman" w:hAnsi="Times New Roman" w:cs="Times New Roman"/>
          <w:bCs/>
          <w:lang w:eastAsia="ru-RU"/>
        </w:rPr>
        <w:t xml:space="preserve">. В зависимости от целевых установок, статьи должны отражать экономическую природу показателя. </w:t>
      </w:r>
    </w:p>
    <w:p w:rsidR="004D3931" w:rsidRPr="003D5338" w:rsidRDefault="004D3931"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 xml:space="preserve">Предполагаемым результатом исследования является теоретическое обоснование того, что внедрение </w:t>
      </w:r>
      <w:r w:rsidRPr="003D5338">
        <w:rPr>
          <w:rFonts w:ascii="Times New Roman" w:hAnsi="Times New Roman" w:cs="Times New Roman"/>
          <w:lang w:val="en-US"/>
        </w:rPr>
        <w:t>IFRS</w:t>
      </w:r>
      <w:r w:rsidRPr="003D5338">
        <w:rPr>
          <w:rFonts w:ascii="Times New Roman" w:hAnsi="Times New Roman" w:cs="Times New Roman"/>
        </w:rPr>
        <w:t xml:space="preserve"> 18 способствует повышению прозрачности и аналитичности бухгалтерского баланса.</w:t>
      </w:r>
    </w:p>
    <w:p w:rsidR="004D3931" w:rsidRPr="003D5338" w:rsidRDefault="004D3931"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Практическое значение исследования состоит в возможности использования сформулированных положений при совершенствовании учетной политики организаций, разработке внутренних методических рекомендаций по раскрытию информации в финансовой отчетности.</w:t>
      </w:r>
    </w:p>
    <w:p w:rsidR="004D3931" w:rsidRPr="003D5338" w:rsidRDefault="004D3931" w:rsidP="003D5338">
      <w:pPr>
        <w:spacing w:after="0" w:line="240" w:lineRule="auto"/>
        <w:ind w:firstLine="284"/>
        <w:jc w:val="both"/>
        <w:rPr>
          <w:rFonts w:ascii="Times New Roman" w:hAnsi="Times New Roman" w:cs="Times New Roman"/>
          <w:b/>
          <w:bCs/>
        </w:rPr>
      </w:pPr>
      <w:r w:rsidRPr="003D5338">
        <w:rPr>
          <w:rFonts w:ascii="Times New Roman" w:hAnsi="Times New Roman" w:cs="Times New Roman"/>
          <w:b/>
          <w:bCs/>
        </w:rPr>
        <w:t>Заключение</w:t>
      </w:r>
    </w:p>
    <w:p w:rsidR="004D3931" w:rsidRPr="003D5338" w:rsidRDefault="004D3931"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 xml:space="preserve">Новации </w:t>
      </w:r>
      <w:r w:rsidRPr="003D5338">
        <w:rPr>
          <w:rFonts w:ascii="Times New Roman" w:hAnsi="Times New Roman" w:cs="Times New Roman"/>
          <w:lang w:val="en-US"/>
        </w:rPr>
        <w:t>IFRS</w:t>
      </w:r>
      <w:r w:rsidRPr="003D5338">
        <w:rPr>
          <w:rFonts w:ascii="Times New Roman" w:hAnsi="Times New Roman" w:cs="Times New Roman"/>
        </w:rPr>
        <w:t xml:space="preserve"> 18 имеют принципиальное значение для бухгалтерского баланса, так как ориентированы на повышение качества представления и раскрытия информации.</w:t>
      </w:r>
    </w:p>
    <w:p w:rsidR="004D3931" w:rsidRPr="003D5338" w:rsidRDefault="004D3931" w:rsidP="003D5338">
      <w:pPr>
        <w:spacing w:after="0" w:line="240" w:lineRule="auto"/>
        <w:ind w:firstLine="284"/>
        <w:jc w:val="both"/>
        <w:rPr>
          <w:rFonts w:ascii="Times New Roman" w:hAnsi="Times New Roman" w:cs="Times New Roman"/>
        </w:rPr>
      </w:pPr>
      <w:r w:rsidRPr="003D5338">
        <w:rPr>
          <w:rFonts w:ascii="Times New Roman" w:hAnsi="Times New Roman" w:cs="Times New Roman"/>
        </w:rPr>
        <w:t xml:space="preserve">Бухгалтерский баланс в условиях применения </w:t>
      </w:r>
      <w:r w:rsidRPr="003D5338">
        <w:rPr>
          <w:rFonts w:ascii="Times New Roman" w:hAnsi="Times New Roman" w:cs="Times New Roman"/>
          <w:lang w:val="en-US"/>
        </w:rPr>
        <w:t>IFRS</w:t>
      </w:r>
      <w:r w:rsidRPr="003D5338">
        <w:rPr>
          <w:rFonts w:ascii="Times New Roman" w:hAnsi="Times New Roman" w:cs="Times New Roman"/>
        </w:rPr>
        <w:t xml:space="preserve"> 18 должен формироваться как структурированная и аналитически полезная форма отчетности, отражающая имущественное положение организации, обеспечивающая пользователей достаточной и полезной информацией. Это требует пересмотра подходов к агрегированию и </w:t>
      </w:r>
      <w:proofErr w:type="spellStart"/>
      <w:r w:rsidRPr="003D5338">
        <w:rPr>
          <w:rFonts w:ascii="Times New Roman" w:hAnsi="Times New Roman" w:cs="Times New Roman"/>
        </w:rPr>
        <w:t>дезагрегированию</w:t>
      </w:r>
      <w:proofErr w:type="spellEnd"/>
      <w:r w:rsidRPr="003D5338">
        <w:rPr>
          <w:rFonts w:ascii="Times New Roman" w:hAnsi="Times New Roman" w:cs="Times New Roman"/>
        </w:rPr>
        <w:t xml:space="preserve"> статей, усиления взаимосвязей между </w:t>
      </w:r>
      <w:r w:rsidRPr="003D5338">
        <w:rPr>
          <w:rFonts w:ascii="Times New Roman" w:hAnsi="Times New Roman" w:cs="Times New Roman"/>
        </w:rPr>
        <w:lastRenderedPageBreak/>
        <w:t xml:space="preserve">бухгалтерским балансом и примечаниями, а также совершенствования внутренних процедур формирования показателей отчетности. </w:t>
      </w:r>
    </w:p>
    <w:p w:rsidR="004D3931" w:rsidRPr="004769FB" w:rsidRDefault="004D3931" w:rsidP="003D5338">
      <w:pPr>
        <w:spacing w:after="0" w:line="240" w:lineRule="auto"/>
        <w:ind w:firstLine="284"/>
        <w:jc w:val="both"/>
        <w:rPr>
          <w:rFonts w:ascii="Times New Roman" w:hAnsi="Times New Roman" w:cs="Times New Roman"/>
          <w:b/>
          <w:bCs/>
        </w:rPr>
      </w:pPr>
      <w:r w:rsidRPr="004769FB">
        <w:rPr>
          <w:rFonts w:ascii="Times New Roman" w:hAnsi="Times New Roman" w:cs="Times New Roman"/>
          <w:b/>
          <w:bCs/>
        </w:rPr>
        <w:t xml:space="preserve">Список </w:t>
      </w:r>
      <w:r w:rsidR="00690EB2" w:rsidRPr="004769FB">
        <w:rPr>
          <w:rFonts w:ascii="Times New Roman" w:hAnsi="Times New Roman" w:cs="Times New Roman"/>
          <w:b/>
          <w:bCs/>
        </w:rPr>
        <w:t>источников</w:t>
      </w:r>
    </w:p>
    <w:p w:rsidR="0055210C" w:rsidRDefault="0055210C" w:rsidP="00C77187">
      <w:pPr>
        <w:pStyle w:val="a5"/>
        <w:numPr>
          <w:ilvl w:val="0"/>
          <w:numId w:val="1"/>
        </w:numPr>
        <w:spacing w:after="0" w:line="240" w:lineRule="auto"/>
        <w:ind w:left="0" w:firstLine="284"/>
        <w:contextualSpacing w:val="0"/>
        <w:jc w:val="both"/>
        <w:rPr>
          <w:rFonts w:ascii="Times New Roman" w:hAnsi="Times New Roman" w:cs="Times New Roman"/>
          <w:sz w:val="18"/>
          <w:szCs w:val="18"/>
        </w:rPr>
      </w:pPr>
      <w:r w:rsidRPr="00C77187">
        <w:rPr>
          <w:rFonts w:ascii="Times New Roman" w:hAnsi="Times New Roman" w:cs="Times New Roman"/>
          <w:sz w:val="18"/>
          <w:szCs w:val="18"/>
        </w:rPr>
        <w:t>Малиновская, Н. В. Представление и раскрытие информации в финансовой отчетности: новации МСФО (IFRS) 18 / Н. В. Малиновская // Международный бухгалтерский учет. – 2024. – Т. 27, № 8(518). – С. 848-860. – DOI 10.24891/ia.27.8.848. – EDN MPLUGW.</w:t>
      </w:r>
    </w:p>
    <w:p w:rsidR="00C77187" w:rsidRDefault="00C77187" w:rsidP="00C77187">
      <w:pPr>
        <w:pStyle w:val="a5"/>
        <w:numPr>
          <w:ilvl w:val="0"/>
          <w:numId w:val="1"/>
        </w:numPr>
        <w:spacing w:after="0" w:line="240" w:lineRule="auto"/>
        <w:ind w:left="0" w:firstLine="284"/>
        <w:contextualSpacing w:val="0"/>
        <w:jc w:val="both"/>
        <w:rPr>
          <w:rFonts w:ascii="Times New Roman" w:hAnsi="Times New Roman" w:cs="Times New Roman"/>
          <w:sz w:val="18"/>
          <w:szCs w:val="18"/>
        </w:rPr>
      </w:pPr>
      <w:r w:rsidRPr="00C77187">
        <w:rPr>
          <w:rFonts w:ascii="Times New Roman" w:hAnsi="Times New Roman" w:cs="Times New Roman"/>
          <w:sz w:val="18"/>
          <w:szCs w:val="18"/>
        </w:rPr>
        <w:t>Морозова, Т. В. Перспективы применения ключевых положений IFRS 18 «Представление и раскрытие информации в финансовой отчетности» строительными организациями / Т. В. Морозова // Бухучет в строительных организациях. – 2025. – № 2(217). – С. 13-23. – EDN SANTQS.</w:t>
      </w:r>
    </w:p>
    <w:p w:rsidR="0055210C" w:rsidRDefault="0055210C" w:rsidP="00C77187">
      <w:pPr>
        <w:pStyle w:val="a5"/>
        <w:numPr>
          <w:ilvl w:val="0"/>
          <w:numId w:val="1"/>
        </w:numPr>
        <w:spacing w:after="0" w:line="240" w:lineRule="auto"/>
        <w:ind w:left="0" w:firstLine="284"/>
        <w:contextualSpacing w:val="0"/>
        <w:jc w:val="both"/>
        <w:rPr>
          <w:rFonts w:ascii="Times New Roman" w:hAnsi="Times New Roman" w:cs="Times New Roman"/>
          <w:sz w:val="18"/>
          <w:szCs w:val="18"/>
        </w:rPr>
      </w:pPr>
      <w:proofErr w:type="spellStart"/>
      <w:r w:rsidRPr="00C77187">
        <w:rPr>
          <w:rFonts w:ascii="Times New Roman" w:hAnsi="Times New Roman" w:cs="Times New Roman"/>
          <w:sz w:val="18"/>
          <w:szCs w:val="18"/>
        </w:rPr>
        <w:t>Чемова</w:t>
      </w:r>
      <w:proofErr w:type="spellEnd"/>
      <w:r w:rsidRPr="00C77187">
        <w:rPr>
          <w:rFonts w:ascii="Times New Roman" w:hAnsi="Times New Roman" w:cs="Times New Roman"/>
          <w:sz w:val="18"/>
          <w:szCs w:val="18"/>
        </w:rPr>
        <w:t xml:space="preserve">, Е.А. МСФО (IFRS) 18: влияние на финансовую отчетность российских банков / Е. А. </w:t>
      </w:r>
      <w:proofErr w:type="spellStart"/>
      <w:r w:rsidRPr="00C77187">
        <w:rPr>
          <w:rFonts w:ascii="Times New Roman" w:hAnsi="Times New Roman" w:cs="Times New Roman"/>
          <w:sz w:val="18"/>
          <w:szCs w:val="18"/>
        </w:rPr>
        <w:t>Чемова</w:t>
      </w:r>
      <w:proofErr w:type="spellEnd"/>
      <w:r w:rsidRPr="00C77187">
        <w:rPr>
          <w:rFonts w:ascii="Times New Roman" w:hAnsi="Times New Roman" w:cs="Times New Roman"/>
          <w:sz w:val="18"/>
          <w:szCs w:val="18"/>
        </w:rPr>
        <w:t xml:space="preserve"> // Бухгалтерский учет в кредитных организациях. — Москва, 2025 — N 4. — С.39-50.</w:t>
      </w:r>
    </w:p>
    <w:p w:rsidR="0055210C" w:rsidRDefault="0055210C" w:rsidP="00C77187">
      <w:pPr>
        <w:pStyle w:val="a5"/>
        <w:numPr>
          <w:ilvl w:val="0"/>
          <w:numId w:val="1"/>
        </w:numPr>
        <w:spacing w:after="0" w:line="240" w:lineRule="auto"/>
        <w:ind w:left="0" w:firstLine="284"/>
        <w:contextualSpacing w:val="0"/>
        <w:jc w:val="both"/>
        <w:rPr>
          <w:rFonts w:ascii="Times New Roman" w:hAnsi="Times New Roman" w:cs="Times New Roman"/>
          <w:sz w:val="18"/>
          <w:szCs w:val="18"/>
        </w:rPr>
      </w:pPr>
      <w:proofErr w:type="spellStart"/>
      <w:r w:rsidRPr="00C77187">
        <w:rPr>
          <w:rFonts w:ascii="Times New Roman" w:hAnsi="Times New Roman" w:cs="Times New Roman"/>
          <w:sz w:val="18"/>
          <w:szCs w:val="18"/>
        </w:rPr>
        <w:t>Дружиловская</w:t>
      </w:r>
      <w:proofErr w:type="spellEnd"/>
      <w:r w:rsidRPr="00C77187">
        <w:rPr>
          <w:rFonts w:ascii="Times New Roman" w:hAnsi="Times New Roman" w:cs="Times New Roman"/>
          <w:sz w:val="18"/>
          <w:szCs w:val="18"/>
        </w:rPr>
        <w:t xml:space="preserve">, Э. С. Новые требования к формированию финансовой отчетности и их влияние на оценку объектов бухгалтерского учета / Э. С. </w:t>
      </w:r>
      <w:proofErr w:type="spellStart"/>
      <w:r w:rsidRPr="00C77187">
        <w:rPr>
          <w:rFonts w:ascii="Times New Roman" w:hAnsi="Times New Roman" w:cs="Times New Roman"/>
          <w:sz w:val="18"/>
          <w:szCs w:val="18"/>
        </w:rPr>
        <w:t>Дружиловская</w:t>
      </w:r>
      <w:proofErr w:type="spellEnd"/>
      <w:r w:rsidRPr="00C77187">
        <w:rPr>
          <w:rFonts w:ascii="Times New Roman" w:hAnsi="Times New Roman" w:cs="Times New Roman"/>
          <w:sz w:val="18"/>
          <w:szCs w:val="18"/>
        </w:rPr>
        <w:t xml:space="preserve"> // Бухгалтерский учет и налогообложение в бюджетных организациях. – 2024. – № 9(232). – С. 12-18. – EDN SGUTGS.</w:t>
      </w:r>
    </w:p>
    <w:p w:rsidR="0055210C" w:rsidRPr="00C77187" w:rsidRDefault="0055210C" w:rsidP="00C77187">
      <w:pPr>
        <w:pStyle w:val="a5"/>
        <w:numPr>
          <w:ilvl w:val="0"/>
          <w:numId w:val="1"/>
        </w:numPr>
        <w:spacing w:after="0" w:line="240" w:lineRule="auto"/>
        <w:ind w:left="0" w:firstLine="284"/>
        <w:contextualSpacing w:val="0"/>
        <w:jc w:val="both"/>
        <w:rPr>
          <w:rFonts w:ascii="Times New Roman" w:hAnsi="Times New Roman" w:cs="Times New Roman"/>
          <w:sz w:val="18"/>
          <w:szCs w:val="18"/>
        </w:rPr>
      </w:pPr>
      <w:proofErr w:type="spellStart"/>
      <w:r w:rsidRPr="00C77187">
        <w:rPr>
          <w:rFonts w:ascii="Times New Roman" w:hAnsi="Times New Roman" w:cs="Times New Roman"/>
          <w:sz w:val="18"/>
          <w:szCs w:val="18"/>
        </w:rPr>
        <w:t>Дружиловская</w:t>
      </w:r>
      <w:proofErr w:type="spellEnd"/>
      <w:r w:rsidRPr="00C77187">
        <w:rPr>
          <w:rFonts w:ascii="Times New Roman" w:hAnsi="Times New Roman" w:cs="Times New Roman"/>
          <w:sz w:val="18"/>
          <w:szCs w:val="18"/>
        </w:rPr>
        <w:t xml:space="preserve">, Э. С. Оценки деятельности, определенные руководством, в финансовой отчетности / Э. С. </w:t>
      </w:r>
      <w:proofErr w:type="spellStart"/>
      <w:r w:rsidRPr="00C77187">
        <w:rPr>
          <w:rFonts w:ascii="Times New Roman" w:hAnsi="Times New Roman" w:cs="Times New Roman"/>
          <w:sz w:val="18"/>
          <w:szCs w:val="18"/>
        </w:rPr>
        <w:t>Дружиловская</w:t>
      </w:r>
      <w:proofErr w:type="spellEnd"/>
      <w:r w:rsidRPr="00C77187">
        <w:rPr>
          <w:rFonts w:ascii="Times New Roman" w:hAnsi="Times New Roman" w:cs="Times New Roman"/>
          <w:sz w:val="18"/>
          <w:szCs w:val="18"/>
        </w:rPr>
        <w:t xml:space="preserve"> // Бухучет в здравоохранении. – 2024. – № 9(273). – С. 32-39. – DOI 10.33920/med-17-2409-04. – EDN KMRNBC.</w:t>
      </w:r>
    </w:p>
    <w:p w:rsidR="00C77187" w:rsidRPr="00C77187" w:rsidRDefault="00C77187" w:rsidP="00C77187">
      <w:pPr>
        <w:pStyle w:val="a5"/>
        <w:numPr>
          <w:ilvl w:val="0"/>
          <w:numId w:val="1"/>
        </w:numPr>
        <w:spacing w:after="0" w:line="240" w:lineRule="auto"/>
        <w:ind w:left="0" w:firstLine="284"/>
        <w:contextualSpacing w:val="0"/>
        <w:jc w:val="both"/>
        <w:rPr>
          <w:rFonts w:ascii="Times New Roman" w:hAnsi="Times New Roman" w:cs="Times New Roman"/>
          <w:sz w:val="18"/>
          <w:szCs w:val="18"/>
        </w:rPr>
      </w:pPr>
      <w:proofErr w:type="spellStart"/>
      <w:r w:rsidRPr="00C77187">
        <w:rPr>
          <w:rFonts w:ascii="Times New Roman" w:hAnsi="Times New Roman" w:cs="Times New Roman"/>
          <w:sz w:val="18"/>
          <w:szCs w:val="18"/>
        </w:rPr>
        <w:t>Рыбаченко</w:t>
      </w:r>
      <w:proofErr w:type="spellEnd"/>
      <w:r w:rsidRPr="00C77187">
        <w:rPr>
          <w:rFonts w:ascii="Times New Roman" w:hAnsi="Times New Roman" w:cs="Times New Roman"/>
          <w:sz w:val="18"/>
          <w:szCs w:val="18"/>
        </w:rPr>
        <w:t xml:space="preserve">, Э. В. Новации IFRS 18 в отчете о прибылях и убытках: особенности для российского учета / Э. В. </w:t>
      </w:r>
      <w:proofErr w:type="spellStart"/>
      <w:r w:rsidRPr="00C77187">
        <w:rPr>
          <w:rFonts w:ascii="Times New Roman" w:hAnsi="Times New Roman" w:cs="Times New Roman"/>
          <w:sz w:val="18"/>
          <w:szCs w:val="18"/>
        </w:rPr>
        <w:t>Рыбаченко</w:t>
      </w:r>
      <w:proofErr w:type="spellEnd"/>
      <w:r w:rsidRPr="00C77187">
        <w:rPr>
          <w:rFonts w:ascii="Times New Roman" w:hAnsi="Times New Roman" w:cs="Times New Roman"/>
          <w:sz w:val="18"/>
          <w:szCs w:val="18"/>
        </w:rPr>
        <w:t>, А. А. Аликова, М. Н. Ермакова // Экономика и управление: проблемы, решения. – 2025. – Т. 9, № 12(164). – С. 10-15. – DOI 10.36871/ek.up.p.r.2025.12.09.002. – EDN FOISKA.</w:t>
      </w:r>
    </w:p>
    <w:p w:rsidR="00C77187" w:rsidRPr="00C77187" w:rsidRDefault="00C77187" w:rsidP="00C77187">
      <w:pPr>
        <w:pStyle w:val="a5"/>
        <w:numPr>
          <w:ilvl w:val="0"/>
          <w:numId w:val="1"/>
        </w:numPr>
        <w:spacing w:after="0" w:line="240" w:lineRule="auto"/>
        <w:ind w:left="0" w:firstLine="284"/>
        <w:contextualSpacing w:val="0"/>
        <w:jc w:val="both"/>
        <w:rPr>
          <w:rFonts w:ascii="Times New Roman" w:hAnsi="Times New Roman" w:cs="Times New Roman"/>
          <w:sz w:val="18"/>
          <w:szCs w:val="18"/>
        </w:rPr>
      </w:pPr>
      <w:r w:rsidRPr="00C77187">
        <w:rPr>
          <w:rFonts w:ascii="Times New Roman" w:hAnsi="Times New Roman" w:cs="Times New Roman"/>
          <w:sz w:val="18"/>
          <w:szCs w:val="18"/>
        </w:rPr>
        <w:t xml:space="preserve">IFRS 18 «Представление и раскрытие информации в финансовой отчетности»: новые требования / О. В. Жердева, Е. В. Анисимова, З. М. </w:t>
      </w:r>
      <w:proofErr w:type="spellStart"/>
      <w:r w:rsidRPr="00C77187">
        <w:rPr>
          <w:rFonts w:ascii="Times New Roman" w:hAnsi="Times New Roman" w:cs="Times New Roman"/>
          <w:sz w:val="18"/>
          <w:szCs w:val="18"/>
        </w:rPr>
        <w:t>Табараева</w:t>
      </w:r>
      <w:proofErr w:type="spellEnd"/>
      <w:r w:rsidRPr="00C77187">
        <w:rPr>
          <w:rFonts w:ascii="Times New Roman" w:hAnsi="Times New Roman" w:cs="Times New Roman"/>
          <w:sz w:val="18"/>
          <w:szCs w:val="18"/>
        </w:rPr>
        <w:t>, С. А. Шульц // Инновационная экономика: информация, аналитика, прогнозы. – 2025. – № 4. – С. 93-99. – DOI 10.47576/2949-1894.2025.4.4.012. – EDN ZUSMLF.</w:t>
      </w:r>
    </w:p>
    <w:p w:rsidR="00C77187" w:rsidRPr="009F5BE0" w:rsidRDefault="00C77187" w:rsidP="009F5BE0">
      <w:pPr>
        <w:pStyle w:val="a5"/>
        <w:widowControl w:val="0"/>
        <w:numPr>
          <w:ilvl w:val="0"/>
          <w:numId w:val="1"/>
        </w:numPr>
        <w:spacing w:after="0" w:line="240" w:lineRule="auto"/>
        <w:ind w:left="0" w:firstLine="284"/>
        <w:contextualSpacing w:val="0"/>
        <w:jc w:val="both"/>
        <w:rPr>
          <w:rFonts w:ascii="Times New Roman" w:hAnsi="Times New Roman" w:cs="Times New Roman"/>
          <w:sz w:val="18"/>
          <w:szCs w:val="18"/>
        </w:rPr>
      </w:pPr>
      <w:r w:rsidRPr="00C77187">
        <w:rPr>
          <w:rFonts w:ascii="Times New Roman" w:hAnsi="Times New Roman" w:cs="Times New Roman"/>
          <w:sz w:val="18"/>
          <w:szCs w:val="18"/>
        </w:rPr>
        <w:t xml:space="preserve">Обновленные требования к представлению и раскрытию информации в отчетности в соответствии с Международным стандартом финансовой отчетности (IFRS) 18 / О. В. Жердева, И. Е. Мещерякова, Е. Д. Франк, А. А. </w:t>
      </w:r>
      <w:proofErr w:type="spellStart"/>
      <w:r w:rsidRPr="00C77187">
        <w:rPr>
          <w:rFonts w:ascii="Times New Roman" w:hAnsi="Times New Roman" w:cs="Times New Roman"/>
          <w:sz w:val="18"/>
          <w:szCs w:val="18"/>
        </w:rPr>
        <w:t>Гаспарян</w:t>
      </w:r>
      <w:proofErr w:type="spellEnd"/>
      <w:r w:rsidRPr="00C77187">
        <w:rPr>
          <w:rFonts w:ascii="Times New Roman" w:hAnsi="Times New Roman" w:cs="Times New Roman"/>
          <w:sz w:val="18"/>
          <w:szCs w:val="18"/>
        </w:rPr>
        <w:t xml:space="preserve"> // Региональная и отраслевая экономика. – 2024. – № 3. – С. 120-125. – DOI 10.47576/2949-1916.2024.3.3.016. – EDN VNLGBC.</w:t>
      </w:r>
    </w:p>
    <w:p w:rsidR="00FE48E5" w:rsidRDefault="00FE48E5" w:rsidP="009F5BE0">
      <w:pPr>
        <w:pStyle w:val="a5"/>
        <w:widowControl w:val="0"/>
        <w:numPr>
          <w:ilvl w:val="0"/>
          <w:numId w:val="1"/>
        </w:numPr>
        <w:shd w:val="clear" w:color="auto" w:fill="FFFFFF"/>
        <w:spacing w:after="0" w:line="240" w:lineRule="auto"/>
        <w:ind w:left="0" w:firstLine="284"/>
        <w:contextualSpacing w:val="0"/>
        <w:jc w:val="both"/>
        <w:outlineLvl w:val="0"/>
        <w:rPr>
          <w:rFonts w:ascii="Times New Roman" w:hAnsi="Times New Roman" w:cs="Times New Roman"/>
          <w:sz w:val="18"/>
          <w:szCs w:val="18"/>
        </w:rPr>
      </w:pPr>
      <w:bookmarkStart w:id="2" w:name="_GoBack"/>
      <w:proofErr w:type="spellStart"/>
      <w:r w:rsidRPr="00FE48E5">
        <w:rPr>
          <w:rFonts w:ascii="Times New Roman" w:hAnsi="Times New Roman" w:cs="Times New Roman"/>
          <w:sz w:val="18"/>
          <w:szCs w:val="18"/>
        </w:rPr>
        <w:t>Фейгель</w:t>
      </w:r>
      <w:proofErr w:type="spellEnd"/>
      <w:r w:rsidRPr="00FE48E5">
        <w:rPr>
          <w:rFonts w:ascii="Times New Roman" w:hAnsi="Times New Roman" w:cs="Times New Roman"/>
          <w:sz w:val="18"/>
          <w:szCs w:val="18"/>
        </w:rPr>
        <w:t xml:space="preserve">, М. Л. Вектор изменений российского бухгалтерского учёта с переходом на МСФО / М. Л. </w:t>
      </w:r>
      <w:proofErr w:type="spellStart"/>
      <w:r w:rsidRPr="00FE48E5">
        <w:rPr>
          <w:rFonts w:ascii="Times New Roman" w:hAnsi="Times New Roman" w:cs="Times New Roman"/>
          <w:sz w:val="18"/>
          <w:szCs w:val="18"/>
        </w:rPr>
        <w:t>Фейгель</w:t>
      </w:r>
      <w:proofErr w:type="spellEnd"/>
      <w:r w:rsidRPr="00FE48E5">
        <w:rPr>
          <w:rFonts w:ascii="Times New Roman" w:hAnsi="Times New Roman" w:cs="Times New Roman"/>
          <w:sz w:val="18"/>
          <w:szCs w:val="18"/>
        </w:rPr>
        <w:t xml:space="preserve">, Ю. С. Зиновьева // </w:t>
      </w:r>
      <w:proofErr w:type="spellStart"/>
      <w:r w:rsidRPr="00FE48E5">
        <w:rPr>
          <w:rFonts w:ascii="Times New Roman" w:hAnsi="Times New Roman" w:cs="Times New Roman"/>
          <w:sz w:val="18"/>
          <w:szCs w:val="18"/>
        </w:rPr>
        <w:t>Modern</w:t>
      </w:r>
      <w:proofErr w:type="spellEnd"/>
      <w:r w:rsidRPr="00FE48E5">
        <w:rPr>
          <w:rFonts w:ascii="Times New Roman" w:hAnsi="Times New Roman" w:cs="Times New Roman"/>
          <w:sz w:val="18"/>
          <w:szCs w:val="18"/>
        </w:rPr>
        <w:t xml:space="preserve"> </w:t>
      </w:r>
      <w:proofErr w:type="spellStart"/>
      <w:r w:rsidRPr="00FE48E5">
        <w:rPr>
          <w:rFonts w:ascii="Times New Roman" w:hAnsi="Times New Roman" w:cs="Times New Roman"/>
          <w:sz w:val="18"/>
          <w:szCs w:val="18"/>
        </w:rPr>
        <w:t>Economy</w:t>
      </w:r>
      <w:proofErr w:type="spellEnd"/>
      <w:r w:rsidRPr="00FE48E5">
        <w:rPr>
          <w:rFonts w:ascii="Times New Roman" w:hAnsi="Times New Roman" w:cs="Times New Roman"/>
          <w:sz w:val="18"/>
          <w:szCs w:val="18"/>
        </w:rPr>
        <w:t xml:space="preserve"> </w:t>
      </w:r>
      <w:proofErr w:type="spellStart"/>
      <w:r w:rsidRPr="00FE48E5">
        <w:rPr>
          <w:rFonts w:ascii="Times New Roman" w:hAnsi="Times New Roman" w:cs="Times New Roman"/>
          <w:sz w:val="18"/>
          <w:szCs w:val="18"/>
        </w:rPr>
        <w:t>Success</w:t>
      </w:r>
      <w:proofErr w:type="spellEnd"/>
      <w:r w:rsidRPr="00FE48E5">
        <w:rPr>
          <w:rFonts w:ascii="Times New Roman" w:hAnsi="Times New Roman" w:cs="Times New Roman"/>
          <w:sz w:val="18"/>
          <w:szCs w:val="18"/>
        </w:rPr>
        <w:t xml:space="preserve">. – 2023. – № 1. – С. 313-316. – EDN VCAEZO. </w:t>
      </w:r>
    </w:p>
    <w:p w:rsidR="00C77187" w:rsidRPr="009F5BE0" w:rsidRDefault="00FE48E5" w:rsidP="009F5BE0">
      <w:pPr>
        <w:pStyle w:val="a5"/>
        <w:widowControl w:val="0"/>
        <w:numPr>
          <w:ilvl w:val="0"/>
          <w:numId w:val="1"/>
        </w:numPr>
        <w:shd w:val="clear" w:color="auto" w:fill="FFFFFF"/>
        <w:spacing w:after="0" w:line="240" w:lineRule="auto"/>
        <w:ind w:left="0" w:firstLine="284"/>
        <w:contextualSpacing w:val="0"/>
        <w:jc w:val="both"/>
        <w:outlineLvl w:val="0"/>
        <w:rPr>
          <w:rFonts w:ascii="Times New Roman" w:hAnsi="Times New Roman" w:cs="Times New Roman"/>
          <w:sz w:val="18"/>
          <w:szCs w:val="18"/>
        </w:rPr>
      </w:pPr>
      <w:proofErr w:type="spellStart"/>
      <w:r w:rsidRPr="00FE48E5">
        <w:rPr>
          <w:rFonts w:ascii="Times New Roman" w:eastAsia="Times New Roman" w:hAnsi="Times New Roman" w:cs="Times New Roman"/>
          <w:bCs/>
          <w:color w:val="000000" w:themeColor="text1"/>
          <w:kern w:val="36"/>
          <w:sz w:val="18"/>
          <w:szCs w:val="18"/>
          <w:lang w:eastAsia="ru-RU"/>
        </w:rPr>
        <w:t>Кумехов</w:t>
      </w:r>
      <w:proofErr w:type="spellEnd"/>
      <w:r w:rsidRPr="00FE48E5">
        <w:rPr>
          <w:rFonts w:ascii="Times New Roman" w:eastAsia="Times New Roman" w:hAnsi="Times New Roman" w:cs="Times New Roman"/>
          <w:bCs/>
          <w:color w:val="000000" w:themeColor="text1"/>
          <w:kern w:val="36"/>
          <w:sz w:val="18"/>
          <w:szCs w:val="18"/>
          <w:lang w:eastAsia="ru-RU"/>
        </w:rPr>
        <w:t xml:space="preserve">, К. К. О направлениях повышения информативности и аналитичности современных форм бухгалтерской отчетности / К. К. </w:t>
      </w:r>
      <w:proofErr w:type="spellStart"/>
      <w:r w:rsidRPr="00FE48E5">
        <w:rPr>
          <w:rFonts w:ascii="Times New Roman" w:eastAsia="Times New Roman" w:hAnsi="Times New Roman" w:cs="Times New Roman"/>
          <w:bCs/>
          <w:color w:val="000000" w:themeColor="text1"/>
          <w:kern w:val="36"/>
          <w:sz w:val="18"/>
          <w:szCs w:val="18"/>
          <w:lang w:eastAsia="ru-RU"/>
        </w:rPr>
        <w:t>Кумехов</w:t>
      </w:r>
      <w:proofErr w:type="spellEnd"/>
      <w:r w:rsidRPr="00FE48E5">
        <w:rPr>
          <w:rFonts w:ascii="Times New Roman" w:eastAsia="Times New Roman" w:hAnsi="Times New Roman" w:cs="Times New Roman"/>
          <w:bCs/>
          <w:color w:val="000000" w:themeColor="text1"/>
          <w:kern w:val="36"/>
          <w:sz w:val="18"/>
          <w:szCs w:val="18"/>
          <w:lang w:eastAsia="ru-RU"/>
        </w:rPr>
        <w:t xml:space="preserve">, Л. Н. Сорокина, Х. М. </w:t>
      </w:r>
      <w:proofErr w:type="spellStart"/>
      <w:r w:rsidRPr="00FE48E5">
        <w:rPr>
          <w:rFonts w:ascii="Times New Roman" w:eastAsia="Times New Roman" w:hAnsi="Times New Roman" w:cs="Times New Roman"/>
          <w:bCs/>
          <w:color w:val="000000" w:themeColor="text1"/>
          <w:kern w:val="36"/>
          <w:sz w:val="18"/>
          <w:szCs w:val="18"/>
          <w:lang w:eastAsia="ru-RU"/>
        </w:rPr>
        <w:t>Бекулов</w:t>
      </w:r>
      <w:proofErr w:type="spellEnd"/>
      <w:r w:rsidRPr="00FE48E5">
        <w:rPr>
          <w:rFonts w:ascii="Times New Roman" w:eastAsia="Times New Roman" w:hAnsi="Times New Roman" w:cs="Times New Roman"/>
          <w:bCs/>
          <w:color w:val="000000" w:themeColor="text1"/>
          <w:kern w:val="36"/>
          <w:sz w:val="18"/>
          <w:szCs w:val="18"/>
          <w:lang w:eastAsia="ru-RU"/>
        </w:rPr>
        <w:t xml:space="preserve"> // Международный бухгалтерский учет. – 2024. – Т. 27, № 1(511). – С. 39-68. – DOI 10.24891/ia.27.1.39. – EDN USWRAG.</w:t>
      </w:r>
      <w:bookmarkEnd w:id="2"/>
    </w:p>
    <w:p w:rsidR="003B5152" w:rsidRPr="002E04BF" w:rsidRDefault="003B5152">
      <w:pPr>
        <w:rPr>
          <w:rFonts w:ascii="Times New Roman" w:hAnsi="Times New Roman" w:cs="Times New Roman"/>
          <w:lang w:val="en-US"/>
        </w:rPr>
      </w:pPr>
      <w:r>
        <w:rPr>
          <w:rFonts w:ascii="Times New Roman" w:hAnsi="Times New Roman" w:cs="Times New Roman"/>
        </w:rPr>
        <w:br w:type="page"/>
      </w:r>
    </w:p>
    <w:p w:rsidR="00797AC1" w:rsidRPr="00797AC1" w:rsidRDefault="00057588" w:rsidP="00797AC1">
      <w:pPr>
        <w:pStyle w:val="a3"/>
        <w:spacing w:before="0" w:beforeAutospacing="0" w:after="0" w:afterAutospacing="0"/>
        <w:ind w:firstLine="284"/>
        <w:jc w:val="both"/>
        <w:rPr>
          <w:iCs/>
          <w:sz w:val="22"/>
          <w:szCs w:val="22"/>
        </w:rPr>
      </w:pPr>
      <w:r>
        <w:rPr>
          <w:b/>
          <w:iCs/>
          <w:sz w:val="22"/>
          <w:szCs w:val="22"/>
        </w:rPr>
        <w:lastRenderedPageBreak/>
        <w:t>Аннотация</w:t>
      </w:r>
      <w:r w:rsidR="00797AC1" w:rsidRPr="00797AC1">
        <w:rPr>
          <w:iCs/>
          <w:sz w:val="22"/>
          <w:szCs w:val="22"/>
        </w:rPr>
        <w:t xml:space="preserve">. В статье рассматриваются вопросы представления и раскрытия информации в бухгалтерском балансе в связи с вступлением в силу IFRS 18, который требует от отчетности сопоставимости и качества раскрытия информации, меняет требования к раскрытию информации в бухгалтерской отчетности. Принятие IFRS 18 радикально не меняет структуру баланса, но сохраняет прежнюю логику </w:t>
      </w:r>
      <w:r w:rsidR="00797AC1" w:rsidRPr="00797AC1">
        <w:rPr>
          <w:iCs/>
          <w:sz w:val="22"/>
          <w:szCs w:val="22"/>
          <w:lang w:val="en-US"/>
        </w:rPr>
        <w:t>IAS</w:t>
      </w:r>
      <w:r w:rsidR="00797AC1" w:rsidRPr="00797AC1">
        <w:rPr>
          <w:iCs/>
          <w:sz w:val="22"/>
          <w:szCs w:val="22"/>
        </w:rPr>
        <w:t xml:space="preserve"> 1: активы и обязательства отражаются в балансе как внеоборотные и оборотные, а если уместно – группируются по степени ликвидности.  Влияние IFRS 18 на структуру баланса проявляется в возможности перегруппировки статей в зависимости от целей аналитика. Порядок и детализация статей в бухгалтерском балансе могут быть адаптированы под бизнес-модель, основываясь на целесообразности и профессиональном суждении бухгалтера. Цель исследования состоит в том, чтобы определить направления повышения аналитичности бухгалтерского баланса в контексте основных положений IFRS 18. В статье обоснован вывод о том, что, IFRS 18 ориентирует организации на более качественное агрегирование и </w:t>
      </w:r>
      <w:proofErr w:type="spellStart"/>
      <w:r w:rsidR="00797AC1" w:rsidRPr="00797AC1">
        <w:rPr>
          <w:iCs/>
          <w:sz w:val="22"/>
          <w:szCs w:val="22"/>
        </w:rPr>
        <w:t>дезагрегирование</w:t>
      </w:r>
      <w:proofErr w:type="spellEnd"/>
      <w:r w:rsidR="00797AC1" w:rsidRPr="00797AC1">
        <w:rPr>
          <w:iCs/>
          <w:sz w:val="22"/>
          <w:szCs w:val="22"/>
        </w:rPr>
        <w:t xml:space="preserve"> статей отчетности бухгалтерского баланса. Это, в свою очередь, способствует росту информативности бухгалтерского баланса и улучшает его восприятие заинтересованными пользователями. Авторами предлагается подход к построению аналитического баланса, основанный на двухуровневой группировке статей по виду активов и обязательств, а также по экономической функции и ликвидности. Данный подход к построению аналитического баланса позволит аналитику более качественно оценивать структуру активов и обязательств компании.</w:t>
      </w:r>
    </w:p>
    <w:p w:rsidR="00797AC1" w:rsidRDefault="00797AC1" w:rsidP="00797AC1">
      <w:pPr>
        <w:spacing w:after="0" w:line="240" w:lineRule="auto"/>
        <w:ind w:firstLine="284"/>
        <w:jc w:val="both"/>
        <w:rPr>
          <w:rFonts w:ascii="Times New Roman" w:hAnsi="Times New Roman" w:cs="Times New Roman"/>
          <w:iCs/>
        </w:rPr>
      </w:pPr>
      <w:r w:rsidRPr="00797AC1">
        <w:rPr>
          <w:rFonts w:ascii="Times New Roman" w:hAnsi="Times New Roman" w:cs="Times New Roman"/>
          <w:b/>
          <w:iCs/>
        </w:rPr>
        <w:t>Ключевые слова</w:t>
      </w:r>
      <w:r w:rsidRPr="00797AC1">
        <w:rPr>
          <w:rFonts w:ascii="Times New Roman" w:hAnsi="Times New Roman" w:cs="Times New Roman"/>
          <w:iCs/>
        </w:rPr>
        <w:t xml:space="preserve">: IFRS 18, аналитическая ценность баланса, раскрытие и представление информации, агрегирование и </w:t>
      </w:r>
      <w:proofErr w:type="spellStart"/>
      <w:r w:rsidRPr="00797AC1">
        <w:rPr>
          <w:rFonts w:ascii="Times New Roman" w:hAnsi="Times New Roman" w:cs="Times New Roman"/>
          <w:iCs/>
        </w:rPr>
        <w:t>дезагрегирование</w:t>
      </w:r>
      <w:proofErr w:type="spellEnd"/>
      <w:r w:rsidRPr="00797AC1">
        <w:rPr>
          <w:rFonts w:ascii="Times New Roman" w:hAnsi="Times New Roman" w:cs="Times New Roman"/>
          <w:iCs/>
        </w:rPr>
        <w:t xml:space="preserve"> показателей.</w:t>
      </w:r>
    </w:p>
    <w:p w:rsidR="00797AC1" w:rsidRPr="00797AC1" w:rsidRDefault="00797AC1" w:rsidP="00797AC1">
      <w:pPr>
        <w:spacing w:after="0" w:line="240" w:lineRule="auto"/>
        <w:ind w:firstLine="284"/>
        <w:jc w:val="both"/>
        <w:rPr>
          <w:rFonts w:ascii="Times New Roman" w:hAnsi="Times New Roman" w:cs="Times New Roman"/>
        </w:rPr>
      </w:pPr>
    </w:p>
    <w:p w:rsidR="00057588" w:rsidRPr="00057588" w:rsidRDefault="00057588" w:rsidP="003B5152">
      <w:pPr>
        <w:spacing w:after="0" w:line="240" w:lineRule="auto"/>
        <w:jc w:val="both"/>
        <w:rPr>
          <w:rFonts w:ascii="Times New Roman" w:hAnsi="Times New Roman" w:cs="Times New Roman"/>
          <w:lang w:val="en-US"/>
        </w:rPr>
      </w:pPr>
      <w:r w:rsidRPr="00057588">
        <w:rPr>
          <w:rFonts w:ascii="Times New Roman" w:hAnsi="Times New Roman" w:cs="Times New Roman"/>
          <w:b/>
          <w:bCs/>
          <w:lang w:val="en-US"/>
        </w:rPr>
        <w:t>Abstract</w:t>
      </w:r>
      <w:r w:rsidRPr="00057588">
        <w:rPr>
          <w:rFonts w:ascii="Times New Roman" w:hAnsi="Times New Roman" w:cs="Times New Roman"/>
          <w:lang w:val="en-US"/>
        </w:rPr>
        <w:t>. This article examines balance sheet presentation and disclosure issues in connection with the entry into force of IFRS 18, which requires comparability and quality of disclosure in financial statements and changes the disclosure requirements for financial statements. The adoption of IFRS 18 does not fundamentally change the balance sheet structure but maintains the previous logic of IAS 1: assets and liabilities are reflected in the balance sheet as non-current and current, and, where appropriate, are grouped by degree of liquidity.</w:t>
      </w:r>
      <w:r w:rsidRPr="00057588">
        <w:rPr>
          <w:lang w:val="en-US"/>
        </w:rPr>
        <w:t xml:space="preserve"> </w:t>
      </w:r>
      <w:r w:rsidRPr="00057588">
        <w:rPr>
          <w:rFonts w:ascii="Times New Roman" w:hAnsi="Times New Roman" w:cs="Times New Roman"/>
          <w:lang w:val="en-US"/>
        </w:rPr>
        <w:t>The impact of IFRS 18 on balance sheet structure is evident in the ability to regroup items based on the analyst's objectives. The order and detail of balance sheet items can be adapted to the business model, based on feasibility and the accountant's professional judgment. The objective of this study is to identify areas for improving the analytical power of the balance sheet within the context of the key provisions of IFRS 18.</w:t>
      </w:r>
      <w:r w:rsidRPr="00057588">
        <w:rPr>
          <w:lang w:val="en-US"/>
        </w:rPr>
        <w:t xml:space="preserve"> </w:t>
      </w:r>
      <w:r w:rsidRPr="00057588">
        <w:rPr>
          <w:rFonts w:ascii="Times New Roman" w:hAnsi="Times New Roman" w:cs="Times New Roman"/>
          <w:lang w:val="en-US"/>
        </w:rPr>
        <w:t>The article substantiates the conclusion that IFRS 18 encourages organizations to better aggregate and disaggregate balance sheet items. This, in turn, contributes to the increased information content of the balance sheet and improves its readability by stakeholders.</w:t>
      </w:r>
      <w:r w:rsidRPr="00057588">
        <w:rPr>
          <w:lang w:val="en-US"/>
        </w:rPr>
        <w:t xml:space="preserve"> </w:t>
      </w:r>
      <w:r w:rsidRPr="00057588">
        <w:rPr>
          <w:rFonts w:ascii="Times New Roman" w:hAnsi="Times New Roman" w:cs="Times New Roman"/>
          <w:lang w:val="en-US"/>
        </w:rPr>
        <w:t>The authors propose an approach to constructing an analytical balance sheet based on a two-level grouping of items by asset and liability type, as well as by economic function and liquidity. This approach to constructing an analytical balance sheet will allow the analyst to more accurately assess the structure of a company's assets and liabilities.</w:t>
      </w:r>
    </w:p>
    <w:p w:rsidR="00057588" w:rsidRPr="00057588" w:rsidRDefault="00057588" w:rsidP="003B5152">
      <w:pPr>
        <w:spacing w:after="0" w:line="240" w:lineRule="auto"/>
        <w:jc w:val="both"/>
        <w:rPr>
          <w:rFonts w:ascii="Times New Roman" w:hAnsi="Times New Roman" w:cs="Times New Roman"/>
          <w:lang w:val="en-US"/>
        </w:rPr>
      </w:pPr>
      <w:r w:rsidRPr="00057588">
        <w:rPr>
          <w:rFonts w:ascii="Times New Roman" w:hAnsi="Times New Roman" w:cs="Times New Roman"/>
          <w:b/>
          <w:bCs/>
          <w:lang w:val="en-US"/>
        </w:rPr>
        <w:t>Keywords</w:t>
      </w:r>
      <w:r w:rsidRPr="00057588">
        <w:rPr>
          <w:rFonts w:ascii="Times New Roman" w:hAnsi="Times New Roman" w:cs="Times New Roman"/>
          <w:lang w:val="en-US"/>
        </w:rPr>
        <w:t>: IFRS 18, analytical value of the balance sheet, disclosure and presentation of information, aggregation and disaggregation of indicators.</w:t>
      </w:r>
    </w:p>
    <w:p w:rsidR="00057588" w:rsidRPr="003539AB" w:rsidRDefault="00057588" w:rsidP="003B5152">
      <w:pPr>
        <w:spacing w:after="0" w:line="240" w:lineRule="auto"/>
        <w:jc w:val="both"/>
        <w:rPr>
          <w:rFonts w:ascii="Times New Roman" w:hAnsi="Times New Roman" w:cs="Times New Roman"/>
          <w:lang w:val="en-US"/>
        </w:rPr>
      </w:pPr>
    </w:p>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Сведения об авторах:</w:t>
      </w: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6"/>
        <w:gridCol w:w="2965"/>
        <w:gridCol w:w="1901"/>
      </w:tblGrid>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b/>
                <w:bCs/>
              </w:rPr>
              <w:t>Сведения</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b/>
                <w:bCs/>
              </w:rPr>
              <w:t>Русский вариант</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b/>
                <w:bCs/>
              </w:rPr>
              <w:t>Английский вариант</w:t>
            </w:r>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Фамилия</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Бубновская</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lang w:val="en-US"/>
              </w:rPr>
            </w:pPr>
            <w:r w:rsidRPr="003B5152">
              <w:rPr>
                <w:rFonts w:ascii="Times New Roman" w:hAnsi="Times New Roman" w:cs="Times New Roman"/>
              </w:rPr>
              <w:t> </w:t>
            </w:r>
            <w:proofErr w:type="spellStart"/>
            <w:r w:rsidRPr="003B5152">
              <w:rPr>
                <w:rFonts w:ascii="Times New Roman" w:hAnsi="Times New Roman" w:cs="Times New Roman"/>
                <w:lang w:val="en-US"/>
              </w:rPr>
              <w:t>Bubnovskaya</w:t>
            </w:r>
            <w:proofErr w:type="spellEnd"/>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Имя</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Татьяна</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lang w:val="en-US"/>
              </w:rPr>
            </w:pPr>
            <w:r w:rsidRPr="003B5152">
              <w:rPr>
                <w:rFonts w:ascii="Times New Roman" w:hAnsi="Times New Roman" w:cs="Times New Roman"/>
              </w:rPr>
              <w:t> </w:t>
            </w:r>
            <w:r w:rsidRPr="003B5152">
              <w:rPr>
                <w:rFonts w:ascii="Times New Roman" w:hAnsi="Times New Roman" w:cs="Times New Roman"/>
                <w:lang w:val="en-US"/>
              </w:rPr>
              <w:t>Tatyana</w:t>
            </w:r>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Отчество</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Викторовна</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lang w:val="en-US"/>
              </w:rPr>
            </w:pPr>
            <w:r w:rsidRPr="003B5152">
              <w:rPr>
                <w:rFonts w:ascii="Times New Roman" w:hAnsi="Times New Roman" w:cs="Times New Roman"/>
              </w:rPr>
              <w:t> </w:t>
            </w:r>
            <w:proofErr w:type="spellStart"/>
            <w:r w:rsidRPr="003B5152">
              <w:rPr>
                <w:rFonts w:ascii="Times New Roman" w:hAnsi="Times New Roman" w:cs="Times New Roman"/>
                <w:lang w:val="en-US"/>
              </w:rPr>
              <w:t>Victorovna</w:t>
            </w:r>
            <w:proofErr w:type="spellEnd"/>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Ученая степень</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Доцент</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w:t>
            </w:r>
            <w:r w:rsidRPr="003B5152">
              <w:rPr>
                <w:rFonts w:ascii="Times New Roman" w:hAnsi="Times New Roman" w:cs="Times New Roman"/>
                <w:lang w:val="en-US"/>
              </w:rPr>
              <w:t>A</w:t>
            </w:r>
            <w:proofErr w:type="spellStart"/>
            <w:r w:rsidRPr="003B5152">
              <w:rPr>
                <w:rFonts w:ascii="Times New Roman" w:hAnsi="Times New Roman" w:cs="Times New Roman"/>
              </w:rPr>
              <w:t>ssistant</w:t>
            </w:r>
            <w:proofErr w:type="spellEnd"/>
            <w:r w:rsidRPr="003B5152">
              <w:rPr>
                <w:rFonts w:ascii="Times New Roman" w:hAnsi="Times New Roman" w:cs="Times New Roman"/>
              </w:rPr>
              <w:t xml:space="preserve"> </w:t>
            </w:r>
            <w:proofErr w:type="spellStart"/>
            <w:r w:rsidRPr="003B5152">
              <w:rPr>
                <w:rFonts w:ascii="Times New Roman" w:hAnsi="Times New Roman" w:cs="Times New Roman"/>
              </w:rPr>
              <w:t>professor</w:t>
            </w:r>
            <w:proofErr w:type="spellEnd"/>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Ученое звание</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Кандидат экономических наук</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w:t>
            </w:r>
            <w:proofErr w:type="spellStart"/>
            <w:r w:rsidRPr="003B5152">
              <w:rPr>
                <w:rFonts w:ascii="Times New Roman" w:hAnsi="Times New Roman" w:cs="Times New Roman"/>
              </w:rPr>
              <w:t>PhD</w:t>
            </w:r>
            <w:proofErr w:type="spellEnd"/>
            <w:r w:rsidRPr="003B5152">
              <w:rPr>
                <w:rFonts w:ascii="Times New Roman" w:hAnsi="Times New Roman" w:cs="Times New Roman"/>
              </w:rPr>
              <w:t xml:space="preserve"> </w:t>
            </w:r>
            <w:proofErr w:type="spellStart"/>
            <w:r w:rsidRPr="003B5152">
              <w:rPr>
                <w:rFonts w:ascii="Times New Roman" w:hAnsi="Times New Roman" w:cs="Times New Roman"/>
              </w:rPr>
              <w:t>in</w:t>
            </w:r>
            <w:proofErr w:type="spellEnd"/>
            <w:r w:rsidRPr="003B5152">
              <w:rPr>
                <w:rFonts w:ascii="Times New Roman" w:hAnsi="Times New Roman" w:cs="Times New Roman"/>
              </w:rPr>
              <w:t xml:space="preserve"> </w:t>
            </w:r>
            <w:proofErr w:type="spellStart"/>
            <w:r w:rsidRPr="003B5152">
              <w:rPr>
                <w:rFonts w:ascii="Times New Roman" w:hAnsi="Times New Roman" w:cs="Times New Roman"/>
              </w:rPr>
              <w:t>Economics</w:t>
            </w:r>
            <w:proofErr w:type="spellEnd"/>
          </w:p>
        </w:tc>
      </w:tr>
      <w:tr w:rsidR="003B5152" w:rsidRPr="002E04BF"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Место работы или учебы (организация)</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ФГБОУ ВО «Владивостокский государственный университет»</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lang w:val="en-US"/>
              </w:rPr>
            </w:pPr>
            <w:r w:rsidRPr="003B5152">
              <w:rPr>
                <w:rFonts w:ascii="Times New Roman" w:hAnsi="Times New Roman" w:cs="Times New Roman"/>
                <w:lang w:val="en-US"/>
              </w:rPr>
              <w:t> FSBEI HE "Vladivostok State University"</w:t>
            </w:r>
          </w:p>
        </w:tc>
      </w:tr>
      <w:tr w:rsidR="003B5152" w:rsidRPr="002E04BF"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Подразделение (кафедра, отдел, в т. ч. для аспирантов)</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Кафедра экономики и управления</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lang w:val="en-US"/>
              </w:rPr>
            </w:pPr>
            <w:r w:rsidRPr="003B5152">
              <w:rPr>
                <w:rFonts w:ascii="Times New Roman" w:hAnsi="Times New Roman" w:cs="Times New Roman"/>
                <w:lang w:val="en-US"/>
              </w:rPr>
              <w:t> Department of Economics and Management</w:t>
            </w:r>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lastRenderedPageBreak/>
              <w:t>Должность</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Доцент</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w:t>
            </w:r>
            <w:r w:rsidR="003A00C0" w:rsidRPr="003B5152">
              <w:rPr>
                <w:rFonts w:ascii="Times New Roman" w:hAnsi="Times New Roman" w:cs="Times New Roman"/>
                <w:lang w:val="en-US"/>
              </w:rPr>
              <w:t>A</w:t>
            </w:r>
            <w:proofErr w:type="spellStart"/>
            <w:r w:rsidR="003A00C0" w:rsidRPr="003B5152">
              <w:rPr>
                <w:rFonts w:ascii="Times New Roman" w:hAnsi="Times New Roman" w:cs="Times New Roman"/>
              </w:rPr>
              <w:t>ssistant</w:t>
            </w:r>
            <w:proofErr w:type="spellEnd"/>
            <w:r w:rsidR="003A00C0" w:rsidRPr="003B5152">
              <w:rPr>
                <w:rFonts w:ascii="Times New Roman" w:hAnsi="Times New Roman" w:cs="Times New Roman"/>
              </w:rPr>
              <w:t xml:space="preserve"> </w:t>
            </w:r>
            <w:proofErr w:type="spellStart"/>
            <w:r w:rsidR="003A00C0" w:rsidRPr="003B5152">
              <w:rPr>
                <w:rFonts w:ascii="Times New Roman" w:hAnsi="Times New Roman" w:cs="Times New Roman"/>
              </w:rPr>
              <w:t>professor</w:t>
            </w:r>
            <w:proofErr w:type="spellEnd"/>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Контактная информация для опубликования:</w:t>
            </w:r>
          </w:p>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адрес электронной почты</w:t>
            </w:r>
          </w:p>
        </w:tc>
        <w:tc>
          <w:tcPr>
            <w:tcW w:w="267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lang w:val="en-US"/>
              </w:rPr>
            </w:pPr>
            <w:r w:rsidRPr="003B5152">
              <w:rPr>
                <w:rFonts w:ascii="Times New Roman" w:hAnsi="Times New Roman" w:cs="Times New Roman"/>
              </w:rPr>
              <w:t> </w:t>
            </w:r>
            <w:r w:rsidRPr="003B5152">
              <w:rPr>
                <w:rFonts w:ascii="Times New Roman" w:hAnsi="Times New Roman" w:cs="Times New Roman"/>
                <w:lang w:val="en-US"/>
              </w:rPr>
              <w:t>Tatyana.Bubnovskaya@vvsu.ru</w:t>
            </w:r>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Другая контактная информация – не публикуется:</w:t>
            </w:r>
          </w:p>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рабочий/мобильный/домашний телефон</w:t>
            </w:r>
          </w:p>
        </w:tc>
        <w:tc>
          <w:tcPr>
            <w:tcW w:w="267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89147319486</w:t>
            </w:r>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Почтовый адрес с указанием индекса</w:t>
            </w:r>
          </w:p>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для пересылки документов и журнала (</w:t>
            </w:r>
            <w:r w:rsidRPr="003B5152">
              <w:rPr>
                <w:rFonts w:ascii="Times New Roman" w:hAnsi="Times New Roman" w:cs="Times New Roman"/>
                <w:i/>
                <w:iCs/>
              </w:rPr>
              <w:t>для иногородних авторов</w:t>
            </w:r>
            <w:r w:rsidRPr="003B5152">
              <w:rPr>
                <w:rFonts w:ascii="Times New Roman" w:hAnsi="Times New Roman" w:cs="Times New Roman"/>
              </w:rPr>
              <w:t>)</w:t>
            </w:r>
          </w:p>
        </w:tc>
        <w:tc>
          <w:tcPr>
            <w:tcW w:w="267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690002, Приморский край, г. Владивосток, ул. Круговая 2-я, д.12, кв. 7</w:t>
            </w:r>
          </w:p>
        </w:tc>
      </w:tr>
    </w:tbl>
    <w:p w:rsidR="003B5152" w:rsidRPr="003B5152" w:rsidRDefault="003B5152" w:rsidP="003B5152">
      <w:pPr>
        <w:spacing w:after="0" w:line="240" w:lineRule="auto"/>
        <w:jc w:val="both"/>
        <w:rPr>
          <w:rFonts w:ascii="Times New Roman" w:hAnsi="Times New Roman" w:cs="Times New Roman"/>
        </w:rPr>
      </w:pP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6"/>
        <w:gridCol w:w="2965"/>
        <w:gridCol w:w="1901"/>
      </w:tblGrid>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b/>
                <w:bCs/>
              </w:rPr>
              <w:t>Сведения</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b/>
                <w:bCs/>
              </w:rPr>
              <w:t>Русский вариант</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b/>
                <w:bCs/>
              </w:rPr>
              <w:t>Английский вариант</w:t>
            </w:r>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Фамилия</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tcPr>
          <w:p w:rsidR="003B5152" w:rsidRPr="003B5152" w:rsidRDefault="003B5152" w:rsidP="003B5152">
            <w:pPr>
              <w:spacing w:after="0" w:line="240" w:lineRule="auto"/>
              <w:jc w:val="both"/>
              <w:rPr>
                <w:rFonts w:ascii="Times New Roman" w:hAnsi="Times New Roman" w:cs="Times New Roman"/>
              </w:rPr>
            </w:pPr>
            <w:proofErr w:type="spellStart"/>
            <w:r w:rsidRPr="003B5152">
              <w:rPr>
                <w:rFonts w:ascii="Times New Roman" w:hAnsi="Times New Roman" w:cs="Times New Roman"/>
              </w:rPr>
              <w:t>Ослопова</w:t>
            </w:r>
            <w:proofErr w:type="spellEnd"/>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tcPr>
          <w:p w:rsidR="003B5152" w:rsidRPr="003B5152" w:rsidRDefault="003B5152" w:rsidP="003B5152">
            <w:pPr>
              <w:spacing w:after="0" w:line="240" w:lineRule="auto"/>
              <w:jc w:val="both"/>
              <w:rPr>
                <w:rFonts w:ascii="Times New Roman" w:hAnsi="Times New Roman" w:cs="Times New Roman"/>
                <w:lang w:val="en-US"/>
              </w:rPr>
            </w:pPr>
            <w:proofErr w:type="spellStart"/>
            <w:r w:rsidRPr="003B5152">
              <w:rPr>
                <w:rFonts w:ascii="Times New Roman" w:hAnsi="Times New Roman" w:cs="Times New Roman"/>
                <w:lang w:val="en-US"/>
              </w:rPr>
              <w:t>Oslopova</w:t>
            </w:r>
            <w:proofErr w:type="spellEnd"/>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Имя</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xml:space="preserve">Марина </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tcPr>
          <w:p w:rsidR="003B5152" w:rsidRPr="003B5152" w:rsidRDefault="003B5152" w:rsidP="003B5152">
            <w:pPr>
              <w:spacing w:after="0" w:line="240" w:lineRule="auto"/>
              <w:jc w:val="both"/>
              <w:rPr>
                <w:rFonts w:ascii="Times New Roman" w:hAnsi="Times New Roman" w:cs="Times New Roman"/>
                <w:lang w:val="en-US"/>
              </w:rPr>
            </w:pPr>
            <w:r w:rsidRPr="003B5152">
              <w:rPr>
                <w:rFonts w:ascii="Times New Roman" w:hAnsi="Times New Roman" w:cs="Times New Roman"/>
                <w:lang w:val="en-US"/>
              </w:rPr>
              <w:t>Marina</w:t>
            </w:r>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Отчество</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Владимировна</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lang w:val="en-US"/>
              </w:rPr>
              <w:t>Vladimirovna</w:t>
            </w:r>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Ученая степень</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Доцент</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w:t>
            </w:r>
            <w:r w:rsidRPr="003B5152">
              <w:rPr>
                <w:rFonts w:ascii="Times New Roman" w:hAnsi="Times New Roman" w:cs="Times New Roman"/>
                <w:lang w:val="en-US"/>
              </w:rPr>
              <w:t>A</w:t>
            </w:r>
            <w:proofErr w:type="spellStart"/>
            <w:r w:rsidRPr="003B5152">
              <w:rPr>
                <w:rFonts w:ascii="Times New Roman" w:hAnsi="Times New Roman" w:cs="Times New Roman"/>
              </w:rPr>
              <w:t>ssistant</w:t>
            </w:r>
            <w:proofErr w:type="spellEnd"/>
            <w:r w:rsidRPr="003B5152">
              <w:rPr>
                <w:rFonts w:ascii="Times New Roman" w:hAnsi="Times New Roman" w:cs="Times New Roman"/>
              </w:rPr>
              <w:t xml:space="preserve"> </w:t>
            </w:r>
            <w:proofErr w:type="spellStart"/>
            <w:r w:rsidRPr="003B5152">
              <w:rPr>
                <w:rFonts w:ascii="Times New Roman" w:hAnsi="Times New Roman" w:cs="Times New Roman"/>
              </w:rPr>
              <w:t>professor</w:t>
            </w:r>
            <w:proofErr w:type="spellEnd"/>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Ученое звание</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Кандидат экономических наук</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w:t>
            </w:r>
            <w:proofErr w:type="spellStart"/>
            <w:r w:rsidRPr="003B5152">
              <w:rPr>
                <w:rFonts w:ascii="Times New Roman" w:hAnsi="Times New Roman" w:cs="Times New Roman"/>
              </w:rPr>
              <w:t>PhD</w:t>
            </w:r>
            <w:proofErr w:type="spellEnd"/>
            <w:r w:rsidRPr="003B5152">
              <w:rPr>
                <w:rFonts w:ascii="Times New Roman" w:hAnsi="Times New Roman" w:cs="Times New Roman"/>
              </w:rPr>
              <w:t xml:space="preserve"> </w:t>
            </w:r>
            <w:proofErr w:type="spellStart"/>
            <w:r w:rsidRPr="003B5152">
              <w:rPr>
                <w:rFonts w:ascii="Times New Roman" w:hAnsi="Times New Roman" w:cs="Times New Roman"/>
              </w:rPr>
              <w:t>in</w:t>
            </w:r>
            <w:proofErr w:type="spellEnd"/>
            <w:r w:rsidRPr="003B5152">
              <w:rPr>
                <w:rFonts w:ascii="Times New Roman" w:hAnsi="Times New Roman" w:cs="Times New Roman"/>
              </w:rPr>
              <w:t xml:space="preserve"> </w:t>
            </w:r>
            <w:proofErr w:type="spellStart"/>
            <w:r w:rsidRPr="003B5152">
              <w:rPr>
                <w:rFonts w:ascii="Times New Roman" w:hAnsi="Times New Roman" w:cs="Times New Roman"/>
              </w:rPr>
              <w:t>Economics</w:t>
            </w:r>
            <w:proofErr w:type="spellEnd"/>
          </w:p>
        </w:tc>
      </w:tr>
      <w:tr w:rsidR="003B5152" w:rsidRPr="002E04BF"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Место работы или учебы (организация)</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ФГБОУ ВО «Владивостокский государственный университет»</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lang w:val="en-US"/>
              </w:rPr>
            </w:pPr>
            <w:r w:rsidRPr="003B5152">
              <w:rPr>
                <w:rFonts w:ascii="Times New Roman" w:hAnsi="Times New Roman" w:cs="Times New Roman"/>
                <w:lang w:val="en-US"/>
              </w:rPr>
              <w:t> FSBEI HE "Vladivostok State University"</w:t>
            </w:r>
          </w:p>
        </w:tc>
      </w:tr>
      <w:tr w:rsidR="003B5152" w:rsidRPr="002E04BF"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Подразделение (кафедра, отдел, в т. ч. для аспирантов)</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Кафедра экономики и управления</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lang w:val="en-US"/>
              </w:rPr>
            </w:pPr>
            <w:r w:rsidRPr="003B5152">
              <w:rPr>
                <w:rFonts w:ascii="Times New Roman" w:hAnsi="Times New Roman" w:cs="Times New Roman"/>
                <w:lang w:val="en-US"/>
              </w:rPr>
              <w:t> Department of Economics and Management</w:t>
            </w:r>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Должность</w:t>
            </w:r>
          </w:p>
        </w:tc>
        <w:tc>
          <w:tcPr>
            <w:tcW w:w="162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w:t>
            </w:r>
            <w:r>
              <w:rPr>
                <w:rFonts w:ascii="Times New Roman" w:hAnsi="Times New Roman" w:cs="Times New Roman"/>
              </w:rPr>
              <w:t>Заведующий кафедрой</w:t>
            </w:r>
          </w:p>
        </w:tc>
        <w:tc>
          <w:tcPr>
            <w:tcW w:w="10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539AB">
            <w:pPr>
              <w:spacing w:after="0" w:line="240" w:lineRule="auto"/>
              <w:jc w:val="both"/>
              <w:rPr>
                <w:rFonts w:ascii="Times New Roman" w:hAnsi="Times New Roman" w:cs="Times New Roman"/>
              </w:rPr>
            </w:pPr>
            <w:r w:rsidRPr="003B5152">
              <w:rPr>
                <w:rFonts w:ascii="Times New Roman" w:hAnsi="Times New Roman" w:cs="Times New Roman"/>
              </w:rPr>
              <w:t> </w:t>
            </w:r>
            <w:proofErr w:type="spellStart"/>
            <w:r w:rsidR="003A00C0" w:rsidRPr="003A00C0">
              <w:rPr>
                <w:rFonts w:ascii="Times New Roman" w:hAnsi="Times New Roman" w:cs="Times New Roman"/>
              </w:rPr>
              <w:t>Head</w:t>
            </w:r>
            <w:proofErr w:type="spellEnd"/>
            <w:r w:rsidR="003A00C0" w:rsidRPr="003A00C0">
              <w:rPr>
                <w:rFonts w:ascii="Times New Roman" w:hAnsi="Times New Roman" w:cs="Times New Roman"/>
              </w:rPr>
              <w:t xml:space="preserve"> </w:t>
            </w:r>
            <w:proofErr w:type="spellStart"/>
            <w:r w:rsidR="003A00C0" w:rsidRPr="003A00C0">
              <w:rPr>
                <w:rFonts w:ascii="Times New Roman" w:hAnsi="Times New Roman" w:cs="Times New Roman"/>
              </w:rPr>
              <w:t>of</w:t>
            </w:r>
            <w:proofErr w:type="spellEnd"/>
            <w:r w:rsidR="003A00C0" w:rsidRPr="003A00C0">
              <w:rPr>
                <w:rFonts w:ascii="Times New Roman" w:hAnsi="Times New Roman" w:cs="Times New Roman"/>
              </w:rPr>
              <w:t xml:space="preserve"> </w:t>
            </w:r>
            <w:proofErr w:type="spellStart"/>
            <w:r w:rsidR="003A00C0" w:rsidRPr="003A00C0">
              <w:rPr>
                <w:rFonts w:ascii="Times New Roman" w:hAnsi="Times New Roman" w:cs="Times New Roman"/>
              </w:rPr>
              <w:t>the</w:t>
            </w:r>
            <w:proofErr w:type="spellEnd"/>
            <w:r w:rsidR="003A00C0" w:rsidRPr="003A00C0">
              <w:rPr>
                <w:rFonts w:ascii="Times New Roman" w:hAnsi="Times New Roman" w:cs="Times New Roman"/>
              </w:rPr>
              <w:t xml:space="preserve"> </w:t>
            </w:r>
            <w:proofErr w:type="spellStart"/>
            <w:r w:rsidR="003A00C0" w:rsidRPr="003A00C0">
              <w:rPr>
                <w:rFonts w:ascii="Times New Roman" w:hAnsi="Times New Roman" w:cs="Times New Roman"/>
              </w:rPr>
              <w:t>Department</w:t>
            </w:r>
            <w:proofErr w:type="spellEnd"/>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Контактная информация для опубликования:</w:t>
            </w:r>
          </w:p>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адрес электронной почты</w:t>
            </w:r>
          </w:p>
        </w:tc>
        <w:tc>
          <w:tcPr>
            <w:tcW w:w="267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lang w:val="en-US"/>
              </w:rPr>
            </w:pPr>
            <w:r w:rsidRPr="003B5152">
              <w:rPr>
                <w:rFonts w:ascii="Times New Roman" w:hAnsi="Times New Roman" w:cs="Times New Roman"/>
              </w:rPr>
              <w:t> </w:t>
            </w:r>
            <w:r w:rsidRPr="003B5152">
              <w:rPr>
                <w:rFonts w:ascii="Times New Roman" w:hAnsi="Times New Roman" w:cs="Times New Roman"/>
                <w:lang w:val="en-US"/>
              </w:rPr>
              <w:t>Marina.Oslopova@vvsu.ru</w:t>
            </w:r>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Другая контактная информация – не публикуется:</w:t>
            </w:r>
          </w:p>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рабочий/мобильный/домашний телефон</w:t>
            </w:r>
          </w:p>
        </w:tc>
        <w:tc>
          <w:tcPr>
            <w:tcW w:w="267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89147057684</w:t>
            </w:r>
          </w:p>
        </w:tc>
      </w:tr>
      <w:tr w:rsidR="003B5152" w:rsidRPr="003B5152" w:rsidTr="000B1D85">
        <w:trPr>
          <w:jc w:val="center"/>
        </w:trPr>
        <w:tc>
          <w:tcPr>
            <w:tcW w:w="23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Почтовый адрес с указанием индекса</w:t>
            </w:r>
          </w:p>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для пересылки документов и журнала (</w:t>
            </w:r>
            <w:r w:rsidRPr="003B5152">
              <w:rPr>
                <w:rFonts w:ascii="Times New Roman" w:hAnsi="Times New Roman" w:cs="Times New Roman"/>
                <w:i/>
                <w:iCs/>
              </w:rPr>
              <w:t>для иногородних авторов</w:t>
            </w:r>
            <w:r w:rsidRPr="003B5152">
              <w:rPr>
                <w:rFonts w:ascii="Times New Roman" w:hAnsi="Times New Roman" w:cs="Times New Roman"/>
              </w:rPr>
              <w:t>)</w:t>
            </w:r>
          </w:p>
        </w:tc>
        <w:tc>
          <w:tcPr>
            <w:tcW w:w="267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B5152" w:rsidRPr="003B5152" w:rsidRDefault="003B5152" w:rsidP="003B5152">
            <w:pPr>
              <w:spacing w:after="0" w:line="240" w:lineRule="auto"/>
              <w:jc w:val="both"/>
              <w:rPr>
                <w:rFonts w:ascii="Times New Roman" w:hAnsi="Times New Roman" w:cs="Times New Roman"/>
              </w:rPr>
            </w:pPr>
            <w:r w:rsidRPr="003B5152">
              <w:rPr>
                <w:rFonts w:ascii="Times New Roman" w:hAnsi="Times New Roman" w:cs="Times New Roman"/>
              </w:rPr>
              <w:t xml:space="preserve"> 690018, Приморский край, г. Владивосток, ул. </w:t>
            </w:r>
            <w:proofErr w:type="spellStart"/>
            <w:r w:rsidRPr="003B5152">
              <w:rPr>
                <w:rFonts w:ascii="Times New Roman" w:hAnsi="Times New Roman" w:cs="Times New Roman"/>
              </w:rPr>
              <w:t>Завойко</w:t>
            </w:r>
            <w:proofErr w:type="spellEnd"/>
            <w:r w:rsidRPr="003B5152">
              <w:rPr>
                <w:rFonts w:ascii="Times New Roman" w:hAnsi="Times New Roman" w:cs="Times New Roman"/>
              </w:rPr>
              <w:t>, д.2, кв. 128</w:t>
            </w:r>
          </w:p>
        </w:tc>
      </w:tr>
    </w:tbl>
    <w:p w:rsidR="004769FB" w:rsidRPr="003D5338" w:rsidRDefault="004769FB" w:rsidP="003B5152">
      <w:pPr>
        <w:spacing w:after="0" w:line="240" w:lineRule="auto"/>
        <w:jc w:val="both"/>
        <w:rPr>
          <w:rFonts w:ascii="Times New Roman" w:hAnsi="Times New Roman" w:cs="Times New Roman"/>
        </w:rPr>
      </w:pPr>
    </w:p>
    <w:p w:rsidR="004D3931" w:rsidRPr="003D5338" w:rsidRDefault="004D3931" w:rsidP="003D5338">
      <w:pPr>
        <w:spacing w:after="0" w:line="240" w:lineRule="auto"/>
        <w:ind w:firstLine="284"/>
        <w:jc w:val="both"/>
        <w:rPr>
          <w:rFonts w:ascii="Times New Roman" w:hAnsi="Times New Roman" w:cs="Times New Roman"/>
        </w:rPr>
      </w:pPr>
    </w:p>
    <w:sectPr w:rsidR="004D3931" w:rsidRPr="003D5338" w:rsidSect="003D5338">
      <w:pgSz w:w="11906" w:h="16838" w:code="9"/>
      <w:pgMar w:top="1304" w:right="1644" w:bottom="1531" w:left="1134" w:header="964"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852A3"/>
    <w:multiLevelType w:val="hybridMultilevel"/>
    <w:tmpl w:val="98965328"/>
    <w:lvl w:ilvl="0" w:tplc="B1B2738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3F002940"/>
    <w:multiLevelType w:val="hybridMultilevel"/>
    <w:tmpl w:val="71EE35C0"/>
    <w:lvl w:ilvl="0" w:tplc="A7747D2A">
      <w:start w:val="1"/>
      <w:numFmt w:val="bullet"/>
      <w:lvlText w:val=""/>
      <w:lvlJc w:val="left"/>
      <w:pPr>
        <w:ind w:left="720" w:hanging="360"/>
      </w:pPr>
      <w:rPr>
        <w:rFonts w:ascii="Symbol" w:hAnsi="Symbol" w:hint="default"/>
      </w:rPr>
    </w:lvl>
    <w:lvl w:ilvl="1" w:tplc="A7747D2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5F335E"/>
    <w:multiLevelType w:val="hybridMultilevel"/>
    <w:tmpl w:val="9236BE1E"/>
    <w:lvl w:ilvl="0" w:tplc="A7747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5227B9"/>
    <w:multiLevelType w:val="hybridMultilevel"/>
    <w:tmpl w:val="1668FBCA"/>
    <w:lvl w:ilvl="0" w:tplc="A7747D2A">
      <w:start w:val="1"/>
      <w:numFmt w:val="bullet"/>
      <w:lvlText w:val=""/>
      <w:lvlJc w:val="left"/>
      <w:pPr>
        <w:ind w:left="720" w:hanging="360"/>
      </w:pPr>
      <w:rPr>
        <w:rFonts w:ascii="Symbol" w:hAnsi="Symbol" w:hint="default"/>
      </w:rPr>
    </w:lvl>
    <w:lvl w:ilvl="1" w:tplc="A7747D2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E82200"/>
    <w:multiLevelType w:val="hybridMultilevel"/>
    <w:tmpl w:val="2778817E"/>
    <w:lvl w:ilvl="0" w:tplc="A7747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3680BE4"/>
    <w:multiLevelType w:val="multilevel"/>
    <w:tmpl w:val="9CAE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3546F"/>
    <w:multiLevelType w:val="hybridMultilevel"/>
    <w:tmpl w:val="E68ABB0A"/>
    <w:lvl w:ilvl="0" w:tplc="A7747D2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7BFB13D1"/>
    <w:multiLevelType w:val="hybridMultilevel"/>
    <w:tmpl w:val="EAFA0112"/>
    <w:lvl w:ilvl="0" w:tplc="A7747D2A">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31"/>
    <w:rsid w:val="00057588"/>
    <w:rsid w:val="00072ACA"/>
    <w:rsid w:val="00073175"/>
    <w:rsid w:val="000B5C44"/>
    <w:rsid w:val="00242541"/>
    <w:rsid w:val="002833D3"/>
    <w:rsid w:val="002C3C3B"/>
    <w:rsid w:val="002D1AD3"/>
    <w:rsid w:val="002E04BF"/>
    <w:rsid w:val="00350058"/>
    <w:rsid w:val="00351627"/>
    <w:rsid w:val="003539AB"/>
    <w:rsid w:val="003A00C0"/>
    <w:rsid w:val="003B5152"/>
    <w:rsid w:val="003D5338"/>
    <w:rsid w:val="00407CA3"/>
    <w:rsid w:val="0044506D"/>
    <w:rsid w:val="00464BFF"/>
    <w:rsid w:val="004769FB"/>
    <w:rsid w:val="004D3931"/>
    <w:rsid w:val="0055210C"/>
    <w:rsid w:val="00573F89"/>
    <w:rsid w:val="00665A82"/>
    <w:rsid w:val="00681D60"/>
    <w:rsid w:val="00690EB2"/>
    <w:rsid w:val="00732532"/>
    <w:rsid w:val="00796D0B"/>
    <w:rsid w:val="00797AC1"/>
    <w:rsid w:val="0084728E"/>
    <w:rsid w:val="009F5BE0"/>
    <w:rsid w:val="00A721B5"/>
    <w:rsid w:val="00AD531D"/>
    <w:rsid w:val="00AE01D9"/>
    <w:rsid w:val="00B10D4E"/>
    <w:rsid w:val="00B67AB4"/>
    <w:rsid w:val="00C77187"/>
    <w:rsid w:val="00CB1D18"/>
    <w:rsid w:val="00CD2F75"/>
    <w:rsid w:val="00D3128A"/>
    <w:rsid w:val="00D53A81"/>
    <w:rsid w:val="00E02EDA"/>
    <w:rsid w:val="00E935C6"/>
    <w:rsid w:val="00EF3BAF"/>
    <w:rsid w:val="00F06648"/>
    <w:rsid w:val="00FE301C"/>
    <w:rsid w:val="00FE4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31F19E-6373-4360-A247-4E106C95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3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3BAF"/>
    <w:rPr>
      <w:b/>
      <w:bCs/>
    </w:rPr>
  </w:style>
  <w:style w:type="paragraph" w:styleId="a5">
    <w:name w:val="List Paragraph"/>
    <w:basedOn w:val="a"/>
    <w:uiPriority w:val="34"/>
    <w:qFormat/>
    <w:rsid w:val="00073175"/>
    <w:pPr>
      <w:ind w:left="720"/>
      <w:contextualSpacing/>
    </w:pPr>
  </w:style>
  <w:style w:type="table" w:styleId="a6">
    <w:name w:val="Table Grid"/>
    <w:basedOn w:val="a1"/>
    <w:uiPriority w:val="59"/>
    <w:rsid w:val="0007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3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F80383-5F25-4730-8179-0B831A5E8E68}" type="doc">
      <dgm:prSet loTypeId="urn:microsoft.com/office/officeart/2005/8/layout/pyramid2" loCatId="list" qsTypeId="urn:microsoft.com/office/officeart/2005/8/quickstyle/simple1" qsCatId="simple" csTypeId="urn:microsoft.com/office/officeart/2005/8/colors/accent1_2" csCatId="accent1" phldr="1"/>
      <dgm:spPr/>
    </dgm:pt>
    <dgm:pt modelId="{846BCA52-9938-4006-BEFB-3B8B9451E485}">
      <dgm:prSet phldrT="[Текст]" custT="1"/>
      <dgm:spPr/>
      <dgm:t>
        <a:bodyPr/>
        <a:lstStyle/>
        <a:p>
          <a:r>
            <a:rPr lang="ru-RU" sz="800"/>
            <a:t>Первая проблема состоит в чрезмерной агрегированности информации. Укрупнение статей облегчает составление отчетности, но нередко скрывает важные различия между объектами учета. Например, объединение в одной строке экономически неоднородных активов затрудняет оценку их ликвидности, доходности и риска.</a:t>
          </a:r>
        </a:p>
      </dgm:t>
    </dgm:pt>
    <dgm:pt modelId="{C2FD4B33-1266-4EAF-95E1-C8A375047637}" type="parTrans" cxnId="{E063FC57-78EF-4B26-9E71-0C7A3681684D}">
      <dgm:prSet/>
      <dgm:spPr/>
      <dgm:t>
        <a:bodyPr/>
        <a:lstStyle/>
        <a:p>
          <a:endParaRPr lang="ru-RU"/>
        </a:p>
      </dgm:t>
    </dgm:pt>
    <dgm:pt modelId="{963E54B5-E094-4D50-ADDA-0AD07A0C5957}" type="sibTrans" cxnId="{E063FC57-78EF-4B26-9E71-0C7A3681684D}">
      <dgm:prSet/>
      <dgm:spPr/>
      <dgm:t>
        <a:bodyPr/>
        <a:lstStyle/>
        <a:p>
          <a:endParaRPr lang="ru-RU"/>
        </a:p>
      </dgm:t>
    </dgm:pt>
    <dgm:pt modelId="{19741F68-F155-4165-A1C8-7EFB88E5C47E}">
      <dgm:prSet phldrT="[Текст]" custT="1"/>
      <dgm:spPr/>
      <dgm:t>
        <a:bodyPr/>
        <a:lstStyle/>
        <a:p>
          <a:r>
            <a:rPr lang="ru-RU" sz="800"/>
            <a:t>Вторая проблема заключается в недостаточной связи между балансом и примечаниями. Если существенные пояснения формально присутствуют в примечаниях, но не обеспечивают ясного понимания статей баланса, пользователю сложно составить целостное представление о финансовом положении организации.</a:t>
          </a:r>
        </a:p>
      </dgm:t>
    </dgm:pt>
    <dgm:pt modelId="{C978A373-DAEB-4C9C-A78D-5C4BD4740481}" type="parTrans" cxnId="{44F076BF-3412-494F-B16B-E64A65C60D80}">
      <dgm:prSet/>
      <dgm:spPr/>
      <dgm:t>
        <a:bodyPr/>
        <a:lstStyle/>
        <a:p>
          <a:endParaRPr lang="ru-RU"/>
        </a:p>
      </dgm:t>
    </dgm:pt>
    <dgm:pt modelId="{C9AEAC6B-CD81-4BD8-BA04-C38ABFFD98D5}" type="sibTrans" cxnId="{44F076BF-3412-494F-B16B-E64A65C60D80}">
      <dgm:prSet/>
      <dgm:spPr/>
      <dgm:t>
        <a:bodyPr/>
        <a:lstStyle/>
        <a:p>
          <a:endParaRPr lang="ru-RU"/>
        </a:p>
      </dgm:t>
    </dgm:pt>
    <dgm:pt modelId="{14FCD7F0-2AFB-458B-A5E7-70E4EA47174E}">
      <dgm:prSet custT="1"/>
      <dgm:spPr/>
      <dgm:t>
        <a:bodyPr/>
        <a:lstStyle/>
        <a:p>
          <a:r>
            <a:rPr lang="ru-RU" sz="800"/>
            <a:t>Третья проблема связана с ограниченной сопоставимостью. В научной статье подчеркивается, что одной из причин реформирования представления отчетности является необходимость повышения сопоставимости отчетной информации между организациями и периодами. В отношении бухгалтерского баланса это особенно важно, поскольку различия в степени детализации и способах группировки статей затрудняют межфирменный анализ.</a:t>
          </a:r>
        </a:p>
      </dgm:t>
    </dgm:pt>
    <dgm:pt modelId="{A343E242-35CC-4CF8-B39F-1C2C5692419C}" type="parTrans" cxnId="{A3F700F2-7223-4EF6-A3D7-7A59559DE29C}">
      <dgm:prSet/>
      <dgm:spPr/>
      <dgm:t>
        <a:bodyPr/>
        <a:lstStyle/>
        <a:p>
          <a:endParaRPr lang="ru-RU"/>
        </a:p>
      </dgm:t>
    </dgm:pt>
    <dgm:pt modelId="{6758CE13-4768-48B0-9274-5258B99C6D32}" type="sibTrans" cxnId="{A3F700F2-7223-4EF6-A3D7-7A59559DE29C}">
      <dgm:prSet/>
      <dgm:spPr/>
      <dgm:t>
        <a:bodyPr/>
        <a:lstStyle/>
        <a:p>
          <a:endParaRPr lang="ru-RU"/>
        </a:p>
      </dgm:t>
    </dgm:pt>
    <dgm:pt modelId="{E78B4657-2862-48F0-900E-216404F94C6F}">
      <dgm:prSet phldrT="[Текст]" custT="1"/>
      <dgm:spPr/>
      <dgm:t>
        <a:bodyPr/>
        <a:lstStyle/>
        <a:p>
          <a:r>
            <a:rPr lang="ru-RU" sz="800"/>
            <a:t>Четвертая проблема - риск формального применения </a:t>
          </a:r>
          <a:r>
            <a:rPr lang="en-US" sz="800"/>
            <a:t>IFRS 18. </a:t>
          </a:r>
          <a:r>
            <a:rPr lang="ru-RU" sz="800"/>
            <a:t>Если организации будут воспринимать новый стандарт исключительно как требование к изменению формы представления без пересмотра подходов к содержательному раскрытию информации, ожидаемый положительный эффект может быть существенно снижен.</a:t>
          </a:r>
        </a:p>
      </dgm:t>
    </dgm:pt>
    <dgm:pt modelId="{EF69594F-6E8F-4216-8B37-96416CCBB1B1}" type="sibTrans" cxnId="{DF21F065-AD7B-4DC6-AF33-06FF2D1535D5}">
      <dgm:prSet/>
      <dgm:spPr/>
      <dgm:t>
        <a:bodyPr/>
        <a:lstStyle/>
        <a:p>
          <a:endParaRPr lang="ru-RU"/>
        </a:p>
      </dgm:t>
    </dgm:pt>
    <dgm:pt modelId="{97DD95C6-1CC9-45A0-A442-44C521D3F87B}" type="parTrans" cxnId="{DF21F065-AD7B-4DC6-AF33-06FF2D1535D5}">
      <dgm:prSet/>
      <dgm:spPr/>
      <dgm:t>
        <a:bodyPr/>
        <a:lstStyle/>
        <a:p>
          <a:endParaRPr lang="ru-RU"/>
        </a:p>
      </dgm:t>
    </dgm:pt>
    <dgm:pt modelId="{AD221119-63E0-4020-8828-183643F2B792}" type="pres">
      <dgm:prSet presAssocID="{07F80383-5F25-4730-8179-0B831A5E8E68}" presName="compositeShape" presStyleCnt="0">
        <dgm:presLayoutVars>
          <dgm:dir/>
          <dgm:resizeHandles/>
        </dgm:presLayoutVars>
      </dgm:prSet>
      <dgm:spPr/>
    </dgm:pt>
    <dgm:pt modelId="{66133FB4-66D6-40C0-8678-90923889F528}" type="pres">
      <dgm:prSet presAssocID="{07F80383-5F25-4730-8179-0B831A5E8E68}" presName="pyramid" presStyleLbl="node1" presStyleIdx="0" presStyleCnt="1" custScaleX="86867" custLinFactNeighborX="-13776" custLinFactNeighborY="340"/>
      <dgm:spPr/>
    </dgm:pt>
    <dgm:pt modelId="{0349261B-50FA-4931-BB88-502227D73747}" type="pres">
      <dgm:prSet presAssocID="{07F80383-5F25-4730-8179-0B831A5E8E68}" presName="theList" presStyleCnt="0"/>
      <dgm:spPr/>
    </dgm:pt>
    <dgm:pt modelId="{DE67C8AE-B7E6-4F84-B849-06130CA2635D}" type="pres">
      <dgm:prSet presAssocID="{846BCA52-9938-4006-BEFB-3B8B9451E485}" presName="aNode" presStyleLbl="fgAcc1" presStyleIdx="0" presStyleCnt="4" custScaleX="186480" custLinFactY="-14292" custLinFactNeighborX="1308" custLinFactNeighborY="-100000">
        <dgm:presLayoutVars>
          <dgm:bulletEnabled val="1"/>
        </dgm:presLayoutVars>
      </dgm:prSet>
      <dgm:spPr/>
    </dgm:pt>
    <dgm:pt modelId="{535F84E1-C60B-46BF-8F58-636F3E4DAE45}" type="pres">
      <dgm:prSet presAssocID="{846BCA52-9938-4006-BEFB-3B8B9451E485}" presName="aSpace" presStyleCnt="0"/>
      <dgm:spPr/>
    </dgm:pt>
    <dgm:pt modelId="{CDA3908E-C8F9-4CAD-AB61-EE789DBCBA5D}" type="pres">
      <dgm:prSet presAssocID="{19741F68-F155-4165-A1C8-7EFB88E5C47E}" presName="aNode" presStyleLbl="fgAcc1" presStyleIdx="1" presStyleCnt="4" custScaleX="185734" custLinFactY="-9508" custLinFactNeighborX="1047" custLinFactNeighborY="-100000">
        <dgm:presLayoutVars>
          <dgm:bulletEnabled val="1"/>
        </dgm:presLayoutVars>
      </dgm:prSet>
      <dgm:spPr/>
    </dgm:pt>
    <dgm:pt modelId="{3C9CC6FA-3FEE-442B-AB54-039F9C0495A1}" type="pres">
      <dgm:prSet presAssocID="{19741F68-F155-4165-A1C8-7EFB88E5C47E}" presName="aSpace" presStyleCnt="0"/>
      <dgm:spPr/>
    </dgm:pt>
    <dgm:pt modelId="{2EE56A96-A9C0-498E-962D-16A25EBC7E89}" type="pres">
      <dgm:prSet presAssocID="{E78B4657-2862-48F0-900E-216404F94C6F}" presName="aNode" presStyleLbl="fgAcc1" presStyleIdx="2" presStyleCnt="4" custScaleX="187717" custLinFactY="117691" custLinFactNeighborX="2092" custLinFactNeighborY="200000">
        <dgm:presLayoutVars>
          <dgm:bulletEnabled val="1"/>
        </dgm:presLayoutVars>
      </dgm:prSet>
      <dgm:spPr/>
    </dgm:pt>
    <dgm:pt modelId="{30A944C7-C811-480C-B9D5-BC3D139CA01A}" type="pres">
      <dgm:prSet presAssocID="{E78B4657-2862-48F0-900E-216404F94C6F}" presName="aSpace" presStyleCnt="0"/>
      <dgm:spPr/>
    </dgm:pt>
    <dgm:pt modelId="{D9ABD882-CAA3-4E24-BB19-023EEB3FAF4E}" type="pres">
      <dgm:prSet presAssocID="{14FCD7F0-2AFB-458B-A5E7-70E4EA47174E}" presName="aNode" presStyleLbl="fgAcc1" presStyleIdx="3" presStyleCnt="4" custScaleX="181518" custScaleY="128843" custLinFactY="-100000" custLinFactNeighborX="-523" custLinFactNeighborY="-126242">
        <dgm:presLayoutVars>
          <dgm:bulletEnabled val="1"/>
        </dgm:presLayoutVars>
      </dgm:prSet>
      <dgm:spPr/>
    </dgm:pt>
    <dgm:pt modelId="{EADD6AEE-CB55-4FE6-8ECA-2D712602BFA2}" type="pres">
      <dgm:prSet presAssocID="{14FCD7F0-2AFB-458B-A5E7-70E4EA47174E}" presName="aSpace" presStyleCnt="0"/>
      <dgm:spPr/>
    </dgm:pt>
  </dgm:ptLst>
  <dgm:cxnLst>
    <dgm:cxn modelId="{82C3052E-9A14-4B3E-ACF1-E3680BAA4967}" type="presOf" srcId="{19741F68-F155-4165-A1C8-7EFB88E5C47E}" destId="{CDA3908E-C8F9-4CAD-AB61-EE789DBCBA5D}" srcOrd="0" destOrd="0" presId="urn:microsoft.com/office/officeart/2005/8/layout/pyramid2"/>
    <dgm:cxn modelId="{DF21F065-AD7B-4DC6-AF33-06FF2D1535D5}" srcId="{07F80383-5F25-4730-8179-0B831A5E8E68}" destId="{E78B4657-2862-48F0-900E-216404F94C6F}" srcOrd="2" destOrd="0" parTransId="{97DD95C6-1CC9-45A0-A442-44C521D3F87B}" sibTransId="{EF69594F-6E8F-4216-8B37-96416CCBB1B1}"/>
    <dgm:cxn modelId="{E063FC57-78EF-4B26-9E71-0C7A3681684D}" srcId="{07F80383-5F25-4730-8179-0B831A5E8E68}" destId="{846BCA52-9938-4006-BEFB-3B8B9451E485}" srcOrd="0" destOrd="0" parTransId="{C2FD4B33-1266-4EAF-95E1-C8A375047637}" sibTransId="{963E54B5-E094-4D50-ADDA-0AD07A0C5957}"/>
    <dgm:cxn modelId="{96E6D497-998B-48FD-8F9D-0A0C4A2C862A}" type="presOf" srcId="{07F80383-5F25-4730-8179-0B831A5E8E68}" destId="{AD221119-63E0-4020-8828-183643F2B792}" srcOrd="0" destOrd="0" presId="urn:microsoft.com/office/officeart/2005/8/layout/pyramid2"/>
    <dgm:cxn modelId="{AC8874AE-0E0B-4B45-9EDA-F548A52801CB}" type="presOf" srcId="{846BCA52-9938-4006-BEFB-3B8B9451E485}" destId="{DE67C8AE-B7E6-4F84-B849-06130CA2635D}" srcOrd="0" destOrd="0" presId="urn:microsoft.com/office/officeart/2005/8/layout/pyramid2"/>
    <dgm:cxn modelId="{44F076BF-3412-494F-B16B-E64A65C60D80}" srcId="{07F80383-5F25-4730-8179-0B831A5E8E68}" destId="{19741F68-F155-4165-A1C8-7EFB88E5C47E}" srcOrd="1" destOrd="0" parTransId="{C978A373-DAEB-4C9C-A78D-5C4BD4740481}" sibTransId="{C9AEAC6B-CD81-4BD8-BA04-C38ABFFD98D5}"/>
    <dgm:cxn modelId="{5D8788D5-D0CC-4377-9043-3F990A99C9B0}" type="presOf" srcId="{E78B4657-2862-48F0-900E-216404F94C6F}" destId="{2EE56A96-A9C0-498E-962D-16A25EBC7E89}" srcOrd="0" destOrd="0" presId="urn:microsoft.com/office/officeart/2005/8/layout/pyramid2"/>
    <dgm:cxn modelId="{A3F700F2-7223-4EF6-A3D7-7A59559DE29C}" srcId="{07F80383-5F25-4730-8179-0B831A5E8E68}" destId="{14FCD7F0-2AFB-458B-A5E7-70E4EA47174E}" srcOrd="3" destOrd="0" parTransId="{A343E242-35CC-4CF8-B39F-1C2C5692419C}" sibTransId="{6758CE13-4768-48B0-9274-5258B99C6D32}"/>
    <dgm:cxn modelId="{A0AB05FC-895C-4492-95B1-240082464CE3}" type="presOf" srcId="{14FCD7F0-2AFB-458B-A5E7-70E4EA47174E}" destId="{D9ABD882-CAA3-4E24-BB19-023EEB3FAF4E}" srcOrd="0" destOrd="0" presId="urn:microsoft.com/office/officeart/2005/8/layout/pyramid2"/>
    <dgm:cxn modelId="{630CA8D4-9B3B-4FE3-B035-D0ABF64B8CDF}" type="presParOf" srcId="{AD221119-63E0-4020-8828-183643F2B792}" destId="{66133FB4-66D6-40C0-8678-90923889F528}" srcOrd="0" destOrd="0" presId="urn:microsoft.com/office/officeart/2005/8/layout/pyramid2"/>
    <dgm:cxn modelId="{E19D07CF-9241-42F9-B80A-562403FDAB93}" type="presParOf" srcId="{AD221119-63E0-4020-8828-183643F2B792}" destId="{0349261B-50FA-4931-BB88-502227D73747}" srcOrd="1" destOrd="0" presId="urn:microsoft.com/office/officeart/2005/8/layout/pyramid2"/>
    <dgm:cxn modelId="{447E3B60-7A6B-4DAB-BBEA-0CF7987444B2}" type="presParOf" srcId="{0349261B-50FA-4931-BB88-502227D73747}" destId="{DE67C8AE-B7E6-4F84-B849-06130CA2635D}" srcOrd="0" destOrd="0" presId="urn:microsoft.com/office/officeart/2005/8/layout/pyramid2"/>
    <dgm:cxn modelId="{CAFCC65E-432D-4BFE-BB04-CACC3BC29776}" type="presParOf" srcId="{0349261B-50FA-4931-BB88-502227D73747}" destId="{535F84E1-C60B-46BF-8F58-636F3E4DAE45}" srcOrd="1" destOrd="0" presId="urn:microsoft.com/office/officeart/2005/8/layout/pyramid2"/>
    <dgm:cxn modelId="{4BA49429-46A0-4581-AEB3-35A749C1ED1E}" type="presParOf" srcId="{0349261B-50FA-4931-BB88-502227D73747}" destId="{CDA3908E-C8F9-4CAD-AB61-EE789DBCBA5D}" srcOrd="2" destOrd="0" presId="urn:microsoft.com/office/officeart/2005/8/layout/pyramid2"/>
    <dgm:cxn modelId="{76641CA4-0BE9-4292-BEA5-B2D7FE9D514F}" type="presParOf" srcId="{0349261B-50FA-4931-BB88-502227D73747}" destId="{3C9CC6FA-3FEE-442B-AB54-039F9C0495A1}" srcOrd="3" destOrd="0" presId="urn:microsoft.com/office/officeart/2005/8/layout/pyramid2"/>
    <dgm:cxn modelId="{46CB53E6-F261-447D-BAE1-423A9FAA9779}" type="presParOf" srcId="{0349261B-50FA-4931-BB88-502227D73747}" destId="{2EE56A96-A9C0-498E-962D-16A25EBC7E89}" srcOrd="4" destOrd="0" presId="urn:microsoft.com/office/officeart/2005/8/layout/pyramid2"/>
    <dgm:cxn modelId="{AE7AAE3F-B252-4B28-BFA3-1BDF77B628C5}" type="presParOf" srcId="{0349261B-50FA-4931-BB88-502227D73747}" destId="{30A944C7-C811-480C-B9D5-BC3D139CA01A}" srcOrd="5" destOrd="0" presId="urn:microsoft.com/office/officeart/2005/8/layout/pyramid2"/>
    <dgm:cxn modelId="{31F7384F-D004-45F1-A44C-F22600F8F3E4}" type="presParOf" srcId="{0349261B-50FA-4931-BB88-502227D73747}" destId="{D9ABD882-CAA3-4E24-BB19-023EEB3FAF4E}" srcOrd="6" destOrd="0" presId="urn:microsoft.com/office/officeart/2005/8/layout/pyramid2"/>
    <dgm:cxn modelId="{A5BAB874-8AC0-44E8-9EC8-1AC2E7D75982}" type="presParOf" srcId="{0349261B-50FA-4931-BB88-502227D73747}" destId="{EADD6AEE-CB55-4FE6-8ECA-2D712602BFA2}" srcOrd="7" destOrd="0" presId="urn:microsoft.com/office/officeart/2005/8/layout/pyramid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58A8076-AAAD-4177-A7FB-F8EEC394B914}" type="doc">
      <dgm:prSet loTypeId="urn:microsoft.com/office/officeart/2005/8/layout/hProcess9" loCatId="process" qsTypeId="urn:microsoft.com/office/officeart/2005/8/quickstyle/simple1" qsCatId="simple" csTypeId="urn:microsoft.com/office/officeart/2005/8/colors/accent1_2" csCatId="accent1" phldr="1"/>
      <dgm:spPr/>
    </dgm:pt>
    <dgm:pt modelId="{83758EB1-0114-4406-AD2F-BD80179000FB}">
      <dgm:prSet phldrT="[Текст]" custT="1"/>
      <dgm:spPr/>
      <dgm:t>
        <a:bodyPr/>
        <a:lstStyle/>
        <a:p>
          <a:r>
            <a:rPr lang="ru-RU" sz="700"/>
            <a:t>Во-первых, необходимо повысить качество структурирования статей баланса. Активы, обязательства и элементы капитала должны представляться таким образом, чтобы пользователь мог увидеть экономическую природу показателей и оценить их значение для финансового состояния организации.</a:t>
          </a:r>
        </a:p>
      </dgm:t>
    </dgm:pt>
    <dgm:pt modelId="{22533519-2CE6-4211-A723-BFC53B1C66FB}" type="parTrans" cxnId="{FD856BC0-37C7-424D-8FFA-40D546E6BC50}">
      <dgm:prSet/>
      <dgm:spPr/>
      <dgm:t>
        <a:bodyPr/>
        <a:lstStyle/>
        <a:p>
          <a:endParaRPr lang="ru-RU"/>
        </a:p>
      </dgm:t>
    </dgm:pt>
    <dgm:pt modelId="{9AE580EC-F4C1-4D2C-9354-460A76954285}" type="sibTrans" cxnId="{FD856BC0-37C7-424D-8FFA-40D546E6BC50}">
      <dgm:prSet/>
      <dgm:spPr/>
      <dgm:t>
        <a:bodyPr/>
        <a:lstStyle/>
        <a:p>
          <a:endParaRPr lang="ru-RU"/>
        </a:p>
      </dgm:t>
    </dgm:pt>
    <dgm:pt modelId="{B2C25A3A-87B8-43F3-B89E-003B37BEF9D2}">
      <dgm:prSet custT="1"/>
      <dgm:spPr/>
      <dgm:t>
        <a:bodyPr/>
        <a:lstStyle/>
        <a:p>
          <a:r>
            <a:rPr lang="ru-RU" sz="700"/>
            <a:t>Во-вторых, требуется обеспечить рациональное дезагрегирование существенных статей. Это касается прежде всего тех объектов, которые различаются по степени ликвидности, характеру риска, срокам обращения или экономической функции.</a:t>
          </a:r>
        </a:p>
      </dgm:t>
    </dgm:pt>
    <dgm:pt modelId="{EDA603CC-5690-4A7E-A3B1-7989489FA321}" type="parTrans" cxnId="{8E19C5F3-A717-4F19-AAE9-B6D258EE1114}">
      <dgm:prSet/>
      <dgm:spPr/>
      <dgm:t>
        <a:bodyPr/>
        <a:lstStyle/>
        <a:p>
          <a:endParaRPr lang="ru-RU"/>
        </a:p>
      </dgm:t>
    </dgm:pt>
    <dgm:pt modelId="{E2DA037C-BD6F-4528-BB1D-93EF3E269515}" type="sibTrans" cxnId="{8E19C5F3-A717-4F19-AAE9-B6D258EE1114}">
      <dgm:prSet/>
      <dgm:spPr/>
      <dgm:t>
        <a:bodyPr/>
        <a:lstStyle/>
        <a:p>
          <a:endParaRPr lang="ru-RU"/>
        </a:p>
      </dgm:t>
    </dgm:pt>
    <dgm:pt modelId="{8E33A438-268B-4620-930C-FC485FD9F4E8}">
      <dgm:prSet/>
      <dgm:spPr/>
      <dgm:t>
        <a:bodyPr/>
        <a:lstStyle/>
        <a:p>
          <a:r>
            <a:rPr lang="ru-RU"/>
            <a:t>В-третьих, следует усилить раскрытие информации в примечаниях, делая его содержательно связанным со статьями бухгалтерского баланса. Примечания не должны дублировать форму, но обязаны раскрывать ее ключевые характеристики.</a:t>
          </a:r>
        </a:p>
      </dgm:t>
    </dgm:pt>
    <dgm:pt modelId="{D138288D-B18D-4CFC-A98E-C395B86EA4D3}" type="parTrans" cxnId="{CB428AB9-A530-4A71-BB4F-C2D09CC0717C}">
      <dgm:prSet/>
      <dgm:spPr/>
      <dgm:t>
        <a:bodyPr/>
        <a:lstStyle/>
        <a:p>
          <a:endParaRPr lang="ru-RU"/>
        </a:p>
      </dgm:t>
    </dgm:pt>
    <dgm:pt modelId="{FFD1B9B4-ADEA-4C0B-A426-9FB7AC22CB8E}" type="sibTrans" cxnId="{CB428AB9-A530-4A71-BB4F-C2D09CC0717C}">
      <dgm:prSet/>
      <dgm:spPr/>
      <dgm:t>
        <a:bodyPr/>
        <a:lstStyle/>
        <a:p>
          <a:endParaRPr lang="ru-RU"/>
        </a:p>
      </dgm:t>
    </dgm:pt>
    <dgm:pt modelId="{18D35C6A-6ADA-4288-95F5-A658EF77D75A}">
      <dgm:prSet/>
      <dgm:spPr/>
      <dgm:t>
        <a:bodyPr/>
        <a:lstStyle/>
        <a:p>
          <a:r>
            <a:rPr lang="ru-RU"/>
            <a:t>В-четвертых, организации необходимо адаптировать учетную политику и информационные системы к новым требованиям. До даты обязательного применения </a:t>
          </a:r>
          <a:r>
            <a:rPr lang="en-US"/>
            <a:t>IFRS 18 </a:t>
          </a:r>
          <a:r>
            <a:rPr lang="ru-RU"/>
            <a:t>требуется оценить готовность информационных систем, а также внести необходимые поправки в учетную политику.</a:t>
          </a:r>
        </a:p>
      </dgm:t>
    </dgm:pt>
    <dgm:pt modelId="{3A4BB90A-0308-47D7-B537-D867DF6977C2}" type="parTrans" cxnId="{D67A2E3E-5F17-452E-8D32-6B00B2726436}">
      <dgm:prSet/>
      <dgm:spPr/>
      <dgm:t>
        <a:bodyPr/>
        <a:lstStyle/>
        <a:p>
          <a:endParaRPr lang="ru-RU"/>
        </a:p>
      </dgm:t>
    </dgm:pt>
    <dgm:pt modelId="{0A167676-9FA1-4D2A-87FE-9DB539AF27B6}" type="sibTrans" cxnId="{D67A2E3E-5F17-452E-8D32-6B00B2726436}">
      <dgm:prSet/>
      <dgm:spPr/>
      <dgm:t>
        <a:bodyPr/>
        <a:lstStyle/>
        <a:p>
          <a:endParaRPr lang="ru-RU"/>
        </a:p>
      </dgm:t>
    </dgm:pt>
    <dgm:pt modelId="{8F307EA3-8D8E-4711-BEBA-FA0459190A74}" type="pres">
      <dgm:prSet presAssocID="{058A8076-AAAD-4177-A7FB-F8EEC394B914}" presName="CompostProcess" presStyleCnt="0">
        <dgm:presLayoutVars>
          <dgm:dir/>
          <dgm:resizeHandles val="exact"/>
        </dgm:presLayoutVars>
      </dgm:prSet>
      <dgm:spPr/>
    </dgm:pt>
    <dgm:pt modelId="{630AB629-05BA-4FA9-892D-A05FE991C8FB}" type="pres">
      <dgm:prSet presAssocID="{058A8076-AAAD-4177-A7FB-F8EEC394B914}" presName="arrow" presStyleLbl="bgShp" presStyleIdx="0" presStyleCnt="1"/>
      <dgm:spPr/>
    </dgm:pt>
    <dgm:pt modelId="{14A889A7-1465-4825-BFCD-E7E6ABC77C64}" type="pres">
      <dgm:prSet presAssocID="{058A8076-AAAD-4177-A7FB-F8EEC394B914}" presName="linearProcess" presStyleCnt="0"/>
      <dgm:spPr/>
    </dgm:pt>
    <dgm:pt modelId="{F83A2041-AD63-4788-9B6E-088933934C2A}" type="pres">
      <dgm:prSet presAssocID="{83758EB1-0114-4406-AD2F-BD80179000FB}" presName="textNode" presStyleLbl="node1" presStyleIdx="0" presStyleCnt="4">
        <dgm:presLayoutVars>
          <dgm:bulletEnabled val="1"/>
        </dgm:presLayoutVars>
      </dgm:prSet>
      <dgm:spPr/>
    </dgm:pt>
    <dgm:pt modelId="{B52AFE06-C69F-400B-9785-96E08610676B}" type="pres">
      <dgm:prSet presAssocID="{9AE580EC-F4C1-4D2C-9354-460A76954285}" presName="sibTrans" presStyleCnt="0"/>
      <dgm:spPr/>
    </dgm:pt>
    <dgm:pt modelId="{3C882B2B-09E0-417F-BEA7-9B8595BB033B}" type="pres">
      <dgm:prSet presAssocID="{B2C25A3A-87B8-43F3-B89E-003B37BEF9D2}" presName="textNode" presStyleLbl="node1" presStyleIdx="1" presStyleCnt="4">
        <dgm:presLayoutVars>
          <dgm:bulletEnabled val="1"/>
        </dgm:presLayoutVars>
      </dgm:prSet>
      <dgm:spPr/>
    </dgm:pt>
    <dgm:pt modelId="{50E6BEFB-A825-41D3-86C5-968649C0499B}" type="pres">
      <dgm:prSet presAssocID="{E2DA037C-BD6F-4528-BB1D-93EF3E269515}" presName="sibTrans" presStyleCnt="0"/>
      <dgm:spPr/>
    </dgm:pt>
    <dgm:pt modelId="{6742BDB3-7D7F-44F0-8693-8F3111D8BF33}" type="pres">
      <dgm:prSet presAssocID="{8E33A438-268B-4620-930C-FC485FD9F4E8}" presName="textNode" presStyleLbl="node1" presStyleIdx="2" presStyleCnt="4">
        <dgm:presLayoutVars>
          <dgm:bulletEnabled val="1"/>
        </dgm:presLayoutVars>
      </dgm:prSet>
      <dgm:spPr/>
    </dgm:pt>
    <dgm:pt modelId="{7B5DE4EA-1FCB-448D-9EB9-59C04C70B182}" type="pres">
      <dgm:prSet presAssocID="{FFD1B9B4-ADEA-4C0B-A426-9FB7AC22CB8E}" presName="sibTrans" presStyleCnt="0"/>
      <dgm:spPr/>
    </dgm:pt>
    <dgm:pt modelId="{053A9C78-F1E9-4122-A318-4604397DC1EA}" type="pres">
      <dgm:prSet presAssocID="{18D35C6A-6ADA-4288-95F5-A658EF77D75A}" presName="textNode" presStyleLbl="node1" presStyleIdx="3" presStyleCnt="4">
        <dgm:presLayoutVars>
          <dgm:bulletEnabled val="1"/>
        </dgm:presLayoutVars>
      </dgm:prSet>
      <dgm:spPr/>
    </dgm:pt>
  </dgm:ptLst>
  <dgm:cxnLst>
    <dgm:cxn modelId="{ECB17B18-0B60-4C86-977E-46284565EE5A}" type="presOf" srcId="{8E33A438-268B-4620-930C-FC485FD9F4E8}" destId="{6742BDB3-7D7F-44F0-8693-8F3111D8BF33}" srcOrd="0" destOrd="0" presId="urn:microsoft.com/office/officeart/2005/8/layout/hProcess9"/>
    <dgm:cxn modelId="{D67A2E3E-5F17-452E-8D32-6B00B2726436}" srcId="{058A8076-AAAD-4177-A7FB-F8EEC394B914}" destId="{18D35C6A-6ADA-4288-95F5-A658EF77D75A}" srcOrd="3" destOrd="0" parTransId="{3A4BB90A-0308-47D7-B537-D867DF6977C2}" sibTransId="{0A167676-9FA1-4D2A-87FE-9DB539AF27B6}"/>
    <dgm:cxn modelId="{23490863-4814-40EC-A150-7569F428C8A8}" type="presOf" srcId="{B2C25A3A-87B8-43F3-B89E-003B37BEF9D2}" destId="{3C882B2B-09E0-417F-BEA7-9B8595BB033B}" srcOrd="0" destOrd="0" presId="urn:microsoft.com/office/officeart/2005/8/layout/hProcess9"/>
    <dgm:cxn modelId="{6C140E4B-3E59-49BB-84C0-EA927EAB4F49}" type="presOf" srcId="{058A8076-AAAD-4177-A7FB-F8EEC394B914}" destId="{8F307EA3-8D8E-4711-BEBA-FA0459190A74}" srcOrd="0" destOrd="0" presId="urn:microsoft.com/office/officeart/2005/8/layout/hProcess9"/>
    <dgm:cxn modelId="{ACA80D90-6906-4BF1-8F8A-121281E16A99}" type="presOf" srcId="{83758EB1-0114-4406-AD2F-BD80179000FB}" destId="{F83A2041-AD63-4788-9B6E-088933934C2A}" srcOrd="0" destOrd="0" presId="urn:microsoft.com/office/officeart/2005/8/layout/hProcess9"/>
    <dgm:cxn modelId="{CB428AB9-A530-4A71-BB4F-C2D09CC0717C}" srcId="{058A8076-AAAD-4177-A7FB-F8EEC394B914}" destId="{8E33A438-268B-4620-930C-FC485FD9F4E8}" srcOrd="2" destOrd="0" parTransId="{D138288D-B18D-4CFC-A98E-C395B86EA4D3}" sibTransId="{FFD1B9B4-ADEA-4C0B-A426-9FB7AC22CB8E}"/>
    <dgm:cxn modelId="{FD856BC0-37C7-424D-8FFA-40D546E6BC50}" srcId="{058A8076-AAAD-4177-A7FB-F8EEC394B914}" destId="{83758EB1-0114-4406-AD2F-BD80179000FB}" srcOrd="0" destOrd="0" parTransId="{22533519-2CE6-4211-A723-BFC53B1C66FB}" sibTransId="{9AE580EC-F4C1-4D2C-9354-460A76954285}"/>
    <dgm:cxn modelId="{E21F00ED-EF22-433B-8396-A2EA38D129B0}" type="presOf" srcId="{18D35C6A-6ADA-4288-95F5-A658EF77D75A}" destId="{053A9C78-F1E9-4122-A318-4604397DC1EA}" srcOrd="0" destOrd="0" presId="urn:microsoft.com/office/officeart/2005/8/layout/hProcess9"/>
    <dgm:cxn modelId="{8E19C5F3-A717-4F19-AAE9-B6D258EE1114}" srcId="{058A8076-AAAD-4177-A7FB-F8EEC394B914}" destId="{B2C25A3A-87B8-43F3-B89E-003B37BEF9D2}" srcOrd="1" destOrd="0" parTransId="{EDA603CC-5690-4A7E-A3B1-7989489FA321}" sibTransId="{E2DA037C-BD6F-4528-BB1D-93EF3E269515}"/>
    <dgm:cxn modelId="{3E7F3705-F964-4D46-B16A-022002EBD143}" type="presParOf" srcId="{8F307EA3-8D8E-4711-BEBA-FA0459190A74}" destId="{630AB629-05BA-4FA9-892D-A05FE991C8FB}" srcOrd="0" destOrd="0" presId="urn:microsoft.com/office/officeart/2005/8/layout/hProcess9"/>
    <dgm:cxn modelId="{6DB2EC54-8F14-4DBE-8344-363C0AA25818}" type="presParOf" srcId="{8F307EA3-8D8E-4711-BEBA-FA0459190A74}" destId="{14A889A7-1465-4825-BFCD-E7E6ABC77C64}" srcOrd="1" destOrd="0" presId="urn:microsoft.com/office/officeart/2005/8/layout/hProcess9"/>
    <dgm:cxn modelId="{D48DD155-B5C2-4010-918F-77950CC28AA9}" type="presParOf" srcId="{14A889A7-1465-4825-BFCD-E7E6ABC77C64}" destId="{F83A2041-AD63-4788-9B6E-088933934C2A}" srcOrd="0" destOrd="0" presId="urn:microsoft.com/office/officeart/2005/8/layout/hProcess9"/>
    <dgm:cxn modelId="{ACFC785E-C85E-4A11-9B54-9A2E11D273F1}" type="presParOf" srcId="{14A889A7-1465-4825-BFCD-E7E6ABC77C64}" destId="{B52AFE06-C69F-400B-9785-96E08610676B}" srcOrd="1" destOrd="0" presId="urn:microsoft.com/office/officeart/2005/8/layout/hProcess9"/>
    <dgm:cxn modelId="{61FE71CB-E848-40D7-B8DC-5BBC0C56F828}" type="presParOf" srcId="{14A889A7-1465-4825-BFCD-E7E6ABC77C64}" destId="{3C882B2B-09E0-417F-BEA7-9B8595BB033B}" srcOrd="2" destOrd="0" presId="urn:microsoft.com/office/officeart/2005/8/layout/hProcess9"/>
    <dgm:cxn modelId="{EB6DAFE7-B41C-45E6-AF58-821E5F462E53}" type="presParOf" srcId="{14A889A7-1465-4825-BFCD-E7E6ABC77C64}" destId="{50E6BEFB-A825-41D3-86C5-968649C0499B}" srcOrd="3" destOrd="0" presId="urn:microsoft.com/office/officeart/2005/8/layout/hProcess9"/>
    <dgm:cxn modelId="{6D5BACA9-8B2C-4FE7-A0FF-8B531C91D0E1}" type="presParOf" srcId="{14A889A7-1465-4825-BFCD-E7E6ABC77C64}" destId="{6742BDB3-7D7F-44F0-8693-8F3111D8BF33}" srcOrd="4" destOrd="0" presId="urn:microsoft.com/office/officeart/2005/8/layout/hProcess9"/>
    <dgm:cxn modelId="{381A18C5-A66D-46C3-9A08-394DEC81C291}" type="presParOf" srcId="{14A889A7-1465-4825-BFCD-E7E6ABC77C64}" destId="{7B5DE4EA-1FCB-448D-9EB9-59C04C70B182}" srcOrd="5" destOrd="0" presId="urn:microsoft.com/office/officeart/2005/8/layout/hProcess9"/>
    <dgm:cxn modelId="{05A6D3FA-AC0F-463B-9373-21C45FF773A7}" type="presParOf" srcId="{14A889A7-1465-4825-BFCD-E7E6ABC77C64}" destId="{053A9C78-F1E9-4122-A318-4604397DC1EA}" srcOrd="6"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133FB4-66D6-40C0-8678-90923889F528}">
      <dsp:nvSpPr>
        <dsp:cNvPr id="0" name=""/>
        <dsp:cNvSpPr/>
      </dsp:nvSpPr>
      <dsp:spPr>
        <a:xfrm>
          <a:off x="110974" y="0"/>
          <a:ext cx="2780091" cy="3200400"/>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67C8AE-B7E6-4F84-B849-06130CA2635D}">
      <dsp:nvSpPr>
        <dsp:cNvPr id="0" name=""/>
        <dsp:cNvSpPr/>
      </dsp:nvSpPr>
      <dsp:spPr>
        <a:xfrm>
          <a:off x="1069612" y="177443"/>
          <a:ext cx="3879268" cy="534441"/>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Первая проблема состоит в чрезмерной агрегированности информации. Укрупнение статей облегчает составление отчетности, но нередко скрывает важные различия между объектами учета. Например, объединение в одной строке экономически неоднородных активов затрудняет оценку их ликвидности, доходности и риска.</a:t>
          </a:r>
        </a:p>
      </dsp:txBody>
      <dsp:txXfrm>
        <a:off x="1095701" y="203532"/>
        <a:ext cx="3827090" cy="482263"/>
      </dsp:txXfrm>
    </dsp:sp>
    <dsp:sp modelId="{CDA3908E-C8F9-4CAD-AB61-EE789DBCBA5D}">
      <dsp:nvSpPr>
        <dsp:cNvPr id="0" name=""/>
        <dsp:cNvSpPr/>
      </dsp:nvSpPr>
      <dsp:spPr>
        <a:xfrm>
          <a:off x="1071942" y="804258"/>
          <a:ext cx="3863750" cy="534441"/>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Вторая проблема заключается в недостаточной связи между балансом и примечаниями. Если существенные пояснения формально присутствуют в примечаниях, но не обеспечивают ясного понимания статей баланса, пользователю сложно составить целостное представление о финансовом положении организации.</a:t>
          </a:r>
        </a:p>
      </dsp:txBody>
      <dsp:txXfrm>
        <a:off x="1098031" y="830347"/>
        <a:ext cx="3811572" cy="482263"/>
      </dsp:txXfrm>
    </dsp:sp>
    <dsp:sp modelId="{2EE56A96-A9C0-498E-962D-16A25EBC7E89}">
      <dsp:nvSpPr>
        <dsp:cNvPr id="0" name=""/>
        <dsp:cNvSpPr/>
      </dsp:nvSpPr>
      <dsp:spPr>
        <a:xfrm>
          <a:off x="1073055" y="2285725"/>
          <a:ext cx="3905001" cy="534441"/>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Четвертая проблема - риск формального применения </a:t>
          </a:r>
          <a:r>
            <a:rPr lang="en-US" sz="800" kern="1200"/>
            <a:t>IFRS 18. </a:t>
          </a:r>
          <a:r>
            <a:rPr lang="ru-RU" sz="800" kern="1200"/>
            <a:t>Если организации будут воспринимать новый стандарт исключительно как требование к изменению формы представления без пересмотра подходов к содержательному раскрытию информации, ожидаемый положительный эффект может быть существенно снижен.</a:t>
          </a:r>
        </a:p>
      </dsp:txBody>
      <dsp:txXfrm>
        <a:off x="1099144" y="2311814"/>
        <a:ext cx="3852823" cy="482263"/>
      </dsp:txXfrm>
    </dsp:sp>
    <dsp:sp modelId="{D9ABD882-CAA3-4E24-BB19-023EEB3FAF4E}">
      <dsp:nvSpPr>
        <dsp:cNvPr id="0" name=""/>
        <dsp:cNvSpPr/>
      </dsp:nvSpPr>
      <dsp:spPr>
        <a:xfrm>
          <a:off x="1083134" y="1505594"/>
          <a:ext cx="3776046" cy="68859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Третья проблема связана с ограниченной сопоставимостью. В научной статье подчеркивается, что одной из причин реформирования представления отчетности является необходимость повышения сопоставимости отчетной информации между организациями и периодами. В отношении бухгалтерского баланса это особенно важно, поскольку различия в степени детализации и способах группировки статей затрудняют межфирменный анализ.</a:t>
          </a:r>
        </a:p>
      </dsp:txBody>
      <dsp:txXfrm>
        <a:off x="1116748" y="1539208"/>
        <a:ext cx="3708818" cy="6213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0AB629-05BA-4FA9-892D-A05FE991C8FB}">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83A2041-AD63-4788-9B6E-088933934C2A}">
      <dsp:nvSpPr>
        <dsp:cNvPr id="0" name=""/>
        <dsp:cNvSpPr/>
      </dsp:nvSpPr>
      <dsp:spPr>
        <a:xfrm>
          <a:off x="2745" y="960120"/>
          <a:ext cx="1320700"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ru-RU" sz="700" kern="1200"/>
            <a:t>Во-первых, необходимо повысить качество структурирования статей баланса. Активы, обязательства и элементы капитала должны представляться таким образом, чтобы пользователь мог увидеть экономическую природу показателей и оценить их значение для финансового состояния организации.</a:t>
          </a:r>
        </a:p>
      </dsp:txBody>
      <dsp:txXfrm>
        <a:off x="65237" y="1022612"/>
        <a:ext cx="1195716" cy="1155176"/>
      </dsp:txXfrm>
    </dsp:sp>
    <dsp:sp modelId="{3C882B2B-09E0-417F-BEA7-9B8595BB033B}">
      <dsp:nvSpPr>
        <dsp:cNvPr id="0" name=""/>
        <dsp:cNvSpPr/>
      </dsp:nvSpPr>
      <dsp:spPr>
        <a:xfrm>
          <a:off x="1389481" y="960120"/>
          <a:ext cx="1320700"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ru-RU" sz="700" kern="1200"/>
            <a:t>Во-вторых, требуется обеспечить рациональное дезагрегирование существенных статей. Это касается прежде всего тех объектов, которые различаются по степени ликвидности, характеру риска, срокам обращения или экономической функции.</a:t>
          </a:r>
        </a:p>
      </dsp:txBody>
      <dsp:txXfrm>
        <a:off x="1451973" y="1022612"/>
        <a:ext cx="1195716" cy="1155176"/>
      </dsp:txXfrm>
    </dsp:sp>
    <dsp:sp modelId="{6742BDB3-7D7F-44F0-8693-8F3111D8BF33}">
      <dsp:nvSpPr>
        <dsp:cNvPr id="0" name=""/>
        <dsp:cNvSpPr/>
      </dsp:nvSpPr>
      <dsp:spPr>
        <a:xfrm>
          <a:off x="2776217" y="960120"/>
          <a:ext cx="1320700"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ru-RU" sz="700" kern="1200"/>
            <a:t>В-третьих, следует усилить раскрытие информации в примечаниях, делая его содержательно связанным со статьями бухгалтерского баланса. Примечания не должны дублировать форму, но обязаны раскрывать ее ключевые характеристики.</a:t>
          </a:r>
        </a:p>
      </dsp:txBody>
      <dsp:txXfrm>
        <a:off x="2838709" y="1022612"/>
        <a:ext cx="1195716" cy="1155176"/>
      </dsp:txXfrm>
    </dsp:sp>
    <dsp:sp modelId="{053A9C78-F1E9-4122-A318-4604397DC1EA}">
      <dsp:nvSpPr>
        <dsp:cNvPr id="0" name=""/>
        <dsp:cNvSpPr/>
      </dsp:nvSpPr>
      <dsp:spPr>
        <a:xfrm>
          <a:off x="4162953" y="960120"/>
          <a:ext cx="1320700"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ru-RU" sz="700" kern="1200"/>
            <a:t>В-четвертых, организации необходимо адаптировать учетную политику и информационные системы к новым требованиям. До даты обязательного применения </a:t>
          </a:r>
          <a:r>
            <a:rPr lang="en-US" sz="700" kern="1200"/>
            <a:t>IFRS 18 </a:t>
          </a:r>
          <a:r>
            <a:rPr lang="ru-RU" sz="700" kern="1200"/>
            <a:t>требуется оценить готовность информационных систем, а также внести необходимые поправки в учетную политику.</a:t>
          </a:r>
        </a:p>
      </dsp:txBody>
      <dsp:txXfrm>
        <a:off x="4225445" y="1022612"/>
        <a:ext cx="1195716"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3202</Words>
  <Characters>22451</Characters>
  <Application>Microsoft Office Word</Application>
  <DocSecurity>0</DocSecurity>
  <Lines>510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Бубновская</dc:creator>
  <cp:lastModifiedBy>Татьяна Бубновская</cp:lastModifiedBy>
  <cp:revision>4</cp:revision>
  <dcterms:created xsi:type="dcterms:W3CDTF">2026-04-10T09:49:00Z</dcterms:created>
  <dcterms:modified xsi:type="dcterms:W3CDTF">2026-04-10T10:59:00Z</dcterms:modified>
</cp:coreProperties>
</file>