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F8EDE" w14:textId="0D803CCA" w:rsidR="00181F9E" w:rsidRPr="00181F9E" w:rsidRDefault="00181F9E" w:rsidP="00181F9E">
      <w:pPr>
        <w:jc w:val="center"/>
        <w:rPr>
          <w:b/>
          <w:bCs/>
        </w:rPr>
      </w:pPr>
      <w:r w:rsidRPr="00181F9E">
        <w:rPr>
          <w:b/>
          <w:bCs/>
        </w:rPr>
        <w:t>Новое законодательство ЕС о цифровых доказательствах: преобразование процедур трансграничного доступа и вызовы судебных гарантий</w:t>
      </w:r>
    </w:p>
    <w:p w14:paraId="225AB937" w14:textId="77777777" w:rsidR="00181F9E" w:rsidRDefault="00181F9E"/>
    <w:p w14:paraId="1E2506A4" w14:textId="1DFA575C" w:rsidR="00181F9E" w:rsidRDefault="00181F9E" w:rsidP="00C25AC3">
      <w:pPr>
        <w:spacing w:after="0"/>
      </w:pPr>
      <w:proofErr w:type="spellStart"/>
      <w:r>
        <w:t>Реховский</w:t>
      </w:r>
      <w:proofErr w:type="spellEnd"/>
      <w:r>
        <w:t xml:space="preserve"> А.Ф.</w:t>
      </w:r>
    </w:p>
    <w:p w14:paraId="20F4DC8E" w14:textId="77777777" w:rsidR="00E91D03" w:rsidRDefault="00181F9E" w:rsidP="00C25AC3">
      <w:pPr>
        <w:spacing w:after="0"/>
      </w:pPr>
      <w:r>
        <w:t xml:space="preserve">Владивостокский государственный университет, </w:t>
      </w:r>
    </w:p>
    <w:p w14:paraId="2827B6E8" w14:textId="25574B6A" w:rsidR="00181F9E" w:rsidRDefault="00181F9E" w:rsidP="00C25AC3">
      <w:pPr>
        <w:spacing w:after="0"/>
      </w:pPr>
      <w:r>
        <w:t>г. Владивосток, Российская Федерация.</w:t>
      </w:r>
    </w:p>
    <w:p w14:paraId="48923D06" w14:textId="77777777" w:rsidR="00181F9E" w:rsidRDefault="00181F9E"/>
    <w:p w14:paraId="0891BD36" w14:textId="77777777" w:rsidR="00181F9E" w:rsidRDefault="00181F9E" w:rsidP="00181F9E">
      <w:pPr>
        <w:spacing w:line="360" w:lineRule="auto"/>
        <w:ind w:firstLine="709"/>
      </w:pPr>
      <w:r w:rsidRPr="00181F9E">
        <w:rPr>
          <w:b/>
          <w:bCs/>
        </w:rPr>
        <w:t>Аннотация</w:t>
      </w:r>
      <w:r w:rsidRPr="00181F9E">
        <w:rPr>
          <w:b/>
          <w:bCs/>
        </w:rPr>
        <w:t>.</w:t>
      </w:r>
      <w:r w:rsidRPr="00181F9E">
        <w:t xml:space="preserve"> В статье анализируются инновационные положения Регламента (ЕС) 2023/1543 и Директивы (ЕС) 2023/1544, введшие в правовую систему ЕС механизмы Европейского приказа о производстве (European Production </w:t>
      </w:r>
      <w:proofErr w:type="spellStart"/>
      <w:r w:rsidRPr="00181F9E">
        <w:t>Order</w:t>
      </w:r>
      <w:proofErr w:type="spellEnd"/>
      <w:r w:rsidRPr="00181F9E">
        <w:t xml:space="preserve">, EPO) и Европейского приказа о сохранении (European </w:t>
      </w:r>
      <w:proofErr w:type="spellStart"/>
      <w:r w:rsidRPr="00181F9E">
        <w:t>Preservation</w:t>
      </w:r>
      <w:proofErr w:type="spellEnd"/>
      <w:r w:rsidRPr="00181F9E">
        <w:t xml:space="preserve"> </w:t>
      </w:r>
      <w:proofErr w:type="spellStart"/>
      <w:r w:rsidRPr="00181F9E">
        <w:t>Order</w:t>
      </w:r>
      <w:proofErr w:type="spellEnd"/>
      <w:r w:rsidRPr="00181F9E">
        <w:t xml:space="preserve">, </w:t>
      </w:r>
      <w:proofErr w:type="spellStart"/>
      <w:r w:rsidRPr="00181F9E">
        <w:t>EPrO</w:t>
      </w:r>
      <w:proofErr w:type="spellEnd"/>
      <w:r w:rsidRPr="00181F9E">
        <w:t xml:space="preserve">). Исследование сосредоточено на парадигматическом сдвиге от взаимной правовой помощи к модели прямого признания и приватизации доступа к электронным доказательствам через сервис-провайдеров. Выявляются системные проблемы единообразности стандартов допустимости, судебного контроля, защиты фундаментальных прав обвиняемого, а также влияния технологических инноваций (ИИ, </w:t>
      </w:r>
      <w:proofErr w:type="spellStart"/>
      <w:r w:rsidRPr="00181F9E">
        <w:t>deepfakes</w:t>
      </w:r>
      <w:proofErr w:type="spellEnd"/>
      <w:r w:rsidRPr="00181F9E">
        <w:t xml:space="preserve">) на надежность цифровых улик. Рассматривается практика имплементации в государствах-членах ЕС. Формулируются рекомендации по введению европейских минимальных стандартов криптографической верификации и </w:t>
      </w:r>
      <w:proofErr w:type="spellStart"/>
      <w:r w:rsidRPr="00181F9E">
        <w:t>chain</w:t>
      </w:r>
      <w:proofErr w:type="spellEnd"/>
      <w:r w:rsidRPr="00181F9E">
        <w:t xml:space="preserve"> </w:t>
      </w:r>
      <w:proofErr w:type="spellStart"/>
      <w:r w:rsidRPr="00181F9E">
        <w:t>of</w:t>
      </w:r>
      <w:proofErr w:type="spellEnd"/>
      <w:r w:rsidRPr="00181F9E">
        <w:t xml:space="preserve"> </w:t>
      </w:r>
      <w:proofErr w:type="spellStart"/>
      <w:r w:rsidRPr="00181F9E">
        <w:t>custody</w:t>
      </w:r>
      <w:proofErr w:type="spellEnd"/>
      <w:r w:rsidRPr="00181F9E">
        <w:t xml:space="preserve"> для цифровых доказательств. </w:t>
      </w:r>
    </w:p>
    <w:p w14:paraId="5EBF027E" w14:textId="77777777" w:rsidR="00181F9E" w:rsidRDefault="00181F9E" w:rsidP="00181F9E">
      <w:pPr>
        <w:spacing w:line="360" w:lineRule="auto"/>
        <w:ind w:firstLine="709"/>
      </w:pPr>
      <w:r w:rsidRPr="00181F9E">
        <w:rPr>
          <w:b/>
          <w:bCs/>
        </w:rPr>
        <w:t>Ключевые слова:</w:t>
      </w:r>
      <w:r w:rsidRPr="00181F9E">
        <w:t xml:space="preserve"> цифровые доказательства, e-</w:t>
      </w:r>
      <w:proofErr w:type="spellStart"/>
      <w:r w:rsidRPr="00181F9E">
        <w:t>evidence</w:t>
      </w:r>
      <w:proofErr w:type="spellEnd"/>
      <w:r w:rsidRPr="00181F9E">
        <w:t xml:space="preserve">, Европейский приказ о производстве, допустимость доказательств, цепь хранения, справедливый суд, ЕС, уголовный процесс. </w:t>
      </w:r>
    </w:p>
    <w:p w14:paraId="127B12BA" w14:textId="77777777" w:rsidR="00181F9E" w:rsidRDefault="00181F9E" w:rsidP="00181F9E">
      <w:pPr>
        <w:spacing w:line="360" w:lineRule="auto"/>
        <w:ind w:firstLine="709"/>
      </w:pPr>
    </w:p>
    <w:p w14:paraId="4D1999B1" w14:textId="64E24C71" w:rsidR="00E91D03" w:rsidRDefault="00181F9E" w:rsidP="00E91D03">
      <w:pPr>
        <w:spacing w:after="0" w:line="360" w:lineRule="auto"/>
        <w:ind w:firstLine="709"/>
      </w:pPr>
      <w:r w:rsidRPr="00181F9E">
        <w:t xml:space="preserve">Цифровизация преступной деятельности и расширение объема электронных данных в расследованиях уголовных дел выдвинули на авансцену проблему ускорения и унификации процедур получения цифровых </w:t>
      </w:r>
      <w:r w:rsidRPr="00181F9E">
        <w:lastRenderedPageBreak/>
        <w:t xml:space="preserve">доказательств в трансграничном контексте. В 2023 году Европейский союз принял революционный правовой пакет </w:t>
      </w:r>
      <w:r>
        <w:t>-</w:t>
      </w:r>
      <w:r w:rsidRPr="00181F9E">
        <w:t xml:space="preserve"> Регламент (ЕС) 2023/1543 и Директиву (ЕС) 2023/1544, </w:t>
      </w:r>
      <w:r>
        <w:t>-</w:t>
      </w:r>
      <w:r w:rsidRPr="00181F9E">
        <w:t xml:space="preserve"> кардинально преобразовав способ взаимодействия национальных судов и правоохранительных органов государств-членов с поставщиками электронных услуг при получении цифровых доказательств. До принятия данного пакета процедура основывалась на громоздких механизмах взаимной правовой помощи (</w:t>
      </w:r>
      <w:proofErr w:type="spellStart"/>
      <w:r w:rsidRPr="00181F9E">
        <w:t>Mutual</w:t>
      </w:r>
      <w:proofErr w:type="spellEnd"/>
      <w:r w:rsidRPr="00181F9E">
        <w:t xml:space="preserve"> Legal </w:t>
      </w:r>
      <w:proofErr w:type="spellStart"/>
      <w:r w:rsidRPr="00181F9E">
        <w:t>Assistance</w:t>
      </w:r>
      <w:proofErr w:type="spellEnd"/>
      <w:r w:rsidRPr="00181F9E">
        <w:t xml:space="preserve"> </w:t>
      </w:r>
      <w:proofErr w:type="spellStart"/>
      <w:r w:rsidRPr="00181F9E">
        <w:t>Treaties</w:t>
      </w:r>
      <w:proofErr w:type="spellEnd"/>
      <w:r w:rsidRPr="00181F9E">
        <w:t xml:space="preserve">, MLAT) и Европейских приказов об истребовании (European </w:t>
      </w:r>
      <w:proofErr w:type="spellStart"/>
      <w:r w:rsidRPr="00181F9E">
        <w:t>Investigation</w:t>
      </w:r>
      <w:proofErr w:type="spellEnd"/>
      <w:r w:rsidRPr="00181F9E">
        <w:t xml:space="preserve"> </w:t>
      </w:r>
      <w:proofErr w:type="spellStart"/>
      <w:r w:rsidRPr="00181F9E">
        <w:t>Orders</w:t>
      </w:r>
      <w:proofErr w:type="spellEnd"/>
      <w:r w:rsidRPr="00181F9E">
        <w:t>, EIO), что замедляло расследования и создавало лакуны для скрывания следов преступной деятельности [1] [2] [3]</w:t>
      </w:r>
      <w:r w:rsidR="00E91D03">
        <w:t>.</w:t>
      </w:r>
      <w:r w:rsidRPr="00181F9E">
        <w:t xml:space="preserve"> </w:t>
      </w:r>
    </w:p>
    <w:p w14:paraId="49907245" w14:textId="77777777" w:rsidR="00E91D03" w:rsidRDefault="00181F9E" w:rsidP="00E91D03">
      <w:pPr>
        <w:spacing w:after="0" w:line="360" w:lineRule="auto"/>
        <w:ind w:firstLine="709"/>
      </w:pPr>
      <w:r w:rsidRPr="00181F9E">
        <w:t>Исторический контекст этих трансформаций глубоко связан с вызовами современного киберпространства и трансграничной преступности. К началу 2024 года примерно 85% расследований в странах ЕС включали компонент цифровых доказательств, однако согласованных европейских стандартов их верификации и допустимости отсутствовало. Несмотря на благие намерения, e-</w:t>
      </w:r>
      <w:proofErr w:type="spellStart"/>
      <w:r w:rsidRPr="00181F9E">
        <w:t>evidence</w:t>
      </w:r>
      <w:proofErr w:type="spellEnd"/>
      <w:r w:rsidRPr="00181F9E">
        <w:t xml:space="preserve"> пакет создает парадоксальную ситуацию: ускорение [4] доступа к доказательствам идет в ущерб судебному контролю и гарантиям справедливого разбирательства. </w:t>
      </w:r>
    </w:p>
    <w:p w14:paraId="4721FE0E" w14:textId="77777777" w:rsidR="00E91D03" w:rsidRDefault="00181F9E" w:rsidP="00181F9E">
      <w:pPr>
        <w:spacing w:line="360" w:lineRule="auto"/>
        <w:ind w:firstLine="709"/>
      </w:pPr>
      <w:r w:rsidRPr="00181F9E">
        <w:t xml:space="preserve">Данная статья посвящена критическому анализу этого законодательного сдвига и выявлению системных проблем, требующих решения при имплементации на национальном уровне. </w:t>
      </w:r>
    </w:p>
    <w:p w14:paraId="55BD04EA" w14:textId="77777777" w:rsidR="00E91D03" w:rsidRDefault="00181F9E" w:rsidP="00E91D03">
      <w:pPr>
        <w:spacing w:after="0" w:line="360" w:lineRule="auto"/>
        <w:ind w:firstLine="709"/>
      </w:pPr>
      <w:r w:rsidRPr="00181F9E">
        <w:t>1. Архитектура нового механизма: Европейский приказ о производстве и сохранении</w:t>
      </w:r>
      <w:r w:rsidR="00E91D03">
        <w:t>.</w:t>
      </w:r>
      <w:r w:rsidRPr="00181F9E">
        <w:t xml:space="preserve"> </w:t>
      </w:r>
    </w:p>
    <w:p w14:paraId="62121423" w14:textId="6832E47A" w:rsidR="00E91D03" w:rsidRDefault="00181F9E" w:rsidP="00E91D03">
      <w:pPr>
        <w:spacing w:after="0" w:line="360" w:lineRule="auto"/>
        <w:ind w:firstLine="709"/>
      </w:pPr>
      <w:r w:rsidRPr="00181F9E">
        <w:t xml:space="preserve">1.1. </w:t>
      </w:r>
      <w:r w:rsidRPr="00FA4155">
        <w:t>Сущность и процедура EPO/</w:t>
      </w:r>
      <w:proofErr w:type="spellStart"/>
      <w:r w:rsidRPr="00FA4155">
        <w:t>EPrO</w:t>
      </w:r>
      <w:proofErr w:type="spellEnd"/>
      <w:r w:rsidR="00E91D03" w:rsidRPr="00FA4155">
        <w:t>.</w:t>
      </w:r>
      <w:r w:rsidRPr="00181F9E">
        <w:t xml:space="preserve"> Регламент 2023/1543 вводит два основных инструмента, функционально расширяющих компетенцию национальных судов и следователей в получении электронных данных: Европейский приказ о производстве (EPO) представляет собой судебный акт национального суда, направленный сервис-провайдеру на территории другого государства-члена ЕС, с требованием передать или обеспечить доступ к </w:t>
      </w:r>
      <w:r w:rsidRPr="00181F9E">
        <w:lastRenderedPageBreak/>
        <w:t xml:space="preserve">удаленно хранимым электронным данным. Выдача EPO требует наличия обоснованного подозрения в совершении преступления, а также мотивировки необходимости и пропорциональности такого вмешательства в фундаментальные права (право на приватность, защиту персональных данных согласно GDPR). </w:t>
      </w:r>
    </w:p>
    <w:p w14:paraId="58C10D0C" w14:textId="06888AC4" w:rsidR="00E91D03" w:rsidRDefault="00181F9E" w:rsidP="00E91D03">
      <w:pPr>
        <w:spacing w:after="0" w:line="360" w:lineRule="auto"/>
        <w:ind w:firstLine="709"/>
      </w:pPr>
      <w:r w:rsidRPr="00181F9E">
        <w:t>Европейский приказ о сохранении (</w:t>
      </w:r>
      <w:proofErr w:type="spellStart"/>
      <w:r w:rsidRPr="00181F9E">
        <w:t>EPrO</w:t>
      </w:r>
      <w:proofErr w:type="spellEnd"/>
      <w:r w:rsidRPr="00181F9E">
        <w:t xml:space="preserve">) действует на ранней стадии расследования и направлен на предотвращение удаления или модификации данных до выдачи полного EPO. Срок действия </w:t>
      </w:r>
      <w:proofErr w:type="spellStart"/>
      <w:r w:rsidRPr="00181F9E">
        <w:t>EPrO</w:t>
      </w:r>
      <w:proofErr w:type="spellEnd"/>
      <w:r w:rsidRPr="00181F9E">
        <w:t xml:space="preserve"> ограничен, что позволяет правоохранительным органам </w:t>
      </w:r>
      <w:r w:rsidR="00FA4155">
        <w:t>«</w:t>
      </w:r>
      <w:r w:rsidRPr="00181F9E">
        <w:t>заморозить</w:t>
      </w:r>
      <w:r w:rsidR="00FA4155">
        <w:t>»</w:t>
      </w:r>
      <w:r w:rsidRPr="00181F9E">
        <w:t xml:space="preserve"> цифровые доказательства до выдачи надлежащего судебного приказа. Это особенно важно в контексте преступлений, связанных с терроризмом, организованной преступностью или детской порнографией, где скорость критична [6]</w:t>
      </w:r>
      <w:r w:rsidR="00C25AC3">
        <w:t>,</w:t>
      </w:r>
      <w:r w:rsidRPr="00181F9E">
        <w:t xml:space="preserve"> [7]</w:t>
      </w:r>
      <w:r w:rsidR="00E91D03">
        <w:t>.</w:t>
      </w:r>
      <w:r w:rsidRPr="00181F9E">
        <w:t xml:space="preserve"> </w:t>
      </w:r>
    </w:p>
    <w:p w14:paraId="69ACD9E6" w14:textId="3F40361A" w:rsidR="00E91D03" w:rsidRDefault="00181F9E" w:rsidP="00E91D03">
      <w:pPr>
        <w:spacing w:after="0" w:line="360" w:lineRule="auto"/>
        <w:ind w:firstLine="709"/>
      </w:pPr>
      <w:r w:rsidRPr="00181F9E">
        <w:t xml:space="preserve">1.2. </w:t>
      </w:r>
      <w:r w:rsidRPr="00FA4155">
        <w:t>Роль юридических представителей провайдеров</w:t>
      </w:r>
      <w:r w:rsidRPr="00181F9E">
        <w:t xml:space="preserve"> [5]</w:t>
      </w:r>
      <w:r w:rsidR="00E91D03">
        <w:t>.</w:t>
      </w:r>
      <w:r w:rsidRPr="00181F9E">
        <w:t xml:space="preserve"> Директива 2023/1544 вводит обязательство для всех поставщиков цифровых услуг, действующих на территории ЕС, назначить юридического представителя (</w:t>
      </w:r>
      <w:proofErr w:type="spellStart"/>
      <w:r w:rsidRPr="00181F9E">
        <w:t>legal</w:t>
      </w:r>
      <w:proofErr w:type="spellEnd"/>
      <w:r w:rsidRPr="00181F9E">
        <w:t xml:space="preserve"> </w:t>
      </w:r>
      <w:proofErr w:type="spellStart"/>
      <w:r w:rsidRPr="00181F9E">
        <w:t>representative</w:t>
      </w:r>
      <w:proofErr w:type="spellEnd"/>
      <w:r w:rsidRPr="00181F9E">
        <w:t>) для взаимодействия с национальными органами по поводу исполнения EPO/</w:t>
      </w:r>
      <w:proofErr w:type="spellStart"/>
      <w:r w:rsidRPr="00181F9E">
        <w:t>EPrO</w:t>
      </w:r>
      <w:proofErr w:type="spellEnd"/>
      <w:r w:rsidRPr="00181F9E">
        <w:t xml:space="preserve">. Это создает новую инфраструктуру: коммерческие компании (Google, </w:t>
      </w:r>
      <w:proofErr w:type="spellStart"/>
      <w:r w:rsidRPr="00181F9E">
        <w:t>Meta</w:t>
      </w:r>
      <w:proofErr w:type="spellEnd"/>
      <w:r w:rsidRPr="00181F9E">
        <w:t>, Microsoft и др.) становятся де-факто посредниками правосудия, что фундаментально меняет природу доказательственной деятельности в уголовном процессе [8]</w:t>
      </w:r>
      <w:r w:rsidR="00C25AC3">
        <w:t>,</w:t>
      </w:r>
      <w:r w:rsidRPr="00181F9E">
        <w:t xml:space="preserve"> [9]</w:t>
      </w:r>
      <w:r w:rsidR="00E91D03">
        <w:t>.</w:t>
      </w:r>
    </w:p>
    <w:p w14:paraId="5662CB66" w14:textId="77777777" w:rsidR="00E91D03" w:rsidRDefault="00181F9E" w:rsidP="00E91D03">
      <w:pPr>
        <w:spacing w:after="0" w:line="360" w:lineRule="auto"/>
        <w:ind w:firstLine="709"/>
      </w:pPr>
      <w:r w:rsidRPr="00181F9E">
        <w:t xml:space="preserve"> Таймлайн внедрения: регламент вступит в силу 18 августа 2026 года, предоставляя переходный период для адаптации национальных судебных систем и коммерческих провайдеров. </w:t>
      </w:r>
    </w:p>
    <w:p w14:paraId="6CF81DE1" w14:textId="77777777" w:rsidR="00E91D03" w:rsidRDefault="00181F9E" w:rsidP="00E91D03">
      <w:pPr>
        <w:spacing w:after="0" w:line="360" w:lineRule="auto"/>
        <w:ind w:firstLine="709"/>
      </w:pPr>
      <w:r w:rsidRPr="00181F9E">
        <w:t>2. Парадигматический сдвиг: от взаимной помощи к приватизации доступа</w:t>
      </w:r>
      <w:r w:rsidR="00E91D03">
        <w:t>.</w:t>
      </w:r>
      <w:r w:rsidRPr="00181F9E">
        <w:t xml:space="preserve"> </w:t>
      </w:r>
      <w:proofErr w:type="gramStart"/>
      <w:r w:rsidRPr="00181F9E">
        <w:t>Принципиально</w:t>
      </w:r>
      <w:proofErr w:type="gramEnd"/>
      <w:r w:rsidRPr="00181F9E">
        <w:t xml:space="preserve"> новой чертой e-</w:t>
      </w:r>
      <w:proofErr w:type="spellStart"/>
      <w:r w:rsidRPr="00181F9E">
        <w:t>evidence</w:t>
      </w:r>
      <w:proofErr w:type="spellEnd"/>
      <w:r w:rsidRPr="00181F9E">
        <w:t xml:space="preserve"> пакета является переход от модели взаимной правовой помощи к модели прямого признания (</w:t>
      </w:r>
      <w:proofErr w:type="spellStart"/>
      <w:r w:rsidRPr="00181F9E">
        <w:t>direct</w:t>
      </w:r>
      <w:proofErr w:type="spellEnd"/>
      <w:r w:rsidRPr="00181F9E">
        <w:t xml:space="preserve"> </w:t>
      </w:r>
      <w:proofErr w:type="spellStart"/>
      <w:r w:rsidRPr="00181F9E">
        <w:t>recognition</w:t>
      </w:r>
      <w:proofErr w:type="spellEnd"/>
      <w:r w:rsidRPr="00181F9E">
        <w:t xml:space="preserve">). В старой системе каждый запрос тщательно проверялся с позиции согласованности с национальным процессуальным правом исполняющего государства, что обеспечивало юридические гарантии, но замедляло процесс. Новая система предполагает, что суд государства, выдавшего EPO, действовал </w:t>
      </w:r>
      <w:r w:rsidRPr="00181F9E">
        <w:lastRenderedPageBreak/>
        <w:t>надлежащим образом, и данные автоматически признаются в исполняющем государстве без полной переоценки законности [10]</w:t>
      </w:r>
      <w:r w:rsidR="00E91D03">
        <w:t>.</w:t>
      </w:r>
      <w:r w:rsidRPr="00181F9E">
        <w:t xml:space="preserve"> Однако это создает трещину в системе судебного контроля. </w:t>
      </w:r>
    </w:p>
    <w:p w14:paraId="2CC0F743" w14:textId="1D68666E" w:rsidR="00E91D03" w:rsidRDefault="00181F9E" w:rsidP="00E91D03">
      <w:pPr>
        <w:spacing w:after="0" w:line="360" w:lineRule="auto"/>
        <w:ind w:firstLine="709"/>
      </w:pPr>
      <w:r w:rsidRPr="00181F9E">
        <w:t xml:space="preserve">На примере дела </w:t>
      </w:r>
      <w:proofErr w:type="spellStart"/>
      <w:r w:rsidRPr="00181F9E">
        <w:t>EncroChat</w:t>
      </w:r>
      <w:proofErr w:type="spellEnd"/>
      <w:r w:rsidRPr="00181F9E">
        <w:t xml:space="preserve"> (CJEU C-670/22), рассмотренного Судом </w:t>
      </w:r>
      <w:r w:rsidR="00DB69E1">
        <w:t xml:space="preserve">по правам человека </w:t>
      </w:r>
      <w:r w:rsidRPr="00181F9E">
        <w:t xml:space="preserve">ЕС 30 апреля 2024 года, видно, что суды все еще требуют проверки материальных условий получения доказательств согласно нормам исполняющего государства, если были использованы нетрадиционные методы (например, взлом зашифрованных систем или промежуточные оперативные расследования). Если ответчик не может эффективно оспорить подлинность, законность или надежность доказательства, оно должно быть исключено из судебного разбирательства в соответствии с правом на справедливый суд (ECHR </w:t>
      </w:r>
      <w:proofErr w:type="spellStart"/>
      <w:r w:rsidRPr="00181F9E">
        <w:t>Article</w:t>
      </w:r>
      <w:proofErr w:type="spellEnd"/>
      <w:r w:rsidRPr="00181F9E">
        <w:t xml:space="preserve"> 6) [12]</w:t>
      </w:r>
      <w:r w:rsidR="00C25AC3">
        <w:t>,</w:t>
      </w:r>
      <w:r w:rsidRPr="00181F9E">
        <w:t xml:space="preserve"> [11]</w:t>
      </w:r>
      <w:r w:rsidR="00E91D03">
        <w:t>.</w:t>
      </w:r>
      <w:r w:rsidRPr="00181F9E">
        <w:t xml:space="preserve"> </w:t>
      </w:r>
    </w:p>
    <w:p w14:paraId="060B2720" w14:textId="77777777" w:rsidR="00E91D03" w:rsidRDefault="00181F9E" w:rsidP="00E91D03">
      <w:pPr>
        <w:spacing w:after="0" w:line="360" w:lineRule="auto"/>
        <w:ind w:firstLine="709"/>
      </w:pPr>
      <w:r w:rsidRPr="00181F9E">
        <w:t>3. Критические проблемы допустимости и надежности цифровых улик</w:t>
      </w:r>
      <w:r w:rsidR="00E91D03">
        <w:t>.</w:t>
      </w:r>
      <w:r w:rsidRPr="00181F9E">
        <w:t xml:space="preserve"> </w:t>
      </w:r>
    </w:p>
    <w:p w14:paraId="32D57B66" w14:textId="77777777" w:rsidR="00E91D03" w:rsidRDefault="00181F9E" w:rsidP="00E91D03">
      <w:pPr>
        <w:spacing w:after="0" w:line="360" w:lineRule="auto"/>
        <w:ind w:firstLine="709"/>
      </w:pPr>
      <w:r w:rsidRPr="00181F9E">
        <w:t>3.1. Лакуна в европейских стандартах верификации</w:t>
      </w:r>
      <w:r w:rsidR="00E91D03">
        <w:t>.</w:t>
      </w:r>
      <w:r w:rsidRPr="00181F9E">
        <w:t xml:space="preserve"> Хотя Регламент 2023/1543 определяет процедурные рамки взаимодействия с провайдерами, он остается молчалив в отношении минимальных европейских стандартов для оценки подлинности, целостности и достоверности электронных доказательств (</w:t>
      </w:r>
      <w:proofErr w:type="spellStart"/>
      <w:r w:rsidRPr="00181F9E">
        <w:t>chain</w:t>
      </w:r>
      <w:proofErr w:type="spellEnd"/>
      <w:r w:rsidRPr="00181F9E">
        <w:t xml:space="preserve"> </w:t>
      </w:r>
      <w:proofErr w:type="spellStart"/>
      <w:r w:rsidRPr="00181F9E">
        <w:t>of</w:t>
      </w:r>
      <w:proofErr w:type="spellEnd"/>
      <w:r w:rsidRPr="00181F9E">
        <w:t xml:space="preserve"> </w:t>
      </w:r>
      <w:proofErr w:type="spellStart"/>
      <w:r w:rsidRPr="00181F9E">
        <w:t>custody</w:t>
      </w:r>
      <w:proofErr w:type="spellEnd"/>
      <w:r w:rsidRPr="00181F9E">
        <w:t xml:space="preserve">). </w:t>
      </w:r>
    </w:p>
    <w:p w14:paraId="4F3D7ADA" w14:textId="77777777" w:rsidR="00E91D03" w:rsidRDefault="00181F9E" w:rsidP="00E91D03">
      <w:pPr>
        <w:spacing w:after="0" w:line="360" w:lineRule="auto"/>
        <w:ind w:firstLine="709"/>
      </w:pPr>
      <w:r w:rsidRPr="00181F9E">
        <w:t>Это создает риск асимметрии в судебной практике разных государств-членов: если немецкий суд придерживается строгих криптографических стандартов верификации, то польский или испанский суд может руководствоваться менее строгими критериями [13]</w:t>
      </w:r>
      <w:r w:rsidR="00E91D03">
        <w:t>.</w:t>
      </w:r>
      <w:r w:rsidRPr="00181F9E">
        <w:t xml:space="preserve"> </w:t>
      </w:r>
    </w:p>
    <w:p w14:paraId="5056FFE3" w14:textId="77777777" w:rsidR="00E91D03" w:rsidRDefault="00181F9E" w:rsidP="00E91D03">
      <w:pPr>
        <w:spacing w:after="0" w:line="360" w:lineRule="auto"/>
        <w:ind w:firstLine="709"/>
      </w:pPr>
      <w:r w:rsidRPr="00181F9E">
        <w:t>На практике это означает, что одни и те же цифровые доказательства могут быть признаны допустимыми в одной стране и недопустимыми в другой, что подрывает единство европейского судебного пространства [14]</w:t>
      </w:r>
      <w:r w:rsidR="00E91D03">
        <w:t>.</w:t>
      </w:r>
    </w:p>
    <w:p w14:paraId="7DE7B74F" w14:textId="77777777" w:rsidR="00E91D03" w:rsidRDefault="00181F9E" w:rsidP="00E91D03">
      <w:pPr>
        <w:spacing w:after="0" w:line="360" w:lineRule="auto"/>
        <w:ind w:firstLine="709"/>
      </w:pPr>
      <w:r w:rsidRPr="00181F9E">
        <w:t xml:space="preserve"> 3.2. Риски ИИ и глубокой подделки (</w:t>
      </w:r>
      <w:proofErr w:type="spellStart"/>
      <w:r w:rsidRPr="00181F9E">
        <w:t>deepfakes</w:t>
      </w:r>
      <w:proofErr w:type="spellEnd"/>
      <w:r w:rsidRPr="00181F9E">
        <w:t>) [15]</w:t>
      </w:r>
      <w:r w:rsidR="00E91D03">
        <w:t>.</w:t>
      </w:r>
      <w:r w:rsidRPr="00181F9E">
        <w:t xml:space="preserve"> Согласно исследованиям 2024–2025 годов, поставщики услуг используют ИИ-системы для фильтрации, категоризации и анализа содержимого (например, для выявления CSAM, терроризма, преступного контента). Регламент не требует раскрытия этих алгоритмических методов, что создает риск скрытого </w:t>
      </w:r>
      <w:r w:rsidRPr="00181F9E">
        <w:lastRenderedPageBreak/>
        <w:t xml:space="preserve">вмешательства в уголовное расследование. Одновременно появились новые технологические угрозы: </w:t>
      </w:r>
      <w:proofErr w:type="spellStart"/>
      <w:r w:rsidRPr="00181F9E">
        <w:t>deepfakes</w:t>
      </w:r>
      <w:proofErr w:type="spellEnd"/>
      <w:r w:rsidRPr="00181F9E">
        <w:t xml:space="preserve"> (глубокие подделки видео и аудио), созданные с помощью нейронных сетей, способны имитировать голос и действия реальных лиц с высокой степенью достоверности. </w:t>
      </w:r>
    </w:p>
    <w:p w14:paraId="71AD6FBA" w14:textId="581AA0C7" w:rsidR="00E91D03" w:rsidRDefault="00181F9E" w:rsidP="00E91D03">
      <w:pPr>
        <w:spacing w:after="0" w:line="360" w:lineRule="auto"/>
        <w:ind w:firstLine="709"/>
      </w:pPr>
      <w:r w:rsidRPr="00181F9E">
        <w:t xml:space="preserve">Если такие </w:t>
      </w:r>
      <w:r w:rsidR="00FA4155">
        <w:t>«</w:t>
      </w:r>
      <w:r w:rsidRPr="00181F9E">
        <w:t>доказательства</w:t>
      </w:r>
      <w:r w:rsidR="00FA4155">
        <w:t>»</w:t>
      </w:r>
      <w:r w:rsidRPr="00181F9E">
        <w:t xml:space="preserve"> попадут в судебный процесс без надлежащей верификации и криптографической аутентификации, это может привести к судебным ошибкам [16]</w:t>
      </w:r>
      <w:r w:rsidR="00E91D03">
        <w:t>.</w:t>
      </w:r>
      <w:r w:rsidRPr="00181F9E">
        <w:t xml:space="preserve"> </w:t>
      </w:r>
    </w:p>
    <w:p w14:paraId="286F38B8" w14:textId="77777777" w:rsidR="00E91D03" w:rsidRDefault="00181F9E" w:rsidP="00E91D03">
      <w:pPr>
        <w:spacing w:after="0" w:line="360" w:lineRule="auto"/>
        <w:ind w:firstLine="709"/>
      </w:pPr>
      <w:r w:rsidRPr="00181F9E">
        <w:t>3.3. Процедурные гарантии обвиняемого</w:t>
      </w:r>
      <w:r w:rsidR="00E91D03">
        <w:t>.</w:t>
      </w:r>
      <w:r w:rsidRPr="00181F9E">
        <w:t xml:space="preserve"> Согласно GDPR </w:t>
      </w:r>
      <w:proofErr w:type="spellStart"/>
      <w:r w:rsidRPr="00181F9E">
        <w:t>Article</w:t>
      </w:r>
      <w:proofErr w:type="spellEnd"/>
      <w:r w:rsidRPr="00181F9E">
        <w:t xml:space="preserve"> 22 и ECHR </w:t>
      </w:r>
      <w:proofErr w:type="spellStart"/>
      <w:r w:rsidRPr="00181F9E">
        <w:t>Article</w:t>
      </w:r>
      <w:proofErr w:type="spellEnd"/>
      <w:r w:rsidRPr="00181F9E">
        <w:t xml:space="preserve"> 6, обвиняемый имеет право: </w:t>
      </w:r>
      <w:r w:rsidR="00E91D03">
        <w:t>з</w:t>
      </w:r>
      <w:r w:rsidRPr="00181F9E">
        <w:t xml:space="preserve">нать методы анализа его данных; </w:t>
      </w:r>
      <w:r w:rsidR="00E91D03">
        <w:t>о</w:t>
      </w:r>
      <w:r w:rsidRPr="00181F9E">
        <w:t xml:space="preserve">спорить результаты автоматизированной обработки; </w:t>
      </w:r>
      <w:r w:rsidR="00E91D03">
        <w:t>т</w:t>
      </w:r>
      <w:r w:rsidRPr="00181F9E">
        <w:t>ребовать человеческого пересмотра автоматизированных решений [17]</w:t>
      </w:r>
      <w:r w:rsidR="00E91D03">
        <w:t>;</w:t>
      </w:r>
      <w:r w:rsidRPr="00181F9E">
        <w:t xml:space="preserve"> </w:t>
      </w:r>
      <w:r w:rsidR="00E91D03">
        <w:t>и</w:t>
      </w:r>
      <w:r w:rsidRPr="00181F9E">
        <w:t>меть равные средства защиты (</w:t>
      </w:r>
      <w:proofErr w:type="spellStart"/>
      <w:r w:rsidRPr="00181F9E">
        <w:t>equality</w:t>
      </w:r>
      <w:proofErr w:type="spellEnd"/>
      <w:r w:rsidRPr="00181F9E">
        <w:t xml:space="preserve"> </w:t>
      </w:r>
      <w:proofErr w:type="spellStart"/>
      <w:r w:rsidRPr="00181F9E">
        <w:t>of</w:t>
      </w:r>
      <w:proofErr w:type="spellEnd"/>
      <w:r w:rsidRPr="00181F9E">
        <w:t xml:space="preserve"> </w:t>
      </w:r>
      <w:proofErr w:type="spellStart"/>
      <w:r w:rsidRPr="00181F9E">
        <w:t>arms</w:t>
      </w:r>
      <w:proofErr w:type="spellEnd"/>
      <w:r w:rsidRPr="00181F9E">
        <w:t xml:space="preserve">) при опровержении цифровых доказательств. </w:t>
      </w:r>
    </w:p>
    <w:p w14:paraId="241A6DB9" w14:textId="77777777" w:rsidR="00E91D03" w:rsidRDefault="00181F9E" w:rsidP="00E91D03">
      <w:pPr>
        <w:spacing w:after="0" w:line="360" w:lineRule="auto"/>
        <w:ind w:firstLine="709"/>
      </w:pPr>
      <w:r w:rsidRPr="00181F9E">
        <w:t xml:space="preserve">Регламент 2023/1543 не полностью учитывает эти гарантии, предоставляя поставщикам услуг значительную свободу в описании методов сбора и передачи данных. </w:t>
      </w:r>
    </w:p>
    <w:p w14:paraId="0C4261C1" w14:textId="77777777" w:rsidR="00E91D03" w:rsidRDefault="00181F9E" w:rsidP="00E91D03">
      <w:pPr>
        <w:spacing w:after="0" w:line="360" w:lineRule="auto"/>
        <w:ind w:firstLine="709"/>
      </w:pPr>
      <w:r w:rsidRPr="00181F9E">
        <w:t>4. Национальная имплементация: вызовы и проблемы согласованности</w:t>
      </w:r>
      <w:r w:rsidR="00E91D03">
        <w:t>.</w:t>
      </w:r>
      <w:r w:rsidRPr="00181F9E">
        <w:t xml:space="preserve"> </w:t>
      </w:r>
    </w:p>
    <w:p w14:paraId="0CA82A74" w14:textId="344D545F" w:rsidR="00E91D03" w:rsidRDefault="00181F9E" w:rsidP="00E91D03">
      <w:pPr>
        <w:spacing w:after="0" w:line="360" w:lineRule="auto"/>
        <w:ind w:firstLine="709"/>
      </w:pPr>
      <w:r w:rsidRPr="00181F9E">
        <w:t>4.1. Пример Польши и проблема эквивалентности</w:t>
      </w:r>
      <w:r w:rsidR="00520CFA">
        <w:t xml:space="preserve"> </w:t>
      </w:r>
      <w:r w:rsidRPr="00181F9E">
        <w:t>[18]</w:t>
      </w:r>
      <w:r w:rsidR="00E91D03">
        <w:t>.</w:t>
      </w:r>
      <w:r w:rsidRPr="00181F9E">
        <w:t xml:space="preserve"> Анализ национального законодательства, в частности Польши, выявляет системные проблемы имплементации. Польское уголовное процессуальное право содержит специфические требования к наделению полномочиями национальных органов по запросам данных от провайдеров. </w:t>
      </w:r>
    </w:p>
    <w:p w14:paraId="266242EA" w14:textId="15AA9CFA" w:rsidR="00520CFA" w:rsidRDefault="00181F9E" w:rsidP="00520CFA">
      <w:pPr>
        <w:spacing w:after="0" w:line="360" w:lineRule="auto"/>
        <w:ind w:firstLine="709"/>
      </w:pPr>
      <w:r w:rsidRPr="00181F9E">
        <w:t>Однако Регламент 2023/1543 прямого применения требует, чтобы польский суд выдавал EPO иностранным провайдерам на тех же условиях, что и национальным. Это требует не просто рецепции, а радикального пересмотра польского процессуального кодекса</w:t>
      </w:r>
      <w:r w:rsidR="00520CFA">
        <w:t xml:space="preserve"> </w:t>
      </w:r>
      <w:r w:rsidRPr="00181F9E">
        <w:t>[19]</w:t>
      </w:r>
      <w:r w:rsidR="00520CFA">
        <w:t>.</w:t>
      </w:r>
      <w:r w:rsidRPr="00181F9E">
        <w:t xml:space="preserve"> </w:t>
      </w:r>
    </w:p>
    <w:p w14:paraId="30F47347" w14:textId="5912DC49" w:rsidR="00520CFA" w:rsidRDefault="00181F9E" w:rsidP="00520CFA">
      <w:pPr>
        <w:spacing w:after="0" w:line="360" w:lineRule="auto"/>
        <w:ind w:firstLine="709"/>
      </w:pPr>
      <w:r w:rsidRPr="00181F9E">
        <w:t>4.2. Молчание регламента о критериях допустимости</w:t>
      </w:r>
      <w:r w:rsidR="00520CFA">
        <w:t>.</w:t>
      </w:r>
      <w:r w:rsidRPr="00181F9E">
        <w:t xml:space="preserve"> Несмотря на то</w:t>
      </w:r>
      <w:r w:rsidR="00520CFA">
        <w:t>,</w:t>
      </w:r>
      <w:r w:rsidRPr="00181F9E">
        <w:t xml:space="preserve"> что Регламент имеет прямое применение во всех государствах-членах, он оставляет на их усмотрение финальную оценку допустимости полученных через EPO/</w:t>
      </w:r>
      <w:proofErr w:type="spellStart"/>
      <w:r w:rsidRPr="00181F9E">
        <w:t>EPrO</w:t>
      </w:r>
      <w:proofErr w:type="spellEnd"/>
      <w:r w:rsidRPr="00181F9E">
        <w:t xml:space="preserve"> доказательств согласно внутреннему уголовному процессу</w:t>
      </w:r>
      <w:r w:rsidR="00520CFA">
        <w:t xml:space="preserve"> </w:t>
      </w:r>
      <w:r w:rsidRPr="00181F9E">
        <w:lastRenderedPageBreak/>
        <w:t>[20]</w:t>
      </w:r>
      <w:r w:rsidR="00520CFA">
        <w:t>.</w:t>
      </w:r>
      <w:r w:rsidRPr="00181F9E">
        <w:t xml:space="preserve"> Это создает парадокс: единая процедура получения, но разнородные стандарты оценки допустимости. </w:t>
      </w:r>
    </w:p>
    <w:p w14:paraId="2E906B0B" w14:textId="1516EBF4" w:rsidR="00520CFA" w:rsidRDefault="00181F9E" w:rsidP="00520CFA">
      <w:pPr>
        <w:spacing w:after="0" w:line="360" w:lineRule="auto"/>
        <w:ind w:firstLine="709"/>
      </w:pPr>
      <w:r w:rsidRPr="00181F9E">
        <w:t xml:space="preserve">4.3. Феномен </w:t>
      </w:r>
      <w:r w:rsidR="00FA4155">
        <w:t>«</w:t>
      </w:r>
      <w:r w:rsidRPr="00181F9E">
        <w:t>отравленного плода</w:t>
      </w:r>
      <w:r w:rsidR="00FA4155">
        <w:t>»</w:t>
      </w:r>
      <w:r w:rsidRPr="00181F9E">
        <w:t xml:space="preserve"> (</w:t>
      </w:r>
      <w:proofErr w:type="spellStart"/>
      <w:r w:rsidRPr="00181F9E">
        <w:t>fruits</w:t>
      </w:r>
      <w:proofErr w:type="spellEnd"/>
      <w:r w:rsidRPr="00181F9E">
        <w:t xml:space="preserve"> </w:t>
      </w:r>
      <w:proofErr w:type="spellStart"/>
      <w:r w:rsidRPr="00181F9E">
        <w:t>of</w:t>
      </w:r>
      <w:proofErr w:type="spellEnd"/>
      <w:r w:rsidRPr="00181F9E">
        <w:t xml:space="preserve"> </w:t>
      </w:r>
      <w:proofErr w:type="spellStart"/>
      <w:r w:rsidRPr="00181F9E">
        <w:t>the</w:t>
      </w:r>
      <w:proofErr w:type="spellEnd"/>
      <w:r w:rsidRPr="00181F9E">
        <w:t xml:space="preserve"> </w:t>
      </w:r>
      <w:proofErr w:type="spellStart"/>
      <w:r w:rsidRPr="00181F9E">
        <w:t>poisoned</w:t>
      </w:r>
      <w:proofErr w:type="spellEnd"/>
      <w:r w:rsidRPr="00181F9E">
        <w:t xml:space="preserve"> </w:t>
      </w:r>
      <w:proofErr w:type="spellStart"/>
      <w:r w:rsidRPr="00181F9E">
        <w:t>tree</w:t>
      </w:r>
      <w:proofErr w:type="spellEnd"/>
      <w:r w:rsidRPr="00181F9E">
        <w:t>)</w:t>
      </w:r>
      <w:r w:rsidR="00520CFA">
        <w:t>.</w:t>
      </w:r>
      <w:r w:rsidRPr="00181F9E">
        <w:t xml:space="preserve"> Если в исполняющем государстве способ получения данных был незаконен согласно его национальному праву, полученные доказательства должны быть исключены не только в исполняющем, но и в запрашивающем государстве</w:t>
      </w:r>
      <w:r w:rsidR="00520CFA">
        <w:t xml:space="preserve"> </w:t>
      </w:r>
      <w:r w:rsidRPr="00181F9E">
        <w:t>[21]</w:t>
      </w:r>
      <w:r w:rsidR="00520CFA">
        <w:t>.</w:t>
      </w:r>
      <w:r w:rsidRPr="00181F9E">
        <w:t xml:space="preserve"> </w:t>
      </w:r>
    </w:p>
    <w:p w14:paraId="1BA7201C" w14:textId="77777777" w:rsidR="00520CFA" w:rsidRDefault="00181F9E" w:rsidP="00520CFA">
      <w:pPr>
        <w:spacing w:after="0" w:line="360" w:lineRule="auto"/>
        <w:ind w:firstLine="709"/>
      </w:pPr>
      <w:r w:rsidRPr="00181F9E">
        <w:t xml:space="preserve">Однако механизм информирования об этом и процедура проверки недостаточно регламентированы, что создает риск прохождения недопустимых доказательств через судебный процесс. </w:t>
      </w:r>
    </w:p>
    <w:p w14:paraId="4553E491" w14:textId="5F582D44" w:rsidR="00520CFA" w:rsidRDefault="00181F9E" w:rsidP="00181F9E">
      <w:pPr>
        <w:spacing w:line="360" w:lineRule="auto"/>
        <w:ind w:firstLine="709"/>
      </w:pPr>
      <w:r w:rsidRPr="00181F9E">
        <w:t>5. Стандарты для оценки цифровых доказательств в национальных судах</w:t>
      </w:r>
      <w:r w:rsidR="0072360A">
        <w:t xml:space="preserve">. </w:t>
      </w:r>
      <w:r w:rsidRPr="00181F9E">
        <w:t xml:space="preserve"> На основе анализа судебной практики, международных норм и директив DFRWS EU рекомендуются следующие минимальные европейские стандарты для оценки допустимости цифровых </w:t>
      </w:r>
      <w:r w:rsidR="00520CFA">
        <w:t>доказательств</w:t>
      </w:r>
      <w:r w:rsidRPr="00181F9E">
        <w:t xml:space="preserve">: </w:t>
      </w:r>
    </w:p>
    <w:tbl>
      <w:tblPr>
        <w:tblStyle w:val="af2"/>
        <w:tblW w:w="0" w:type="auto"/>
        <w:tblLook w:val="04A0" w:firstRow="1" w:lastRow="0" w:firstColumn="1" w:lastColumn="0" w:noHBand="0" w:noVBand="1"/>
      </w:tblPr>
      <w:tblGrid>
        <w:gridCol w:w="3115"/>
        <w:gridCol w:w="3115"/>
        <w:gridCol w:w="3115"/>
      </w:tblGrid>
      <w:tr w:rsidR="00910963" w:rsidRPr="00014A10" w14:paraId="0780A26A" w14:textId="77777777" w:rsidTr="00910963">
        <w:tc>
          <w:tcPr>
            <w:tcW w:w="3115" w:type="dxa"/>
          </w:tcPr>
          <w:p w14:paraId="2F014F1D" w14:textId="1087117E" w:rsidR="00910963" w:rsidRPr="00014A10" w:rsidRDefault="00910963" w:rsidP="00014A10">
            <w:pPr>
              <w:jc w:val="center"/>
              <w:rPr>
                <w:b/>
                <w:bCs/>
                <w:sz w:val="24"/>
              </w:rPr>
            </w:pPr>
            <w:r w:rsidRPr="00014A10">
              <w:rPr>
                <w:b/>
                <w:bCs/>
                <w:sz w:val="24"/>
              </w:rPr>
              <w:t>Критерий</w:t>
            </w:r>
          </w:p>
        </w:tc>
        <w:tc>
          <w:tcPr>
            <w:tcW w:w="3115" w:type="dxa"/>
          </w:tcPr>
          <w:p w14:paraId="6044D005" w14:textId="66EA5DB1" w:rsidR="00910963" w:rsidRPr="00014A10" w:rsidRDefault="00910963" w:rsidP="00014A10">
            <w:pPr>
              <w:jc w:val="center"/>
              <w:rPr>
                <w:b/>
                <w:bCs/>
                <w:sz w:val="24"/>
              </w:rPr>
            </w:pPr>
            <w:r w:rsidRPr="00014A10">
              <w:rPr>
                <w:b/>
                <w:bCs/>
                <w:sz w:val="24"/>
              </w:rPr>
              <w:t>Требование</w:t>
            </w:r>
          </w:p>
        </w:tc>
        <w:tc>
          <w:tcPr>
            <w:tcW w:w="3115" w:type="dxa"/>
          </w:tcPr>
          <w:p w14:paraId="4AED2A68" w14:textId="4753F313" w:rsidR="00910963" w:rsidRPr="00014A10" w:rsidRDefault="00910963" w:rsidP="00014A10">
            <w:pPr>
              <w:jc w:val="center"/>
              <w:rPr>
                <w:b/>
                <w:bCs/>
                <w:sz w:val="24"/>
              </w:rPr>
            </w:pPr>
            <w:r w:rsidRPr="00014A10">
              <w:rPr>
                <w:b/>
                <w:bCs/>
                <w:sz w:val="24"/>
              </w:rPr>
              <w:t>Инструменты реализации</w:t>
            </w:r>
          </w:p>
        </w:tc>
      </w:tr>
      <w:tr w:rsidR="00910963" w:rsidRPr="00014A10" w14:paraId="31B7426B" w14:textId="77777777" w:rsidTr="00910963">
        <w:tc>
          <w:tcPr>
            <w:tcW w:w="3115" w:type="dxa"/>
          </w:tcPr>
          <w:p w14:paraId="6CE36CAF" w14:textId="01A41EE9" w:rsidR="00910963" w:rsidRPr="00014A10" w:rsidRDefault="00910963" w:rsidP="00014A10">
            <w:pPr>
              <w:rPr>
                <w:sz w:val="24"/>
              </w:rPr>
            </w:pPr>
            <w:r w:rsidRPr="00014A10">
              <w:rPr>
                <w:sz w:val="24"/>
              </w:rPr>
              <w:t>Подлинность</w:t>
            </w:r>
          </w:p>
        </w:tc>
        <w:tc>
          <w:tcPr>
            <w:tcW w:w="3115" w:type="dxa"/>
          </w:tcPr>
          <w:p w14:paraId="6BCD6DE8" w14:textId="6B4F4D5D" w:rsidR="00910963" w:rsidRPr="00014A10" w:rsidRDefault="00910963" w:rsidP="00014A10">
            <w:pPr>
              <w:rPr>
                <w:sz w:val="24"/>
              </w:rPr>
            </w:pPr>
            <w:r w:rsidRPr="00014A10">
              <w:rPr>
                <w:sz w:val="24"/>
              </w:rPr>
              <w:t>Документированное доказательство, что данные получены от истинного источника</w:t>
            </w:r>
          </w:p>
        </w:tc>
        <w:tc>
          <w:tcPr>
            <w:tcW w:w="3115" w:type="dxa"/>
          </w:tcPr>
          <w:p w14:paraId="42FE52B2" w14:textId="4129265D" w:rsidR="00910963" w:rsidRPr="00014A10" w:rsidRDefault="00014A10" w:rsidP="00014A10">
            <w:pPr>
              <w:rPr>
                <w:sz w:val="24"/>
              </w:rPr>
            </w:pPr>
            <w:r w:rsidRPr="00014A10">
              <w:rPr>
                <w:sz w:val="24"/>
              </w:rPr>
              <w:t>Сертификат от провайдера, цифровые подписи, криптографические отпечатки</w:t>
            </w:r>
          </w:p>
        </w:tc>
      </w:tr>
      <w:tr w:rsidR="00910963" w:rsidRPr="00014A10" w14:paraId="02E2C5A6" w14:textId="77777777" w:rsidTr="00910963">
        <w:tc>
          <w:tcPr>
            <w:tcW w:w="3115" w:type="dxa"/>
          </w:tcPr>
          <w:p w14:paraId="5E7BCED9" w14:textId="3117B38B" w:rsidR="00910963" w:rsidRPr="00014A10" w:rsidRDefault="00910963" w:rsidP="00014A10">
            <w:pPr>
              <w:rPr>
                <w:sz w:val="24"/>
              </w:rPr>
            </w:pPr>
            <w:proofErr w:type="spellStart"/>
            <w:r w:rsidRPr="00014A10">
              <w:rPr>
                <w:sz w:val="24"/>
              </w:rPr>
              <w:t>Интегритет</w:t>
            </w:r>
            <w:proofErr w:type="spellEnd"/>
          </w:p>
        </w:tc>
        <w:tc>
          <w:tcPr>
            <w:tcW w:w="3115" w:type="dxa"/>
          </w:tcPr>
          <w:p w14:paraId="4EBB3BB7" w14:textId="53F9522D" w:rsidR="00910963" w:rsidRPr="00014A10" w:rsidRDefault="00014A10" w:rsidP="00014A10">
            <w:pPr>
              <w:rPr>
                <w:sz w:val="24"/>
              </w:rPr>
            </w:pPr>
            <w:r w:rsidRPr="00014A10">
              <w:rPr>
                <w:sz w:val="24"/>
              </w:rPr>
              <w:t>Целостность данных при передаче и хранении</w:t>
            </w:r>
          </w:p>
        </w:tc>
        <w:tc>
          <w:tcPr>
            <w:tcW w:w="3115" w:type="dxa"/>
          </w:tcPr>
          <w:p w14:paraId="7FEEAFFF" w14:textId="3AB132BF" w:rsidR="00910963" w:rsidRPr="00014A10" w:rsidRDefault="00014A10" w:rsidP="00014A10">
            <w:pPr>
              <w:rPr>
                <w:sz w:val="24"/>
              </w:rPr>
            </w:pPr>
            <w:r w:rsidRPr="00014A10">
              <w:rPr>
                <w:sz w:val="24"/>
              </w:rPr>
              <w:t>Хеш-суммы файлов, криптографические печати, регистры доступа</w:t>
            </w:r>
          </w:p>
        </w:tc>
      </w:tr>
      <w:tr w:rsidR="00910963" w:rsidRPr="00014A10" w14:paraId="206929C5" w14:textId="77777777" w:rsidTr="00910963">
        <w:tc>
          <w:tcPr>
            <w:tcW w:w="3115" w:type="dxa"/>
          </w:tcPr>
          <w:p w14:paraId="7093BD9B" w14:textId="764399D9" w:rsidR="00910963" w:rsidRPr="00014A10" w:rsidRDefault="00910963" w:rsidP="00014A10">
            <w:pPr>
              <w:rPr>
                <w:sz w:val="24"/>
              </w:rPr>
            </w:pPr>
            <w:r w:rsidRPr="00014A10">
              <w:rPr>
                <w:sz w:val="24"/>
              </w:rPr>
              <w:t>Цепь хранения</w:t>
            </w:r>
          </w:p>
        </w:tc>
        <w:tc>
          <w:tcPr>
            <w:tcW w:w="3115" w:type="dxa"/>
          </w:tcPr>
          <w:p w14:paraId="6EDDDDF7" w14:textId="562F3BD8" w:rsidR="00910963" w:rsidRPr="00014A10" w:rsidRDefault="00014A10" w:rsidP="00014A10">
            <w:pPr>
              <w:rPr>
                <w:sz w:val="24"/>
              </w:rPr>
            </w:pPr>
            <w:r w:rsidRPr="00014A10">
              <w:rPr>
                <w:sz w:val="24"/>
              </w:rPr>
              <w:t>Полная документированная история доступа, модификации, передачи</w:t>
            </w:r>
          </w:p>
        </w:tc>
        <w:tc>
          <w:tcPr>
            <w:tcW w:w="3115" w:type="dxa"/>
          </w:tcPr>
          <w:p w14:paraId="509933E8" w14:textId="30BC0416" w:rsidR="00910963" w:rsidRPr="00014A10" w:rsidRDefault="00014A10" w:rsidP="00014A10">
            <w:pPr>
              <w:rPr>
                <w:sz w:val="24"/>
              </w:rPr>
            </w:pPr>
            <w:r w:rsidRPr="00014A10">
              <w:rPr>
                <w:sz w:val="24"/>
              </w:rPr>
              <w:t>Журналы аудита, временные метки, подписание каждого этапа</w:t>
            </w:r>
          </w:p>
        </w:tc>
      </w:tr>
      <w:tr w:rsidR="00910963" w:rsidRPr="00014A10" w14:paraId="2BD2CCAD" w14:textId="77777777" w:rsidTr="00910963">
        <w:tc>
          <w:tcPr>
            <w:tcW w:w="3115" w:type="dxa"/>
          </w:tcPr>
          <w:p w14:paraId="2E460ED0" w14:textId="5580CA95" w:rsidR="00910963" w:rsidRPr="00014A10" w:rsidRDefault="00910963" w:rsidP="00014A10">
            <w:pPr>
              <w:rPr>
                <w:sz w:val="24"/>
              </w:rPr>
            </w:pPr>
            <w:r w:rsidRPr="00014A10">
              <w:rPr>
                <w:sz w:val="24"/>
              </w:rPr>
              <w:t>Аутентификация источника</w:t>
            </w:r>
          </w:p>
        </w:tc>
        <w:tc>
          <w:tcPr>
            <w:tcW w:w="3115" w:type="dxa"/>
          </w:tcPr>
          <w:p w14:paraId="50B30A51" w14:textId="5739DE1C" w:rsidR="00910963" w:rsidRPr="00014A10" w:rsidRDefault="00014A10" w:rsidP="00014A10">
            <w:pPr>
              <w:rPr>
                <w:sz w:val="24"/>
              </w:rPr>
            </w:pPr>
            <w:r w:rsidRPr="00014A10">
              <w:rPr>
                <w:sz w:val="24"/>
              </w:rPr>
              <w:t>Убедительное доказательство принадлежности данных подозреваемому лицу</w:t>
            </w:r>
          </w:p>
        </w:tc>
        <w:tc>
          <w:tcPr>
            <w:tcW w:w="3115" w:type="dxa"/>
          </w:tcPr>
          <w:p w14:paraId="7F9FAD93" w14:textId="52768D8C" w:rsidR="00910963" w:rsidRPr="00014A10" w:rsidRDefault="00014A10" w:rsidP="00014A10">
            <w:pPr>
              <w:rPr>
                <w:sz w:val="24"/>
              </w:rPr>
            </w:pPr>
            <w:r w:rsidRPr="00014A10">
              <w:rPr>
                <w:sz w:val="24"/>
              </w:rPr>
              <w:t xml:space="preserve">Биометрические данные, </w:t>
            </w:r>
            <w:r w:rsidRPr="00014A10">
              <w:rPr>
                <w:sz w:val="24"/>
                <w:lang w:val="en-US"/>
              </w:rPr>
              <w:t>IP</w:t>
            </w:r>
            <w:r w:rsidRPr="00014A10">
              <w:rPr>
                <w:sz w:val="24"/>
              </w:rPr>
              <w:t>-адреса, метаданные файлов</w:t>
            </w:r>
          </w:p>
        </w:tc>
      </w:tr>
      <w:tr w:rsidR="00910963" w:rsidRPr="00014A10" w14:paraId="2E59DFC1" w14:textId="77777777" w:rsidTr="00910963">
        <w:tc>
          <w:tcPr>
            <w:tcW w:w="3115" w:type="dxa"/>
          </w:tcPr>
          <w:p w14:paraId="2F67224A" w14:textId="52C09F25" w:rsidR="00910963" w:rsidRPr="00014A10" w:rsidRDefault="00910963" w:rsidP="00014A10">
            <w:pPr>
              <w:rPr>
                <w:sz w:val="24"/>
              </w:rPr>
            </w:pPr>
            <w:r w:rsidRPr="00014A10">
              <w:rPr>
                <w:sz w:val="24"/>
              </w:rPr>
              <w:t>Прозрачность методов</w:t>
            </w:r>
          </w:p>
        </w:tc>
        <w:tc>
          <w:tcPr>
            <w:tcW w:w="3115" w:type="dxa"/>
          </w:tcPr>
          <w:p w14:paraId="229B48ED" w14:textId="6C8AA1C0" w:rsidR="00910963" w:rsidRPr="00014A10" w:rsidRDefault="00014A10" w:rsidP="00014A10">
            <w:pPr>
              <w:rPr>
                <w:sz w:val="24"/>
              </w:rPr>
            </w:pPr>
            <w:r w:rsidRPr="00014A10">
              <w:rPr>
                <w:sz w:val="24"/>
              </w:rPr>
              <w:t>Раскрытие алгоритмических и аналитических методов</w:t>
            </w:r>
          </w:p>
        </w:tc>
        <w:tc>
          <w:tcPr>
            <w:tcW w:w="3115" w:type="dxa"/>
          </w:tcPr>
          <w:p w14:paraId="3A496FFC" w14:textId="1202D8E9" w:rsidR="00910963" w:rsidRPr="00014A10" w:rsidRDefault="00014A10" w:rsidP="00014A10">
            <w:pPr>
              <w:rPr>
                <w:sz w:val="24"/>
              </w:rPr>
            </w:pPr>
            <w:r w:rsidRPr="00014A10">
              <w:rPr>
                <w:sz w:val="24"/>
              </w:rPr>
              <w:t>Технические описания, испытание на воспроизводимость</w:t>
            </w:r>
          </w:p>
        </w:tc>
      </w:tr>
      <w:tr w:rsidR="00910963" w:rsidRPr="00014A10" w14:paraId="0057E79C" w14:textId="77777777" w:rsidTr="00910963">
        <w:tc>
          <w:tcPr>
            <w:tcW w:w="3115" w:type="dxa"/>
          </w:tcPr>
          <w:p w14:paraId="343D6F42" w14:textId="2FEA38B7" w:rsidR="00910963" w:rsidRPr="00014A10" w:rsidRDefault="00910963" w:rsidP="00014A10">
            <w:pPr>
              <w:rPr>
                <w:sz w:val="24"/>
              </w:rPr>
            </w:pPr>
            <w:proofErr w:type="spellStart"/>
            <w:r w:rsidRPr="00014A10">
              <w:rPr>
                <w:sz w:val="24"/>
              </w:rPr>
              <w:t>Оспоримость</w:t>
            </w:r>
            <w:proofErr w:type="spellEnd"/>
          </w:p>
        </w:tc>
        <w:tc>
          <w:tcPr>
            <w:tcW w:w="3115" w:type="dxa"/>
          </w:tcPr>
          <w:p w14:paraId="33E2061A" w14:textId="0F261393" w:rsidR="00910963" w:rsidRPr="00014A10" w:rsidRDefault="00014A10" w:rsidP="00014A10">
            <w:pPr>
              <w:rPr>
                <w:sz w:val="24"/>
              </w:rPr>
            </w:pPr>
            <w:r w:rsidRPr="00014A10">
              <w:rPr>
                <w:sz w:val="24"/>
              </w:rPr>
              <w:t xml:space="preserve">Право ответчика вызывать экспертов для </w:t>
            </w:r>
            <w:proofErr w:type="spellStart"/>
            <w:r w:rsidRPr="00014A10">
              <w:rPr>
                <w:sz w:val="24"/>
              </w:rPr>
              <w:t>переанализа</w:t>
            </w:r>
            <w:proofErr w:type="spellEnd"/>
          </w:p>
        </w:tc>
        <w:tc>
          <w:tcPr>
            <w:tcW w:w="3115" w:type="dxa"/>
          </w:tcPr>
          <w:p w14:paraId="0110E618" w14:textId="432904D4" w:rsidR="00910963" w:rsidRPr="00014A10" w:rsidRDefault="00014A10" w:rsidP="00014A10">
            <w:pPr>
              <w:rPr>
                <w:sz w:val="24"/>
              </w:rPr>
            </w:pPr>
            <w:r w:rsidRPr="00014A10">
              <w:rPr>
                <w:sz w:val="24"/>
              </w:rPr>
              <w:t>Судебная экспертиза, возможность независимой проверки</w:t>
            </w:r>
          </w:p>
        </w:tc>
      </w:tr>
    </w:tbl>
    <w:p w14:paraId="0E8554CC" w14:textId="77777777" w:rsidR="00910963" w:rsidRDefault="00910963" w:rsidP="00181F9E">
      <w:pPr>
        <w:spacing w:line="360" w:lineRule="auto"/>
        <w:ind w:firstLine="709"/>
      </w:pPr>
    </w:p>
    <w:p w14:paraId="09933072" w14:textId="77777777" w:rsidR="00014A10" w:rsidRDefault="00181F9E" w:rsidP="00D21C0E">
      <w:pPr>
        <w:spacing w:after="0" w:line="360" w:lineRule="auto"/>
        <w:ind w:firstLine="709"/>
      </w:pPr>
      <w:r w:rsidRPr="00181F9E">
        <w:t>6. Сравнение с российским уголовным процессом</w:t>
      </w:r>
      <w:r w:rsidR="00014A10">
        <w:t>.</w:t>
      </w:r>
      <w:r w:rsidRPr="00181F9E">
        <w:t xml:space="preserve"> Российский уголовный процесс, регламентируемый УПК РФ, предусматривает систему </w:t>
      </w:r>
      <w:r w:rsidRPr="00181F9E">
        <w:lastRenderedPageBreak/>
        <w:t>доказательств, включающую и электронные данные</w:t>
      </w:r>
      <w:r w:rsidR="00014A10">
        <w:t xml:space="preserve"> </w:t>
      </w:r>
      <w:r w:rsidRPr="00181F9E">
        <w:t>[22]</w:t>
      </w:r>
      <w:r w:rsidR="00014A10">
        <w:t>.</w:t>
      </w:r>
      <w:r w:rsidRPr="00181F9E">
        <w:t xml:space="preserve"> Однако у российского подхода есть существенные отличия от европейского: </w:t>
      </w:r>
    </w:p>
    <w:p w14:paraId="2BA42DDA" w14:textId="12F76004" w:rsidR="00520CFA" w:rsidRDefault="00181F9E" w:rsidP="00D21C0E">
      <w:pPr>
        <w:spacing w:after="0" w:line="360" w:lineRule="auto"/>
        <w:ind w:firstLine="709"/>
      </w:pPr>
      <w:r w:rsidRPr="00181F9E">
        <w:t>1. Централизованный контроль: УПК РФ предоставляет следователю широкие полномочия в получении доказательств, при этом судебный контроль происходит на более поздних стадиях</w:t>
      </w:r>
      <w:r w:rsidR="00D21C0E">
        <w:t xml:space="preserve"> </w:t>
      </w:r>
      <w:r w:rsidRPr="00181F9E">
        <w:t>[23]</w:t>
      </w:r>
      <w:r w:rsidR="00D21C0E">
        <w:t>.</w:t>
      </w:r>
      <w:r w:rsidRPr="00181F9E">
        <w:t xml:space="preserve"> </w:t>
      </w:r>
    </w:p>
    <w:p w14:paraId="46F78224" w14:textId="6A4354E6" w:rsidR="00520CFA" w:rsidRDefault="00181F9E" w:rsidP="00D21C0E">
      <w:pPr>
        <w:spacing w:after="0" w:line="360" w:lineRule="auto"/>
        <w:ind w:firstLine="709"/>
      </w:pPr>
      <w:r w:rsidRPr="00181F9E">
        <w:t>2. Механизм международного запроса: Россия использует инструменты взаимной правовой помощи (каналы МВД, МИД), а не прямого обращения судов к коммерческим провайдерам [24]</w:t>
      </w:r>
      <w:r w:rsidR="00D21C0E">
        <w:t>.</w:t>
      </w:r>
      <w:r w:rsidRPr="00181F9E">
        <w:t xml:space="preserve"> </w:t>
      </w:r>
    </w:p>
    <w:p w14:paraId="3F7BB653" w14:textId="48EE4322" w:rsidR="00520CFA" w:rsidRDefault="00181F9E" w:rsidP="00D21C0E">
      <w:pPr>
        <w:spacing w:after="0" w:line="360" w:lineRule="auto"/>
        <w:ind w:firstLine="709"/>
      </w:pPr>
      <w:r w:rsidRPr="00181F9E">
        <w:t xml:space="preserve">3. Защита информации: </w:t>
      </w:r>
      <w:r w:rsidR="00D21C0E">
        <w:t>р</w:t>
      </w:r>
      <w:r w:rsidRPr="00181F9E">
        <w:t>оссийское законодательство о защите персональных данных и государственной тайне более строго ограничивает доступ иностранных органов к цифровым данным</w:t>
      </w:r>
      <w:r w:rsidR="00D21C0E">
        <w:t xml:space="preserve"> </w:t>
      </w:r>
      <w:r w:rsidRPr="00181F9E">
        <w:t>[25]</w:t>
      </w:r>
      <w:r w:rsidR="00520CFA">
        <w:t>.</w:t>
      </w:r>
      <w:r w:rsidRPr="00181F9E">
        <w:t xml:space="preserve"> </w:t>
      </w:r>
    </w:p>
    <w:p w14:paraId="18E8EED0" w14:textId="77777777" w:rsidR="00520CFA" w:rsidRDefault="00181F9E" w:rsidP="00D21C0E">
      <w:pPr>
        <w:spacing w:after="0" w:line="360" w:lineRule="auto"/>
        <w:ind w:firstLine="709"/>
      </w:pPr>
      <w:r w:rsidRPr="00181F9E">
        <w:t xml:space="preserve">Опыт ЕС демонстрирует, что переход на модель прямого доступа требует пересмотра баланса между эффективностью расследований и судебными гарантиями, что может быть полезно при развитии российского законодательства в области цифровой криминалистики. </w:t>
      </w:r>
    </w:p>
    <w:p w14:paraId="3B173737" w14:textId="77777777" w:rsidR="00D21C0E" w:rsidRDefault="00181F9E" w:rsidP="00D21C0E">
      <w:pPr>
        <w:spacing w:after="0" w:line="360" w:lineRule="auto"/>
        <w:ind w:firstLine="709"/>
      </w:pPr>
      <w:r w:rsidRPr="00181F9E">
        <w:t>7. Заключение и рекомендации</w:t>
      </w:r>
      <w:r w:rsidR="00D21C0E">
        <w:t>.</w:t>
      </w:r>
      <w:r w:rsidRPr="00181F9E">
        <w:t xml:space="preserve"> Регламент (ЕС) 2023/1543 и Директива (ЕС) 2023/1544 представляют собой смелый шаг к технологической модернизации уголовного процесса в ЕС, но сопровождаются системными вызовами для судебных гарантий и фундаментальных прав обвиняемых</w:t>
      </w:r>
      <w:r w:rsidR="00D21C0E">
        <w:t xml:space="preserve"> </w:t>
      </w:r>
      <w:r w:rsidRPr="00181F9E">
        <w:t>[26]</w:t>
      </w:r>
      <w:r w:rsidR="00D21C0E">
        <w:t>.</w:t>
      </w:r>
      <w:r w:rsidRPr="00181F9E">
        <w:t xml:space="preserve"> </w:t>
      </w:r>
    </w:p>
    <w:p w14:paraId="541D6626" w14:textId="77777777" w:rsidR="00D21C0E" w:rsidRDefault="00181F9E" w:rsidP="00181F9E">
      <w:pPr>
        <w:spacing w:line="360" w:lineRule="auto"/>
        <w:ind w:firstLine="709"/>
      </w:pPr>
      <w:r w:rsidRPr="00181F9E">
        <w:t>К числу критических проблем относятся: 1</w:t>
      </w:r>
      <w:r w:rsidR="00D21C0E">
        <w:t>)</w:t>
      </w:r>
      <w:r w:rsidRPr="00181F9E">
        <w:t xml:space="preserve"> Отсутствие европейских минимальных стандартов для верификации, аутентификации и </w:t>
      </w:r>
      <w:proofErr w:type="spellStart"/>
      <w:r w:rsidRPr="00181F9E">
        <w:t>chain</w:t>
      </w:r>
      <w:proofErr w:type="spellEnd"/>
      <w:r w:rsidRPr="00181F9E">
        <w:t xml:space="preserve"> </w:t>
      </w:r>
      <w:proofErr w:type="spellStart"/>
      <w:r w:rsidRPr="00181F9E">
        <w:t>of</w:t>
      </w:r>
      <w:proofErr w:type="spellEnd"/>
      <w:r w:rsidRPr="00181F9E">
        <w:t xml:space="preserve"> </w:t>
      </w:r>
      <w:proofErr w:type="spellStart"/>
      <w:r w:rsidRPr="00181F9E">
        <w:t>custody</w:t>
      </w:r>
      <w:proofErr w:type="spellEnd"/>
      <w:r w:rsidRPr="00181F9E">
        <w:t xml:space="preserve"> цифровых доказательств; 2</w:t>
      </w:r>
      <w:r w:rsidR="00D21C0E">
        <w:t>)</w:t>
      </w:r>
      <w:r w:rsidRPr="00181F9E">
        <w:t xml:space="preserve"> Недостаточное раскрытие алгоритмических методов анализа данных, используемых провайдерами; 3</w:t>
      </w:r>
      <w:r w:rsidR="00D21C0E">
        <w:t>)</w:t>
      </w:r>
      <w:r w:rsidRPr="00181F9E">
        <w:t xml:space="preserve"> Риски, связанные с ИИ и </w:t>
      </w:r>
      <w:proofErr w:type="spellStart"/>
      <w:r w:rsidRPr="00181F9E">
        <w:t>deepfakes</w:t>
      </w:r>
      <w:proofErr w:type="spellEnd"/>
      <w:r w:rsidRPr="00181F9E">
        <w:t>, требующие внедрения криптографических механизмов проверки оригинальности; 4</w:t>
      </w:r>
      <w:r w:rsidR="00D21C0E">
        <w:t>)</w:t>
      </w:r>
      <w:r w:rsidRPr="00181F9E">
        <w:t xml:space="preserve"> Асимметрия национальных стандартов допустимости, подрывающая единство европейского судебного пространства; 5</w:t>
      </w:r>
      <w:r w:rsidR="00D21C0E">
        <w:t>)</w:t>
      </w:r>
      <w:r w:rsidRPr="00181F9E">
        <w:t xml:space="preserve"> Недостаточная </w:t>
      </w:r>
      <w:proofErr w:type="spellStart"/>
      <w:r w:rsidRPr="00181F9E">
        <w:t>процедурализация</w:t>
      </w:r>
      <w:proofErr w:type="spellEnd"/>
      <w:r w:rsidRPr="00181F9E">
        <w:t xml:space="preserve"> гарантий для обвиняемого при оспаривании цифровых доказательств. </w:t>
      </w:r>
    </w:p>
    <w:p w14:paraId="03B2B033" w14:textId="64B1C3DE" w:rsidR="00520CFA" w:rsidRDefault="00181F9E" w:rsidP="00181F9E">
      <w:pPr>
        <w:spacing w:line="360" w:lineRule="auto"/>
        <w:ind w:firstLine="709"/>
      </w:pPr>
      <w:r w:rsidRPr="00181F9E">
        <w:lastRenderedPageBreak/>
        <w:t>Рекомендации: 1</w:t>
      </w:r>
      <w:r w:rsidR="00DB69E1">
        <w:t>)</w:t>
      </w:r>
      <w:r w:rsidRPr="00181F9E">
        <w:t xml:space="preserve"> Разработать на уровне ЕС единые европейские стандарты криптографической верификации и </w:t>
      </w:r>
      <w:proofErr w:type="spellStart"/>
      <w:r w:rsidRPr="00181F9E">
        <w:t>chain</w:t>
      </w:r>
      <w:proofErr w:type="spellEnd"/>
      <w:r w:rsidRPr="00181F9E">
        <w:t xml:space="preserve"> </w:t>
      </w:r>
      <w:proofErr w:type="spellStart"/>
      <w:r w:rsidRPr="00181F9E">
        <w:t>of</w:t>
      </w:r>
      <w:proofErr w:type="spellEnd"/>
      <w:r w:rsidRPr="00181F9E">
        <w:t xml:space="preserve"> </w:t>
      </w:r>
      <w:proofErr w:type="spellStart"/>
      <w:r w:rsidRPr="00181F9E">
        <w:t>custody</w:t>
      </w:r>
      <w:proofErr w:type="spellEnd"/>
      <w:r w:rsidRPr="00181F9E">
        <w:t xml:space="preserve"> для цифровых доказательств с учетом рекомендаций DFRWS EU. 2</w:t>
      </w:r>
      <w:r w:rsidR="00DB69E1">
        <w:t>)</w:t>
      </w:r>
      <w:r w:rsidRPr="00181F9E">
        <w:t xml:space="preserve"> Обязать провайдеров полностью раскрывать методы извлечения, анализа и сохранения данных, включая использование ИИ-компонентов. 3</w:t>
      </w:r>
      <w:r w:rsidR="00DB69E1">
        <w:t>)</w:t>
      </w:r>
      <w:r w:rsidRPr="00181F9E">
        <w:t xml:space="preserve"> Создать реестр сертифицированных судебных экспертов по цифровой криминалистике в ЕС для независимого пересмотра методологии. 4</w:t>
      </w:r>
      <w:r w:rsidR="00DB69E1">
        <w:t>)</w:t>
      </w:r>
      <w:r w:rsidRPr="00181F9E">
        <w:t xml:space="preserve"> Расширить гарантии обвиняемого право знать и оспаривать методы анализа его данных согласно ECHR </w:t>
      </w:r>
      <w:proofErr w:type="spellStart"/>
      <w:r w:rsidRPr="00181F9E">
        <w:t>Article</w:t>
      </w:r>
      <w:proofErr w:type="spellEnd"/>
      <w:r w:rsidRPr="00181F9E">
        <w:t xml:space="preserve"> 6 и GDPR </w:t>
      </w:r>
      <w:proofErr w:type="spellStart"/>
      <w:r w:rsidRPr="00181F9E">
        <w:t>Article</w:t>
      </w:r>
      <w:proofErr w:type="spellEnd"/>
      <w:r w:rsidRPr="00181F9E">
        <w:t xml:space="preserve"> 22. 5</w:t>
      </w:r>
      <w:r w:rsidR="00DB69E1">
        <w:t>)</w:t>
      </w:r>
      <w:r w:rsidRPr="00181F9E">
        <w:t xml:space="preserve"> Гармонизировать национальные процессуальные нормы относительно допустимости цифровых доказательств через принятие общеевропейской рамки. На фоне растущей цифровизации преступной деятельности дальнейшее развитие законодательства об электронных доказательствах как в ЕС, так и в России, должно идти по пути баланса: с одной стороны, обеспечивая оперативность и эффективность расследований, с другой </w:t>
      </w:r>
      <w:r w:rsidR="00DB69E1">
        <w:t>-</w:t>
      </w:r>
      <w:r w:rsidRPr="00181F9E">
        <w:t xml:space="preserve"> гарантируя фундаментальные права и справедлив</w:t>
      </w:r>
      <w:r w:rsidR="00DB69E1">
        <w:t>ое</w:t>
      </w:r>
      <w:r w:rsidRPr="00181F9E">
        <w:t xml:space="preserve"> суд</w:t>
      </w:r>
      <w:r w:rsidR="00DB69E1">
        <w:t>ебное разбирательство.</w:t>
      </w:r>
      <w:r w:rsidRPr="00181F9E">
        <w:t xml:space="preserve"> </w:t>
      </w:r>
    </w:p>
    <w:p w14:paraId="181972EB" w14:textId="77777777" w:rsidR="00520CFA" w:rsidRPr="00C25AC3" w:rsidRDefault="00181F9E" w:rsidP="00181F9E">
      <w:pPr>
        <w:spacing w:line="360" w:lineRule="auto"/>
        <w:ind w:firstLine="709"/>
        <w:rPr>
          <w:b/>
          <w:bCs/>
        </w:rPr>
      </w:pPr>
      <w:r w:rsidRPr="00C25AC3">
        <w:rPr>
          <w:b/>
          <w:bCs/>
        </w:rPr>
        <w:t>Библиографический</w:t>
      </w:r>
      <w:r w:rsidRPr="00C25AC3">
        <w:rPr>
          <w:b/>
          <w:bCs/>
          <w:lang w:val="en-US"/>
        </w:rPr>
        <w:t xml:space="preserve"> </w:t>
      </w:r>
      <w:r w:rsidRPr="00C25AC3">
        <w:rPr>
          <w:b/>
          <w:bCs/>
        </w:rPr>
        <w:t>список</w:t>
      </w:r>
    </w:p>
    <w:p w14:paraId="5F52AE04" w14:textId="5D144CA9" w:rsidR="00520CFA" w:rsidRDefault="00181F9E" w:rsidP="00181F9E">
      <w:pPr>
        <w:spacing w:line="360" w:lineRule="auto"/>
        <w:ind w:firstLine="709"/>
      </w:pPr>
      <w:r w:rsidRPr="00181F9E">
        <w:rPr>
          <w:lang w:val="en-US"/>
        </w:rPr>
        <w:t xml:space="preserve"> [1] </w:t>
      </w:r>
      <w:proofErr w:type="spellStart"/>
      <w:r w:rsidRPr="00181F9E">
        <w:rPr>
          <w:lang w:val="en-US"/>
        </w:rPr>
        <w:t>Tosza</w:t>
      </w:r>
      <w:proofErr w:type="spellEnd"/>
      <w:r w:rsidRPr="00181F9E">
        <w:rPr>
          <w:lang w:val="en-US"/>
        </w:rPr>
        <w:t xml:space="preserve">, S., Ligeti, K. Cross-border access to electronic evidence in criminal matters: The new EU legislation and the consolidation of a paradigm shift </w:t>
      </w:r>
      <w:proofErr w:type="gramStart"/>
      <w:r w:rsidRPr="00181F9E">
        <w:rPr>
          <w:lang w:val="en-US"/>
        </w:rPr>
        <w:t>in the area of</w:t>
      </w:r>
      <w:proofErr w:type="gramEnd"/>
      <w:r w:rsidRPr="00181F9E">
        <w:rPr>
          <w:lang w:val="en-US"/>
        </w:rPr>
        <w:t xml:space="preserve"> </w:t>
      </w:r>
      <w:r w:rsidR="00FA4155">
        <w:rPr>
          <w:lang w:val="en-US"/>
        </w:rPr>
        <w:t>«</w:t>
      </w:r>
      <w:r w:rsidRPr="00181F9E">
        <w:rPr>
          <w:lang w:val="en-US"/>
        </w:rPr>
        <w:t>judicial</w:t>
      </w:r>
      <w:r w:rsidR="00FA4155">
        <w:rPr>
          <w:lang w:val="en-US"/>
        </w:rPr>
        <w:t>»</w:t>
      </w:r>
      <w:r w:rsidRPr="00181F9E">
        <w:rPr>
          <w:lang w:val="en-US"/>
        </w:rPr>
        <w:t xml:space="preserve"> cooperation // European Criminal Law Review. </w:t>
      </w:r>
      <w:r w:rsidRPr="00520CFA">
        <w:rPr>
          <w:lang w:val="en-US"/>
        </w:rPr>
        <w:t xml:space="preserve">2024. Vol. 14, Issue 2. P. 123–157. </w:t>
      </w:r>
    </w:p>
    <w:p w14:paraId="1F86CF6F" w14:textId="780E3690" w:rsidR="00DB69E1" w:rsidRDefault="00462AA8" w:rsidP="00181F9E">
      <w:pPr>
        <w:spacing w:line="360" w:lineRule="auto"/>
        <w:ind w:firstLine="709"/>
      </w:pPr>
      <w:r w:rsidRPr="00462AA8">
        <w:rPr>
          <w:lang w:val="en-US"/>
        </w:rPr>
        <w:t xml:space="preserve"> </w:t>
      </w:r>
      <w:r w:rsidR="00181F9E" w:rsidRPr="00181F9E">
        <w:rPr>
          <w:lang w:val="en-US"/>
        </w:rPr>
        <w:t>[2]</w:t>
      </w:r>
      <w:r w:rsidRPr="00462AA8">
        <w:rPr>
          <w:lang w:val="en-US"/>
        </w:rPr>
        <w:t xml:space="preserve"> </w:t>
      </w:r>
      <w:r w:rsidR="00181F9E" w:rsidRPr="00181F9E">
        <w:rPr>
          <w:lang w:val="en-US"/>
        </w:rPr>
        <w:t xml:space="preserve">Regulation (EU) 2023/1543 on European Production Orders and Preservation Orders for electronic evidence in criminal matters // Official Journal of the European Union. L 192. 30.07.2023. </w:t>
      </w:r>
    </w:p>
    <w:p w14:paraId="74DFF68D" w14:textId="1FDA8FE1" w:rsidR="00DB69E1" w:rsidRDefault="00462AA8" w:rsidP="00181F9E">
      <w:pPr>
        <w:spacing w:line="360" w:lineRule="auto"/>
        <w:ind w:firstLine="709"/>
      </w:pPr>
      <w:r w:rsidRPr="00181F9E">
        <w:rPr>
          <w:lang w:val="en-US"/>
        </w:rPr>
        <w:t>[</w:t>
      </w:r>
      <w:r w:rsidRPr="00462AA8">
        <w:rPr>
          <w:lang w:val="en-US"/>
        </w:rPr>
        <w:t>3</w:t>
      </w:r>
      <w:r w:rsidRPr="00181F9E">
        <w:rPr>
          <w:lang w:val="en-US"/>
        </w:rPr>
        <w:t xml:space="preserve">] </w:t>
      </w:r>
      <w:r w:rsidR="00181F9E" w:rsidRPr="00181F9E">
        <w:rPr>
          <w:lang w:val="en-US"/>
        </w:rPr>
        <w:t xml:space="preserve">Council Directive 2014/41/EU regarding the European Investigation Order in criminal matters // Official Journal of the European Union. L 130. 1.05.2014. </w:t>
      </w:r>
    </w:p>
    <w:p w14:paraId="0B27EF1A" w14:textId="6DE756D0" w:rsidR="00DB69E1" w:rsidRDefault="00462AA8" w:rsidP="00181F9E">
      <w:pPr>
        <w:spacing w:line="360" w:lineRule="auto"/>
        <w:ind w:firstLine="709"/>
      </w:pPr>
      <w:r w:rsidRPr="00181F9E">
        <w:rPr>
          <w:lang w:val="en-US"/>
        </w:rPr>
        <w:lastRenderedPageBreak/>
        <w:t>[</w:t>
      </w:r>
      <w:r w:rsidRPr="00462AA8">
        <w:rPr>
          <w:lang w:val="en-US"/>
        </w:rPr>
        <w:t>4</w:t>
      </w:r>
      <w:r w:rsidRPr="00181F9E">
        <w:rPr>
          <w:lang w:val="en-US"/>
        </w:rPr>
        <w:t xml:space="preserve">] </w:t>
      </w:r>
      <w:r w:rsidR="00181F9E" w:rsidRPr="00181F9E">
        <w:rPr>
          <w:lang w:val="en-US"/>
        </w:rPr>
        <w:t xml:space="preserve">Proliferation of e-Evidence: Reliability Standards and the Right to a Fair Trial // European Criminal Law Review. 2025. Vol. 15, Issue 2. P. 245–280. </w:t>
      </w:r>
    </w:p>
    <w:p w14:paraId="477638D9" w14:textId="646337C3" w:rsidR="00462AA8" w:rsidRPr="00462AA8" w:rsidRDefault="00462AA8" w:rsidP="00181F9E">
      <w:pPr>
        <w:spacing w:line="360" w:lineRule="auto"/>
        <w:ind w:firstLine="709"/>
        <w:rPr>
          <w:lang w:val="en-US"/>
        </w:rPr>
      </w:pPr>
      <w:r w:rsidRPr="00181F9E">
        <w:rPr>
          <w:lang w:val="en-US"/>
        </w:rPr>
        <w:t>[</w:t>
      </w:r>
      <w:r w:rsidRPr="00462AA8">
        <w:rPr>
          <w:lang w:val="en-US"/>
        </w:rPr>
        <w:t>5</w:t>
      </w:r>
      <w:r w:rsidRPr="00181F9E">
        <w:rPr>
          <w:lang w:val="en-US"/>
        </w:rPr>
        <w:t xml:space="preserve">] </w:t>
      </w:r>
      <w:r w:rsidR="00181F9E" w:rsidRPr="00181F9E">
        <w:rPr>
          <w:lang w:val="en-US"/>
        </w:rPr>
        <w:t xml:space="preserve">Regulation (EU) 2023/1543, Chapter II. </w:t>
      </w:r>
    </w:p>
    <w:p w14:paraId="2C77FA96" w14:textId="72B5CD40" w:rsidR="00DB69E1" w:rsidRPr="00462AA8" w:rsidRDefault="00462AA8" w:rsidP="00181F9E">
      <w:pPr>
        <w:spacing w:line="360" w:lineRule="auto"/>
        <w:ind w:firstLine="709"/>
        <w:rPr>
          <w:lang w:val="en-US"/>
        </w:rPr>
      </w:pPr>
      <w:r>
        <w:rPr>
          <w:lang w:val="en-US"/>
        </w:rPr>
        <w:t>[6]</w:t>
      </w:r>
      <w:r w:rsidRPr="00462AA8">
        <w:rPr>
          <w:lang w:val="en-US"/>
        </w:rPr>
        <w:t xml:space="preserve"> </w:t>
      </w:r>
      <w:r w:rsidR="00181F9E" w:rsidRPr="00181F9E">
        <w:rPr>
          <w:lang w:val="en-US"/>
        </w:rPr>
        <w:t xml:space="preserve">Directive 95/46/EC (General Data Protection Regulation) and its general principles of necessity and proportionality. </w:t>
      </w:r>
    </w:p>
    <w:p w14:paraId="64DC1479" w14:textId="77777777" w:rsidR="00462AA8" w:rsidRDefault="00462AA8" w:rsidP="00181F9E">
      <w:pPr>
        <w:spacing w:line="360" w:lineRule="auto"/>
        <w:ind w:firstLine="709"/>
      </w:pPr>
      <w:r w:rsidRPr="00181F9E">
        <w:rPr>
          <w:lang w:val="en-US"/>
        </w:rPr>
        <w:t>[</w:t>
      </w:r>
      <w:r>
        <w:t>7</w:t>
      </w:r>
      <w:r w:rsidRPr="00181F9E">
        <w:rPr>
          <w:lang w:val="en-US"/>
        </w:rPr>
        <w:t xml:space="preserve">] </w:t>
      </w:r>
      <w:r w:rsidR="00181F9E" w:rsidRPr="00181F9E">
        <w:rPr>
          <w:lang w:val="en-US"/>
        </w:rPr>
        <w:t xml:space="preserve">Regulation (EU) 2023/1543, Article 9–13. </w:t>
      </w:r>
    </w:p>
    <w:p w14:paraId="22A13198" w14:textId="1E428A75" w:rsidR="00520CFA" w:rsidRPr="00462AA8" w:rsidRDefault="00462AA8" w:rsidP="00181F9E">
      <w:pPr>
        <w:spacing w:line="360" w:lineRule="auto"/>
        <w:ind w:firstLine="709"/>
        <w:rPr>
          <w:lang w:val="en-US"/>
        </w:rPr>
      </w:pPr>
      <w:r>
        <w:rPr>
          <w:lang w:val="en-US"/>
        </w:rPr>
        <w:t xml:space="preserve">[8] </w:t>
      </w:r>
      <w:r w:rsidR="00181F9E" w:rsidRPr="00181F9E">
        <w:rPr>
          <w:lang w:val="en-US"/>
        </w:rPr>
        <w:t xml:space="preserve">Directive (EU) 2023/1544 on ensuring a single point of contact for legal service providers in the EU. </w:t>
      </w:r>
    </w:p>
    <w:p w14:paraId="432C79D7" w14:textId="77777777" w:rsidR="00462AA8" w:rsidRDefault="00181F9E" w:rsidP="00181F9E">
      <w:pPr>
        <w:spacing w:line="360" w:lineRule="auto"/>
        <w:ind w:firstLine="709"/>
      </w:pPr>
      <w:r w:rsidRPr="00181F9E">
        <w:rPr>
          <w:lang w:val="en-US"/>
        </w:rPr>
        <w:t xml:space="preserve">[9] Regulation (EU) 2023/1543, Article 24. </w:t>
      </w:r>
    </w:p>
    <w:p w14:paraId="4E320843" w14:textId="7C3DD817" w:rsidR="00462AA8" w:rsidRDefault="00462AA8" w:rsidP="00181F9E">
      <w:pPr>
        <w:spacing w:line="360" w:lineRule="auto"/>
        <w:ind w:firstLine="709"/>
        <w:rPr>
          <w:lang w:val="en-US"/>
        </w:rPr>
      </w:pPr>
      <w:r w:rsidRPr="00181F9E">
        <w:rPr>
          <w:lang w:val="en-US"/>
        </w:rPr>
        <w:t xml:space="preserve">[10] </w:t>
      </w:r>
      <w:r w:rsidR="00181F9E" w:rsidRPr="00181F9E">
        <w:rPr>
          <w:lang w:val="en-US"/>
        </w:rPr>
        <w:t xml:space="preserve">Mutual recognition principle in EU law and its application to e-evidence. </w:t>
      </w:r>
    </w:p>
    <w:p w14:paraId="6B09641B" w14:textId="77777777" w:rsidR="00C25AC3" w:rsidRDefault="00462AA8" w:rsidP="00181F9E">
      <w:pPr>
        <w:spacing w:line="360" w:lineRule="auto"/>
        <w:ind w:firstLine="709"/>
        <w:rPr>
          <w:lang w:val="en-US"/>
        </w:rPr>
      </w:pPr>
      <w:r w:rsidRPr="00462AA8">
        <w:rPr>
          <w:lang w:val="en-US"/>
        </w:rPr>
        <w:t xml:space="preserve">[11] </w:t>
      </w:r>
      <w:r w:rsidR="00181F9E" w:rsidRPr="00181F9E">
        <w:rPr>
          <w:lang w:val="en-US"/>
        </w:rPr>
        <w:t>Case C-670/22 (</w:t>
      </w:r>
      <w:proofErr w:type="spellStart"/>
      <w:r w:rsidR="00181F9E" w:rsidRPr="00181F9E">
        <w:rPr>
          <w:lang w:val="en-US"/>
        </w:rPr>
        <w:t>EncroChat</w:t>
      </w:r>
      <w:proofErr w:type="spellEnd"/>
      <w:r w:rsidR="00181F9E" w:rsidRPr="00181F9E">
        <w:rPr>
          <w:lang w:val="en-US"/>
        </w:rPr>
        <w:t xml:space="preserve">), ECLI:EU:C:2024:336 // Judgment of 30.04.2024. </w:t>
      </w:r>
    </w:p>
    <w:p w14:paraId="7C33DCB7" w14:textId="7FE2790C" w:rsidR="00520CFA" w:rsidRPr="00462AA8" w:rsidRDefault="00C25AC3" w:rsidP="00181F9E">
      <w:pPr>
        <w:spacing w:line="360" w:lineRule="auto"/>
        <w:ind w:firstLine="709"/>
        <w:rPr>
          <w:lang w:val="en-US"/>
        </w:rPr>
      </w:pPr>
      <w:r w:rsidRPr="00181F9E">
        <w:rPr>
          <w:lang w:val="en-US"/>
        </w:rPr>
        <w:t xml:space="preserve">[12] </w:t>
      </w:r>
      <w:r w:rsidR="00181F9E" w:rsidRPr="00181F9E">
        <w:rPr>
          <w:lang w:val="en-US"/>
        </w:rPr>
        <w:t xml:space="preserve">ECHR Article 6 </w:t>
      </w:r>
      <w:r w:rsidR="00FA4155">
        <w:rPr>
          <w:lang w:val="en-US"/>
        </w:rPr>
        <w:t>«</w:t>
      </w:r>
      <w:r w:rsidR="00181F9E" w:rsidRPr="00181F9E">
        <w:rPr>
          <w:lang w:val="en-US"/>
        </w:rPr>
        <w:t xml:space="preserve">Right to a fair </w:t>
      </w:r>
      <w:proofErr w:type="gramStart"/>
      <w:r w:rsidR="00181F9E" w:rsidRPr="00181F9E">
        <w:rPr>
          <w:lang w:val="en-US"/>
        </w:rPr>
        <w:t>trial</w:t>
      </w:r>
      <w:r w:rsidR="00FA4155">
        <w:rPr>
          <w:lang w:val="en-US"/>
        </w:rPr>
        <w:t>»</w:t>
      </w:r>
      <w:r w:rsidR="00181F9E" w:rsidRPr="00181F9E">
        <w:rPr>
          <w:lang w:val="en-US"/>
        </w:rPr>
        <w:t>.</w:t>
      </w:r>
      <w:proofErr w:type="gramEnd"/>
      <w:r w:rsidR="00181F9E" w:rsidRPr="00181F9E">
        <w:rPr>
          <w:lang w:val="en-US"/>
        </w:rPr>
        <w:t xml:space="preserve"> </w:t>
      </w:r>
    </w:p>
    <w:p w14:paraId="6989742F" w14:textId="21923F82" w:rsidR="00520CFA" w:rsidRDefault="00462AA8" w:rsidP="00181F9E">
      <w:pPr>
        <w:spacing w:line="360" w:lineRule="auto"/>
        <w:ind w:firstLine="709"/>
      </w:pPr>
      <w:r w:rsidRPr="00181F9E">
        <w:rPr>
          <w:lang w:val="en-US"/>
        </w:rPr>
        <w:t xml:space="preserve">[13] </w:t>
      </w:r>
      <w:proofErr w:type="spellStart"/>
      <w:r w:rsidR="00181F9E" w:rsidRPr="00181F9E">
        <w:rPr>
          <w:lang w:val="en-US"/>
        </w:rPr>
        <w:t>Wąsek</w:t>
      </w:r>
      <w:proofErr w:type="spellEnd"/>
      <w:r w:rsidR="00181F9E" w:rsidRPr="00181F9E">
        <w:rPr>
          <w:lang w:val="en-US"/>
        </w:rPr>
        <w:t xml:space="preserve">-Wiaderek, M., Michałowicz, M. The EU E-evidence Package from the Polish Perspective: High Time for a Systemic Change // Studia </w:t>
      </w:r>
      <w:proofErr w:type="spellStart"/>
      <w:r w:rsidR="00181F9E" w:rsidRPr="00181F9E">
        <w:rPr>
          <w:lang w:val="en-US"/>
        </w:rPr>
        <w:t>Iuridica</w:t>
      </w:r>
      <w:proofErr w:type="spellEnd"/>
      <w:r w:rsidR="00181F9E" w:rsidRPr="00181F9E">
        <w:rPr>
          <w:lang w:val="en-US"/>
        </w:rPr>
        <w:t xml:space="preserve"> </w:t>
      </w:r>
      <w:proofErr w:type="spellStart"/>
      <w:r w:rsidR="00181F9E" w:rsidRPr="00181F9E">
        <w:rPr>
          <w:lang w:val="en-US"/>
        </w:rPr>
        <w:t>Lublinensia</w:t>
      </w:r>
      <w:proofErr w:type="spellEnd"/>
      <w:r w:rsidR="00181F9E" w:rsidRPr="00181F9E">
        <w:rPr>
          <w:lang w:val="en-US"/>
        </w:rPr>
        <w:t xml:space="preserve">. </w:t>
      </w:r>
      <w:r w:rsidR="00181F9E" w:rsidRPr="00520CFA">
        <w:rPr>
          <w:lang w:val="en-US"/>
        </w:rPr>
        <w:t xml:space="preserve">2024. Vol. 33, No. 5. P. 421–445. </w:t>
      </w:r>
    </w:p>
    <w:p w14:paraId="4EED8453" w14:textId="067D8079" w:rsidR="00520CFA" w:rsidRDefault="00C25AC3" w:rsidP="00181F9E">
      <w:pPr>
        <w:spacing w:line="360" w:lineRule="auto"/>
        <w:ind w:firstLine="709"/>
      </w:pPr>
      <w:r w:rsidRPr="00C25AC3">
        <w:t xml:space="preserve">[14] </w:t>
      </w:r>
      <w:proofErr w:type="spellStart"/>
      <w:r w:rsidR="00181F9E" w:rsidRPr="00181F9E">
        <w:t>Слоўик</w:t>
      </w:r>
      <w:proofErr w:type="spellEnd"/>
      <w:r w:rsidR="00181F9E" w:rsidRPr="00181F9E">
        <w:t xml:space="preserve">, А. Верификация в запрашивающем государстве доказательств, полученных на основе Европейского приказа об истребовании // </w:t>
      </w:r>
      <w:proofErr w:type="spellStart"/>
      <w:r w:rsidR="00181F9E" w:rsidRPr="00181F9E">
        <w:t>Roczniki</w:t>
      </w:r>
      <w:proofErr w:type="spellEnd"/>
      <w:r w:rsidR="00181F9E" w:rsidRPr="00181F9E">
        <w:t xml:space="preserve"> </w:t>
      </w:r>
      <w:proofErr w:type="spellStart"/>
      <w:r w:rsidR="00181F9E" w:rsidRPr="00181F9E">
        <w:t>Nauk</w:t>
      </w:r>
      <w:proofErr w:type="spellEnd"/>
      <w:r w:rsidR="00181F9E" w:rsidRPr="00181F9E">
        <w:t xml:space="preserve"> </w:t>
      </w:r>
      <w:proofErr w:type="spellStart"/>
      <w:r w:rsidR="00181F9E" w:rsidRPr="00181F9E">
        <w:t>Prawnych</w:t>
      </w:r>
      <w:proofErr w:type="spellEnd"/>
      <w:r w:rsidR="00181F9E" w:rsidRPr="00181F9E">
        <w:t xml:space="preserve">. </w:t>
      </w:r>
      <w:r w:rsidR="00181F9E" w:rsidRPr="00181F9E">
        <w:rPr>
          <w:lang w:val="en-US"/>
        </w:rPr>
        <w:t xml:space="preserve">2023. Vol. 33, No. 3. P. 67–87. </w:t>
      </w:r>
    </w:p>
    <w:p w14:paraId="0653A67B" w14:textId="3E49F9D5" w:rsidR="00520CFA" w:rsidRDefault="00C25AC3" w:rsidP="00181F9E">
      <w:pPr>
        <w:spacing w:line="360" w:lineRule="auto"/>
        <w:ind w:firstLine="709"/>
      </w:pPr>
      <w:r w:rsidRPr="00181F9E">
        <w:rPr>
          <w:lang w:val="en-US"/>
        </w:rPr>
        <w:t xml:space="preserve">[15] </w:t>
      </w:r>
      <w:r w:rsidR="00181F9E" w:rsidRPr="00181F9E">
        <w:rPr>
          <w:lang w:val="en-US"/>
        </w:rPr>
        <w:t xml:space="preserve">A Comprehensive Analysis of the Role of Artificial Intelligence and Machine Learning in Modern Digital Forensics and Incident Response // </w:t>
      </w:r>
      <w:proofErr w:type="spellStart"/>
      <w:r w:rsidR="00181F9E" w:rsidRPr="00181F9E">
        <w:rPr>
          <w:lang w:val="en-US"/>
        </w:rPr>
        <w:t>arXiv</w:t>
      </w:r>
      <w:proofErr w:type="spellEnd"/>
      <w:r w:rsidR="00181F9E" w:rsidRPr="00181F9E">
        <w:rPr>
          <w:lang w:val="en-US"/>
        </w:rPr>
        <w:t xml:space="preserve">. 2023. </w:t>
      </w:r>
      <w:proofErr w:type="spellStart"/>
      <w:r w:rsidR="00181F9E" w:rsidRPr="00181F9E">
        <w:rPr>
          <w:lang w:val="en-US"/>
        </w:rPr>
        <w:t>eprint</w:t>
      </w:r>
      <w:proofErr w:type="spellEnd"/>
      <w:r w:rsidR="00181F9E" w:rsidRPr="00181F9E">
        <w:rPr>
          <w:lang w:val="en-US"/>
        </w:rPr>
        <w:t xml:space="preserve"> 2312.10667. </w:t>
      </w:r>
    </w:p>
    <w:p w14:paraId="25E93ABE" w14:textId="0D73CB62" w:rsidR="00520CFA" w:rsidRDefault="00C25AC3" w:rsidP="00181F9E">
      <w:pPr>
        <w:spacing w:line="360" w:lineRule="auto"/>
        <w:ind w:firstLine="709"/>
      </w:pPr>
      <w:r w:rsidRPr="00181F9E">
        <w:rPr>
          <w:lang w:val="en-US"/>
        </w:rPr>
        <w:t xml:space="preserve">[16] </w:t>
      </w:r>
      <w:r w:rsidR="00181F9E" w:rsidRPr="00181F9E">
        <w:rPr>
          <w:lang w:val="en-US"/>
        </w:rPr>
        <w:t xml:space="preserve">Spajić, J., </w:t>
      </w:r>
      <w:proofErr w:type="spellStart"/>
      <w:r w:rsidR="00181F9E" w:rsidRPr="00181F9E">
        <w:rPr>
          <w:lang w:val="en-US"/>
        </w:rPr>
        <w:t>Jovašević</w:t>
      </w:r>
      <w:proofErr w:type="spellEnd"/>
      <w:r w:rsidR="00181F9E" w:rsidRPr="00181F9E">
        <w:rPr>
          <w:lang w:val="en-US"/>
        </w:rPr>
        <w:t xml:space="preserve">, D. Algorithmic Evidence in Criminal Trials: Admissibility, Explainability, and Fair-Trial Guarantees // International Journal of Criminal Justice. </w:t>
      </w:r>
      <w:r w:rsidR="00181F9E" w:rsidRPr="00520CFA">
        <w:rPr>
          <w:lang w:val="en-US"/>
        </w:rPr>
        <w:t xml:space="preserve">2025. Vol. 12, Issue 1. P. 89–115. </w:t>
      </w:r>
    </w:p>
    <w:p w14:paraId="000D942E" w14:textId="77777777" w:rsidR="00C25AC3" w:rsidRDefault="00C25AC3" w:rsidP="00181F9E">
      <w:pPr>
        <w:spacing w:line="360" w:lineRule="auto"/>
        <w:ind w:firstLine="709"/>
        <w:rPr>
          <w:lang w:val="en-US"/>
        </w:rPr>
      </w:pPr>
      <w:r w:rsidRPr="00C25AC3">
        <w:rPr>
          <w:lang w:val="en-US"/>
        </w:rPr>
        <w:lastRenderedPageBreak/>
        <w:t xml:space="preserve">[17] </w:t>
      </w:r>
      <w:r w:rsidR="00181F9E" w:rsidRPr="00181F9E">
        <w:rPr>
          <w:lang w:val="en-US"/>
        </w:rPr>
        <w:t xml:space="preserve">GDPR Article 22 </w:t>
      </w:r>
      <w:r w:rsidR="00FA4155">
        <w:rPr>
          <w:lang w:val="en-US"/>
        </w:rPr>
        <w:t>«</w:t>
      </w:r>
      <w:r w:rsidR="00181F9E" w:rsidRPr="00181F9E">
        <w:rPr>
          <w:lang w:val="en-US"/>
        </w:rPr>
        <w:t xml:space="preserve">Right not to be subject to a decision based solely on automated </w:t>
      </w:r>
      <w:proofErr w:type="gramStart"/>
      <w:r w:rsidR="00181F9E" w:rsidRPr="00181F9E">
        <w:rPr>
          <w:lang w:val="en-US"/>
        </w:rPr>
        <w:t>processing</w:t>
      </w:r>
      <w:r w:rsidR="00FA4155">
        <w:rPr>
          <w:lang w:val="en-US"/>
        </w:rPr>
        <w:t>»</w:t>
      </w:r>
      <w:r w:rsidR="00181F9E" w:rsidRPr="00181F9E">
        <w:rPr>
          <w:lang w:val="en-US"/>
        </w:rPr>
        <w:t>;</w:t>
      </w:r>
      <w:proofErr w:type="gramEnd"/>
      <w:r w:rsidR="00181F9E" w:rsidRPr="00181F9E">
        <w:rPr>
          <w:lang w:val="en-US"/>
        </w:rPr>
        <w:t xml:space="preserve"> ECHR Article 6. </w:t>
      </w:r>
    </w:p>
    <w:p w14:paraId="53D794C5" w14:textId="5783064E" w:rsidR="00520CFA" w:rsidRPr="00C25AC3" w:rsidRDefault="00C25AC3" w:rsidP="00181F9E">
      <w:pPr>
        <w:spacing w:line="360" w:lineRule="auto"/>
        <w:ind w:firstLine="709"/>
      </w:pPr>
      <w:r w:rsidRPr="00181F9E">
        <w:rPr>
          <w:lang w:val="en-US"/>
        </w:rPr>
        <w:t xml:space="preserve">[18] </w:t>
      </w:r>
      <w:proofErr w:type="spellStart"/>
      <w:r w:rsidR="00181F9E" w:rsidRPr="00181F9E">
        <w:rPr>
          <w:lang w:val="en-US"/>
        </w:rPr>
        <w:t>Wąsek</w:t>
      </w:r>
      <w:proofErr w:type="spellEnd"/>
      <w:r w:rsidR="00181F9E" w:rsidRPr="00181F9E">
        <w:rPr>
          <w:lang w:val="en-US"/>
        </w:rPr>
        <w:t xml:space="preserve">-Wiaderek, M., Michałowicz, M. Op. cit. </w:t>
      </w:r>
      <w:proofErr w:type="spellStart"/>
      <w:r>
        <w:t>Указ.соч</w:t>
      </w:r>
      <w:proofErr w:type="spellEnd"/>
      <w:r>
        <w:t>.</w:t>
      </w:r>
    </w:p>
    <w:p w14:paraId="2BDD218F" w14:textId="11D51DDE" w:rsidR="00520CFA" w:rsidRDefault="00181F9E" w:rsidP="00181F9E">
      <w:pPr>
        <w:spacing w:line="360" w:lineRule="auto"/>
        <w:ind w:firstLine="709"/>
      </w:pPr>
      <w:r w:rsidRPr="00520CFA">
        <w:t xml:space="preserve">[19] </w:t>
      </w:r>
      <w:proofErr w:type="spellStart"/>
      <w:r w:rsidRPr="00181F9E">
        <w:rPr>
          <w:lang w:val="en-US"/>
        </w:rPr>
        <w:t>Kodeks</w:t>
      </w:r>
      <w:proofErr w:type="spellEnd"/>
      <w:r w:rsidRPr="00520CFA">
        <w:t xml:space="preserve"> </w:t>
      </w:r>
      <w:r w:rsidRPr="00181F9E">
        <w:rPr>
          <w:lang w:val="en-US"/>
        </w:rPr>
        <w:t>post</w:t>
      </w:r>
      <w:r w:rsidRPr="00520CFA">
        <w:t>ę</w:t>
      </w:r>
      <w:proofErr w:type="spellStart"/>
      <w:r w:rsidRPr="00181F9E">
        <w:rPr>
          <w:lang w:val="en-US"/>
        </w:rPr>
        <w:t>powania</w:t>
      </w:r>
      <w:proofErr w:type="spellEnd"/>
      <w:r w:rsidRPr="00520CFA">
        <w:t xml:space="preserve"> </w:t>
      </w:r>
      <w:proofErr w:type="spellStart"/>
      <w:r w:rsidRPr="00181F9E">
        <w:rPr>
          <w:lang w:val="en-US"/>
        </w:rPr>
        <w:t>karnego</w:t>
      </w:r>
      <w:proofErr w:type="spellEnd"/>
      <w:r w:rsidRPr="00520CFA">
        <w:t xml:space="preserve"> (</w:t>
      </w:r>
      <w:r w:rsidRPr="00181F9E">
        <w:t>КПК</w:t>
      </w:r>
      <w:r w:rsidRPr="00520CFA">
        <w:t xml:space="preserve"> </w:t>
      </w:r>
      <w:r w:rsidRPr="00181F9E">
        <w:t>Польши</w:t>
      </w:r>
      <w:r w:rsidRPr="00520CFA">
        <w:t xml:space="preserve">), </w:t>
      </w:r>
      <w:r w:rsidRPr="00181F9E">
        <w:t>глава</w:t>
      </w:r>
      <w:r w:rsidRPr="00520CFA">
        <w:t xml:space="preserve"> </w:t>
      </w:r>
      <w:r w:rsidRPr="00181F9E">
        <w:t>об</w:t>
      </w:r>
      <w:r w:rsidRPr="00520CFA">
        <w:t xml:space="preserve"> </w:t>
      </w:r>
      <w:r w:rsidRPr="00181F9E">
        <w:t>доказательствах</w:t>
      </w:r>
      <w:r w:rsidRPr="00520CFA">
        <w:t xml:space="preserve">. </w:t>
      </w:r>
    </w:p>
    <w:p w14:paraId="5BA6A7C3" w14:textId="37E78B2A" w:rsidR="00520CFA" w:rsidRPr="00DB69E1" w:rsidRDefault="00181F9E" w:rsidP="00181F9E">
      <w:pPr>
        <w:spacing w:line="360" w:lineRule="auto"/>
        <w:ind w:firstLine="709"/>
        <w:rPr>
          <w:lang w:val="en-US"/>
        </w:rPr>
      </w:pPr>
      <w:r w:rsidRPr="00181F9E">
        <w:rPr>
          <w:lang w:val="en-US"/>
        </w:rPr>
        <w:t xml:space="preserve">[20] </w:t>
      </w:r>
      <w:r w:rsidRPr="00181F9E">
        <w:t>Регламент</w:t>
      </w:r>
      <w:r w:rsidRPr="00181F9E">
        <w:rPr>
          <w:lang w:val="en-US"/>
        </w:rPr>
        <w:t xml:space="preserve"> (</w:t>
      </w:r>
      <w:r w:rsidRPr="00181F9E">
        <w:t>ЕС</w:t>
      </w:r>
      <w:r w:rsidRPr="00181F9E">
        <w:rPr>
          <w:lang w:val="en-US"/>
        </w:rPr>
        <w:t xml:space="preserve">) 2023/1543, </w:t>
      </w:r>
      <w:r w:rsidRPr="00181F9E">
        <w:t>Статья</w:t>
      </w:r>
      <w:r w:rsidRPr="00181F9E">
        <w:rPr>
          <w:lang w:val="en-US"/>
        </w:rPr>
        <w:t xml:space="preserve"> 1 (</w:t>
      </w:r>
      <w:r w:rsidRPr="00181F9E">
        <w:t>применение</w:t>
      </w:r>
      <w:r w:rsidRPr="00181F9E">
        <w:rPr>
          <w:lang w:val="en-US"/>
        </w:rPr>
        <w:t xml:space="preserve">). </w:t>
      </w:r>
    </w:p>
    <w:p w14:paraId="550DD688" w14:textId="0AF51434" w:rsidR="00520CFA" w:rsidRDefault="00181F9E" w:rsidP="00181F9E">
      <w:pPr>
        <w:spacing w:line="360" w:lineRule="auto"/>
        <w:ind w:firstLine="709"/>
      </w:pPr>
      <w:r w:rsidRPr="00181F9E">
        <w:rPr>
          <w:lang w:val="en-US"/>
        </w:rPr>
        <w:t xml:space="preserve">[21] </w:t>
      </w:r>
      <w:proofErr w:type="spellStart"/>
      <w:r w:rsidRPr="00181F9E">
        <w:rPr>
          <w:lang w:val="en-US"/>
        </w:rPr>
        <w:t>Kiourkova</w:t>
      </w:r>
      <w:proofErr w:type="spellEnd"/>
      <w:r w:rsidRPr="00181F9E">
        <w:rPr>
          <w:lang w:val="en-US"/>
        </w:rPr>
        <w:t xml:space="preserve">, D. The Problem of Obtaining Evidence from EU Countries While Achieving the </w:t>
      </w:r>
      <w:r w:rsidR="00FA4155">
        <w:rPr>
          <w:lang w:val="en-US"/>
        </w:rPr>
        <w:t>«</w:t>
      </w:r>
      <w:r w:rsidRPr="00181F9E">
        <w:rPr>
          <w:lang w:val="en-US"/>
        </w:rPr>
        <w:t>Crime Does Not Pay</w:t>
      </w:r>
      <w:r w:rsidR="00FA4155">
        <w:rPr>
          <w:lang w:val="en-US"/>
        </w:rPr>
        <w:t>»</w:t>
      </w:r>
      <w:r w:rsidRPr="00181F9E">
        <w:rPr>
          <w:lang w:val="en-US"/>
        </w:rPr>
        <w:t xml:space="preserve"> Goal // Bialystok Legal Studies. </w:t>
      </w:r>
      <w:r w:rsidRPr="00181F9E">
        <w:t>2024. V</w:t>
      </w:r>
      <w:proofErr w:type="spellStart"/>
      <w:r w:rsidRPr="00181F9E">
        <w:t>ol</w:t>
      </w:r>
      <w:proofErr w:type="spellEnd"/>
      <w:r w:rsidRPr="00181F9E">
        <w:t xml:space="preserve">. 29, No. 6. P. 119–136. </w:t>
      </w:r>
    </w:p>
    <w:p w14:paraId="0DD6F6C9" w14:textId="08859F1D" w:rsidR="00520CFA" w:rsidRDefault="00181F9E" w:rsidP="00181F9E">
      <w:pPr>
        <w:spacing w:line="360" w:lineRule="auto"/>
        <w:ind w:firstLine="709"/>
      </w:pPr>
      <w:r w:rsidRPr="00181F9E">
        <w:t xml:space="preserve">[22] Уголовно-процессуальный кодекс Российской Федерации от 18.12.2001 № 174-ФЗ, </w:t>
      </w:r>
      <w:proofErr w:type="spellStart"/>
      <w:r w:rsidRPr="00181F9E">
        <w:t>ст.</w:t>
      </w:r>
      <w:r w:rsidR="00FA4155">
        <w:t>ст</w:t>
      </w:r>
      <w:proofErr w:type="spellEnd"/>
      <w:r w:rsidR="00FA4155">
        <w:t>.</w:t>
      </w:r>
      <w:r w:rsidRPr="00181F9E">
        <w:t xml:space="preserve"> 74 </w:t>
      </w:r>
      <w:r w:rsidR="00DB69E1">
        <w:t>-</w:t>
      </w:r>
      <w:r w:rsidRPr="00181F9E">
        <w:t xml:space="preserve">90 (система доказательств). </w:t>
      </w:r>
    </w:p>
    <w:p w14:paraId="7239330B" w14:textId="1A30D10F" w:rsidR="00520CFA" w:rsidRDefault="00181F9E" w:rsidP="00181F9E">
      <w:pPr>
        <w:spacing w:line="360" w:lineRule="auto"/>
        <w:ind w:firstLine="709"/>
      </w:pPr>
      <w:r w:rsidRPr="00181F9E">
        <w:t xml:space="preserve">[23] УПК РФ, </w:t>
      </w:r>
      <w:proofErr w:type="spellStart"/>
      <w:r w:rsidRPr="00181F9E">
        <w:t>ст.</w:t>
      </w:r>
      <w:r w:rsidR="00FA4155">
        <w:t>ст</w:t>
      </w:r>
      <w:proofErr w:type="spellEnd"/>
      <w:r w:rsidR="00FA4155">
        <w:t>.</w:t>
      </w:r>
      <w:r w:rsidRPr="00181F9E">
        <w:t xml:space="preserve"> 164–166 (полномочия следователя). </w:t>
      </w:r>
    </w:p>
    <w:p w14:paraId="131389D8" w14:textId="4959FE4B" w:rsidR="00520CFA" w:rsidRDefault="00181F9E" w:rsidP="00181F9E">
      <w:pPr>
        <w:spacing w:line="360" w:lineRule="auto"/>
        <w:ind w:firstLine="709"/>
      </w:pPr>
      <w:r w:rsidRPr="00181F9E">
        <w:t xml:space="preserve">[24] Федеральный закон от 4.04.2011 № 60-ФЗ </w:t>
      </w:r>
      <w:r w:rsidR="00FA4155">
        <w:t>«</w:t>
      </w:r>
      <w:r w:rsidRPr="00181F9E">
        <w:t>Об альтернативной процедуре урегулирования споров с участием посредника</w:t>
      </w:r>
      <w:r w:rsidR="00FA4155">
        <w:t>»</w:t>
      </w:r>
      <w:r w:rsidRPr="00181F9E">
        <w:t xml:space="preserve">; Уголовный кодекс РФ, ст. 1 о применении международного права. </w:t>
      </w:r>
    </w:p>
    <w:p w14:paraId="4C5A8801" w14:textId="5931805E" w:rsidR="00520CFA" w:rsidRDefault="00181F9E" w:rsidP="00181F9E">
      <w:pPr>
        <w:spacing w:line="360" w:lineRule="auto"/>
        <w:ind w:firstLine="709"/>
      </w:pPr>
      <w:r w:rsidRPr="00181F9E">
        <w:t xml:space="preserve">[25] Федеральный закон от 27.07.2006 № 152-ФЗ </w:t>
      </w:r>
      <w:r w:rsidR="00FA4155">
        <w:t>«</w:t>
      </w:r>
      <w:r w:rsidRPr="00181F9E">
        <w:t>О защите персональных данных</w:t>
      </w:r>
      <w:r w:rsidR="00FA4155">
        <w:t>»</w:t>
      </w:r>
      <w:r w:rsidRPr="00181F9E">
        <w:t xml:space="preserve">; Закон РФ от 21.07.1993 </w:t>
      </w:r>
      <w:proofErr w:type="gramStart"/>
      <w:r w:rsidRPr="00181F9E">
        <w:t>№ 5485-1</w:t>
      </w:r>
      <w:proofErr w:type="gramEnd"/>
      <w:r w:rsidRPr="00181F9E">
        <w:t xml:space="preserve"> </w:t>
      </w:r>
      <w:r w:rsidR="00FA4155">
        <w:t>«</w:t>
      </w:r>
      <w:r w:rsidRPr="00181F9E">
        <w:t>О государственной тайне</w:t>
      </w:r>
      <w:r w:rsidR="00FA4155">
        <w:t>»</w:t>
      </w:r>
      <w:r w:rsidRPr="00181F9E">
        <w:t xml:space="preserve">. </w:t>
      </w:r>
    </w:p>
    <w:p w14:paraId="1D13F288" w14:textId="1A95747C" w:rsidR="00520CFA" w:rsidRDefault="00181F9E" w:rsidP="00181F9E">
      <w:pPr>
        <w:spacing w:line="360" w:lineRule="auto"/>
        <w:ind w:firstLine="709"/>
      </w:pPr>
      <w:r w:rsidRPr="00181F9E">
        <w:t xml:space="preserve">[26] </w:t>
      </w:r>
      <w:proofErr w:type="spellStart"/>
      <w:r w:rsidRPr="00181F9E">
        <w:t>Tosza</w:t>
      </w:r>
      <w:proofErr w:type="spellEnd"/>
      <w:r w:rsidRPr="00181F9E">
        <w:t xml:space="preserve">, S., </w:t>
      </w:r>
      <w:proofErr w:type="spellStart"/>
      <w:r w:rsidRPr="00181F9E">
        <w:t>Ligeti</w:t>
      </w:r>
      <w:proofErr w:type="spellEnd"/>
      <w:r w:rsidRPr="00181F9E">
        <w:t xml:space="preserve">, K. </w:t>
      </w:r>
      <w:proofErr w:type="spellStart"/>
      <w:r w:rsidRPr="00181F9E">
        <w:t>Op</w:t>
      </w:r>
      <w:proofErr w:type="spellEnd"/>
      <w:r w:rsidRPr="00181F9E">
        <w:t xml:space="preserve">. </w:t>
      </w:r>
      <w:proofErr w:type="spellStart"/>
      <w:r w:rsidRPr="00181F9E">
        <w:t>cit</w:t>
      </w:r>
      <w:proofErr w:type="spellEnd"/>
      <w:r w:rsidRPr="00181F9E">
        <w:t xml:space="preserve">.; </w:t>
      </w:r>
      <w:proofErr w:type="spellStart"/>
      <w:r w:rsidRPr="00181F9E">
        <w:t>Wąsek-Wiaderek</w:t>
      </w:r>
      <w:proofErr w:type="spellEnd"/>
      <w:r w:rsidRPr="00181F9E">
        <w:t xml:space="preserve">, M., </w:t>
      </w:r>
      <w:proofErr w:type="spellStart"/>
      <w:r w:rsidRPr="00181F9E">
        <w:t>Michałowicz</w:t>
      </w:r>
      <w:proofErr w:type="spellEnd"/>
      <w:r w:rsidRPr="00181F9E">
        <w:t xml:space="preserve">, M. </w:t>
      </w:r>
      <w:proofErr w:type="spellStart"/>
      <w:r w:rsidRPr="00181F9E">
        <w:t>Op</w:t>
      </w:r>
      <w:proofErr w:type="spellEnd"/>
      <w:r w:rsidRPr="00181F9E">
        <w:t xml:space="preserve">. </w:t>
      </w:r>
      <w:proofErr w:type="spellStart"/>
      <w:r w:rsidRPr="00181F9E">
        <w:t>cit</w:t>
      </w:r>
      <w:proofErr w:type="spellEnd"/>
      <w:r w:rsidRPr="00181F9E">
        <w:t xml:space="preserve">. </w:t>
      </w:r>
      <w:proofErr w:type="spellStart"/>
      <w:r w:rsidR="00DB69E1">
        <w:t>Указ.соч</w:t>
      </w:r>
      <w:proofErr w:type="spellEnd"/>
      <w:r w:rsidR="00DB69E1">
        <w:t>.</w:t>
      </w:r>
    </w:p>
    <w:p w14:paraId="158748F8" w14:textId="5895D0D3" w:rsidR="00D429DB" w:rsidRDefault="00D429DB" w:rsidP="00181F9E">
      <w:pPr>
        <w:spacing w:line="360" w:lineRule="auto"/>
        <w:ind w:firstLine="709"/>
      </w:pPr>
    </w:p>
    <w:p w14:paraId="0DAA26DB" w14:textId="77777777" w:rsidR="00C25AC3" w:rsidRDefault="00C25AC3" w:rsidP="00181F9E">
      <w:pPr>
        <w:spacing w:line="360" w:lineRule="auto"/>
        <w:ind w:firstLine="709"/>
      </w:pPr>
    </w:p>
    <w:p w14:paraId="6E57794F" w14:textId="77777777" w:rsidR="00C25AC3" w:rsidRDefault="00C25AC3" w:rsidP="00181F9E">
      <w:pPr>
        <w:spacing w:line="360" w:lineRule="auto"/>
        <w:ind w:firstLine="709"/>
      </w:pPr>
    </w:p>
    <w:p w14:paraId="21A00738" w14:textId="77777777" w:rsidR="00C25AC3" w:rsidRDefault="00C25AC3" w:rsidP="00181F9E">
      <w:pPr>
        <w:spacing w:line="360" w:lineRule="auto"/>
        <w:ind w:firstLine="709"/>
      </w:pPr>
    </w:p>
    <w:p w14:paraId="4DB2983A" w14:textId="77777777" w:rsidR="00181F9E" w:rsidRDefault="00181F9E" w:rsidP="00181F9E">
      <w:pPr>
        <w:spacing w:line="360" w:lineRule="auto"/>
        <w:ind w:firstLine="709"/>
      </w:pPr>
    </w:p>
    <w:p w14:paraId="5F1760DA" w14:textId="77777777" w:rsidR="00181F9E" w:rsidRPr="00C75CF0" w:rsidRDefault="00181F9E" w:rsidP="00181F9E">
      <w:pPr>
        <w:spacing w:after="0" w:line="276" w:lineRule="auto"/>
        <w:ind w:firstLine="709"/>
        <w:rPr>
          <w:rFonts w:eastAsia="inter" w:cs="Times New Roman"/>
          <w:b/>
          <w:bCs/>
          <w:color w:val="000000"/>
          <w:szCs w:val="28"/>
        </w:rPr>
      </w:pPr>
      <w:r w:rsidRPr="00C75CF0">
        <w:rPr>
          <w:rFonts w:eastAsia="inter" w:cs="Times New Roman"/>
          <w:b/>
          <w:bCs/>
          <w:color w:val="000000"/>
          <w:szCs w:val="28"/>
        </w:rPr>
        <w:lastRenderedPageBreak/>
        <w:t>ИНФОРМАЦИЯ ОБ АВТОРЕ</w:t>
      </w:r>
    </w:p>
    <w:p w14:paraId="1EEB85EE" w14:textId="77777777" w:rsidR="00181F9E" w:rsidRDefault="00181F9E" w:rsidP="00181F9E">
      <w:pPr>
        <w:spacing w:after="0" w:line="276" w:lineRule="auto"/>
        <w:ind w:firstLine="709"/>
        <w:rPr>
          <w:rFonts w:eastAsia="inter" w:cs="Times New Roman"/>
          <w:color w:val="000000"/>
          <w:szCs w:val="28"/>
        </w:rPr>
      </w:pPr>
      <w:proofErr w:type="spellStart"/>
      <w:r>
        <w:rPr>
          <w:rFonts w:eastAsia="inter" w:cs="Times New Roman"/>
          <w:color w:val="000000"/>
          <w:szCs w:val="28"/>
        </w:rPr>
        <w:t>Реховский</w:t>
      </w:r>
      <w:proofErr w:type="spellEnd"/>
      <w:r>
        <w:rPr>
          <w:rFonts w:eastAsia="inter" w:cs="Times New Roman"/>
          <w:color w:val="000000"/>
          <w:szCs w:val="28"/>
        </w:rPr>
        <w:t xml:space="preserve"> Александр Федорович</w:t>
      </w:r>
    </w:p>
    <w:p w14:paraId="334D2368" w14:textId="77777777" w:rsidR="00181F9E" w:rsidRDefault="00181F9E" w:rsidP="00181F9E">
      <w:pPr>
        <w:spacing w:after="0" w:line="276" w:lineRule="auto"/>
        <w:ind w:firstLine="709"/>
        <w:rPr>
          <w:rFonts w:eastAsia="inter" w:cs="Times New Roman"/>
          <w:color w:val="000000"/>
          <w:szCs w:val="28"/>
        </w:rPr>
      </w:pPr>
      <w:r>
        <w:rPr>
          <w:rFonts w:eastAsia="inter" w:cs="Times New Roman"/>
          <w:color w:val="000000"/>
          <w:szCs w:val="28"/>
        </w:rPr>
        <w:t xml:space="preserve">Доцент кафедры уголовно-правовых дисциплин </w:t>
      </w:r>
    </w:p>
    <w:p w14:paraId="4C7DC32B" w14:textId="4CC4C1D7" w:rsidR="00181F9E" w:rsidRDefault="00181F9E" w:rsidP="00181F9E">
      <w:pPr>
        <w:spacing w:after="0" w:line="276" w:lineRule="auto"/>
        <w:ind w:firstLine="709"/>
        <w:rPr>
          <w:rFonts w:eastAsia="inter" w:cs="Times New Roman"/>
          <w:color w:val="000000"/>
          <w:szCs w:val="28"/>
        </w:rPr>
      </w:pPr>
      <w:r>
        <w:rPr>
          <w:rFonts w:eastAsia="inter" w:cs="Times New Roman"/>
          <w:color w:val="000000"/>
          <w:szCs w:val="28"/>
        </w:rPr>
        <w:t>Института права Владивостокского государственного университета;</w:t>
      </w:r>
    </w:p>
    <w:p w14:paraId="0FB51BF2" w14:textId="77777777" w:rsidR="00181F9E" w:rsidRDefault="00181F9E" w:rsidP="00181F9E">
      <w:pPr>
        <w:spacing w:after="0" w:line="276" w:lineRule="auto"/>
        <w:ind w:firstLine="709"/>
        <w:rPr>
          <w:rFonts w:eastAsia="inter" w:cs="Times New Roman"/>
          <w:color w:val="000000"/>
          <w:szCs w:val="28"/>
        </w:rPr>
      </w:pPr>
      <w:r>
        <w:rPr>
          <w:rFonts w:eastAsia="inter" w:cs="Times New Roman"/>
          <w:color w:val="000000"/>
          <w:szCs w:val="28"/>
        </w:rPr>
        <w:t>Кандидат юридических наук, доцент.</w:t>
      </w:r>
    </w:p>
    <w:p w14:paraId="31FDC5CB" w14:textId="77777777" w:rsidR="00181F9E" w:rsidRPr="00D15FCB" w:rsidRDefault="00181F9E" w:rsidP="00181F9E">
      <w:pPr>
        <w:spacing w:after="0" w:line="276" w:lineRule="auto"/>
        <w:ind w:firstLine="709"/>
        <w:rPr>
          <w:rFonts w:eastAsia="inter" w:cs="Times New Roman"/>
          <w:color w:val="000000"/>
          <w:szCs w:val="28"/>
        </w:rPr>
      </w:pPr>
      <w:r>
        <w:rPr>
          <w:rFonts w:eastAsia="inter" w:cs="Times New Roman"/>
          <w:color w:val="000000"/>
          <w:szCs w:val="28"/>
        </w:rPr>
        <w:t>690014, ДФО, Приморский край, г. Владивосток, ул. Гоголя, 41.</w:t>
      </w:r>
    </w:p>
    <w:p w14:paraId="6F99BD08" w14:textId="77777777" w:rsidR="00181F9E" w:rsidRPr="00D15FCB" w:rsidRDefault="00181F9E" w:rsidP="00181F9E">
      <w:pPr>
        <w:spacing w:after="0" w:line="276" w:lineRule="auto"/>
        <w:ind w:firstLine="709"/>
        <w:rPr>
          <w:rFonts w:eastAsia="inter" w:cs="Times New Roman"/>
          <w:color w:val="000000"/>
          <w:szCs w:val="28"/>
        </w:rPr>
      </w:pPr>
      <w:r>
        <w:rPr>
          <w:rFonts w:eastAsia="inter" w:cs="Times New Roman"/>
          <w:color w:val="000000"/>
          <w:szCs w:val="28"/>
        </w:rPr>
        <w:t>Тел</w:t>
      </w:r>
      <w:r w:rsidRPr="00D15FCB">
        <w:rPr>
          <w:rFonts w:eastAsia="inter" w:cs="Times New Roman"/>
          <w:color w:val="000000"/>
          <w:szCs w:val="28"/>
        </w:rPr>
        <w:t>. +7(423)2404085.</w:t>
      </w:r>
    </w:p>
    <w:p w14:paraId="77F5D643" w14:textId="77777777" w:rsidR="00181F9E" w:rsidRPr="00D15FCB" w:rsidRDefault="00181F9E" w:rsidP="00181F9E">
      <w:pPr>
        <w:spacing w:after="0" w:line="276" w:lineRule="auto"/>
        <w:ind w:firstLine="709"/>
        <w:rPr>
          <w:rFonts w:eastAsia="inter" w:cs="Times New Roman"/>
          <w:color w:val="000000"/>
          <w:szCs w:val="28"/>
        </w:rPr>
      </w:pPr>
      <w:r w:rsidRPr="00C75CF0">
        <w:rPr>
          <w:rFonts w:eastAsia="inter" w:cs="Times New Roman"/>
          <w:color w:val="000000"/>
          <w:szCs w:val="28"/>
          <w:lang w:val="de-DE"/>
        </w:rPr>
        <w:t>e</w:t>
      </w:r>
      <w:r w:rsidRPr="00D15FCB">
        <w:rPr>
          <w:rFonts w:eastAsia="inter" w:cs="Times New Roman"/>
          <w:color w:val="000000"/>
          <w:szCs w:val="28"/>
        </w:rPr>
        <w:t>-</w:t>
      </w:r>
      <w:r w:rsidRPr="00C75CF0">
        <w:rPr>
          <w:rFonts w:eastAsia="inter" w:cs="Times New Roman"/>
          <w:color w:val="000000"/>
          <w:szCs w:val="28"/>
          <w:lang w:val="de-DE"/>
        </w:rPr>
        <w:t>mail</w:t>
      </w:r>
      <w:r w:rsidRPr="00D15FCB">
        <w:rPr>
          <w:rFonts w:eastAsia="inter" w:cs="Times New Roman"/>
          <w:color w:val="000000"/>
          <w:szCs w:val="28"/>
        </w:rPr>
        <w:t xml:space="preserve">: </w:t>
      </w:r>
      <w:r w:rsidRPr="00C75CF0">
        <w:rPr>
          <w:rFonts w:eastAsia="inter" w:cs="Times New Roman"/>
          <w:color w:val="000000"/>
          <w:szCs w:val="28"/>
          <w:lang w:val="de-DE"/>
        </w:rPr>
        <w:t>A</w:t>
      </w:r>
      <w:r w:rsidRPr="00D15FCB">
        <w:rPr>
          <w:rFonts w:eastAsia="inter" w:cs="Times New Roman"/>
          <w:color w:val="000000"/>
          <w:szCs w:val="28"/>
        </w:rPr>
        <w:t>.</w:t>
      </w:r>
      <w:r w:rsidRPr="00C75CF0">
        <w:rPr>
          <w:rFonts w:eastAsia="inter" w:cs="Times New Roman"/>
          <w:color w:val="000000"/>
          <w:szCs w:val="28"/>
          <w:lang w:val="de-DE"/>
        </w:rPr>
        <w:t>Rekhovskiy</w:t>
      </w:r>
      <w:r w:rsidRPr="00D15FCB">
        <w:rPr>
          <w:rFonts w:eastAsia="inter" w:cs="Times New Roman"/>
          <w:color w:val="000000"/>
          <w:szCs w:val="28"/>
        </w:rPr>
        <w:t>@</w:t>
      </w:r>
      <w:r w:rsidRPr="00C75CF0">
        <w:rPr>
          <w:rFonts w:eastAsia="inter" w:cs="Times New Roman"/>
          <w:color w:val="000000"/>
          <w:szCs w:val="28"/>
          <w:lang w:val="de-DE"/>
        </w:rPr>
        <w:t>v</w:t>
      </w:r>
      <w:r>
        <w:rPr>
          <w:rFonts w:eastAsia="inter" w:cs="Times New Roman"/>
          <w:color w:val="000000"/>
          <w:szCs w:val="28"/>
          <w:lang w:val="de-DE"/>
        </w:rPr>
        <w:t>vsu</w:t>
      </w:r>
      <w:r w:rsidRPr="00D15FCB">
        <w:rPr>
          <w:rFonts w:eastAsia="inter" w:cs="Times New Roman"/>
          <w:color w:val="000000"/>
          <w:szCs w:val="28"/>
        </w:rPr>
        <w:t>.</w:t>
      </w:r>
      <w:r>
        <w:rPr>
          <w:rFonts w:eastAsia="inter" w:cs="Times New Roman"/>
          <w:color w:val="000000"/>
          <w:szCs w:val="28"/>
          <w:lang w:val="de-DE"/>
        </w:rPr>
        <w:t>ru</w:t>
      </w:r>
    </w:p>
    <w:p w14:paraId="2D29BA02" w14:textId="77777777" w:rsidR="00181F9E" w:rsidRPr="00D15FCB" w:rsidRDefault="00181F9E" w:rsidP="00181F9E">
      <w:pPr>
        <w:spacing w:after="0" w:line="276" w:lineRule="auto"/>
        <w:ind w:firstLine="709"/>
        <w:rPr>
          <w:rFonts w:eastAsia="inter" w:cs="Times New Roman"/>
          <w:color w:val="000000"/>
          <w:szCs w:val="28"/>
        </w:rPr>
      </w:pPr>
    </w:p>
    <w:p w14:paraId="34D1A755" w14:textId="77777777" w:rsidR="00181F9E" w:rsidRDefault="00181F9E" w:rsidP="00181F9E">
      <w:pPr>
        <w:spacing w:after="0" w:line="276" w:lineRule="auto"/>
        <w:ind w:firstLine="709"/>
        <w:rPr>
          <w:rFonts w:eastAsia="inter" w:cs="Times New Roman"/>
          <w:color w:val="000000"/>
          <w:szCs w:val="28"/>
        </w:rPr>
      </w:pPr>
      <w:r>
        <w:rPr>
          <w:rFonts w:eastAsia="inter" w:cs="Times New Roman"/>
          <w:color w:val="000000"/>
          <w:szCs w:val="28"/>
        </w:rPr>
        <w:t>Домашний адрес:</w:t>
      </w:r>
    </w:p>
    <w:p w14:paraId="6A0D4217" w14:textId="0B3D35E9" w:rsidR="00181F9E" w:rsidRDefault="00181F9E" w:rsidP="00181F9E">
      <w:pPr>
        <w:spacing w:after="0" w:line="276" w:lineRule="auto"/>
        <w:ind w:firstLine="709"/>
        <w:rPr>
          <w:rFonts w:eastAsia="inter" w:cs="Times New Roman"/>
          <w:color w:val="000000"/>
          <w:szCs w:val="28"/>
        </w:rPr>
      </w:pPr>
      <w:r>
        <w:rPr>
          <w:rFonts w:eastAsia="inter" w:cs="Times New Roman"/>
          <w:color w:val="000000"/>
          <w:szCs w:val="28"/>
        </w:rPr>
        <w:t>690048</w:t>
      </w:r>
      <w:r>
        <w:rPr>
          <w:rFonts w:eastAsia="inter" w:cs="Times New Roman"/>
          <w:color w:val="000000"/>
          <w:szCs w:val="28"/>
        </w:rPr>
        <w:t xml:space="preserve">, </w:t>
      </w:r>
      <w:r>
        <w:rPr>
          <w:rFonts w:eastAsia="inter" w:cs="Times New Roman"/>
          <w:color w:val="000000"/>
          <w:szCs w:val="28"/>
        </w:rPr>
        <w:t>ДФО, Приморский край</w:t>
      </w:r>
      <w:r>
        <w:rPr>
          <w:rFonts w:eastAsia="inter" w:cs="Times New Roman"/>
          <w:color w:val="000000"/>
          <w:szCs w:val="28"/>
        </w:rPr>
        <w:t>,</w:t>
      </w:r>
      <w:r>
        <w:rPr>
          <w:rFonts w:eastAsia="inter" w:cs="Times New Roman"/>
          <w:color w:val="000000"/>
          <w:szCs w:val="28"/>
        </w:rPr>
        <w:t xml:space="preserve"> г. Владивосток, ул. Овчинникова, д.8 кв.38.</w:t>
      </w:r>
    </w:p>
    <w:p w14:paraId="19AD60DF" w14:textId="77777777" w:rsidR="00181F9E" w:rsidRPr="00D15FCB" w:rsidRDefault="00181F9E" w:rsidP="00181F9E">
      <w:pPr>
        <w:spacing w:after="0" w:line="276" w:lineRule="auto"/>
        <w:ind w:firstLine="709"/>
        <w:rPr>
          <w:rFonts w:eastAsia="inter" w:cs="Times New Roman"/>
          <w:color w:val="000000"/>
          <w:szCs w:val="28"/>
        </w:rPr>
      </w:pPr>
      <w:r w:rsidRPr="00C75CF0">
        <w:rPr>
          <w:rFonts w:eastAsia="inter" w:cs="Times New Roman"/>
          <w:color w:val="000000"/>
          <w:szCs w:val="28"/>
          <w:lang w:val="de-DE"/>
        </w:rPr>
        <w:t>e</w:t>
      </w:r>
      <w:r w:rsidRPr="00D15FCB">
        <w:rPr>
          <w:rFonts w:eastAsia="inter" w:cs="Times New Roman"/>
          <w:color w:val="000000"/>
          <w:szCs w:val="28"/>
        </w:rPr>
        <w:t>-</w:t>
      </w:r>
      <w:r w:rsidRPr="00C75CF0">
        <w:rPr>
          <w:rFonts w:eastAsia="inter" w:cs="Times New Roman"/>
          <w:color w:val="000000"/>
          <w:szCs w:val="28"/>
          <w:lang w:val="de-DE"/>
        </w:rPr>
        <w:t>mail</w:t>
      </w:r>
      <w:r w:rsidRPr="00D15FCB">
        <w:rPr>
          <w:rFonts w:eastAsia="inter" w:cs="Times New Roman"/>
          <w:color w:val="000000"/>
          <w:szCs w:val="28"/>
        </w:rPr>
        <w:t xml:space="preserve">: </w:t>
      </w:r>
      <w:hyperlink r:id="rId6" w:history="1">
        <w:r w:rsidRPr="00F77D45">
          <w:rPr>
            <w:rStyle w:val="af0"/>
            <w:rFonts w:eastAsia="inter" w:cs="Times New Roman"/>
            <w:szCs w:val="28"/>
            <w:lang w:val="de-DE"/>
          </w:rPr>
          <w:t>rafdvgu</w:t>
        </w:r>
        <w:r w:rsidRPr="00D15FCB">
          <w:rPr>
            <w:rStyle w:val="af0"/>
            <w:rFonts w:eastAsia="inter" w:cs="Times New Roman"/>
            <w:szCs w:val="28"/>
          </w:rPr>
          <w:t>@</w:t>
        </w:r>
        <w:r w:rsidRPr="00F77D45">
          <w:rPr>
            <w:rStyle w:val="af0"/>
            <w:rFonts w:eastAsia="inter" w:cs="Times New Roman"/>
            <w:szCs w:val="28"/>
            <w:lang w:val="de-DE"/>
          </w:rPr>
          <w:t>mail</w:t>
        </w:r>
        <w:r w:rsidRPr="00D15FCB">
          <w:rPr>
            <w:rStyle w:val="af0"/>
            <w:rFonts w:eastAsia="inter" w:cs="Times New Roman"/>
            <w:szCs w:val="28"/>
          </w:rPr>
          <w:t>.</w:t>
        </w:r>
        <w:r w:rsidRPr="00F77D45">
          <w:rPr>
            <w:rStyle w:val="af0"/>
            <w:rFonts w:eastAsia="inter" w:cs="Times New Roman"/>
            <w:szCs w:val="28"/>
            <w:lang w:val="de-DE"/>
          </w:rPr>
          <w:t>ru</w:t>
        </w:r>
      </w:hyperlink>
      <w:r w:rsidRPr="00D15FCB">
        <w:rPr>
          <w:rFonts w:eastAsia="inter" w:cs="Times New Roman"/>
          <w:color w:val="000000"/>
          <w:szCs w:val="28"/>
        </w:rPr>
        <w:t>.</w:t>
      </w:r>
    </w:p>
    <w:p w14:paraId="2B6A0FCC" w14:textId="77777777" w:rsidR="00181F9E" w:rsidRPr="00C75CF0" w:rsidRDefault="00181F9E" w:rsidP="00181F9E">
      <w:pPr>
        <w:spacing w:after="0" w:line="276" w:lineRule="auto"/>
        <w:ind w:firstLine="709"/>
        <w:rPr>
          <w:rFonts w:cs="Times New Roman"/>
          <w:szCs w:val="28"/>
        </w:rPr>
      </w:pPr>
      <w:r>
        <w:rPr>
          <w:rFonts w:eastAsia="inter" w:cs="Times New Roman"/>
          <w:color w:val="000000"/>
          <w:szCs w:val="28"/>
        </w:rPr>
        <w:t>Тел.: +79146854337.</w:t>
      </w:r>
    </w:p>
    <w:p w14:paraId="73781C6F" w14:textId="77777777" w:rsidR="00181F9E" w:rsidRDefault="00181F9E" w:rsidP="00181F9E">
      <w:pPr>
        <w:spacing w:line="360" w:lineRule="auto"/>
        <w:ind w:firstLine="709"/>
      </w:pPr>
    </w:p>
    <w:sectPr w:rsidR="00181F9E">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D0AFF" w14:textId="77777777" w:rsidR="00881EB1" w:rsidRDefault="00881EB1" w:rsidP="00181F9E">
      <w:pPr>
        <w:spacing w:after="0" w:line="240" w:lineRule="auto"/>
      </w:pPr>
      <w:r>
        <w:separator/>
      </w:r>
    </w:p>
  </w:endnote>
  <w:endnote w:type="continuationSeparator" w:id="0">
    <w:p w14:paraId="2D67276E" w14:textId="77777777" w:rsidR="00881EB1" w:rsidRDefault="00881EB1" w:rsidP="00181F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CC"/>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inter">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3834336"/>
      <w:docPartObj>
        <w:docPartGallery w:val="Page Numbers (Bottom of Page)"/>
        <w:docPartUnique/>
      </w:docPartObj>
    </w:sdtPr>
    <w:sdtContent>
      <w:p w14:paraId="49D2DC73" w14:textId="361BFA30" w:rsidR="00181F9E" w:rsidRDefault="00181F9E">
        <w:pPr>
          <w:pStyle w:val="ae"/>
          <w:jc w:val="center"/>
        </w:pPr>
        <w:r>
          <w:fldChar w:fldCharType="begin"/>
        </w:r>
        <w:r>
          <w:instrText>PAGE   \* MERGEFORMAT</w:instrText>
        </w:r>
        <w:r>
          <w:fldChar w:fldCharType="separate"/>
        </w:r>
        <w:r>
          <w:t>2</w:t>
        </w:r>
        <w:r>
          <w:fldChar w:fldCharType="end"/>
        </w:r>
      </w:p>
    </w:sdtContent>
  </w:sdt>
  <w:p w14:paraId="332DB176" w14:textId="77777777" w:rsidR="00181F9E" w:rsidRDefault="00181F9E">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7702EF" w14:textId="77777777" w:rsidR="00881EB1" w:rsidRDefault="00881EB1" w:rsidP="00181F9E">
      <w:pPr>
        <w:spacing w:after="0" w:line="240" w:lineRule="auto"/>
      </w:pPr>
      <w:r>
        <w:separator/>
      </w:r>
    </w:p>
  </w:footnote>
  <w:footnote w:type="continuationSeparator" w:id="0">
    <w:p w14:paraId="30A76EB1" w14:textId="77777777" w:rsidR="00881EB1" w:rsidRDefault="00881EB1" w:rsidP="00181F9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F9E"/>
    <w:rsid w:val="00014A10"/>
    <w:rsid w:val="00181F9E"/>
    <w:rsid w:val="00462AA8"/>
    <w:rsid w:val="00520CFA"/>
    <w:rsid w:val="00586765"/>
    <w:rsid w:val="0068618C"/>
    <w:rsid w:val="0072360A"/>
    <w:rsid w:val="00881EB1"/>
    <w:rsid w:val="00910963"/>
    <w:rsid w:val="00C25AC3"/>
    <w:rsid w:val="00D21C0E"/>
    <w:rsid w:val="00D429DB"/>
    <w:rsid w:val="00DB69E1"/>
    <w:rsid w:val="00E91D03"/>
    <w:rsid w:val="00FA41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60427"/>
  <w15:chartTrackingRefBased/>
  <w15:docId w15:val="{E9B56191-18DF-49AC-8A4F-34100F0F6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9DB"/>
    <w:pPr>
      <w:jc w:val="both"/>
    </w:pPr>
    <w:rPr>
      <w:rFonts w:ascii="Times New Roman" w:hAnsi="Times New Roman"/>
      <w:sz w:val="28"/>
    </w:rPr>
  </w:style>
  <w:style w:type="paragraph" w:styleId="1">
    <w:name w:val="heading 1"/>
    <w:basedOn w:val="a"/>
    <w:next w:val="a"/>
    <w:link w:val="10"/>
    <w:uiPriority w:val="9"/>
    <w:qFormat/>
    <w:rsid w:val="00181F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181F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181F9E"/>
    <w:pPr>
      <w:keepNext/>
      <w:keepLines/>
      <w:spacing w:before="160" w:after="80"/>
      <w:outlineLvl w:val="2"/>
    </w:pPr>
    <w:rPr>
      <w:rFonts w:asciiTheme="minorHAnsi" w:eastAsiaTheme="majorEastAsia" w:hAnsiTheme="minorHAnsi" w:cstheme="majorBidi"/>
      <w:color w:val="0F4761" w:themeColor="accent1" w:themeShade="BF"/>
      <w:szCs w:val="28"/>
    </w:rPr>
  </w:style>
  <w:style w:type="paragraph" w:styleId="4">
    <w:name w:val="heading 4"/>
    <w:basedOn w:val="a"/>
    <w:next w:val="a"/>
    <w:link w:val="40"/>
    <w:uiPriority w:val="9"/>
    <w:semiHidden/>
    <w:unhideWhenUsed/>
    <w:qFormat/>
    <w:rsid w:val="00181F9E"/>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5">
    <w:name w:val="heading 5"/>
    <w:basedOn w:val="a"/>
    <w:next w:val="a"/>
    <w:link w:val="50"/>
    <w:uiPriority w:val="9"/>
    <w:semiHidden/>
    <w:unhideWhenUsed/>
    <w:qFormat/>
    <w:rsid w:val="00181F9E"/>
    <w:pPr>
      <w:keepNext/>
      <w:keepLines/>
      <w:spacing w:before="80" w:after="40"/>
      <w:outlineLvl w:val="4"/>
    </w:pPr>
    <w:rPr>
      <w:rFonts w:asciiTheme="minorHAnsi" w:eastAsiaTheme="majorEastAsia" w:hAnsiTheme="minorHAnsi" w:cstheme="majorBidi"/>
      <w:color w:val="0F4761" w:themeColor="accent1" w:themeShade="BF"/>
    </w:rPr>
  </w:style>
  <w:style w:type="paragraph" w:styleId="6">
    <w:name w:val="heading 6"/>
    <w:basedOn w:val="a"/>
    <w:next w:val="a"/>
    <w:link w:val="60"/>
    <w:uiPriority w:val="9"/>
    <w:semiHidden/>
    <w:unhideWhenUsed/>
    <w:qFormat/>
    <w:rsid w:val="00181F9E"/>
    <w:pPr>
      <w:keepNext/>
      <w:keepLines/>
      <w:spacing w:before="40" w:after="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181F9E"/>
    <w:pPr>
      <w:keepNext/>
      <w:keepLines/>
      <w:spacing w:before="40" w:after="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181F9E"/>
    <w:pPr>
      <w:keepNext/>
      <w:keepLines/>
      <w:spacing w:after="0"/>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181F9E"/>
    <w:pPr>
      <w:keepNext/>
      <w:keepLines/>
      <w:spacing w:after="0"/>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181F9E"/>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181F9E"/>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181F9E"/>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181F9E"/>
    <w:rPr>
      <w:rFonts w:eastAsiaTheme="majorEastAsia" w:cstheme="majorBidi"/>
      <w:i/>
      <w:iCs/>
      <w:color w:val="0F4761" w:themeColor="accent1" w:themeShade="BF"/>
      <w:sz w:val="28"/>
    </w:rPr>
  </w:style>
  <w:style w:type="character" w:customStyle="1" w:styleId="50">
    <w:name w:val="Заголовок 5 Знак"/>
    <w:basedOn w:val="a0"/>
    <w:link w:val="5"/>
    <w:uiPriority w:val="9"/>
    <w:semiHidden/>
    <w:rsid w:val="00181F9E"/>
    <w:rPr>
      <w:rFonts w:eastAsiaTheme="majorEastAsia" w:cstheme="majorBidi"/>
      <w:color w:val="0F4761" w:themeColor="accent1" w:themeShade="BF"/>
      <w:sz w:val="28"/>
    </w:rPr>
  </w:style>
  <w:style w:type="character" w:customStyle="1" w:styleId="60">
    <w:name w:val="Заголовок 6 Знак"/>
    <w:basedOn w:val="a0"/>
    <w:link w:val="6"/>
    <w:uiPriority w:val="9"/>
    <w:semiHidden/>
    <w:rsid w:val="00181F9E"/>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181F9E"/>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181F9E"/>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181F9E"/>
    <w:rPr>
      <w:rFonts w:eastAsiaTheme="majorEastAsia" w:cstheme="majorBidi"/>
      <w:color w:val="272727" w:themeColor="text1" w:themeTint="D8"/>
      <w:sz w:val="28"/>
    </w:rPr>
  </w:style>
  <w:style w:type="paragraph" w:styleId="a3">
    <w:name w:val="Title"/>
    <w:basedOn w:val="a"/>
    <w:next w:val="a"/>
    <w:link w:val="a4"/>
    <w:uiPriority w:val="10"/>
    <w:qFormat/>
    <w:rsid w:val="00181F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181F9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81F9E"/>
    <w:pPr>
      <w:numPr>
        <w:ilvl w:val="1"/>
      </w:numPr>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181F9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181F9E"/>
    <w:pPr>
      <w:spacing w:before="160"/>
      <w:jc w:val="center"/>
    </w:pPr>
    <w:rPr>
      <w:i/>
      <w:iCs/>
      <w:color w:val="404040" w:themeColor="text1" w:themeTint="BF"/>
    </w:rPr>
  </w:style>
  <w:style w:type="character" w:customStyle="1" w:styleId="22">
    <w:name w:val="Цитата 2 Знак"/>
    <w:basedOn w:val="a0"/>
    <w:link w:val="21"/>
    <w:uiPriority w:val="29"/>
    <w:rsid w:val="00181F9E"/>
    <w:rPr>
      <w:rFonts w:ascii="Times New Roman" w:hAnsi="Times New Roman"/>
      <w:i/>
      <w:iCs/>
      <w:color w:val="404040" w:themeColor="text1" w:themeTint="BF"/>
      <w:sz w:val="28"/>
    </w:rPr>
  </w:style>
  <w:style w:type="paragraph" w:styleId="a7">
    <w:name w:val="List Paragraph"/>
    <w:basedOn w:val="a"/>
    <w:uiPriority w:val="34"/>
    <w:qFormat/>
    <w:rsid w:val="00181F9E"/>
    <w:pPr>
      <w:ind w:left="720"/>
      <w:contextualSpacing/>
    </w:pPr>
  </w:style>
  <w:style w:type="character" w:styleId="a8">
    <w:name w:val="Intense Emphasis"/>
    <w:basedOn w:val="a0"/>
    <w:uiPriority w:val="21"/>
    <w:qFormat/>
    <w:rsid w:val="00181F9E"/>
    <w:rPr>
      <w:i/>
      <w:iCs/>
      <w:color w:val="0F4761" w:themeColor="accent1" w:themeShade="BF"/>
    </w:rPr>
  </w:style>
  <w:style w:type="paragraph" w:styleId="a9">
    <w:name w:val="Intense Quote"/>
    <w:basedOn w:val="a"/>
    <w:next w:val="a"/>
    <w:link w:val="aa"/>
    <w:uiPriority w:val="30"/>
    <w:qFormat/>
    <w:rsid w:val="00181F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181F9E"/>
    <w:rPr>
      <w:rFonts w:ascii="Times New Roman" w:hAnsi="Times New Roman"/>
      <w:i/>
      <w:iCs/>
      <w:color w:val="0F4761" w:themeColor="accent1" w:themeShade="BF"/>
      <w:sz w:val="28"/>
    </w:rPr>
  </w:style>
  <w:style w:type="character" w:styleId="ab">
    <w:name w:val="Intense Reference"/>
    <w:basedOn w:val="a0"/>
    <w:uiPriority w:val="32"/>
    <w:qFormat/>
    <w:rsid w:val="00181F9E"/>
    <w:rPr>
      <w:b/>
      <w:bCs/>
      <w:smallCaps/>
      <w:color w:val="0F4761" w:themeColor="accent1" w:themeShade="BF"/>
      <w:spacing w:val="5"/>
    </w:rPr>
  </w:style>
  <w:style w:type="paragraph" w:styleId="ac">
    <w:name w:val="header"/>
    <w:basedOn w:val="a"/>
    <w:link w:val="ad"/>
    <w:uiPriority w:val="99"/>
    <w:unhideWhenUsed/>
    <w:rsid w:val="00181F9E"/>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181F9E"/>
    <w:rPr>
      <w:rFonts w:ascii="Times New Roman" w:hAnsi="Times New Roman"/>
      <w:sz w:val="28"/>
    </w:rPr>
  </w:style>
  <w:style w:type="paragraph" w:styleId="ae">
    <w:name w:val="footer"/>
    <w:basedOn w:val="a"/>
    <w:link w:val="af"/>
    <w:uiPriority w:val="99"/>
    <w:unhideWhenUsed/>
    <w:rsid w:val="00181F9E"/>
    <w:pPr>
      <w:tabs>
        <w:tab w:val="center" w:pos="4677"/>
        <w:tab w:val="right" w:pos="9355"/>
      </w:tabs>
      <w:spacing w:after="0" w:line="240" w:lineRule="auto"/>
    </w:pPr>
  </w:style>
  <w:style w:type="character" w:customStyle="1" w:styleId="af">
    <w:name w:val="Нижний колонтитул Знак"/>
    <w:basedOn w:val="a0"/>
    <w:link w:val="ae"/>
    <w:uiPriority w:val="99"/>
    <w:rsid w:val="00181F9E"/>
    <w:rPr>
      <w:rFonts w:ascii="Times New Roman" w:hAnsi="Times New Roman"/>
      <w:sz w:val="28"/>
    </w:rPr>
  </w:style>
  <w:style w:type="character" w:styleId="af0">
    <w:name w:val="Hyperlink"/>
    <w:basedOn w:val="a0"/>
    <w:uiPriority w:val="99"/>
    <w:unhideWhenUsed/>
    <w:rsid w:val="00181F9E"/>
    <w:rPr>
      <w:color w:val="467886" w:themeColor="hyperlink"/>
      <w:u w:val="single"/>
    </w:rPr>
  </w:style>
  <w:style w:type="character" w:styleId="af1">
    <w:name w:val="Unresolved Mention"/>
    <w:basedOn w:val="a0"/>
    <w:uiPriority w:val="99"/>
    <w:semiHidden/>
    <w:unhideWhenUsed/>
    <w:rsid w:val="00181F9E"/>
    <w:rPr>
      <w:color w:val="605E5C"/>
      <w:shd w:val="clear" w:color="auto" w:fill="E1DFDD"/>
    </w:rPr>
  </w:style>
  <w:style w:type="table" w:styleId="af2">
    <w:name w:val="Table Grid"/>
    <w:basedOn w:val="a1"/>
    <w:uiPriority w:val="39"/>
    <w:rsid w:val="00910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afdvgu@mail.ru"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73</TotalTime>
  <Pages>11</Pages>
  <Words>2586</Words>
  <Characters>14744</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Aleksandr Rekhovskiy</dc:creator>
  <cp:keywords/>
  <dc:description/>
  <cp:lastModifiedBy>Aleksandr Rekhovskiy</cp:lastModifiedBy>
  <cp:revision>5</cp:revision>
  <dcterms:created xsi:type="dcterms:W3CDTF">2025-11-11T22:32:00Z</dcterms:created>
  <dcterms:modified xsi:type="dcterms:W3CDTF">2025-11-11T23:46:00Z</dcterms:modified>
</cp:coreProperties>
</file>