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5B72E" w14:textId="7A7ECBB3" w:rsidR="00441341" w:rsidRPr="00D002A2" w:rsidRDefault="007E20D5" w:rsidP="004647A4">
      <w:pPr>
        <w:ind w:firstLine="709"/>
        <w:rPr>
          <w:rFonts w:ascii="Times New Roman" w:hAnsi="Times New Roman"/>
          <w:b/>
          <w:bCs/>
          <w:sz w:val="24"/>
          <w:szCs w:val="24"/>
        </w:rPr>
      </w:pPr>
      <w:r w:rsidRPr="00D002A2">
        <w:rPr>
          <w:rFonts w:ascii="Times New Roman" w:hAnsi="Times New Roman"/>
          <w:b/>
          <w:bCs/>
          <w:sz w:val="24"/>
          <w:szCs w:val="24"/>
        </w:rPr>
        <w:t>УДК 502.131.1</w:t>
      </w:r>
      <w:r w:rsidRPr="00D002A2">
        <w:rPr>
          <w:rFonts w:ascii="Times New Roman" w:hAnsi="Times New Roman"/>
          <w:b/>
          <w:bCs/>
          <w:sz w:val="24"/>
          <w:szCs w:val="24"/>
          <w:lang w:val="en-US"/>
        </w:rPr>
        <w:t> </w:t>
      </w:r>
    </w:p>
    <w:p w14:paraId="13434CE8" w14:textId="2E223929" w:rsidR="00D002A2" w:rsidRPr="00D002A2" w:rsidRDefault="00D002A2" w:rsidP="00D002A2">
      <w:pPr>
        <w:ind w:firstLine="709"/>
        <w:jc w:val="right"/>
        <w:rPr>
          <w:rFonts w:ascii="Times New Roman" w:hAnsi="Times New Roman"/>
          <w:b/>
          <w:bCs/>
          <w:i/>
          <w:iCs/>
          <w:sz w:val="24"/>
          <w:szCs w:val="24"/>
        </w:rPr>
      </w:pPr>
      <w:r w:rsidRPr="00D002A2">
        <w:rPr>
          <w:rFonts w:ascii="Times New Roman" w:hAnsi="Times New Roman"/>
          <w:b/>
          <w:bCs/>
          <w:i/>
          <w:iCs/>
          <w:sz w:val="24"/>
          <w:szCs w:val="24"/>
        </w:rPr>
        <w:t>Н.Ю. Титова, В.В. Крюков</w:t>
      </w:r>
    </w:p>
    <w:p w14:paraId="194461D4" w14:textId="0DC80381" w:rsidR="004647A4" w:rsidRDefault="004647A4" w:rsidP="004647A4">
      <w:pPr>
        <w:jc w:val="center"/>
        <w:rPr>
          <w:rFonts w:ascii="Times New Roman" w:eastAsia="Times New Roman" w:hAnsi="Times New Roman"/>
          <w:b/>
          <w:bCs/>
          <w:caps/>
          <w:color w:val="000000"/>
          <w:kern w:val="36"/>
          <w:sz w:val="24"/>
          <w:szCs w:val="24"/>
          <w:shd w:val="clear" w:color="auto" w:fill="FFFFFF"/>
          <w:lang w:eastAsia="x-none"/>
        </w:rPr>
      </w:pPr>
      <w:r w:rsidRPr="00D002A2">
        <w:rPr>
          <w:rFonts w:ascii="Times New Roman" w:eastAsia="Times New Roman" w:hAnsi="Times New Roman"/>
          <w:b/>
          <w:bCs/>
          <w:caps/>
          <w:color w:val="000000"/>
          <w:kern w:val="36"/>
          <w:sz w:val="24"/>
          <w:szCs w:val="24"/>
          <w:shd w:val="clear" w:color="auto" w:fill="FFFFFF"/>
          <w:lang w:eastAsia="x-none"/>
        </w:rPr>
        <w:t>Корпоративные о</w:t>
      </w:r>
      <w:r w:rsidR="00E27778" w:rsidRPr="00D002A2">
        <w:rPr>
          <w:rFonts w:ascii="Times New Roman" w:eastAsia="Times New Roman" w:hAnsi="Times New Roman"/>
          <w:b/>
          <w:bCs/>
          <w:caps/>
          <w:color w:val="000000"/>
          <w:kern w:val="36"/>
          <w:sz w:val="24"/>
          <w:szCs w:val="24"/>
          <w:shd w:val="clear" w:color="auto" w:fill="FFFFFF"/>
          <w:lang w:eastAsia="x-none"/>
        </w:rPr>
        <w:t xml:space="preserve">тчеты </w:t>
      </w:r>
      <w:r w:rsidR="009F6BF0" w:rsidRPr="00D002A2">
        <w:rPr>
          <w:rFonts w:ascii="Times New Roman" w:eastAsia="Times New Roman" w:hAnsi="Times New Roman"/>
          <w:b/>
          <w:bCs/>
          <w:caps/>
          <w:color w:val="000000"/>
          <w:kern w:val="36"/>
          <w:sz w:val="24"/>
          <w:szCs w:val="24"/>
          <w:shd w:val="clear" w:color="auto" w:fill="FFFFFF"/>
          <w:lang w:eastAsia="x-none"/>
        </w:rPr>
        <w:t>об</w:t>
      </w:r>
      <w:r w:rsidR="00E27778" w:rsidRPr="00D002A2">
        <w:rPr>
          <w:rFonts w:ascii="Times New Roman" w:eastAsia="Times New Roman" w:hAnsi="Times New Roman"/>
          <w:b/>
          <w:bCs/>
          <w:caps/>
          <w:color w:val="000000"/>
          <w:kern w:val="36"/>
          <w:sz w:val="24"/>
          <w:szCs w:val="24"/>
          <w:shd w:val="clear" w:color="auto" w:fill="FFFFFF"/>
          <w:lang w:eastAsia="x-none"/>
        </w:rPr>
        <w:t xml:space="preserve"> устойчиво</w:t>
      </w:r>
      <w:r w:rsidR="009F6BF0" w:rsidRPr="00D002A2">
        <w:rPr>
          <w:rFonts w:ascii="Times New Roman" w:eastAsia="Times New Roman" w:hAnsi="Times New Roman"/>
          <w:b/>
          <w:bCs/>
          <w:caps/>
          <w:color w:val="000000"/>
          <w:kern w:val="36"/>
          <w:sz w:val="24"/>
          <w:szCs w:val="24"/>
          <w:shd w:val="clear" w:color="auto" w:fill="FFFFFF"/>
          <w:lang w:eastAsia="x-none"/>
        </w:rPr>
        <w:t>м</w:t>
      </w:r>
      <w:r w:rsidR="00E27778" w:rsidRPr="00D002A2">
        <w:rPr>
          <w:rFonts w:ascii="Times New Roman" w:eastAsia="Times New Roman" w:hAnsi="Times New Roman"/>
          <w:b/>
          <w:bCs/>
          <w:caps/>
          <w:color w:val="000000"/>
          <w:kern w:val="36"/>
          <w:sz w:val="24"/>
          <w:szCs w:val="24"/>
          <w:shd w:val="clear" w:color="auto" w:fill="FFFFFF"/>
          <w:lang w:eastAsia="x-none"/>
        </w:rPr>
        <w:t xml:space="preserve"> развити</w:t>
      </w:r>
      <w:r w:rsidR="009F6BF0" w:rsidRPr="00D002A2">
        <w:rPr>
          <w:rFonts w:ascii="Times New Roman" w:eastAsia="Times New Roman" w:hAnsi="Times New Roman"/>
          <w:b/>
          <w:bCs/>
          <w:caps/>
          <w:color w:val="000000"/>
          <w:kern w:val="36"/>
          <w:sz w:val="24"/>
          <w:szCs w:val="24"/>
          <w:shd w:val="clear" w:color="auto" w:fill="FFFFFF"/>
          <w:lang w:eastAsia="x-none"/>
        </w:rPr>
        <w:t>и</w:t>
      </w:r>
      <w:r w:rsidRPr="00D002A2">
        <w:rPr>
          <w:rFonts w:ascii="Times New Roman" w:eastAsia="Times New Roman" w:hAnsi="Times New Roman"/>
          <w:b/>
          <w:bCs/>
          <w:caps/>
          <w:color w:val="000000"/>
          <w:kern w:val="36"/>
          <w:sz w:val="24"/>
          <w:szCs w:val="24"/>
          <w:shd w:val="clear" w:color="auto" w:fill="FFFFFF"/>
          <w:lang w:eastAsia="x-none"/>
        </w:rPr>
        <w:t xml:space="preserve"> </w:t>
      </w:r>
      <w:r w:rsidR="0014407A">
        <w:rPr>
          <w:rFonts w:ascii="Times New Roman" w:eastAsia="Times New Roman" w:hAnsi="Times New Roman"/>
          <w:b/>
          <w:bCs/>
          <w:caps/>
          <w:color w:val="000000"/>
          <w:kern w:val="36"/>
          <w:sz w:val="24"/>
          <w:szCs w:val="24"/>
          <w:shd w:val="clear" w:color="auto" w:fill="FFFFFF"/>
          <w:lang w:eastAsia="x-none"/>
        </w:rPr>
        <w:t xml:space="preserve">в системе </w:t>
      </w:r>
      <w:r w:rsidR="005D5ECA" w:rsidRPr="00D002A2">
        <w:rPr>
          <w:rFonts w:ascii="Times New Roman" w:eastAsia="Times New Roman" w:hAnsi="Times New Roman"/>
          <w:b/>
          <w:bCs/>
          <w:caps/>
          <w:color w:val="000000"/>
          <w:kern w:val="36"/>
          <w:sz w:val="24"/>
          <w:szCs w:val="24"/>
          <w:shd w:val="clear" w:color="auto" w:fill="FFFFFF"/>
          <w:lang w:eastAsia="x-none"/>
        </w:rPr>
        <w:t>стратегического управления</w:t>
      </w:r>
      <w:r w:rsidR="008B0FBA" w:rsidRPr="00D002A2">
        <w:rPr>
          <w:rFonts w:ascii="Times New Roman" w:eastAsia="Times New Roman" w:hAnsi="Times New Roman"/>
          <w:b/>
          <w:bCs/>
          <w:caps/>
          <w:color w:val="000000"/>
          <w:kern w:val="36"/>
          <w:sz w:val="24"/>
          <w:szCs w:val="24"/>
          <w:shd w:val="clear" w:color="auto" w:fill="FFFFFF"/>
          <w:lang w:eastAsia="x-none"/>
        </w:rPr>
        <w:t xml:space="preserve"> </w:t>
      </w:r>
      <w:r w:rsidR="00D002A2" w:rsidRPr="00D002A2">
        <w:rPr>
          <w:rFonts w:ascii="Times New Roman" w:eastAsia="Times New Roman" w:hAnsi="Times New Roman"/>
          <w:b/>
          <w:bCs/>
          <w:caps/>
          <w:color w:val="000000"/>
          <w:kern w:val="36"/>
          <w:sz w:val="24"/>
          <w:szCs w:val="24"/>
          <w:shd w:val="clear" w:color="auto" w:fill="FFFFFF"/>
          <w:lang w:eastAsia="x-none"/>
        </w:rPr>
        <w:t>компанией</w:t>
      </w:r>
    </w:p>
    <w:p w14:paraId="58DA105C" w14:textId="77777777" w:rsidR="00D002A2" w:rsidRPr="00D002A2" w:rsidRDefault="00D002A2" w:rsidP="004647A4">
      <w:pPr>
        <w:jc w:val="center"/>
        <w:rPr>
          <w:rFonts w:ascii="Times New Roman" w:eastAsia="Times New Roman" w:hAnsi="Times New Roman"/>
          <w:b/>
          <w:bCs/>
          <w:caps/>
          <w:color w:val="000000"/>
          <w:kern w:val="36"/>
          <w:sz w:val="24"/>
          <w:szCs w:val="24"/>
          <w:shd w:val="clear" w:color="auto" w:fill="FFFFFF"/>
          <w:lang w:eastAsia="x-none"/>
        </w:rPr>
      </w:pPr>
    </w:p>
    <w:p w14:paraId="54DFA1E0" w14:textId="0930EEB8" w:rsidR="00441341" w:rsidRPr="00D002A2" w:rsidRDefault="00D002A2" w:rsidP="00D002A2">
      <w:pPr>
        <w:jc w:val="right"/>
        <w:rPr>
          <w:rFonts w:ascii="Times New Roman" w:eastAsia="Times New Roman" w:hAnsi="Times New Roman"/>
          <w:b/>
          <w:bCs/>
          <w:i/>
          <w:iCs/>
          <w:color w:val="000000"/>
          <w:kern w:val="36"/>
          <w:sz w:val="24"/>
          <w:szCs w:val="24"/>
          <w:shd w:val="clear" w:color="auto" w:fill="FFFFFF"/>
          <w:lang w:val="en-US" w:eastAsia="x-none"/>
        </w:rPr>
      </w:pPr>
      <w:r w:rsidRPr="00D002A2">
        <w:rPr>
          <w:rFonts w:ascii="Times New Roman" w:eastAsia="Times New Roman" w:hAnsi="Times New Roman"/>
          <w:b/>
          <w:bCs/>
          <w:i/>
          <w:iCs/>
          <w:color w:val="000000"/>
          <w:kern w:val="36"/>
          <w:sz w:val="24"/>
          <w:szCs w:val="24"/>
          <w:shd w:val="clear" w:color="auto" w:fill="FFFFFF"/>
          <w:lang w:val="en-US" w:eastAsia="x-none"/>
        </w:rPr>
        <w:t>N.Y. Titova, V.V. Kryukov</w:t>
      </w:r>
    </w:p>
    <w:p w14:paraId="2251E631" w14:textId="257D01E9" w:rsidR="00441341" w:rsidRPr="0014407A" w:rsidRDefault="00D002A2" w:rsidP="00D002A2">
      <w:pPr>
        <w:ind w:firstLine="0"/>
        <w:jc w:val="center"/>
        <w:rPr>
          <w:rFonts w:ascii="Times New Roman" w:hAnsi="Times New Roman"/>
          <w:b/>
          <w:bCs/>
          <w:color w:val="000000" w:themeColor="text1"/>
          <w:sz w:val="24"/>
          <w:szCs w:val="24"/>
          <w:lang w:val="en-US"/>
        </w:rPr>
      </w:pPr>
      <w:r w:rsidRPr="00D002A2">
        <w:rPr>
          <w:rFonts w:ascii="Times New Roman" w:hAnsi="Times New Roman"/>
          <w:b/>
          <w:bCs/>
          <w:color w:val="000000" w:themeColor="text1"/>
          <w:sz w:val="24"/>
          <w:szCs w:val="24"/>
          <w:lang w:val="en-US"/>
        </w:rPr>
        <w:t xml:space="preserve">CORPORATE SUSTAINABILITY REPORTS </w:t>
      </w:r>
      <w:r w:rsidR="0014407A" w:rsidRPr="0014407A">
        <w:rPr>
          <w:rFonts w:ascii="Times New Roman" w:hAnsi="Times New Roman"/>
          <w:b/>
          <w:bCs/>
          <w:color w:val="000000" w:themeColor="text1"/>
          <w:sz w:val="24"/>
          <w:szCs w:val="24"/>
          <w:lang w:val="en-US"/>
        </w:rPr>
        <w:t xml:space="preserve">IN THE COMPANY'S STRATEGIC MANAGEMENT SYSTEM </w:t>
      </w:r>
      <w:r w:rsidR="0014407A">
        <w:rPr>
          <w:rFonts w:ascii="Times New Roman" w:hAnsi="Times New Roman"/>
          <w:b/>
          <w:bCs/>
          <w:color w:val="000000" w:themeColor="text1"/>
          <w:sz w:val="24"/>
          <w:szCs w:val="24"/>
          <w:lang w:val="en-US"/>
        </w:rPr>
        <w:t xml:space="preserve">IN </w:t>
      </w:r>
      <w:r w:rsidRPr="00D002A2">
        <w:rPr>
          <w:rFonts w:ascii="Times New Roman" w:hAnsi="Times New Roman"/>
          <w:b/>
          <w:bCs/>
          <w:color w:val="000000" w:themeColor="text1"/>
          <w:sz w:val="24"/>
          <w:szCs w:val="24"/>
          <w:lang w:val="en-US"/>
        </w:rPr>
        <w:t>THE COMPANY'S STRATEGIC MANAGEMENT</w:t>
      </w:r>
    </w:p>
    <w:p w14:paraId="1BA0249F" w14:textId="77777777" w:rsidR="00D002A2" w:rsidRPr="0014407A" w:rsidRDefault="00D002A2" w:rsidP="00D002A2">
      <w:pPr>
        <w:ind w:firstLine="0"/>
        <w:jc w:val="center"/>
        <w:rPr>
          <w:rFonts w:ascii="Times New Roman" w:hAnsi="Times New Roman"/>
          <w:b/>
          <w:bCs/>
          <w:color w:val="000000" w:themeColor="text1"/>
          <w:sz w:val="24"/>
          <w:szCs w:val="24"/>
          <w:lang w:val="en-US"/>
        </w:rPr>
      </w:pPr>
    </w:p>
    <w:p w14:paraId="62F9DA19" w14:textId="52F0A32D" w:rsidR="00D002A2" w:rsidRPr="00D002A2" w:rsidRDefault="00D002A2" w:rsidP="00D002A2">
      <w:pPr>
        <w:ind w:firstLine="567"/>
        <w:rPr>
          <w:rFonts w:ascii="Times New Roman" w:hAnsi="Times New Roman"/>
          <w:i/>
          <w:iCs/>
          <w:sz w:val="24"/>
          <w:szCs w:val="24"/>
        </w:rPr>
      </w:pPr>
      <w:r w:rsidRPr="00D002A2">
        <w:rPr>
          <w:rFonts w:ascii="Times New Roman" w:hAnsi="Times New Roman"/>
          <w:i/>
          <w:iCs/>
          <w:sz w:val="24"/>
          <w:szCs w:val="24"/>
        </w:rPr>
        <w:t>Ключевые слова: устойчивое развитие, стратегическое управление, нефинансовая отчетность, отчеты об устойчивом развитии</w:t>
      </w:r>
      <w:r w:rsidR="00D324D8">
        <w:rPr>
          <w:rFonts w:ascii="Times New Roman" w:hAnsi="Times New Roman"/>
          <w:i/>
          <w:iCs/>
          <w:sz w:val="24"/>
          <w:szCs w:val="24"/>
        </w:rPr>
        <w:t xml:space="preserve">, цели </w:t>
      </w:r>
      <w:r w:rsidR="00D324D8" w:rsidRPr="00D002A2">
        <w:rPr>
          <w:rFonts w:ascii="Times New Roman" w:hAnsi="Times New Roman"/>
          <w:i/>
          <w:iCs/>
          <w:sz w:val="24"/>
          <w:szCs w:val="24"/>
        </w:rPr>
        <w:t>устойчиво</w:t>
      </w:r>
      <w:r w:rsidR="00D324D8">
        <w:rPr>
          <w:rFonts w:ascii="Times New Roman" w:hAnsi="Times New Roman"/>
          <w:i/>
          <w:iCs/>
          <w:sz w:val="24"/>
          <w:szCs w:val="24"/>
        </w:rPr>
        <w:t>го</w:t>
      </w:r>
      <w:r w:rsidR="00D324D8" w:rsidRPr="00D002A2">
        <w:rPr>
          <w:rFonts w:ascii="Times New Roman" w:hAnsi="Times New Roman"/>
          <w:i/>
          <w:iCs/>
          <w:sz w:val="24"/>
          <w:szCs w:val="24"/>
        </w:rPr>
        <w:t xml:space="preserve"> развити</w:t>
      </w:r>
      <w:r w:rsidR="00D324D8">
        <w:rPr>
          <w:rFonts w:ascii="Times New Roman" w:hAnsi="Times New Roman"/>
          <w:i/>
          <w:iCs/>
          <w:sz w:val="24"/>
          <w:szCs w:val="24"/>
        </w:rPr>
        <w:t>я</w:t>
      </w:r>
      <w:r w:rsidR="005B2C57">
        <w:rPr>
          <w:rFonts w:ascii="Times New Roman" w:hAnsi="Times New Roman"/>
          <w:i/>
          <w:iCs/>
          <w:sz w:val="24"/>
          <w:szCs w:val="24"/>
        </w:rPr>
        <w:t>, низкоуглеродная циркулярная экономика</w:t>
      </w:r>
      <w:r w:rsidRPr="00D002A2">
        <w:rPr>
          <w:rFonts w:ascii="Times New Roman" w:hAnsi="Times New Roman"/>
          <w:i/>
          <w:iCs/>
          <w:sz w:val="24"/>
          <w:szCs w:val="24"/>
        </w:rPr>
        <w:t>.</w:t>
      </w:r>
    </w:p>
    <w:p w14:paraId="2EFC738F" w14:textId="44DF06E1" w:rsidR="00D002A2" w:rsidRPr="00066990" w:rsidRDefault="00D002A2" w:rsidP="00D002A2">
      <w:pPr>
        <w:ind w:firstLine="567"/>
        <w:rPr>
          <w:rFonts w:ascii="Times New Roman" w:hAnsi="Times New Roman"/>
          <w:i/>
          <w:iCs/>
          <w:sz w:val="24"/>
          <w:szCs w:val="24"/>
          <w:lang w:val="en-US"/>
        </w:rPr>
      </w:pPr>
      <w:r w:rsidRPr="00066990">
        <w:rPr>
          <w:rFonts w:ascii="Times New Roman" w:hAnsi="Times New Roman"/>
          <w:i/>
          <w:iCs/>
          <w:sz w:val="24"/>
          <w:szCs w:val="24"/>
          <w:lang w:val="en-US"/>
        </w:rPr>
        <w:t>Keywords: sustainable development, strategic management, non-financial reporting, sustainable development reports</w:t>
      </w:r>
      <w:r w:rsidR="00D324D8" w:rsidRPr="00D324D8">
        <w:rPr>
          <w:rFonts w:ascii="Times New Roman" w:hAnsi="Times New Roman"/>
          <w:i/>
          <w:iCs/>
          <w:sz w:val="24"/>
          <w:szCs w:val="24"/>
          <w:lang w:val="en-US"/>
        </w:rPr>
        <w:t xml:space="preserve">, </w:t>
      </w:r>
      <w:r w:rsidR="00D324D8" w:rsidRPr="00066990">
        <w:rPr>
          <w:rFonts w:ascii="Times New Roman" w:hAnsi="Times New Roman"/>
          <w:i/>
          <w:iCs/>
          <w:sz w:val="24"/>
          <w:szCs w:val="24"/>
          <w:lang w:val="en-US"/>
        </w:rPr>
        <w:t>sustainable development</w:t>
      </w:r>
      <w:r w:rsidR="00D324D8" w:rsidRPr="00D324D8">
        <w:rPr>
          <w:rFonts w:ascii="Times New Roman" w:hAnsi="Times New Roman"/>
          <w:i/>
          <w:iCs/>
          <w:sz w:val="24"/>
          <w:szCs w:val="24"/>
          <w:lang w:val="en-US"/>
        </w:rPr>
        <w:t xml:space="preserve"> </w:t>
      </w:r>
      <w:r w:rsidR="00D324D8">
        <w:rPr>
          <w:rFonts w:ascii="Times New Roman" w:hAnsi="Times New Roman"/>
          <w:i/>
          <w:iCs/>
          <w:sz w:val="24"/>
          <w:szCs w:val="24"/>
          <w:lang w:val="en-US"/>
        </w:rPr>
        <w:t>goals</w:t>
      </w:r>
      <w:r w:rsidR="005B2C57" w:rsidRPr="005B2C57">
        <w:rPr>
          <w:rFonts w:ascii="Times New Roman" w:hAnsi="Times New Roman"/>
          <w:i/>
          <w:iCs/>
          <w:sz w:val="24"/>
          <w:szCs w:val="24"/>
          <w:lang w:val="en-US"/>
        </w:rPr>
        <w:t>, low-carbon circular economy</w:t>
      </w:r>
      <w:r w:rsidRPr="00066990">
        <w:rPr>
          <w:rFonts w:ascii="Times New Roman" w:hAnsi="Times New Roman"/>
          <w:i/>
          <w:iCs/>
          <w:sz w:val="24"/>
          <w:szCs w:val="24"/>
          <w:lang w:val="en-US"/>
        </w:rPr>
        <w:t>.</w:t>
      </w:r>
    </w:p>
    <w:p w14:paraId="1F9F490C" w14:textId="77777777" w:rsidR="00D002A2" w:rsidRPr="00066990" w:rsidRDefault="00D002A2" w:rsidP="00D002A2">
      <w:pPr>
        <w:ind w:firstLine="567"/>
        <w:rPr>
          <w:rFonts w:ascii="Times New Roman" w:hAnsi="Times New Roman"/>
          <w:i/>
          <w:iCs/>
          <w:sz w:val="24"/>
          <w:szCs w:val="24"/>
          <w:lang w:val="en-US"/>
        </w:rPr>
      </w:pPr>
    </w:p>
    <w:p w14:paraId="7E090BD4" w14:textId="2C770FDA" w:rsidR="00D002A2" w:rsidRPr="00142B04" w:rsidRDefault="00D002A2" w:rsidP="00D002A2">
      <w:pPr>
        <w:ind w:firstLine="567"/>
        <w:rPr>
          <w:rFonts w:ascii="Times New Roman" w:hAnsi="Times New Roman"/>
          <w:sz w:val="24"/>
          <w:szCs w:val="24"/>
        </w:rPr>
      </w:pPr>
      <w:r w:rsidRPr="00142B04">
        <w:rPr>
          <w:rFonts w:ascii="Times New Roman" w:hAnsi="Times New Roman"/>
          <w:sz w:val="24"/>
          <w:szCs w:val="24"/>
        </w:rPr>
        <w:t xml:space="preserve">Цель: сформулировать основные функции корпоративных отчетов об устойчивом развитии в системе стратегического управления компанией. Обсуждение: </w:t>
      </w:r>
      <w:r w:rsidR="00142B04" w:rsidRPr="00142B04">
        <w:rPr>
          <w:rFonts w:ascii="Times New Roman" w:hAnsi="Times New Roman"/>
          <w:sz w:val="24"/>
          <w:szCs w:val="24"/>
        </w:rPr>
        <w:t>устойчивое развитие представляет собой реализацию экономической, экологической и социальной ответственности и охватывает широкий спектр целей и задач, участвовать в достижении которых могут не только страны на глобальном уровне, но и крупнейшие компании. О реализации направлений своей ответственности компании заявляют в своей нефинансовой отчетности – отчетах об устойчивом развитии. Если за рубежом практика публикации таких отчетов широко распространена, то в Российской Федерации крупнейшие компании только начинают свой путь к обеспечению вклада в устойчивое развитие. Результаты: контент-анализ публикаций российских и зарубежных ученых позволил выделить ключев</w:t>
      </w:r>
      <w:r w:rsidR="00BC532E">
        <w:rPr>
          <w:rFonts w:ascii="Times New Roman" w:hAnsi="Times New Roman"/>
          <w:sz w:val="24"/>
          <w:szCs w:val="24"/>
        </w:rPr>
        <w:t>ые</w:t>
      </w:r>
      <w:r w:rsidR="00142B04" w:rsidRPr="00142B04">
        <w:rPr>
          <w:rFonts w:ascii="Times New Roman" w:hAnsi="Times New Roman"/>
          <w:sz w:val="24"/>
          <w:szCs w:val="24"/>
        </w:rPr>
        <w:t xml:space="preserve"> функции корпоративных отчетов об устойчивом развитии, которые они выполняют в </w:t>
      </w:r>
      <w:r w:rsidR="0014407A">
        <w:rPr>
          <w:rFonts w:ascii="Times New Roman" w:hAnsi="Times New Roman"/>
          <w:sz w:val="24"/>
          <w:szCs w:val="24"/>
        </w:rPr>
        <w:t>системе</w:t>
      </w:r>
      <w:r w:rsidR="00142B04" w:rsidRPr="00142B04">
        <w:rPr>
          <w:rFonts w:ascii="Times New Roman" w:hAnsi="Times New Roman"/>
          <w:sz w:val="24"/>
          <w:szCs w:val="24"/>
        </w:rPr>
        <w:t xml:space="preserve"> стратегического управления компанией. </w:t>
      </w:r>
      <w:r w:rsidR="00BC532E">
        <w:rPr>
          <w:rFonts w:ascii="Times New Roman" w:hAnsi="Times New Roman"/>
          <w:sz w:val="24"/>
          <w:szCs w:val="24"/>
        </w:rPr>
        <w:t>Сделан вывод о роли отчетности в области устойчивого развития в условиях внедрения низкоуглеродной циркулярной экономики.</w:t>
      </w:r>
    </w:p>
    <w:p w14:paraId="02DB0CE8" w14:textId="20D8CEDC" w:rsidR="00A86210" w:rsidRPr="0014407A" w:rsidRDefault="00A86210" w:rsidP="00D002A2">
      <w:pPr>
        <w:ind w:firstLine="567"/>
        <w:rPr>
          <w:rFonts w:ascii="Times New Roman" w:hAnsi="Times New Roman"/>
          <w:sz w:val="24"/>
          <w:szCs w:val="24"/>
          <w:lang w:val="en-US"/>
        </w:rPr>
      </w:pPr>
      <w:r w:rsidRPr="00D002A2">
        <w:rPr>
          <w:rFonts w:ascii="Times New Roman" w:hAnsi="Times New Roman"/>
          <w:sz w:val="24"/>
          <w:szCs w:val="24"/>
        </w:rPr>
        <w:tab/>
      </w:r>
      <w:r w:rsidR="0014407A" w:rsidRPr="0014407A">
        <w:rPr>
          <w:rFonts w:ascii="Times New Roman" w:hAnsi="Times New Roman"/>
          <w:sz w:val="24"/>
          <w:szCs w:val="24"/>
          <w:lang w:val="en-US"/>
        </w:rPr>
        <w:t>Purpose: to formulate the main functions of corporate sustainability reports in the company's strategic management system. Discussion: sustainable development is the realization of economic, environmental and social responsibility and covers a wide range of goals and objectives, in the achievement of which not only countries at the global level, but also the largest companies can participate. Companies declare the realization of their responsibility areas in their non-financial reporting - sustainable development reports. While the practice of publishing such reports is widespread abroad, in the Russian Federation the largest companies are just beginning their journey to ensure their contribution to sustainable development. Results: content analysis of publications by Russian and foreign scientists allowed us to identify the key role and functions of corporate sustainability reports, which they fulfill in the system of strategic management of the company.</w:t>
      </w:r>
      <w:r w:rsidR="00BC532E" w:rsidRPr="00BC532E">
        <w:rPr>
          <w:lang w:val="en-US"/>
        </w:rPr>
        <w:t xml:space="preserve"> </w:t>
      </w:r>
      <w:r w:rsidR="00BC532E" w:rsidRPr="00BC532E">
        <w:rPr>
          <w:rFonts w:ascii="Times New Roman" w:hAnsi="Times New Roman"/>
          <w:sz w:val="24"/>
          <w:szCs w:val="24"/>
          <w:lang w:val="en-US"/>
        </w:rPr>
        <w:t>The role of sustainability reporting in the implementation of a low-carbon circular economy is concluded.</w:t>
      </w:r>
    </w:p>
    <w:p w14:paraId="589CAFA8" w14:textId="0FAE997C" w:rsidR="009031F9" w:rsidRPr="004647A4" w:rsidRDefault="009031F9" w:rsidP="004647A4">
      <w:pPr>
        <w:ind w:firstLine="567"/>
        <w:rPr>
          <w:rFonts w:ascii="Times New Roman" w:hAnsi="Times New Roman"/>
          <w:sz w:val="24"/>
          <w:szCs w:val="24"/>
          <w:lang w:val="en-US"/>
        </w:rPr>
      </w:pPr>
    </w:p>
    <w:p w14:paraId="3DDDE3B1" w14:textId="77777777" w:rsidR="00E032DD" w:rsidRPr="004647A4" w:rsidRDefault="00E032DD" w:rsidP="004647A4">
      <w:pPr>
        <w:ind w:firstLine="567"/>
        <w:rPr>
          <w:rFonts w:ascii="Times New Roman" w:hAnsi="Times New Roman"/>
          <w:b/>
          <w:bCs/>
          <w:sz w:val="24"/>
          <w:szCs w:val="24"/>
        </w:rPr>
      </w:pPr>
      <w:r w:rsidRPr="004647A4">
        <w:rPr>
          <w:rFonts w:ascii="Times New Roman" w:hAnsi="Times New Roman"/>
          <w:b/>
          <w:bCs/>
          <w:sz w:val="24"/>
          <w:szCs w:val="24"/>
        </w:rPr>
        <w:t>Введение</w:t>
      </w:r>
      <w:r w:rsidR="00035C75" w:rsidRPr="004647A4">
        <w:rPr>
          <w:rFonts w:ascii="Times New Roman" w:hAnsi="Times New Roman"/>
          <w:b/>
          <w:bCs/>
          <w:sz w:val="24"/>
          <w:szCs w:val="24"/>
        </w:rPr>
        <w:t xml:space="preserve"> </w:t>
      </w:r>
    </w:p>
    <w:p w14:paraId="5FA89998" w14:textId="3DCE1421" w:rsidR="00D0543A" w:rsidRPr="004647A4" w:rsidRDefault="00D0543A" w:rsidP="00672FDB">
      <w:pPr>
        <w:pStyle w:val="ad"/>
        <w:spacing w:line="240" w:lineRule="auto"/>
      </w:pPr>
      <w:r w:rsidRPr="004647A4">
        <w:t xml:space="preserve">В Российской Федерации, несмотря на утверждение концепции устойчивого развития в 1992 году, </w:t>
      </w:r>
      <w:r>
        <w:t xml:space="preserve">корпоративные </w:t>
      </w:r>
      <w:r w:rsidRPr="004647A4">
        <w:t xml:space="preserve">инициативы </w:t>
      </w:r>
      <w:r>
        <w:t xml:space="preserve">по </w:t>
      </w:r>
      <w:r w:rsidR="00BC532E">
        <w:t xml:space="preserve">внедрению принципов устойчивого развития в свою </w:t>
      </w:r>
      <w:r w:rsidR="007028CD">
        <w:t xml:space="preserve">деятельность и </w:t>
      </w:r>
      <w:r>
        <w:t>публикаци</w:t>
      </w:r>
      <w:r w:rsidR="007028CD">
        <w:t>и соответствующих</w:t>
      </w:r>
      <w:r>
        <w:t xml:space="preserve"> отчетов </w:t>
      </w:r>
      <w:r w:rsidRPr="004647A4">
        <w:t xml:space="preserve">получили распространение </w:t>
      </w:r>
      <w:r>
        <w:t>сравнительно недавно</w:t>
      </w:r>
      <w:r w:rsidRPr="004647A4">
        <w:t xml:space="preserve"> [</w:t>
      </w:r>
      <w:r w:rsidR="00591642" w:rsidRPr="00591642">
        <w:t>7</w:t>
      </w:r>
      <w:r w:rsidRPr="004647A4">
        <w:t xml:space="preserve">]. </w:t>
      </w:r>
      <w:r w:rsidR="00BC532E">
        <w:t xml:space="preserve"> При этом для российской экономики существует необходимость соблюдения ряда глобальных обязательств, в том числе связанных с решением климатических и экологических задач </w:t>
      </w:r>
      <w:r w:rsidR="00BC532E" w:rsidRPr="00BC532E">
        <w:t>[</w:t>
      </w:r>
      <w:r w:rsidR="00591642" w:rsidRPr="00591642">
        <w:t>4</w:t>
      </w:r>
      <w:r w:rsidR="004E3664" w:rsidRPr="004E3664">
        <w:t xml:space="preserve">, </w:t>
      </w:r>
      <w:r w:rsidR="00591642" w:rsidRPr="00EB190F">
        <w:t>5</w:t>
      </w:r>
      <w:r w:rsidR="00BC532E" w:rsidRPr="00BC532E">
        <w:t>].</w:t>
      </w:r>
      <w:r w:rsidR="00BC532E">
        <w:t xml:space="preserve"> Вклад в решение глобальных задач </w:t>
      </w:r>
      <w:r w:rsidR="006D63C1">
        <w:t xml:space="preserve">также </w:t>
      </w:r>
      <w:r w:rsidR="00BC532E">
        <w:t xml:space="preserve">связан с </w:t>
      </w:r>
      <w:r w:rsidR="006D63C1">
        <w:t xml:space="preserve">деятельностью </w:t>
      </w:r>
      <w:r w:rsidR="00BC532E">
        <w:t>корпоративн</w:t>
      </w:r>
      <w:r w:rsidR="006D63C1">
        <w:t>ого</w:t>
      </w:r>
      <w:r w:rsidR="00BC532E">
        <w:t xml:space="preserve"> сектор</w:t>
      </w:r>
      <w:r w:rsidR="006D63C1">
        <w:t>а</w:t>
      </w:r>
      <w:r w:rsidR="00BC532E">
        <w:t xml:space="preserve"> российской экономики</w:t>
      </w:r>
      <w:r w:rsidR="006D63C1">
        <w:t xml:space="preserve">. </w:t>
      </w:r>
      <w:r w:rsidR="007028CD" w:rsidRPr="007028CD">
        <w:t>Со стороны участвующих в данном процессе компаний различных отраслей экономики эффективным инструментом, позволяющим публично заявить о своей ответственности за экологическое, экономическое и социальное благополучие общества, является нефинансовая отчетность [2</w:t>
      </w:r>
      <w:r w:rsidR="00EB190F">
        <w:t>5</w:t>
      </w:r>
      <w:r w:rsidR="007028CD" w:rsidRPr="007028CD">
        <w:t>].</w:t>
      </w:r>
      <w:r w:rsidR="007028CD">
        <w:t xml:space="preserve"> </w:t>
      </w:r>
      <w:r w:rsidR="006D63C1">
        <w:t>Так, крупнейшие</w:t>
      </w:r>
      <w:r w:rsidR="006D63C1" w:rsidRPr="006D63C1">
        <w:t xml:space="preserve"> </w:t>
      </w:r>
      <w:r w:rsidR="006D63C1">
        <w:t xml:space="preserve">компании ежегодно </w:t>
      </w:r>
      <w:r w:rsidR="007028CD">
        <w:t>публикуют отчеты</w:t>
      </w:r>
      <w:r w:rsidR="006D63C1">
        <w:t xml:space="preserve"> об устойчивом развитии, в которых раскрываются результаты о </w:t>
      </w:r>
      <w:r w:rsidR="006D63C1">
        <w:lastRenderedPageBreak/>
        <w:t xml:space="preserve">реализации </w:t>
      </w:r>
      <w:r w:rsidR="007028CD">
        <w:t xml:space="preserve">корпоративной социальной </w:t>
      </w:r>
      <w:r w:rsidR="006D63C1">
        <w:t>ответственности</w:t>
      </w:r>
      <w:r w:rsidR="007028CD">
        <w:t xml:space="preserve">. </w:t>
      </w:r>
      <w:r w:rsidRPr="004647A4">
        <w:t xml:space="preserve">Согласно официальному отчету Российского союза промышленников и предпринимателей, </w:t>
      </w:r>
      <w:r w:rsidR="00672FDB">
        <w:t xml:space="preserve">наибольшей распространенностью </w:t>
      </w:r>
      <w:r w:rsidR="00672FDB">
        <w:t xml:space="preserve">фактов регулярной публикации нефинансовой отчетности характеризуются компании, которые относятся к сектору добычи полезных ископаемых и энергетики </w:t>
      </w:r>
      <w:r w:rsidRPr="004647A4">
        <w:t>[</w:t>
      </w:r>
      <w:r w:rsidR="00EB190F">
        <w:t>6</w:t>
      </w:r>
      <w:r w:rsidRPr="004647A4">
        <w:t>].</w:t>
      </w:r>
    </w:p>
    <w:p w14:paraId="7D528293" w14:textId="101B1F47" w:rsidR="007028CD" w:rsidRPr="004647A4" w:rsidRDefault="00D0543A" w:rsidP="007028CD">
      <w:pPr>
        <w:pStyle w:val="ad"/>
        <w:spacing w:line="240" w:lineRule="auto"/>
      </w:pPr>
      <w:r w:rsidRPr="004647A4">
        <w:t>Однако до сих пор, вопрос о том, какую роль в современных условиях выполня</w:t>
      </w:r>
      <w:r w:rsidR="00BC532E">
        <w:t>ю</w:t>
      </w:r>
      <w:r w:rsidRPr="004647A4">
        <w:t xml:space="preserve">т </w:t>
      </w:r>
      <w:r w:rsidR="00BC532E">
        <w:t>отчеты об устойчивом развитии в системе корпоративного стратегического управления</w:t>
      </w:r>
      <w:r w:rsidRPr="004647A4">
        <w:t xml:space="preserve">, остается недостаточно изученным. В этой связи, целью настоящего исследования является определение </w:t>
      </w:r>
      <w:r w:rsidR="00BC532E">
        <w:t>ключевых функций о</w:t>
      </w:r>
      <w:r w:rsidRPr="004647A4">
        <w:t>тчетов об устойчивом развитии. Важно также исследовать вопрос</w:t>
      </w:r>
      <w:r w:rsidR="007028CD">
        <w:t xml:space="preserve"> о том</w:t>
      </w:r>
      <w:r w:rsidRPr="004647A4">
        <w:t xml:space="preserve">, </w:t>
      </w:r>
      <w:r w:rsidR="007028CD">
        <w:t xml:space="preserve">какую роль для корпоративного сектора экономики играет публикация отчетов об устойчивом развитии в условиях необходимости решения климатических и экологических проблем и внедрения низкоуглеродной циркулярной экономики. </w:t>
      </w:r>
    </w:p>
    <w:p w14:paraId="17F6BD10" w14:textId="77777777" w:rsidR="00066990" w:rsidRDefault="00A65318" w:rsidP="004647A4">
      <w:pPr>
        <w:pStyle w:val="ad"/>
        <w:spacing w:line="240" w:lineRule="auto"/>
        <w:rPr>
          <w:rFonts w:eastAsia="Calibri"/>
          <w:b/>
          <w:bCs/>
          <w:iCs w:val="0"/>
          <w:color w:val="auto"/>
        </w:rPr>
      </w:pPr>
      <w:r w:rsidRPr="00066990">
        <w:rPr>
          <w:rFonts w:eastAsia="Calibri"/>
          <w:b/>
          <w:bCs/>
          <w:iCs w:val="0"/>
          <w:color w:val="auto"/>
        </w:rPr>
        <w:t>Методы</w:t>
      </w:r>
    </w:p>
    <w:p w14:paraId="193303DF" w14:textId="4F4CBA1D" w:rsidR="00A65318" w:rsidRPr="009D374B" w:rsidRDefault="00A65318" w:rsidP="004647A4">
      <w:pPr>
        <w:pStyle w:val="ad"/>
        <w:spacing w:line="240" w:lineRule="auto"/>
      </w:pPr>
      <w:r w:rsidRPr="004647A4">
        <w:t xml:space="preserve">В настоящем исследовании использованы методы </w:t>
      </w:r>
      <w:r w:rsidR="00AD48C1">
        <w:t>контент-анализа научной литературы по изучаемой проблеме</w:t>
      </w:r>
      <w:r w:rsidR="00AD48C1" w:rsidRPr="004647A4">
        <w:t>, а также методы анализа, сравнения, синтеза, индукции и дедукции</w:t>
      </w:r>
      <w:r w:rsidR="00AD48C1">
        <w:t xml:space="preserve">. Базами данных для поиска научных публикаций являются Национальная Электронная Библиотека </w:t>
      </w:r>
      <w:r w:rsidR="00AD48C1">
        <w:rPr>
          <w:lang w:val="en-US"/>
        </w:rPr>
        <w:t>eLibrary</w:t>
      </w:r>
      <w:r w:rsidR="00AD48C1" w:rsidRPr="00AD48C1">
        <w:t xml:space="preserve">, </w:t>
      </w:r>
      <w:r w:rsidR="00AD48C1">
        <w:t xml:space="preserve">а также </w:t>
      </w:r>
      <w:r w:rsidR="00AD48C1">
        <w:rPr>
          <w:lang w:val="en-US"/>
        </w:rPr>
        <w:t>ScienceDirect</w:t>
      </w:r>
      <w:r w:rsidR="00AD48C1" w:rsidRPr="00AD48C1">
        <w:t xml:space="preserve">. </w:t>
      </w:r>
      <w:r w:rsidR="00AD48C1">
        <w:t xml:space="preserve">Выборка научных публикаций осуществлена путем поисковых запросов в </w:t>
      </w:r>
      <w:r w:rsidR="009D374B">
        <w:t>упомянутых выше</w:t>
      </w:r>
      <w:r w:rsidR="00AD48C1">
        <w:t xml:space="preserve"> базах </w:t>
      </w:r>
      <w:r w:rsidR="009D374B">
        <w:t>данных по ключевым словам:</w:t>
      </w:r>
      <w:r w:rsidR="00AD48C1">
        <w:t xml:space="preserve"> «</w:t>
      </w:r>
      <w:r w:rsidR="00AD48C1" w:rsidRPr="00AD48C1">
        <w:t>устойчивое развитие</w:t>
      </w:r>
      <w:r w:rsidR="00AD48C1">
        <w:t>»</w:t>
      </w:r>
      <w:r w:rsidR="00AD48C1" w:rsidRPr="00AD48C1">
        <w:t xml:space="preserve">, </w:t>
      </w:r>
      <w:r w:rsidR="00AD48C1">
        <w:t>«</w:t>
      </w:r>
      <w:r w:rsidR="00AD48C1" w:rsidRPr="00AD48C1">
        <w:t>стратегическое управление</w:t>
      </w:r>
      <w:r w:rsidR="00AD48C1">
        <w:t>»</w:t>
      </w:r>
      <w:r w:rsidR="00AD48C1" w:rsidRPr="00AD48C1">
        <w:t xml:space="preserve">, </w:t>
      </w:r>
      <w:r w:rsidR="00AD48C1">
        <w:t>«</w:t>
      </w:r>
      <w:r w:rsidR="00AD48C1" w:rsidRPr="00AD48C1">
        <w:t>нефинансовая отчетность</w:t>
      </w:r>
      <w:r w:rsidR="00AD48C1">
        <w:t>»</w:t>
      </w:r>
      <w:r w:rsidR="00AD48C1" w:rsidRPr="00AD48C1">
        <w:t xml:space="preserve">, </w:t>
      </w:r>
      <w:r w:rsidR="00AD48C1">
        <w:t>«</w:t>
      </w:r>
      <w:r w:rsidR="00AD48C1" w:rsidRPr="00AD48C1">
        <w:t>отчеты об устойчивом развитии</w:t>
      </w:r>
      <w:r w:rsidR="00AD48C1">
        <w:t>» на русском и английском языках.</w:t>
      </w:r>
    </w:p>
    <w:p w14:paraId="6CA352E1" w14:textId="77777777" w:rsidR="00066990" w:rsidRDefault="006D0446" w:rsidP="004647A4">
      <w:pPr>
        <w:pStyle w:val="ad"/>
        <w:spacing w:line="240" w:lineRule="auto"/>
        <w:rPr>
          <w:rFonts w:eastAsia="Calibri"/>
          <w:b/>
          <w:bCs/>
          <w:iCs w:val="0"/>
          <w:color w:val="auto"/>
        </w:rPr>
      </w:pPr>
      <w:r w:rsidRPr="006D0446">
        <w:rPr>
          <w:rFonts w:eastAsia="Calibri"/>
          <w:b/>
          <w:bCs/>
          <w:iCs w:val="0"/>
          <w:color w:val="auto"/>
        </w:rPr>
        <w:t>Результаты</w:t>
      </w:r>
    </w:p>
    <w:p w14:paraId="11494A44" w14:textId="2ABA578C" w:rsidR="007028CD" w:rsidRPr="004647A4" w:rsidRDefault="007028CD" w:rsidP="007028CD">
      <w:pPr>
        <w:pStyle w:val="ad"/>
        <w:spacing w:line="240" w:lineRule="auto"/>
      </w:pPr>
      <w:r w:rsidRPr="004647A4">
        <w:t>C 70-х годов ХХ века компании начинают публиковать нефинансовые отчеты о своей ответственности, ограничиваясь раскрытием информации об обеспечении социальных гарантий своих работников [</w:t>
      </w:r>
      <w:r w:rsidR="00EB190F">
        <w:t>1</w:t>
      </w:r>
      <w:r w:rsidRPr="004647A4">
        <w:t xml:space="preserve">3, </w:t>
      </w:r>
      <w:r w:rsidR="00EB190F">
        <w:t>22</w:t>
      </w:r>
      <w:r w:rsidRPr="004647A4">
        <w:t>]. В 80-х годах ХХ века фокус компаний сместился на экологические показатели, такие как объем выбросов вредных веществ в атмосферу, доля переработанных отходов, объем очистки водных ресурсов [</w:t>
      </w:r>
      <w:r w:rsidR="00EB190F">
        <w:t>23</w:t>
      </w:r>
      <w:r w:rsidRPr="004647A4">
        <w:t>]. Такая отчетность стала публиковаться наряду с финансовой. Однако наиболее широкое распространение в отчетности и экономических, и экологических, и социальных показателей началось с 90</w:t>
      </w:r>
      <w:r>
        <w:t>-</w:t>
      </w:r>
      <w:r w:rsidRPr="004647A4">
        <w:t>х годов XX века [</w:t>
      </w:r>
      <w:r w:rsidR="00BF2D12">
        <w:t>24</w:t>
      </w:r>
      <w:r w:rsidRPr="004647A4">
        <w:t xml:space="preserve">]. </w:t>
      </w:r>
    </w:p>
    <w:p w14:paraId="43B2D5D7" w14:textId="479DB565" w:rsidR="007028CD" w:rsidRPr="004647A4" w:rsidRDefault="007028CD" w:rsidP="007028CD">
      <w:pPr>
        <w:pStyle w:val="ad"/>
        <w:spacing w:line="240" w:lineRule="auto"/>
      </w:pPr>
      <w:r w:rsidRPr="004647A4">
        <w:t>В Евросоюзе концепция устойчивого развития получила распространение за счет широкого общественного резонанса по вопросам необходимости последовательного регулирования корпоративной социальной ответственности [</w:t>
      </w:r>
      <w:r w:rsidR="00EB190F">
        <w:t>2</w:t>
      </w:r>
      <w:r w:rsidRPr="004647A4">
        <w:t>7]. Так, Европейской Комиссией изданы обязательные требования для крупных предприятий по нефинансовому раскрытию информации, которые в настоящее время находится на стадии пересмотра [</w:t>
      </w:r>
      <w:r w:rsidR="00EB190F">
        <w:t>19</w:t>
      </w:r>
      <w:r w:rsidRPr="004647A4">
        <w:t xml:space="preserve">]. Данная директива обязывает 6 000 крупных компаний раскрывать в отдельном отчете или в годовом управленческом отчете информацию по экологическим вопросам, социальной политике и политике в отношении сотрудников, правам человека и борьбе с коррупцией. </w:t>
      </w:r>
    </w:p>
    <w:p w14:paraId="6071A48E" w14:textId="6DEBD1AC" w:rsidR="009D5996" w:rsidRPr="004647A4" w:rsidRDefault="00541E9B" w:rsidP="004647A4">
      <w:pPr>
        <w:pStyle w:val="ad"/>
        <w:spacing w:line="240" w:lineRule="auto"/>
      </w:pPr>
      <w:r w:rsidRPr="004647A4">
        <w:t xml:space="preserve">По данным </w:t>
      </w:r>
      <w:r w:rsidR="0016071E" w:rsidRPr="004647A4">
        <w:t>некоторых</w:t>
      </w:r>
      <w:r w:rsidRPr="004647A4">
        <w:t xml:space="preserve"> исследований, уровень раскрытия информации в отчетах об устойчивом развитии зависит от типа отрасли, к которой принадлежит компания</w:t>
      </w:r>
      <w:r w:rsidR="009D5996" w:rsidRPr="004647A4">
        <w:t xml:space="preserve">. </w:t>
      </w:r>
      <w:r w:rsidR="00EE38FC" w:rsidRPr="004647A4">
        <w:t>При этом д</w:t>
      </w:r>
      <w:r w:rsidRPr="004647A4">
        <w:t>ля таких экологически чувствительных секторов, как горнодобывающая промышленность и энергетика, устойчивое развитие имеет решающее значение</w:t>
      </w:r>
      <w:r w:rsidR="00017A87" w:rsidRPr="004647A4">
        <w:t xml:space="preserve"> [</w:t>
      </w:r>
      <w:r w:rsidR="00EB190F">
        <w:t>20</w:t>
      </w:r>
      <w:r w:rsidR="00017A87" w:rsidRPr="004647A4">
        <w:t>]</w:t>
      </w:r>
      <w:r w:rsidRPr="004647A4">
        <w:t xml:space="preserve">. </w:t>
      </w:r>
      <w:r w:rsidR="00C0538B" w:rsidRPr="004647A4">
        <w:t xml:space="preserve">Данные </w:t>
      </w:r>
      <w:r w:rsidRPr="004647A4">
        <w:t>сектор</w:t>
      </w:r>
      <w:r w:rsidR="00C0538B" w:rsidRPr="004647A4">
        <w:t xml:space="preserve">а экономики </w:t>
      </w:r>
      <w:r w:rsidRPr="004647A4">
        <w:t>уязвим</w:t>
      </w:r>
      <w:r w:rsidR="00C0538B" w:rsidRPr="004647A4">
        <w:t>ы</w:t>
      </w:r>
      <w:r w:rsidRPr="004647A4">
        <w:t xml:space="preserve"> к физическим последствиям изменения климата, таки</w:t>
      </w:r>
      <w:r w:rsidR="00EE38FC" w:rsidRPr="004647A4">
        <w:t>м</w:t>
      </w:r>
      <w:r w:rsidRPr="004647A4">
        <w:t xml:space="preserve"> как рост спроса на электроэнергию, нехватка воды, и повреждение инфраструктуры в результате катастрофических погодных явлений. Кроме того, правительства по всему миру разрабатывают меры по снижению выбросов парниковых газов на уровне страны, которые непосредственно влияют на энергетический сектор</w:t>
      </w:r>
      <w:r w:rsidR="00246DE2" w:rsidRPr="004647A4">
        <w:t xml:space="preserve"> </w:t>
      </w:r>
      <w:r w:rsidRPr="004647A4">
        <w:t>[</w:t>
      </w:r>
      <w:r w:rsidR="00EB190F">
        <w:t>9</w:t>
      </w:r>
      <w:r w:rsidRPr="004647A4">
        <w:t>].</w:t>
      </w:r>
      <w:r w:rsidR="009D5996" w:rsidRPr="004647A4">
        <w:t xml:space="preserve"> </w:t>
      </w:r>
      <w:r w:rsidRPr="004647A4">
        <w:t>Энергетическая отрасль раскрывает наибольшее количество показателей устойчивого развития (82,90%), чем большинство других отраслей</w:t>
      </w:r>
      <w:r w:rsidR="00017A87" w:rsidRPr="004647A4">
        <w:t xml:space="preserve"> [1</w:t>
      </w:r>
      <w:r w:rsidR="00EB190F">
        <w:t>2</w:t>
      </w:r>
      <w:r w:rsidR="00017A87" w:rsidRPr="004647A4">
        <w:t>]</w:t>
      </w:r>
      <w:r w:rsidR="009D5996" w:rsidRPr="004647A4">
        <w:t xml:space="preserve">. </w:t>
      </w:r>
      <w:r w:rsidR="007028CD" w:rsidRPr="004647A4">
        <w:t>Интерес заинтересованных сторон к отчетности в области устойчивого развития во многом обусловлен экологической составляющей.</w:t>
      </w:r>
    </w:p>
    <w:p w14:paraId="53C1A034" w14:textId="796B3DB2" w:rsidR="00C0538B" w:rsidRPr="004647A4" w:rsidRDefault="00C0538B" w:rsidP="004647A4">
      <w:pPr>
        <w:pStyle w:val="ad"/>
        <w:spacing w:line="240" w:lineRule="auto"/>
      </w:pPr>
      <w:r w:rsidRPr="004647A4">
        <w:t xml:space="preserve">Экологически чувствительные сектора экономики занимают существенную долю ВВП </w:t>
      </w:r>
      <w:r w:rsidR="007028CD">
        <w:t xml:space="preserve">нашей </w:t>
      </w:r>
      <w:r w:rsidRPr="004647A4">
        <w:t>страны. Так, в</w:t>
      </w:r>
      <w:r w:rsidR="009D5996" w:rsidRPr="004647A4">
        <w:t xml:space="preserve"> Российской Федерации </w:t>
      </w:r>
      <w:r w:rsidRPr="004647A4">
        <w:t xml:space="preserve">только деятельность </w:t>
      </w:r>
      <w:r w:rsidR="009D5996" w:rsidRPr="004647A4">
        <w:t>нефтегазовы</w:t>
      </w:r>
      <w:r w:rsidRPr="004647A4">
        <w:t>х</w:t>
      </w:r>
      <w:r w:rsidR="009D5996" w:rsidRPr="004647A4">
        <w:t xml:space="preserve"> компани</w:t>
      </w:r>
      <w:r w:rsidRPr="004647A4">
        <w:t xml:space="preserve">й составляет </w:t>
      </w:r>
      <w:r w:rsidR="009D5996" w:rsidRPr="004647A4">
        <w:t>свыше 20% от ВВП [</w:t>
      </w:r>
      <w:r w:rsidR="00EB190F">
        <w:t>2</w:t>
      </w:r>
      <w:r w:rsidR="009D5996" w:rsidRPr="004647A4">
        <w:t>].</w:t>
      </w:r>
      <w:r w:rsidRPr="004647A4">
        <w:t xml:space="preserve"> </w:t>
      </w:r>
      <w:r w:rsidR="007028CD">
        <w:t>При этом необходимо учитывать, что деятельность компаний н</w:t>
      </w:r>
      <w:r w:rsidR="009D5996" w:rsidRPr="004647A4">
        <w:t>ефтегазов</w:t>
      </w:r>
      <w:r w:rsidR="007028CD">
        <w:t>ого</w:t>
      </w:r>
      <w:r w:rsidR="009D5996" w:rsidRPr="004647A4">
        <w:t xml:space="preserve"> комплекс</w:t>
      </w:r>
      <w:r w:rsidR="007028CD">
        <w:t>а</w:t>
      </w:r>
      <w:r w:rsidR="009D5996" w:rsidRPr="004647A4">
        <w:t xml:space="preserve"> оказывает отрицательное влияние на окружающую среду</w:t>
      </w:r>
      <w:r w:rsidR="00A57092">
        <w:t xml:space="preserve"> </w:t>
      </w:r>
      <w:r w:rsidR="00A57092" w:rsidRPr="00A57092">
        <w:lastRenderedPageBreak/>
        <w:t>[</w:t>
      </w:r>
      <w:r w:rsidR="00EB190F">
        <w:t>3</w:t>
      </w:r>
      <w:r w:rsidR="00A57092" w:rsidRPr="00A57092">
        <w:t>]</w:t>
      </w:r>
      <w:r w:rsidR="009D5996" w:rsidRPr="004647A4">
        <w:t xml:space="preserve">. В связи с расширением </w:t>
      </w:r>
      <w:r w:rsidR="00D90F24" w:rsidRPr="004647A4">
        <w:t>ареалов</w:t>
      </w:r>
      <w:r w:rsidR="009D5996" w:rsidRPr="004647A4">
        <w:t xml:space="preserve"> транспортировки нефти и газа, в результате деятельности нефтегазовых компаний повышается вероятность появления экологических катастроф</w:t>
      </w:r>
      <w:r w:rsidR="00A57092">
        <w:t xml:space="preserve"> </w:t>
      </w:r>
      <w:r w:rsidR="009D5996" w:rsidRPr="004647A4">
        <w:t xml:space="preserve">. Разливы нефти происходят в результате взрывов на платформах, столкновения и крушения судов, отсутствия контроля над рабочим процессом на месторождениях. </w:t>
      </w:r>
      <w:r w:rsidR="007028CD">
        <w:t>В свою очередь, э</w:t>
      </w:r>
      <w:r w:rsidR="009D5996" w:rsidRPr="004647A4">
        <w:t xml:space="preserve">кологические катастрофы приводят к колоссальным потерям биоразнообразия окружающей среды, восстановление которых затрагивает множество финансовых и временных ресурсов. </w:t>
      </w:r>
    </w:p>
    <w:p w14:paraId="7DE2B1DE" w14:textId="614EB9BE" w:rsidR="00541E9B" w:rsidRPr="004647A4" w:rsidRDefault="009D5996" w:rsidP="004647A4">
      <w:pPr>
        <w:pStyle w:val="ad"/>
        <w:spacing w:line="240" w:lineRule="auto"/>
      </w:pPr>
      <w:r w:rsidRPr="004647A4">
        <w:t xml:space="preserve">Возникновение </w:t>
      </w:r>
      <w:r w:rsidR="00C0538B" w:rsidRPr="004647A4">
        <w:t>подобного рода</w:t>
      </w:r>
      <w:r w:rsidRPr="004647A4">
        <w:t xml:space="preserve"> ситуаций обуславливает повышенное внимание к компаниям </w:t>
      </w:r>
      <w:r w:rsidR="00C0538B" w:rsidRPr="004647A4">
        <w:t xml:space="preserve">экологически чувствительных секторов экономики </w:t>
      </w:r>
      <w:r w:rsidRPr="004647A4">
        <w:t>со стороны инвесторов. Поэтому раскрытие информации в области устойчивого развития влияет на доступ к финансированию компаний. Нефинансовая отчетность является инструментом, позволяющим компаниям</w:t>
      </w:r>
      <w:r w:rsidR="00C0538B" w:rsidRPr="004647A4">
        <w:t xml:space="preserve"> экологически чувствительных секторов экономики</w:t>
      </w:r>
      <w:r w:rsidRPr="004647A4">
        <w:t xml:space="preserve"> раскрыть свое отношение в части ответственности за благоприятное состояние окружающей среды. При этом в</w:t>
      </w:r>
      <w:r w:rsidR="00541E9B" w:rsidRPr="004647A4">
        <w:t xml:space="preserve"> </w:t>
      </w:r>
      <w:r w:rsidR="00C0538B" w:rsidRPr="004647A4">
        <w:t xml:space="preserve">экологически чувствительных секторах </w:t>
      </w:r>
      <w:r w:rsidR="00541E9B" w:rsidRPr="004647A4">
        <w:t>деятельность в области устойчивого развития напрямую влияет на доступ к заемному финансированию. Являясь капиталоемк</w:t>
      </w:r>
      <w:r w:rsidR="00A57092">
        <w:t>ими</w:t>
      </w:r>
      <w:r w:rsidR="00541E9B" w:rsidRPr="004647A4">
        <w:t>, промышленн</w:t>
      </w:r>
      <w:r w:rsidR="00A57092">
        <w:t>ые виды экономической деятельности</w:t>
      </w:r>
      <w:r w:rsidR="00541E9B" w:rsidRPr="004647A4">
        <w:t xml:space="preserve"> требу</w:t>
      </w:r>
      <w:r w:rsidR="00A57092">
        <w:t>ю</w:t>
      </w:r>
      <w:r w:rsidR="00541E9B" w:rsidRPr="004647A4">
        <w:t xml:space="preserve">т значительных инвестиций в основные фонды. </w:t>
      </w:r>
      <w:r w:rsidRPr="004647A4">
        <w:t>Именно поэтому р</w:t>
      </w:r>
      <w:r w:rsidR="00541E9B" w:rsidRPr="004647A4">
        <w:t>оль финансовых учреждений крайне высокая, поскольку зависит от степени раскрытия информации в нефинансовой отчетности – отчетности в области устойчивого развития.</w:t>
      </w:r>
    </w:p>
    <w:p w14:paraId="186B503A" w14:textId="1892EFB6" w:rsidR="00541E9B" w:rsidRPr="004647A4" w:rsidRDefault="009D5996" w:rsidP="004647A4">
      <w:pPr>
        <w:pStyle w:val="ad"/>
        <w:spacing w:line="240" w:lineRule="auto"/>
      </w:pPr>
      <w:r w:rsidRPr="004647A4">
        <w:t>В</w:t>
      </w:r>
      <w:r w:rsidR="00541E9B" w:rsidRPr="004647A4">
        <w:t xml:space="preserve"> научной литературе активно обсуждается влияние раскрытия отчетности в сфере устойчивого развития на доступ к источникам внешнего финансирования и рыночную капитализацию компани</w:t>
      </w:r>
      <w:r w:rsidRPr="004647A4">
        <w:t xml:space="preserve">й. </w:t>
      </w:r>
      <w:r w:rsidR="00541E9B" w:rsidRPr="004647A4">
        <w:t>В исследовании Дж. Дая на примере отчетов об устойчивом развитии 30 нефтегазовых компаний, работающих в провинции Альберта и отчетов 19 финансовых учреждений, инвестирующих в нефтегазовую отрасль</w:t>
      </w:r>
      <w:r w:rsidR="007028CD">
        <w:t>,</w:t>
      </w:r>
      <w:r w:rsidR="00541E9B" w:rsidRPr="004647A4">
        <w:t xml:space="preserve"> проведено сравнение раскрытия экологической информации и требований инвесторов. Авторы исследования делают вывод о том, что нефтегазовые компании, которые не признают климатически</w:t>
      </w:r>
      <w:r w:rsidR="007028CD">
        <w:t>е</w:t>
      </w:r>
      <w:r w:rsidR="00541E9B" w:rsidRPr="004647A4">
        <w:t xml:space="preserve"> риск</w:t>
      </w:r>
      <w:r w:rsidR="007028CD">
        <w:t>и</w:t>
      </w:r>
      <w:r w:rsidR="00541E9B" w:rsidRPr="004647A4">
        <w:t>, потенциально могут пожертвовать доступом к заемным источникам финансирования</w:t>
      </w:r>
      <w:r w:rsidR="00017A87" w:rsidRPr="004647A4">
        <w:t xml:space="preserve"> [13]</w:t>
      </w:r>
      <w:r w:rsidR="00541E9B" w:rsidRPr="004647A4">
        <w:t xml:space="preserve">. </w:t>
      </w:r>
    </w:p>
    <w:p w14:paraId="71CA27CC" w14:textId="1FBCB9D4" w:rsidR="000672DD" w:rsidRDefault="009D5996" w:rsidP="000672DD">
      <w:pPr>
        <w:pStyle w:val="ad"/>
        <w:spacing w:line="240" w:lineRule="auto"/>
      </w:pPr>
      <w:r w:rsidRPr="004647A4">
        <w:t xml:space="preserve">Впрочем, такая зависимость наблюдается и в других секторах экономики, поскольку во многих компаниях существует возможность отрицательного воздействия на окружающую среду. </w:t>
      </w:r>
      <w:r w:rsidR="00541E9B" w:rsidRPr="004647A4">
        <w:t>В исследовании Р. Чаудхури акцентируется внимание на том, что положительное влияние на рыночную капитализацию компаний оказывает не только раскрытие мероприятий по поддержанию изменения климата, но и социальные мероприятия, такие как повышение благосостояния сотрудников и развитие местных сообществ</w:t>
      </w:r>
      <w:r w:rsidR="00017A87" w:rsidRPr="004647A4">
        <w:t xml:space="preserve"> [1</w:t>
      </w:r>
      <w:r w:rsidR="00BF2D12">
        <w:t>8</w:t>
      </w:r>
      <w:r w:rsidR="00017A87" w:rsidRPr="004647A4">
        <w:t>]</w:t>
      </w:r>
      <w:r w:rsidR="00541E9B" w:rsidRPr="004647A4">
        <w:t xml:space="preserve">. </w:t>
      </w:r>
      <w:r w:rsidRPr="004647A4">
        <w:t>В публикации А. Алазани на примере мировых компаний обосновано, что достоверное раскрытие информации в отчетности об устойчивом развитии может помочь смягчить экологический ущерб, наносимый компаниями развивающимся странам</w:t>
      </w:r>
      <w:r w:rsidR="00017A87" w:rsidRPr="004647A4">
        <w:t xml:space="preserve"> [1</w:t>
      </w:r>
      <w:r w:rsidR="00EB190F">
        <w:t>0</w:t>
      </w:r>
      <w:r w:rsidR="00017A87" w:rsidRPr="004647A4">
        <w:t>]</w:t>
      </w:r>
      <w:r w:rsidRPr="004647A4">
        <w:t>.</w:t>
      </w:r>
      <w:r w:rsidR="000672DD">
        <w:t xml:space="preserve"> </w:t>
      </w:r>
      <w:r w:rsidR="000672DD" w:rsidRPr="000C18F9">
        <w:t xml:space="preserve">Таким образом, данное направление научных исследований подтверждает положительное влияние практики составления отчетов в области устойчивого развития и на окружающую среду, а также на систему корпоративного управления компанией, состояние ее сотрудников и местных сообществ. </w:t>
      </w:r>
    </w:p>
    <w:p w14:paraId="6FF06257" w14:textId="054CE0DB" w:rsidR="00541E9B" w:rsidRPr="00C52A73" w:rsidRDefault="00541E9B" w:rsidP="004647A4">
      <w:pPr>
        <w:pStyle w:val="ad"/>
        <w:spacing w:line="240" w:lineRule="auto"/>
        <w:jc w:val="center"/>
        <w:rPr>
          <w:color w:val="auto"/>
        </w:rPr>
      </w:pPr>
      <w:r w:rsidRPr="00C52A73">
        <w:rPr>
          <w:noProof/>
          <w:color w:val="auto"/>
          <w:lang w:eastAsia="ru-RU"/>
          <w14:ligatures w14:val="standardContextual"/>
        </w:rPr>
        <w:lastRenderedPageBreak/>
        <mc:AlternateContent>
          <mc:Choice Requires="wpg">
            <w:drawing>
              <wp:anchor distT="0" distB="0" distL="114300" distR="114300" simplePos="0" relativeHeight="251659264" behindDoc="1" locked="0" layoutInCell="1" allowOverlap="1" wp14:anchorId="4A9988B3" wp14:editId="66E6BB72">
                <wp:simplePos x="0" y="0"/>
                <wp:positionH relativeFrom="margin">
                  <wp:posOffset>-3810</wp:posOffset>
                </wp:positionH>
                <wp:positionV relativeFrom="paragraph">
                  <wp:posOffset>0</wp:posOffset>
                </wp:positionV>
                <wp:extent cx="6149340" cy="2270760"/>
                <wp:effectExtent l="0" t="0" r="22860" b="15240"/>
                <wp:wrapTight wrapText="bothSides">
                  <wp:wrapPolygon edited="0">
                    <wp:start x="14989" y="0"/>
                    <wp:lineTo x="0" y="0"/>
                    <wp:lineTo x="0" y="5074"/>
                    <wp:lineTo x="736" y="5799"/>
                    <wp:lineTo x="2810" y="5799"/>
                    <wp:lineTo x="0" y="7611"/>
                    <wp:lineTo x="0" y="21564"/>
                    <wp:lineTo x="16394" y="21564"/>
                    <wp:lineTo x="21613" y="21564"/>
                    <wp:lineTo x="21613" y="0"/>
                    <wp:lineTo x="14989" y="0"/>
                  </wp:wrapPolygon>
                </wp:wrapTight>
                <wp:docPr id="30" name="Группа 30"/>
                <wp:cNvGraphicFramePr/>
                <a:graphic xmlns:a="http://schemas.openxmlformats.org/drawingml/2006/main">
                  <a:graphicData uri="http://schemas.microsoft.com/office/word/2010/wordprocessingGroup">
                    <wpg:wgp>
                      <wpg:cNvGrpSpPr/>
                      <wpg:grpSpPr>
                        <a:xfrm>
                          <a:off x="0" y="0"/>
                          <a:ext cx="6149340" cy="2270760"/>
                          <a:chOff x="-144780" y="0"/>
                          <a:chExt cx="6149340" cy="1892300"/>
                        </a:xfrm>
                      </wpg:grpSpPr>
                      <wps:wsp>
                        <wps:cNvPr id="16" name="Прямая со стрелкой 16"/>
                        <wps:cNvCnPr/>
                        <wps:spPr>
                          <a:xfrm>
                            <a:off x="685800" y="433388"/>
                            <a:ext cx="0" cy="2403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Прямая со стрелкой 23"/>
                        <wps:cNvCnPr/>
                        <wps:spPr>
                          <a:xfrm>
                            <a:off x="5310188" y="571500"/>
                            <a:ext cx="0" cy="1023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29" name="Группа 29"/>
                        <wpg:cNvGrpSpPr/>
                        <wpg:grpSpPr>
                          <a:xfrm>
                            <a:off x="-144780" y="0"/>
                            <a:ext cx="6149340" cy="1892300"/>
                            <a:chOff x="-144780" y="0"/>
                            <a:chExt cx="6149340" cy="1892300"/>
                          </a:xfrm>
                        </wpg:grpSpPr>
                        <wps:wsp>
                          <wps:cNvPr id="4" name="Прямоугольник 4"/>
                          <wps:cNvSpPr/>
                          <wps:spPr>
                            <a:xfrm>
                              <a:off x="1519238" y="9525"/>
                              <a:ext cx="2523744" cy="490808"/>
                            </a:xfrm>
                            <a:prstGeom prst="rect">
                              <a:avLst/>
                            </a:prstGeom>
                          </wps:spPr>
                          <wps:style>
                            <a:lnRef idx="2">
                              <a:schemeClr val="dk1"/>
                            </a:lnRef>
                            <a:fillRef idx="1">
                              <a:schemeClr val="lt1"/>
                            </a:fillRef>
                            <a:effectRef idx="0">
                              <a:schemeClr val="dk1"/>
                            </a:effectRef>
                            <a:fontRef idx="minor">
                              <a:schemeClr val="dk1"/>
                            </a:fontRef>
                          </wps:style>
                          <wps:txbx>
                            <w:txbxContent>
                              <w:p w14:paraId="41BE479C" w14:textId="7BA1CBEB"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Функции отчетов об устойчивом развитии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7"/>
                          <wps:cNvSpPr/>
                          <wps:spPr>
                            <a:xfrm>
                              <a:off x="-121920" y="14288"/>
                              <a:ext cx="1504493" cy="416966"/>
                            </a:xfrm>
                            <a:prstGeom prst="rect">
                              <a:avLst/>
                            </a:prstGeom>
                          </wps:spPr>
                          <wps:style>
                            <a:lnRef idx="2">
                              <a:schemeClr val="dk1"/>
                            </a:lnRef>
                            <a:fillRef idx="1">
                              <a:schemeClr val="lt1"/>
                            </a:fillRef>
                            <a:effectRef idx="0">
                              <a:schemeClr val="dk1"/>
                            </a:effectRef>
                            <a:fontRef idx="minor">
                              <a:schemeClr val="dk1"/>
                            </a:fontRef>
                          </wps:style>
                          <wps:txbx>
                            <w:txbxContent>
                              <w:p w14:paraId="6AE9D66C" w14:textId="03CF826C"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Информативная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wps:spPr>
                            <a:xfrm>
                              <a:off x="4162425" y="0"/>
                              <a:ext cx="1834515" cy="508000"/>
                            </a:xfrm>
                            <a:prstGeom prst="rect">
                              <a:avLst/>
                            </a:prstGeom>
                            <a:solidFill>
                              <a:schemeClr val="bg1">
                                <a:lumMod val="85000"/>
                              </a:schemeClr>
                            </a:solidFill>
                          </wps:spPr>
                          <wps:style>
                            <a:lnRef idx="2">
                              <a:schemeClr val="dk1"/>
                            </a:lnRef>
                            <a:fillRef idx="1">
                              <a:schemeClr val="lt1"/>
                            </a:fillRef>
                            <a:effectRef idx="0">
                              <a:schemeClr val="dk1"/>
                            </a:effectRef>
                            <a:fontRef idx="minor">
                              <a:schemeClr val="dk1"/>
                            </a:fontRef>
                          </wps:style>
                          <wps:txbx>
                            <w:txbxContent>
                              <w:p w14:paraId="056034DC" w14:textId="7A2918C9" w:rsidR="00EE38FC" w:rsidRPr="00442474" w:rsidRDefault="00616BC3" w:rsidP="00541E9B">
                                <w:pPr>
                                  <w:jc w:val="center"/>
                                  <w:rPr>
                                    <w:rFonts w:ascii="Arial" w:hAnsi="Arial" w:cs="Arial"/>
                                    <w:sz w:val="24"/>
                                    <w:szCs w:val="24"/>
                                  </w:rPr>
                                </w:pPr>
                                <w:r w:rsidRPr="00442474">
                                  <w:rPr>
                                    <w:rFonts w:ascii="Arial" w:hAnsi="Arial" w:cs="Arial"/>
                                    <w:sz w:val="24"/>
                                    <w:szCs w:val="24"/>
                                  </w:rPr>
                                  <w:t>Управленческая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рямая со стрелкой 13"/>
                          <wps:cNvCnPr/>
                          <wps:spPr>
                            <a:xfrm>
                              <a:off x="4043363" y="323850"/>
                              <a:ext cx="11729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 name="Прямая со стрелкой 15"/>
                          <wps:cNvCnPr/>
                          <wps:spPr>
                            <a:xfrm flipH="1">
                              <a:off x="1381125" y="323850"/>
                              <a:ext cx="13916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Прямоугольник 17"/>
                          <wps:cNvSpPr/>
                          <wps:spPr>
                            <a:xfrm>
                              <a:off x="-144780" y="688975"/>
                              <a:ext cx="1383665" cy="1171575"/>
                            </a:xfrm>
                            <a:prstGeom prst="rect">
                              <a:avLst/>
                            </a:prstGeom>
                          </wps:spPr>
                          <wps:style>
                            <a:lnRef idx="2">
                              <a:schemeClr val="dk1"/>
                            </a:lnRef>
                            <a:fillRef idx="1">
                              <a:schemeClr val="lt1"/>
                            </a:fillRef>
                            <a:effectRef idx="0">
                              <a:schemeClr val="dk1"/>
                            </a:effectRef>
                            <a:fontRef idx="minor">
                              <a:schemeClr val="dk1"/>
                            </a:fontRef>
                          </wps:style>
                          <wps:txbx>
                            <w:txbxContent>
                              <w:p w14:paraId="4BEB3A45" w14:textId="5D194B14"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Раскрытие информации в соответствии с интересами стейкхолдеров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Прямая соединительная линия 18"/>
                          <wps:cNvCnPr/>
                          <wps:spPr>
                            <a:xfrm>
                              <a:off x="4843463" y="520700"/>
                              <a:ext cx="0" cy="52425"/>
                            </a:xfrm>
                            <a:prstGeom prst="line">
                              <a:avLst/>
                            </a:prstGeom>
                          </wps:spPr>
                          <wps:style>
                            <a:lnRef idx="1">
                              <a:schemeClr val="dk1"/>
                            </a:lnRef>
                            <a:fillRef idx="0">
                              <a:schemeClr val="dk1"/>
                            </a:fillRef>
                            <a:effectRef idx="0">
                              <a:schemeClr val="dk1"/>
                            </a:effectRef>
                            <a:fontRef idx="minor">
                              <a:schemeClr val="tx1"/>
                            </a:fontRef>
                          </wps:style>
                          <wps:bodyPr/>
                        </wps:wsp>
                        <wps:wsp>
                          <wps:cNvPr id="19" name="Прямая соединительная линия 19"/>
                          <wps:cNvCnPr/>
                          <wps:spPr>
                            <a:xfrm>
                              <a:off x="2376488" y="571500"/>
                              <a:ext cx="2933065" cy="0"/>
                            </a:xfrm>
                            <a:prstGeom prst="line">
                              <a:avLst/>
                            </a:prstGeom>
                          </wps:spPr>
                          <wps:style>
                            <a:lnRef idx="1">
                              <a:schemeClr val="dk1"/>
                            </a:lnRef>
                            <a:fillRef idx="0">
                              <a:schemeClr val="dk1"/>
                            </a:fillRef>
                            <a:effectRef idx="0">
                              <a:schemeClr val="dk1"/>
                            </a:effectRef>
                            <a:fontRef idx="minor">
                              <a:schemeClr val="tx1"/>
                            </a:fontRef>
                          </wps:style>
                          <wps:bodyPr/>
                        </wps:wsp>
                        <wps:wsp>
                          <wps:cNvPr id="21" name="Прямая со стрелкой 21"/>
                          <wps:cNvCnPr/>
                          <wps:spPr>
                            <a:xfrm>
                              <a:off x="2376488" y="576263"/>
                              <a:ext cx="0" cy="1023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Прямоугольник 24"/>
                          <wps:cNvSpPr/>
                          <wps:spPr>
                            <a:xfrm>
                              <a:off x="1347788" y="688975"/>
                              <a:ext cx="1538287" cy="1184275"/>
                            </a:xfrm>
                            <a:prstGeom prst="rect">
                              <a:avLst/>
                            </a:prstGeom>
                          </wps:spPr>
                          <wps:style>
                            <a:lnRef idx="2">
                              <a:schemeClr val="dk1"/>
                            </a:lnRef>
                            <a:fillRef idx="1">
                              <a:schemeClr val="lt1"/>
                            </a:fillRef>
                            <a:effectRef idx="0">
                              <a:schemeClr val="dk1"/>
                            </a:effectRef>
                            <a:fontRef idx="minor">
                              <a:schemeClr val="dk1"/>
                            </a:fontRef>
                          </wps:style>
                          <wps:txbx>
                            <w:txbxContent>
                              <w:p w14:paraId="719754EC" w14:textId="4046A49C" w:rsidR="00EE38FC" w:rsidRPr="004D072C" w:rsidRDefault="002E326D" w:rsidP="004D072C">
                                <w:pPr>
                                  <w:ind w:firstLine="0"/>
                                  <w:rPr>
                                    <w:rFonts w:ascii="Tahoma" w:hAnsi="Tahoma" w:cs="Tahoma"/>
                                    <w:b/>
                                    <w:bCs/>
                                    <w:sz w:val="24"/>
                                    <w:szCs w:val="24"/>
                                    <w:u w:val="single"/>
                                  </w:rPr>
                                </w:pPr>
                                <w:r w:rsidRPr="004D072C">
                                  <w:rPr>
                                    <w:rFonts w:ascii="Tahoma" w:hAnsi="Tahoma" w:cs="Tahoma"/>
                                    <w:b/>
                                    <w:bCs/>
                                    <w:sz w:val="24"/>
                                    <w:szCs w:val="24"/>
                                    <w:u w:val="single"/>
                                  </w:rPr>
                                  <w:t>Стратегическая</w:t>
                                </w:r>
                              </w:p>
                              <w:p w14:paraId="55A1D02D" w14:textId="33A05FB2" w:rsidR="00EE38FC" w:rsidRPr="00442474" w:rsidRDefault="002E326D" w:rsidP="005D5ECA">
                                <w:pPr>
                                  <w:ind w:firstLine="0"/>
                                  <w:rPr>
                                    <w:rFonts w:ascii="Tahoma" w:hAnsi="Tahoma" w:cs="Tahoma"/>
                                    <w:sz w:val="24"/>
                                    <w:szCs w:val="24"/>
                                  </w:rPr>
                                </w:pPr>
                                <w:r w:rsidRPr="00442474">
                                  <w:rPr>
                                    <w:rFonts w:ascii="Tahoma" w:hAnsi="Tahoma" w:cs="Tahoma"/>
                                    <w:sz w:val="24"/>
                                    <w:szCs w:val="24"/>
                                  </w:rPr>
                                  <w:t>- приоритезация ЦУР</w:t>
                                </w:r>
                                <w:r w:rsidR="005D5ECA">
                                  <w:rPr>
                                    <w:rFonts w:ascii="Tahoma" w:hAnsi="Tahoma" w:cs="Tahoma"/>
                                    <w:sz w:val="24"/>
                                    <w:szCs w:val="24"/>
                                  </w:rPr>
                                  <w:t xml:space="preserve"> 13</w:t>
                                </w:r>
                              </w:p>
                              <w:p w14:paraId="3BBC4483" w14:textId="77E14C61" w:rsidR="00EE38FC" w:rsidRPr="00442474" w:rsidRDefault="00EE38FC" w:rsidP="005D5ECA">
                                <w:pPr>
                                  <w:ind w:firstLine="0"/>
                                  <w:rPr>
                                    <w:rFonts w:ascii="Tahoma" w:hAnsi="Tahoma" w:cs="Tahoma"/>
                                    <w:sz w:val="24"/>
                                    <w:szCs w:val="24"/>
                                  </w:rPr>
                                </w:pPr>
                                <w:r w:rsidRPr="00442474">
                                  <w:rPr>
                                    <w:rFonts w:ascii="Tahoma" w:hAnsi="Tahoma" w:cs="Tahoma"/>
                                    <w:sz w:val="24"/>
                                    <w:szCs w:val="24"/>
                                  </w:rPr>
                                  <w:t xml:space="preserve">- </w:t>
                                </w:r>
                                <w:r w:rsidR="002E326D" w:rsidRPr="00442474">
                                  <w:rPr>
                                    <w:rFonts w:ascii="Tahoma" w:hAnsi="Tahoma" w:cs="Tahoma"/>
                                    <w:sz w:val="24"/>
                                    <w:szCs w:val="24"/>
                                  </w:rPr>
                                  <w:t>соответствие вклада в достижение ЦУР целям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оугольник 25"/>
                          <wps:cNvSpPr/>
                          <wps:spPr>
                            <a:xfrm>
                              <a:off x="4556760" y="676275"/>
                              <a:ext cx="1447800" cy="1216025"/>
                            </a:xfrm>
                            <a:prstGeom prst="rect">
                              <a:avLst/>
                            </a:prstGeom>
                          </wps:spPr>
                          <wps:style>
                            <a:lnRef idx="2">
                              <a:schemeClr val="dk1"/>
                            </a:lnRef>
                            <a:fillRef idx="1">
                              <a:schemeClr val="lt1"/>
                            </a:fillRef>
                            <a:effectRef idx="0">
                              <a:schemeClr val="dk1"/>
                            </a:effectRef>
                            <a:fontRef idx="minor">
                              <a:schemeClr val="dk1"/>
                            </a:fontRef>
                          </wps:style>
                          <wps:txbx>
                            <w:txbxContent>
                              <w:p w14:paraId="6603E53B" w14:textId="72F7B17F" w:rsidR="00EE38FC" w:rsidRPr="004D072C" w:rsidRDefault="002E326D" w:rsidP="00442474">
                                <w:pPr>
                                  <w:ind w:firstLine="0"/>
                                  <w:jc w:val="center"/>
                                  <w:rPr>
                                    <w:rFonts w:ascii="Tahoma" w:hAnsi="Tahoma" w:cs="Tahoma"/>
                                    <w:b/>
                                    <w:bCs/>
                                    <w:sz w:val="24"/>
                                    <w:szCs w:val="24"/>
                                    <w:u w:val="single"/>
                                  </w:rPr>
                                </w:pPr>
                                <w:r w:rsidRPr="004D072C">
                                  <w:rPr>
                                    <w:rFonts w:ascii="Tahoma" w:hAnsi="Tahoma" w:cs="Tahoma"/>
                                    <w:b/>
                                    <w:bCs/>
                                    <w:sz w:val="24"/>
                                    <w:szCs w:val="24"/>
                                    <w:u w:val="single"/>
                                  </w:rPr>
                                  <w:t>Операционная</w:t>
                                </w:r>
                              </w:p>
                              <w:p w14:paraId="3E7DF12F" w14:textId="3FEAE797" w:rsidR="00EE38FC" w:rsidRPr="00442474" w:rsidRDefault="00442474" w:rsidP="002E326D">
                                <w:pPr>
                                  <w:ind w:firstLine="0"/>
                                  <w:jc w:val="center"/>
                                  <w:rPr>
                                    <w:rFonts w:ascii="Tahoma" w:hAnsi="Tahoma" w:cs="Tahoma"/>
                                    <w:sz w:val="24"/>
                                    <w:szCs w:val="24"/>
                                  </w:rPr>
                                </w:pPr>
                                <w:r>
                                  <w:rPr>
                                    <w:rFonts w:ascii="Tahoma" w:hAnsi="Tahoma" w:cs="Tahoma"/>
                                    <w:sz w:val="24"/>
                                    <w:szCs w:val="24"/>
                                  </w:rPr>
                                  <w:t xml:space="preserve">- </w:t>
                                </w:r>
                                <w:r w:rsidR="002E326D" w:rsidRPr="00442474">
                                  <w:rPr>
                                    <w:rFonts w:ascii="Tahoma" w:hAnsi="Tahoma" w:cs="Tahoma"/>
                                    <w:sz w:val="24"/>
                                    <w:szCs w:val="24"/>
                                  </w:rPr>
                                  <w:t>реализ</w:t>
                                </w:r>
                                <w:r>
                                  <w:rPr>
                                    <w:rFonts w:ascii="Tahoma" w:hAnsi="Tahoma" w:cs="Tahoma"/>
                                    <w:sz w:val="24"/>
                                    <w:szCs w:val="24"/>
                                  </w:rPr>
                                  <w:t>а</w:t>
                                </w:r>
                                <w:r w:rsidR="002E326D" w:rsidRPr="00442474">
                                  <w:rPr>
                                    <w:rFonts w:ascii="Tahoma" w:hAnsi="Tahoma" w:cs="Tahoma"/>
                                    <w:sz w:val="24"/>
                                    <w:szCs w:val="24"/>
                                  </w:rPr>
                                  <w:t>ция практических инициатив в сфере устойчивого развития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равая фигурная скобка 26"/>
                          <wps:cNvSpPr/>
                          <wps:spPr>
                            <a:xfrm>
                              <a:off x="2886075" y="704215"/>
                              <a:ext cx="138112" cy="116903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авая фигурная скобка 27"/>
                          <wps:cNvSpPr/>
                          <wps:spPr>
                            <a:xfrm rot="10800000">
                              <a:off x="4436745" y="678652"/>
                              <a:ext cx="104775" cy="116903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Прямоугольник 28"/>
                          <wps:cNvSpPr/>
                          <wps:spPr>
                            <a:xfrm>
                              <a:off x="3048000" y="676275"/>
                              <a:ext cx="1371600" cy="1203325"/>
                            </a:xfrm>
                            <a:prstGeom prst="rect">
                              <a:avLst/>
                            </a:prstGeom>
                            <a:solidFill>
                              <a:schemeClr val="bg1">
                                <a:lumMod val="85000"/>
                              </a:schemeClr>
                            </a:solidFill>
                          </wps:spPr>
                          <wps:style>
                            <a:lnRef idx="2">
                              <a:schemeClr val="dk1"/>
                            </a:lnRef>
                            <a:fillRef idx="1">
                              <a:schemeClr val="lt1"/>
                            </a:fillRef>
                            <a:effectRef idx="0">
                              <a:schemeClr val="dk1"/>
                            </a:effectRef>
                            <a:fontRef idx="minor">
                              <a:schemeClr val="dk1"/>
                            </a:fontRef>
                          </wps:style>
                          <wps:txbx>
                            <w:txbxContent>
                              <w:p w14:paraId="3FAF3414" w14:textId="0F56B41F" w:rsidR="00EE38FC" w:rsidRPr="00442474" w:rsidRDefault="000F3A89" w:rsidP="00616BC3">
                                <w:pPr>
                                  <w:ind w:firstLine="0"/>
                                  <w:jc w:val="center"/>
                                  <w:rPr>
                                    <w:rFonts w:ascii="Tahoma" w:hAnsi="Tahoma" w:cs="Tahoma"/>
                                    <w:b/>
                                    <w:sz w:val="24"/>
                                    <w:szCs w:val="24"/>
                                  </w:rPr>
                                </w:pPr>
                                <w:r>
                                  <w:rPr>
                                    <w:rFonts w:ascii="Tahoma" w:hAnsi="Tahoma" w:cs="Tahoma"/>
                                    <w:b/>
                                    <w:sz w:val="24"/>
                                    <w:szCs w:val="24"/>
                                  </w:rPr>
                                  <w:t>Система с</w:t>
                                </w:r>
                                <w:r w:rsidR="00D21286">
                                  <w:rPr>
                                    <w:rFonts w:ascii="Tahoma" w:hAnsi="Tahoma" w:cs="Tahoma"/>
                                    <w:b/>
                                    <w:sz w:val="24"/>
                                    <w:szCs w:val="24"/>
                                  </w:rPr>
                                  <w:t>тратегичес-ко</w:t>
                                </w:r>
                                <w:r>
                                  <w:rPr>
                                    <w:rFonts w:ascii="Tahoma" w:hAnsi="Tahoma" w:cs="Tahoma"/>
                                    <w:b/>
                                    <w:sz w:val="24"/>
                                    <w:szCs w:val="24"/>
                                  </w:rPr>
                                  <w:t xml:space="preserve">го </w:t>
                                </w:r>
                                <w:r w:rsidR="00D21286">
                                  <w:rPr>
                                    <w:rFonts w:ascii="Tahoma" w:hAnsi="Tahoma" w:cs="Tahoma"/>
                                    <w:b/>
                                    <w:sz w:val="24"/>
                                    <w:szCs w:val="24"/>
                                  </w:rPr>
                                  <w:t>управлени</w:t>
                                </w:r>
                                <w:r>
                                  <w:rPr>
                                    <w:rFonts w:ascii="Tahoma" w:hAnsi="Tahoma" w:cs="Tahoma"/>
                                    <w:b/>
                                    <w:sz w:val="24"/>
                                    <w:szCs w:val="24"/>
                                  </w:rPr>
                                  <w:t>я</w:t>
                                </w:r>
                                <w:r w:rsidR="00D21286">
                                  <w:rPr>
                                    <w:rFonts w:ascii="Tahoma" w:hAnsi="Tahoma" w:cs="Tahoma"/>
                                    <w:b/>
                                    <w:sz w:val="24"/>
                                    <w:szCs w:val="24"/>
                                  </w:rPr>
                                  <w:t xml:space="preserve"> устойчивым развитием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A9988B3" id="Группа 30" o:spid="_x0000_s1026" style="position:absolute;left:0;text-align:left;margin-left:-.3pt;margin-top:0;width:484.2pt;height:178.8pt;z-index:-251657216;mso-position-horizontal-relative:margin;mso-width-relative:margin;mso-height-relative:margin" coordorigin="-1447" coordsize="61493,18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">
                <v:shapetype id="_x0000_t32" coordsize="21600,21600" o:spt="32" o:oned="t" path="m,l21600,21600e" filled="f">
                  <v:path arrowok="t" fillok="f" o:connecttype="none"/>
                  <o:lock v:ext="edit" shapetype="t"/>
                </v:shapetype>
                <v:shape id="Прямая со стрелкой 16" o:spid="_x0000_s1027" type="#_x0000_t32" style="position:absolute;left:6858;top:4333;width:0;height:24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" strokecolor="black [3200]" strokeweight=".5pt">
                  <v:stroke endarrow="block" joinstyle="miter"/>
                </v:shape>
                <v:shape id="Прямая со стрелкой 23" o:spid="_x0000_s1028" type="#_x0000_t32" style="position:absolute;left:53101;top:5715;width:0;height:10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" strokecolor="black [3200]" strokeweight=".5pt">
                  <v:stroke endarrow="block" joinstyle="miter"/>
                </v:shape>
                <v:group id="Группа 29" o:spid="_x0000_s1029" style="position:absolute;left:-1447;width:61492;height:18923" coordorigin="-1447" coordsize="61493,18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Прямоугольник 4" o:spid="_x0000_s1030" style="position:absolute;left:15192;top:95;width:25237;height:4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XBOwwAAANoAAAAPAAAAZHJzL2Rvd25yZXYueG1sRI9Ba8JA&#10;FITvBf/D8oTe6sZSrE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aLVwTsMAAADaAAAADwAA&#10;AAAAAAAAAAAAAAAHAgAAZHJzL2Rvd25yZXYueG1sUEsFBgAAAAADAAMAtwAAAPcCAAAAAA==&#10;" fillcolor="white [3201]" strokecolor="black [3200]" strokeweight="1pt">
                    <v:textbox>
                      <w:txbxContent>
                        <w:p w14:paraId="41BE479C" w14:textId="7BA1CBEB"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Функции отчетов об устойчивом развитии</w:t>
                          </w:r>
                        </w:p>
                      </w:txbxContent>
                    </v:textbox>
                  </v:rect>
                  <v:rect id="Прямоугольник 7" o:spid="_x0000_s1031" style="position:absolute;left:-1219;top:142;width:15044;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" fillcolor="white [3201]" strokecolor="black [3200]" strokeweight="1pt">
                    <v:textbox>
                      <w:txbxContent>
                        <w:p w14:paraId="6AE9D66C" w14:textId="03CF826C"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Информативная</w:t>
                          </w:r>
                        </w:p>
                      </w:txbxContent>
                    </v:textbox>
                  </v:rect>
                  <v:rect id="Прямоугольник 8" o:spid="_x0000_s1032" style="position:absolute;left:41624;width:18345;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" fillcolor="#d8d8d8 [2732]" strokecolor="black [3200]" strokeweight="1pt">
                    <v:textbox>
                      <w:txbxContent>
                        <w:p w14:paraId="056034DC" w14:textId="7A2918C9" w:rsidR="00EE38FC" w:rsidRPr="00442474" w:rsidRDefault="00616BC3" w:rsidP="00541E9B">
                          <w:pPr>
                            <w:jc w:val="center"/>
                            <w:rPr>
                              <w:rFonts w:ascii="Arial" w:hAnsi="Arial" w:cs="Arial"/>
                              <w:sz w:val="24"/>
                              <w:szCs w:val="24"/>
                            </w:rPr>
                          </w:pPr>
                          <w:r w:rsidRPr="00442474">
                            <w:rPr>
                              <w:rFonts w:ascii="Arial" w:hAnsi="Arial" w:cs="Arial"/>
                              <w:sz w:val="24"/>
                              <w:szCs w:val="24"/>
                            </w:rPr>
                            <w:t>Управленческая</w:t>
                          </w:r>
                        </w:p>
                      </w:txbxContent>
                    </v:textbox>
                  </v:rect>
                  <v:shape id="Прямая со стрелкой 13" o:spid="_x0000_s1033" type="#_x0000_t32" style="position:absolute;left:40433;top:3238;width:11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" strokecolor="black [3200]" strokeweight=".5pt">
                    <v:stroke endarrow="block" joinstyle="miter"/>
                  </v:shape>
                  <v:shape id="Прямая со стрелкой 15" o:spid="_x0000_s1034" type="#_x0000_t32" style="position:absolute;left:13811;top:3238;width:139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" strokecolor="black [3200]" strokeweight=".5pt">
                    <v:stroke endarrow="block" joinstyle="miter"/>
                  </v:shape>
                  <v:rect id="Прямоугольник 17" o:spid="_x0000_s1035" style="position:absolute;left:-1447;top:6889;width:13835;height:11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" fillcolor="white [3201]" strokecolor="black [3200]" strokeweight="1pt">
                    <v:textbox>
                      <w:txbxContent>
                        <w:p w14:paraId="4BEB3A45" w14:textId="5D194B14" w:rsidR="00EE38FC" w:rsidRPr="00442474" w:rsidRDefault="00616BC3" w:rsidP="00442474">
                          <w:pPr>
                            <w:ind w:firstLine="0"/>
                            <w:jc w:val="center"/>
                            <w:rPr>
                              <w:rFonts w:ascii="Tahoma" w:hAnsi="Tahoma" w:cs="Tahoma"/>
                              <w:sz w:val="24"/>
                              <w:szCs w:val="24"/>
                            </w:rPr>
                          </w:pPr>
                          <w:r w:rsidRPr="00442474">
                            <w:rPr>
                              <w:rFonts w:ascii="Tahoma" w:hAnsi="Tahoma" w:cs="Tahoma"/>
                              <w:sz w:val="24"/>
                              <w:szCs w:val="24"/>
                            </w:rPr>
                            <w:t>Раскрытие информации в соответствии с интересами стейкхолдеров</w:t>
                          </w:r>
                        </w:p>
                      </w:txbxContent>
                    </v:textbox>
                  </v:rect>
                  <v:line id="Прямая соединительная линия 18" o:spid="_x0000_s1036" style="position:absolute;visibility:visible;mso-wrap-style:square" from="48434,5207" to="48434,5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" strokecolor="black [3200]" strokeweight=".5pt">
                    <v:stroke joinstyle="miter"/>
                  </v:line>
                  <v:line id="Прямая соединительная линия 19" o:spid="_x0000_s1037" style="position:absolute;visibility:visible;mso-wrap-style:square" from="23764,5715" to="5309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shape id="Прямая со стрелкой 21" o:spid="_x0000_s1038" type="#_x0000_t32" style="position:absolute;left:23764;top:5762;width:0;height:10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" strokecolor="black [3200]" strokeweight=".5pt">
                    <v:stroke endarrow="block" joinstyle="miter"/>
                  </v:shape>
                  <v:rect id="Прямоугольник 24" o:spid="_x0000_s1039" style="position:absolute;left:13477;top:6889;width:15383;height:11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" fillcolor="white [3201]" strokecolor="black [3200]" strokeweight="1pt">
                    <v:textbox>
                      <w:txbxContent>
                        <w:p w14:paraId="719754EC" w14:textId="4046A49C" w:rsidR="00EE38FC" w:rsidRPr="004D072C" w:rsidRDefault="002E326D" w:rsidP="004D072C">
                          <w:pPr>
                            <w:ind w:firstLine="0"/>
                            <w:rPr>
                              <w:rFonts w:ascii="Tahoma" w:hAnsi="Tahoma" w:cs="Tahoma"/>
                              <w:b/>
                              <w:bCs/>
                              <w:sz w:val="24"/>
                              <w:szCs w:val="24"/>
                              <w:u w:val="single"/>
                            </w:rPr>
                          </w:pPr>
                          <w:r w:rsidRPr="004D072C">
                            <w:rPr>
                              <w:rFonts w:ascii="Tahoma" w:hAnsi="Tahoma" w:cs="Tahoma"/>
                              <w:b/>
                              <w:bCs/>
                              <w:sz w:val="24"/>
                              <w:szCs w:val="24"/>
                              <w:u w:val="single"/>
                            </w:rPr>
                            <w:t>Стратегическая</w:t>
                          </w:r>
                        </w:p>
                        <w:p w14:paraId="55A1D02D" w14:textId="33A05FB2" w:rsidR="00EE38FC" w:rsidRPr="00442474" w:rsidRDefault="002E326D" w:rsidP="005D5ECA">
                          <w:pPr>
                            <w:ind w:firstLine="0"/>
                            <w:rPr>
                              <w:rFonts w:ascii="Tahoma" w:hAnsi="Tahoma" w:cs="Tahoma"/>
                              <w:sz w:val="24"/>
                              <w:szCs w:val="24"/>
                            </w:rPr>
                          </w:pPr>
                          <w:r w:rsidRPr="00442474">
                            <w:rPr>
                              <w:rFonts w:ascii="Tahoma" w:hAnsi="Tahoma" w:cs="Tahoma"/>
                              <w:sz w:val="24"/>
                              <w:szCs w:val="24"/>
                            </w:rPr>
                            <w:t>- приоритезация ЦУР</w:t>
                          </w:r>
                          <w:r w:rsidR="005D5ECA">
                            <w:rPr>
                              <w:rFonts w:ascii="Tahoma" w:hAnsi="Tahoma" w:cs="Tahoma"/>
                              <w:sz w:val="24"/>
                              <w:szCs w:val="24"/>
                            </w:rPr>
                            <w:t xml:space="preserve"> 13</w:t>
                          </w:r>
                        </w:p>
                        <w:p w14:paraId="3BBC4483" w14:textId="77E14C61" w:rsidR="00EE38FC" w:rsidRPr="00442474" w:rsidRDefault="00EE38FC" w:rsidP="005D5ECA">
                          <w:pPr>
                            <w:ind w:firstLine="0"/>
                            <w:rPr>
                              <w:rFonts w:ascii="Tahoma" w:hAnsi="Tahoma" w:cs="Tahoma"/>
                              <w:sz w:val="24"/>
                              <w:szCs w:val="24"/>
                            </w:rPr>
                          </w:pPr>
                          <w:r w:rsidRPr="00442474">
                            <w:rPr>
                              <w:rFonts w:ascii="Tahoma" w:hAnsi="Tahoma" w:cs="Tahoma"/>
                              <w:sz w:val="24"/>
                              <w:szCs w:val="24"/>
                            </w:rPr>
                            <w:t xml:space="preserve">- </w:t>
                          </w:r>
                          <w:r w:rsidR="002E326D" w:rsidRPr="00442474">
                            <w:rPr>
                              <w:rFonts w:ascii="Tahoma" w:hAnsi="Tahoma" w:cs="Tahoma"/>
                              <w:sz w:val="24"/>
                              <w:szCs w:val="24"/>
                            </w:rPr>
                            <w:t>соответствие вклада в достижение ЦУР целям компании</w:t>
                          </w:r>
                        </w:p>
                      </w:txbxContent>
                    </v:textbox>
                  </v:rect>
                  <v:rect id="Прямоугольник 25" o:spid="_x0000_s1040" style="position:absolute;left:45567;top:6762;width:14478;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" fillcolor="white [3201]" strokecolor="black [3200]" strokeweight="1pt">
                    <v:textbox>
                      <w:txbxContent>
                        <w:p w14:paraId="6603E53B" w14:textId="72F7B17F" w:rsidR="00EE38FC" w:rsidRPr="004D072C" w:rsidRDefault="002E326D" w:rsidP="00442474">
                          <w:pPr>
                            <w:ind w:firstLine="0"/>
                            <w:jc w:val="center"/>
                            <w:rPr>
                              <w:rFonts w:ascii="Tahoma" w:hAnsi="Tahoma" w:cs="Tahoma"/>
                              <w:b/>
                              <w:bCs/>
                              <w:sz w:val="24"/>
                              <w:szCs w:val="24"/>
                              <w:u w:val="single"/>
                            </w:rPr>
                          </w:pPr>
                          <w:r w:rsidRPr="004D072C">
                            <w:rPr>
                              <w:rFonts w:ascii="Tahoma" w:hAnsi="Tahoma" w:cs="Tahoma"/>
                              <w:b/>
                              <w:bCs/>
                              <w:sz w:val="24"/>
                              <w:szCs w:val="24"/>
                              <w:u w:val="single"/>
                            </w:rPr>
                            <w:t>Операционная</w:t>
                          </w:r>
                        </w:p>
                        <w:p w14:paraId="3E7DF12F" w14:textId="3FEAE797" w:rsidR="00EE38FC" w:rsidRPr="00442474" w:rsidRDefault="00442474" w:rsidP="002E326D">
                          <w:pPr>
                            <w:ind w:firstLine="0"/>
                            <w:jc w:val="center"/>
                            <w:rPr>
                              <w:rFonts w:ascii="Tahoma" w:hAnsi="Tahoma" w:cs="Tahoma"/>
                              <w:sz w:val="24"/>
                              <w:szCs w:val="24"/>
                            </w:rPr>
                          </w:pPr>
                          <w:r>
                            <w:rPr>
                              <w:rFonts w:ascii="Tahoma" w:hAnsi="Tahoma" w:cs="Tahoma"/>
                              <w:sz w:val="24"/>
                              <w:szCs w:val="24"/>
                            </w:rPr>
                            <w:t xml:space="preserve">- </w:t>
                          </w:r>
                          <w:r w:rsidR="002E326D" w:rsidRPr="00442474">
                            <w:rPr>
                              <w:rFonts w:ascii="Tahoma" w:hAnsi="Tahoma" w:cs="Tahoma"/>
                              <w:sz w:val="24"/>
                              <w:szCs w:val="24"/>
                            </w:rPr>
                            <w:t>реализ</w:t>
                          </w:r>
                          <w:r>
                            <w:rPr>
                              <w:rFonts w:ascii="Tahoma" w:hAnsi="Tahoma" w:cs="Tahoma"/>
                              <w:sz w:val="24"/>
                              <w:szCs w:val="24"/>
                            </w:rPr>
                            <w:t>а</w:t>
                          </w:r>
                          <w:r w:rsidR="002E326D" w:rsidRPr="00442474">
                            <w:rPr>
                              <w:rFonts w:ascii="Tahoma" w:hAnsi="Tahoma" w:cs="Tahoma"/>
                              <w:sz w:val="24"/>
                              <w:szCs w:val="24"/>
                            </w:rPr>
                            <w:t>ция практических инициатив в сфере устойчивого развития</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6" o:spid="_x0000_s1041" type="#_x0000_t88" style="position:absolute;left:28860;top:7042;width:1381;height:116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" adj="213" strokecolor="black [3200]" strokeweight=".5pt">
                    <v:stroke joinstyle="miter"/>
                  </v:shape>
                  <v:shape id="Правая фигурная скобка 27" o:spid="_x0000_s1042" type="#_x0000_t88" style="position:absolute;left:44367;top:6786;width:1048;height:1169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" adj="161" strokecolor="black [3200]" strokeweight=".5pt">
                    <v:stroke joinstyle="miter"/>
                  </v:shape>
                  <v:rect id="Прямоугольник 28" o:spid="_x0000_s1043" style="position:absolute;left:30480;top:6762;width:13716;height:120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" fillcolor="#d8d8d8 [2732]" strokecolor="black [3200]" strokeweight="1pt">
                    <v:textbox>
                      <w:txbxContent>
                        <w:p w14:paraId="3FAF3414" w14:textId="0F56B41F" w:rsidR="00EE38FC" w:rsidRPr="00442474" w:rsidRDefault="000F3A89" w:rsidP="00616BC3">
                          <w:pPr>
                            <w:ind w:firstLine="0"/>
                            <w:jc w:val="center"/>
                            <w:rPr>
                              <w:rFonts w:ascii="Tahoma" w:hAnsi="Tahoma" w:cs="Tahoma"/>
                              <w:b/>
                              <w:sz w:val="24"/>
                              <w:szCs w:val="24"/>
                            </w:rPr>
                          </w:pPr>
                          <w:r>
                            <w:rPr>
                              <w:rFonts w:ascii="Tahoma" w:hAnsi="Tahoma" w:cs="Tahoma"/>
                              <w:b/>
                              <w:sz w:val="24"/>
                              <w:szCs w:val="24"/>
                            </w:rPr>
                            <w:t xml:space="preserve">Система </w:t>
                          </w:r>
                          <w:proofErr w:type="spellStart"/>
                          <w:proofErr w:type="gramStart"/>
                          <w:r>
                            <w:rPr>
                              <w:rFonts w:ascii="Tahoma" w:hAnsi="Tahoma" w:cs="Tahoma"/>
                              <w:b/>
                              <w:sz w:val="24"/>
                              <w:szCs w:val="24"/>
                            </w:rPr>
                            <w:t>с</w:t>
                          </w:r>
                          <w:r w:rsidR="00D21286">
                            <w:rPr>
                              <w:rFonts w:ascii="Tahoma" w:hAnsi="Tahoma" w:cs="Tahoma"/>
                              <w:b/>
                              <w:sz w:val="24"/>
                              <w:szCs w:val="24"/>
                            </w:rPr>
                            <w:t>тратегичес</w:t>
                          </w:r>
                          <w:proofErr w:type="spellEnd"/>
                          <w:r w:rsidR="00D21286">
                            <w:rPr>
                              <w:rFonts w:ascii="Tahoma" w:hAnsi="Tahoma" w:cs="Tahoma"/>
                              <w:b/>
                              <w:sz w:val="24"/>
                              <w:szCs w:val="24"/>
                            </w:rPr>
                            <w:t>-ко</w:t>
                          </w:r>
                          <w:r>
                            <w:rPr>
                              <w:rFonts w:ascii="Tahoma" w:hAnsi="Tahoma" w:cs="Tahoma"/>
                              <w:b/>
                              <w:sz w:val="24"/>
                              <w:szCs w:val="24"/>
                            </w:rPr>
                            <w:t>го</w:t>
                          </w:r>
                          <w:proofErr w:type="gramEnd"/>
                          <w:r>
                            <w:rPr>
                              <w:rFonts w:ascii="Tahoma" w:hAnsi="Tahoma" w:cs="Tahoma"/>
                              <w:b/>
                              <w:sz w:val="24"/>
                              <w:szCs w:val="24"/>
                            </w:rPr>
                            <w:t xml:space="preserve"> </w:t>
                          </w:r>
                          <w:r w:rsidR="00D21286">
                            <w:rPr>
                              <w:rFonts w:ascii="Tahoma" w:hAnsi="Tahoma" w:cs="Tahoma"/>
                              <w:b/>
                              <w:sz w:val="24"/>
                              <w:szCs w:val="24"/>
                            </w:rPr>
                            <w:t>управлени</w:t>
                          </w:r>
                          <w:r>
                            <w:rPr>
                              <w:rFonts w:ascii="Tahoma" w:hAnsi="Tahoma" w:cs="Tahoma"/>
                              <w:b/>
                              <w:sz w:val="24"/>
                              <w:szCs w:val="24"/>
                            </w:rPr>
                            <w:t>я</w:t>
                          </w:r>
                          <w:r w:rsidR="00D21286">
                            <w:rPr>
                              <w:rFonts w:ascii="Tahoma" w:hAnsi="Tahoma" w:cs="Tahoma"/>
                              <w:b/>
                              <w:sz w:val="24"/>
                              <w:szCs w:val="24"/>
                            </w:rPr>
                            <w:t xml:space="preserve"> устойчивым развитием</w:t>
                          </w:r>
                        </w:p>
                      </w:txbxContent>
                    </v:textbox>
                  </v:rect>
                </v:group>
                <w10:wrap type="tight" anchorx="margin"/>
              </v:group>
            </w:pict>
          </mc:Fallback>
        </mc:AlternateContent>
      </w:r>
      <w:r w:rsidRPr="00C52A73">
        <w:rPr>
          <w:color w:val="auto"/>
        </w:rPr>
        <w:t xml:space="preserve">Рисунок Подходы к рассмотрению функций отчетов об устойчивом развитии </w:t>
      </w:r>
      <w:r w:rsidR="00545877">
        <w:rPr>
          <w:color w:val="auto"/>
        </w:rPr>
        <w:t xml:space="preserve">в системе стратегического </w:t>
      </w:r>
      <w:r w:rsidR="00D90F24">
        <w:rPr>
          <w:color w:val="auto"/>
        </w:rPr>
        <w:t>управления</w:t>
      </w:r>
      <w:r w:rsidR="00545877">
        <w:rPr>
          <w:color w:val="auto"/>
        </w:rPr>
        <w:t xml:space="preserve"> компанией</w:t>
      </w:r>
    </w:p>
    <w:p w14:paraId="73F9A0F5" w14:textId="4142DBCA" w:rsidR="00541E9B" w:rsidRPr="00017A87" w:rsidRDefault="00541E9B" w:rsidP="004647A4">
      <w:pPr>
        <w:pStyle w:val="ad"/>
        <w:spacing w:line="240" w:lineRule="auto"/>
        <w:jc w:val="center"/>
        <w:rPr>
          <w:color w:val="auto"/>
        </w:rPr>
      </w:pPr>
      <w:r w:rsidRPr="00C52A73">
        <w:rPr>
          <w:color w:val="auto"/>
        </w:rPr>
        <w:t>Источник: составлено автор</w:t>
      </w:r>
      <w:r w:rsidR="00017A87">
        <w:rPr>
          <w:color w:val="auto"/>
        </w:rPr>
        <w:t>ом</w:t>
      </w:r>
    </w:p>
    <w:p w14:paraId="49C62F20" w14:textId="77777777" w:rsidR="00066990" w:rsidRDefault="006D0446" w:rsidP="004647A4">
      <w:pPr>
        <w:pStyle w:val="ad"/>
        <w:spacing w:line="240" w:lineRule="auto"/>
        <w:rPr>
          <w:b/>
          <w:bCs/>
          <w:color w:val="auto"/>
        </w:rPr>
      </w:pPr>
      <w:r w:rsidRPr="006D0446">
        <w:rPr>
          <w:b/>
          <w:bCs/>
          <w:color w:val="auto"/>
        </w:rPr>
        <w:t>Обсуждение</w:t>
      </w:r>
    </w:p>
    <w:p w14:paraId="21BE3324" w14:textId="2CD018A2" w:rsidR="00545877" w:rsidRPr="00A57092" w:rsidRDefault="00545877" w:rsidP="00A57092">
      <w:pPr>
        <w:pStyle w:val="ad"/>
        <w:spacing w:line="240" w:lineRule="auto"/>
      </w:pPr>
      <w:r>
        <w:t>В</w:t>
      </w:r>
      <w:r w:rsidRPr="000672DD">
        <w:t xml:space="preserve"> научной литературе можно выделить несколько подходов к пониманию функции отчетов об устойчивом развитии для компаний. Первый подход раскрывает информационную функцию отчетов об устойчивом развитии. Отчеты об устойчивом развитии предоставляют уникальную информационную базу для взаимодействия компаний со стейкхолдерами, что позволяет решать многие задачи, в том числе научные</w:t>
      </w:r>
      <w:r w:rsidR="004E3664" w:rsidRPr="004E3664">
        <w:t xml:space="preserve"> [</w:t>
      </w:r>
      <w:r w:rsidR="00EB190F">
        <w:t>15</w:t>
      </w:r>
      <w:r w:rsidR="004E3664" w:rsidRPr="004E3664">
        <w:t>]</w:t>
      </w:r>
      <w:r w:rsidRPr="00A57092">
        <w:t>. Требования к раскрытию информации в отчетах об устойчивом развитии сформированы с ориентацией на интересы стейкхолдеров. Поэтому успешность диалога между компанией и стейкхолдерами определяется качеством раскрытия информации в отчетах об устойчивом развитии. Высокие требования стейкхолдеров обусловлены во многом экологической неустойчивостью и включают необходимость раскрытия практических инициатив в области устойчивого развития</w:t>
      </w:r>
      <w:r w:rsidR="004E3664" w:rsidRPr="00A57092">
        <w:t xml:space="preserve"> [</w:t>
      </w:r>
      <w:r w:rsidR="00EB190F">
        <w:t>11</w:t>
      </w:r>
      <w:r w:rsidR="004E3664" w:rsidRPr="00A57092">
        <w:t>]</w:t>
      </w:r>
      <w:r w:rsidRPr="00A57092">
        <w:t xml:space="preserve">. Таким образом, первый подход заключается в том, что отчеты об устойчивом развитии для компаний рассматриваются как инструмент раскрытия информации перед стейкхолдерами. </w:t>
      </w:r>
    </w:p>
    <w:p w14:paraId="18BCA733" w14:textId="6A6CE425" w:rsidR="00545877" w:rsidRPr="00A57092" w:rsidRDefault="00545877" w:rsidP="00A57092">
      <w:pPr>
        <w:pStyle w:val="ad"/>
        <w:spacing w:line="240" w:lineRule="auto"/>
      </w:pPr>
      <w:r w:rsidRPr="00A57092">
        <w:t>Второй подход раскрывает управленческую функцию отчетов об устойчивом развитии компаний. Данный подход заключается в том, что отчеты об устойчивом развитии рассматриваются в научной литературе как результат работы системы управления устойчивым развитием. Основой системы управления устойчивым развитием является система стратегического менеджмента в компании, которая нацелена на формирование гибкой и адаптивной корпоративной стратегии для решения новых задач по изменению климата</w:t>
      </w:r>
      <w:r w:rsidR="004E3664" w:rsidRPr="00A57092">
        <w:t xml:space="preserve"> [26]</w:t>
      </w:r>
      <w:r w:rsidRPr="00A57092">
        <w:t>. Данная система управления должна опираться на высокий уровень взаимосвязи между ЦУР и стратегическим фокусом компании. Стратегический фокус, с одной стороны, определяет цели, которые компания выбирает в качестве приоритетных, а, с другой стороны, определяет реализуемые практические инструменты для их достижения</w:t>
      </w:r>
      <w:r w:rsidR="004E3664" w:rsidRPr="00A57092">
        <w:t xml:space="preserve"> [</w:t>
      </w:r>
      <w:r w:rsidR="001F575B" w:rsidRPr="00A57092">
        <w:t>1</w:t>
      </w:r>
      <w:r w:rsidR="00EB190F">
        <w:t>, 16</w:t>
      </w:r>
      <w:r w:rsidR="004E3664" w:rsidRPr="00A57092">
        <w:t>]</w:t>
      </w:r>
      <w:r w:rsidRPr="00A57092">
        <w:t>. На стратегическом уровне компании должны заявить о своей ключевой цели и амбициях в области устойчивого развития, а также определить приоритетность наиболее важных ЦУР и задач, на которых следует сосредоточиться. Компании при публикации отчетов получают возможность декларировать свои ценности и вклад в достижение целей устойчивого развития (ЦУР). В контексте необходимости решения климатических задач и внедрения циркулярной экономики компании могут заявлять о приоритетных ЦУР 13 «</w:t>
      </w:r>
      <w:r>
        <w:t>Борьба с климатическими изменениями» и ЦУР 12 «</w:t>
      </w:r>
      <w:r w:rsidRPr="000672DD">
        <w:t>Ответственное потребление и производство»</w:t>
      </w:r>
      <w:r>
        <w:t>.</w:t>
      </w:r>
      <w:r w:rsidRPr="00A57092">
        <w:t xml:space="preserve"> </w:t>
      </w:r>
    </w:p>
    <w:p w14:paraId="18670F12" w14:textId="54F5FA7B" w:rsidR="00545877" w:rsidRDefault="00545877" w:rsidP="00A57092">
      <w:pPr>
        <w:pStyle w:val="ad"/>
        <w:spacing w:line="240" w:lineRule="auto"/>
      </w:pPr>
      <w:r w:rsidRPr="0043426A">
        <w:t>Основная сложность и заключается в том, что при выборе стратегического фокуса системы управления устойчивым развитием компании могут ориентироваться на удовлетворение интересов акционеров компании, для которых важнее всего получение организацией прибыли. Согласно агентской теории, это соответствует классическим представлениям об ответственности компании в первую очередь перед своими акционерами</w:t>
      </w:r>
      <w:r w:rsidR="004E3664" w:rsidRPr="00A57092">
        <w:t xml:space="preserve"> </w:t>
      </w:r>
      <w:r w:rsidR="004E3664" w:rsidRPr="00A57092">
        <w:lastRenderedPageBreak/>
        <w:t>[</w:t>
      </w:r>
      <w:r w:rsidR="00BF2D12">
        <w:t>21</w:t>
      </w:r>
      <w:r w:rsidR="004E3664" w:rsidRPr="00A57092">
        <w:t>]</w:t>
      </w:r>
      <w:r>
        <w:t xml:space="preserve">. </w:t>
      </w:r>
      <w:r w:rsidRPr="0043426A">
        <w:t>В современных условиях компаниям важно демонстрировать достаточный уровень стратегическ</w:t>
      </w:r>
      <w:r>
        <w:t>ой</w:t>
      </w:r>
      <w:r w:rsidRPr="0043426A">
        <w:t xml:space="preserve"> гибкост</w:t>
      </w:r>
      <w:r>
        <w:t>и</w:t>
      </w:r>
      <w:r w:rsidRPr="0043426A">
        <w:t xml:space="preserve"> для повышения своего адаптационного потенциала, позволяющего следовать стратегии устойчивого развития</w:t>
      </w:r>
      <w:r w:rsidR="001F575B">
        <w:t xml:space="preserve"> </w:t>
      </w:r>
      <w:r w:rsidR="001F575B" w:rsidRPr="00A57092">
        <w:t xml:space="preserve"> [</w:t>
      </w:r>
      <w:r w:rsidR="00EB190F">
        <w:t>8</w:t>
      </w:r>
      <w:r w:rsidR="001F575B" w:rsidRPr="00A57092">
        <w:t>]</w:t>
      </w:r>
      <w:r w:rsidRPr="0043426A">
        <w:t xml:space="preserve">, которая </w:t>
      </w:r>
      <w:r>
        <w:t>«</w:t>
      </w:r>
      <w:r w:rsidRPr="0043426A">
        <w:t>помогает им экспериментировать с креативностью, осуществлять более широкий спектр инновационных изменений, мобилизовать ресурсы для альтернативных целей и увеличивать темпы и степень реагирования на изменения окружающей среды</w:t>
      </w:r>
      <w:r>
        <w:t>»</w:t>
      </w:r>
      <w:r w:rsidR="004E3664" w:rsidRPr="004E3664">
        <w:t xml:space="preserve"> [</w:t>
      </w:r>
      <w:r w:rsidR="00EB190F">
        <w:t>17</w:t>
      </w:r>
      <w:r w:rsidR="004E3664" w:rsidRPr="004E3664">
        <w:t>]</w:t>
      </w:r>
      <w:r w:rsidRPr="0043426A">
        <w:t xml:space="preserve">. </w:t>
      </w:r>
      <w:r>
        <w:t>В результате это приводит к тому, что компании по всему миру склонны выбирать и реализовывать те инструменты, которые могут дать быстрый результат и стать очередной привлекательной для акционеров строчкой в отчете, раскрывая инициативы, которые не обеспечивают значимого вклада в достижение ЦУР</w:t>
      </w:r>
      <w:r w:rsidR="004E3664" w:rsidRPr="004E3664">
        <w:t xml:space="preserve"> [</w:t>
      </w:r>
      <w:r w:rsidR="00EB190F">
        <w:t>14</w:t>
      </w:r>
      <w:r w:rsidR="004E3664" w:rsidRPr="004E3664">
        <w:t>]</w:t>
      </w:r>
      <w:r>
        <w:t>.</w:t>
      </w:r>
    </w:p>
    <w:p w14:paraId="1F284D3E" w14:textId="77777777" w:rsidR="00545877" w:rsidRDefault="00545877" w:rsidP="00545877">
      <w:pPr>
        <w:ind w:firstLine="709"/>
        <w:rPr>
          <w:rFonts w:ascii="Times New Roman" w:hAnsi="Times New Roman"/>
          <w:b/>
          <w:bCs/>
          <w:sz w:val="24"/>
          <w:szCs w:val="24"/>
        </w:rPr>
      </w:pPr>
      <w:r w:rsidRPr="006D0446">
        <w:rPr>
          <w:rFonts w:ascii="Times New Roman" w:hAnsi="Times New Roman"/>
          <w:b/>
          <w:bCs/>
          <w:sz w:val="24"/>
          <w:szCs w:val="24"/>
        </w:rPr>
        <w:t>Заключение</w:t>
      </w:r>
    </w:p>
    <w:p w14:paraId="4AA0D2DC" w14:textId="6D92006C" w:rsidR="00541E9B" w:rsidRDefault="006D0446" w:rsidP="004647A4">
      <w:pPr>
        <w:pStyle w:val="ad"/>
        <w:spacing w:line="240" w:lineRule="auto"/>
        <w:rPr>
          <w:color w:val="auto"/>
        </w:rPr>
      </w:pPr>
      <w:r>
        <w:rPr>
          <w:color w:val="auto"/>
        </w:rPr>
        <w:t>У</w:t>
      </w:r>
      <w:r w:rsidR="00541E9B" w:rsidRPr="00C52A73">
        <w:rPr>
          <w:color w:val="auto"/>
        </w:rPr>
        <w:t xml:space="preserve">стойчивое развитие является комплексной и ответственной задачей, выполнение которой зависит от крупных компаний в каждой стране мира. Отчеты по устойчивому развитию компаний выполняют информационную и управленческую функции, с одной стороны, обеспечивая стейкхолдеров информацией о реализации своей ответственности по выполнению </w:t>
      </w:r>
      <w:r w:rsidR="009D5996">
        <w:rPr>
          <w:color w:val="auto"/>
        </w:rPr>
        <w:t>уровня достижения целей устойчивого развития</w:t>
      </w:r>
      <w:r w:rsidR="00541E9B" w:rsidRPr="00C52A73">
        <w:rPr>
          <w:color w:val="auto"/>
        </w:rPr>
        <w:t xml:space="preserve">, а с другой стороны, раскрывая результаты работы системы управления устойчивым развитием компании над вкладом в достижение ЦУР (рисунок). </w:t>
      </w:r>
      <w:r w:rsidR="002B0950">
        <w:rPr>
          <w:color w:val="auto"/>
        </w:rPr>
        <w:t xml:space="preserve">Для обеспечения вклада в реализацию задач, поставленных Правительством РФ, заключающихся в снижении выбросов парниковых газов и переходе на циркулярную экономику, российским компаниям экологически чувствительных секторов промышленности особенно необходимо в системе стратегического управления устойчивым развитием выбирать приоритетными </w:t>
      </w:r>
      <w:r w:rsidR="002B0950" w:rsidRPr="002B0950">
        <w:rPr>
          <w:color w:val="auto"/>
        </w:rPr>
        <w:t>ЦУР 13 «Борьба с климатическими изменениями» и ЦУР 12 «Ответственное потребление и производство»</w:t>
      </w:r>
      <w:r w:rsidR="002B0950">
        <w:rPr>
          <w:color w:val="auto"/>
        </w:rPr>
        <w:t xml:space="preserve">. </w:t>
      </w:r>
      <w:r w:rsidR="00541E9B" w:rsidRPr="00C52A73">
        <w:rPr>
          <w:color w:val="auto"/>
        </w:rPr>
        <w:t>При этом компании каждо</w:t>
      </w:r>
      <w:r w:rsidR="00DC2BFE">
        <w:rPr>
          <w:color w:val="auto"/>
        </w:rPr>
        <w:t>й отрасли экономики</w:t>
      </w:r>
      <w:r w:rsidR="00541E9B" w:rsidRPr="00C52A73">
        <w:rPr>
          <w:color w:val="auto"/>
        </w:rPr>
        <w:t xml:space="preserve"> страны вносят свой особенный </w:t>
      </w:r>
      <w:r w:rsidR="005949C5">
        <w:rPr>
          <w:color w:val="auto"/>
        </w:rPr>
        <w:t>вклад в устойчивое развитие</w:t>
      </w:r>
      <w:r w:rsidR="002B0950">
        <w:rPr>
          <w:color w:val="auto"/>
        </w:rPr>
        <w:t xml:space="preserve"> на региональном, национальном и глобальном уровнях</w:t>
      </w:r>
      <w:r w:rsidR="00541E9B" w:rsidRPr="00C52A73">
        <w:rPr>
          <w:color w:val="auto"/>
        </w:rPr>
        <w:t xml:space="preserve">, изучение </w:t>
      </w:r>
      <w:r w:rsidR="002B0950">
        <w:rPr>
          <w:color w:val="auto"/>
        </w:rPr>
        <w:t xml:space="preserve">и оценка </w:t>
      </w:r>
      <w:r w:rsidR="00541E9B" w:rsidRPr="00C52A73">
        <w:rPr>
          <w:color w:val="auto"/>
        </w:rPr>
        <w:t>которого позволяет определить направления дальнейше</w:t>
      </w:r>
      <w:r w:rsidR="005949C5">
        <w:rPr>
          <w:color w:val="auto"/>
        </w:rPr>
        <w:t>й работы для совершенствования.</w:t>
      </w:r>
    </w:p>
    <w:p w14:paraId="38324A72" w14:textId="77777777" w:rsidR="00331144" w:rsidRPr="009031F9" w:rsidRDefault="00331144" w:rsidP="00331144">
      <w:pPr>
        <w:ind w:firstLine="567"/>
        <w:rPr>
          <w:rFonts w:ascii="Times New Roman" w:hAnsi="Times New Roman"/>
        </w:rPr>
      </w:pPr>
    </w:p>
    <w:p w14:paraId="7C5ECE54" w14:textId="30F85364" w:rsidR="00331144" w:rsidRPr="00501C9D" w:rsidRDefault="00066990" w:rsidP="00066990">
      <w:pPr>
        <w:ind w:firstLine="709"/>
        <w:jc w:val="center"/>
        <w:rPr>
          <w:rFonts w:ascii="Times New Roman" w:hAnsi="Times New Roman"/>
          <w:b/>
          <w:caps/>
          <w:sz w:val="24"/>
          <w:szCs w:val="24"/>
        </w:rPr>
      </w:pPr>
      <w:r w:rsidRPr="00066990">
        <w:rPr>
          <w:rFonts w:ascii="Times New Roman" w:hAnsi="Times New Roman"/>
          <w:b/>
          <w:sz w:val="24"/>
          <w:szCs w:val="24"/>
        </w:rPr>
        <w:t>Литература</w:t>
      </w:r>
    </w:p>
    <w:p w14:paraId="53017004" w14:textId="01AB71F6"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1.</w:t>
      </w:r>
      <w:r w:rsidRPr="00BF2D12">
        <w:rPr>
          <w:rFonts w:ascii="Times New Roman" w:hAnsi="Times New Roman"/>
          <w:sz w:val="24"/>
          <w:szCs w:val="24"/>
        </w:rPr>
        <w:tab/>
        <w:t>Ильинова А.А., Соловьева В.М. Стратегическое планирование и прогнозирование: изменение сущности и роли в условиях нестабильности энергетического сектора // Север и рынок: формирование экономического порядка. - 2021. - Т. 24. - № 2 (72). - С. 56-68.</w:t>
      </w:r>
    </w:p>
    <w:p w14:paraId="793338B8" w14:textId="52652BB0"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2.</w:t>
      </w:r>
      <w:r w:rsidRPr="00BF2D12">
        <w:rPr>
          <w:rFonts w:ascii="Times New Roman" w:hAnsi="Times New Roman"/>
          <w:sz w:val="24"/>
          <w:szCs w:val="24"/>
        </w:rPr>
        <w:tab/>
        <w:t>Новости Росстата</w:t>
      </w:r>
      <w:r>
        <w:rPr>
          <w:rFonts w:ascii="Times New Roman" w:hAnsi="Times New Roman"/>
          <w:sz w:val="24"/>
          <w:szCs w:val="24"/>
        </w:rPr>
        <w:t xml:space="preserve"> / Федеральная служба государственной статистики. </w:t>
      </w:r>
      <w:r>
        <w:rPr>
          <w:rFonts w:ascii="Times New Roman" w:hAnsi="Times New Roman"/>
          <w:sz w:val="24"/>
          <w:szCs w:val="24"/>
          <w:lang w:val="en-US"/>
        </w:rPr>
        <w:t>URL</w:t>
      </w:r>
      <w:r w:rsidRPr="00BF2D12">
        <w:rPr>
          <w:rFonts w:ascii="Times New Roman" w:hAnsi="Times New Roman"/>
          <w:sz w:val="24"/>
          <w:szCs w:val="24"/>
        </w:rPr>
        <w:t xml:space="preserve">: </w:t>
      </w:r>
      <w:r w:rsidR="00561E98" w:rsidRPr="00561E98">
        <w:rPr>
          <w:rFonts w:ascii="Times New Roman" w:hAnsi="Times New Roman"/>
          <w:sz w:val="24"/>
          <w:szCs w:val="24"/>
          <w:lang w:val="en-US"/>
        </w:rPr>
        <w:t>https</w:t>
      </w:r>
      <w:r w:rsidR="00561E98" w:rsidRPr="00561E98">
        <w:rPr>
          <w:rFonts w:ascii="Times New Roman" w:hAnsi="Times New Roman"/>
          <w:sz w:val="24"/>
          <w:szCs w:val="24"/>
        </w:rPr>
        <w:t>://</w:t>
      </w:r>
      <w:r w:rsidR="00561E98" w:rsidRPr="00561E98">
        <w:rPr>
          <w:rFonts w:ascii="Times New Roman" w:hAnsi="Times New Roman"/>
          <w:sz w:val="24"/>
          <w:szCs w:val="24"/>
          <w:lang w:val="en-US"/>
        </w:rPr>
        <w:t>rosstat</w:t>
      </w:r>
      <w:r w:rsidR="00561E98" w:rsidRPr="00561E98">
        <w:rPr>
          <w:rFonts w:ascii="Times New Roman" w:hAnsi="Times New Roman"/>
          <w:sz w:val="24"/>
          <w:szCs w:val="24"/>
        </w:rPr>
        <w:t>.</w:t>
      </w:r>
      <w:r w:rsidR="00561E98" w:rsidRPr="00561E98">
        <w:rPr>
          <w:rFonts w:ascii="Times New Roman" w:hAnsi="Times New Roman"/>
          <w:sz w:val="24"/>
          <w:szCs w:val="24"/>
          <w:lang w:val="en-US"/>
        </w:rPr>
        <w:t>gov</w:t>
      </w:r>
      <w:r w:rsidR="00561E98" w:rsidRPr="00561E98">
        <w:rPr>
          <w:rFonts w:ascii="Times New Roman" w:hAnsi="Times New Roman"/>
          <w:sz w:val="24"/>
          <w:szCs w:val="24"/>
        </w:rPr>
        <w:t>.</w:t>
      </w:r>
      <w:r w:rsidR="00561E98" w:rsidRPr="00561E98">
        <w:rPr>
          <w:rFonts w:ascii="Times New Roman" w:hAnsi="Times New Roman"/>
          <w:sz w:val="24"/>
          <w:szCs w:val="24"/>
          <w:lang w:val="en-US"/>
        </w:rPr>
        <w:t>ru</w:t>
      </w:r>
      <w:r w:rsidR="00561E98" w:rsidRPr="00561E98">
        <w:rPr>
          <w:rFonts w:ascii="Times New Roman" w:hAnsi="Times New Roman"/>
          <w:sz w:val="24"/>
          <w:szCs w:val="24"/>
        </w:rPr>
        <w:t>/</w:t>
      </w:r>
      <w:r w:rsidR="00561E98" w:rsidRPr="00561E98">
        <w:rPr>
          <w:rFonts w:ascii="Times New Roman" w:hAnsi="Times New Roman"/>
          <w:sz w:val="24"/>
          <w:szCs w:val="24"/>
          <w:lang w:val="en-US"/>
        </w:rPr>
        <w:t>folder</w:t>
      </w:r>
      <w:r w:rsidR="00561E98" w:rsidRPr="00561E98">
        <w:rPr>
          <w:rFonts w:ascii="Times New Roman" w:hAnsi="Times New Roman"/>
          <w:sz w:val="24"/>
          <w:szCs w:val="24"/>
        </w:rPr>
        <w:t>/313/</w:t>
      </w:r>
      <w:r w:rsidR="00561E98" w:rsidRPr="00561E98">
        <w:rPr>
          <w:rFonts w:ascii="Times New Roman" w:hAnsi="Times New Roman"/>
          <w:sz w:val="24"/>
          <w:szCs w:val="24"/>
          <w:lang w:val="en-US"/>
        </w:rPr>
        <w:t>document</w:t>
      </w:r>
      <w:r w:rsidR="00561E98" w:rsidRPr="00561E98">
        <w:rPr>
          <w:rFonts w:ascii="Times New Roman" w:hAnsi="Times New Roman"/>
          <w:sz w:val="24"/>
          <w:szCs w:val="24"/>
        </w:rPr>
        <w:t>/174229</w:t>
      </w:r>
      <w:r w:rsidR="00561E98">
        <w:rPr>
          <w:rFonts w:ascii="Times New Roman" w:hAnsi="Times New Roman"/>
          <w:sz w:val="24"/>
          <w:szCs w:val="24"/>
        </w:rPr>
        <w:t xml:space="preserve"> </w:t>
      </w:r>
      <w:r w:rsidR="00561E98" w:rsidRPr="00BF2D12">
        <w:rPr>
          <w:rFonts w:ascii="Times New Roman" w:hAnsi="Times New Roman"/>
          <w:sz w:val="24"/>
          <w:szCs w:val="24"/>
        </w:rPr>
        <w:t>(дата обращения: 09.0</w:t>
      </w:r>
      <w:r w:rsidR="00561E98">
        <w:rPr>
          <w:rFonts w:ascii="Times New Roman" w:hAnsi="Times New Roman"/>
          <w:sz w:val="24"/>
          <w:szCs w:val="24"/>
        </w:rPr>
        <w:t>6</w:t>
      </w:r>
      <w:r w:rsidR="00561E98" w:rsidRPr="00BF2D12">
        <w:rPr>
          <w:rFonts w:ascii="Times New Roman" w:hAnsi="Times New Roman"/>
          <w:sz w:val="24"/>
          <w:szCs w:val="24"/>
        </w:rPr>
        <w:t>.2024)</w:t>
      </w:r>
      <w:r w:rsidRPr="00BF2D12">
        <w:rPr>
          <w:rFonts w:ascii="Times New Roman" w:hAnsi="Times New Roman"/>
          <w:sz w:val="24"/>
          <w:szCs w:val="24"/>
        </w:rPr>
        <w:t>.</w:t>
      </w:r>
    </w:p>
    <w:p w14:paraId="3D13E0EE" w14:textId="17F6E4E8"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3.</w:t>
      </w:r>
      <w:r w:rsidRPr="00BF2D12">
        <w:rPr>
          <w:rFonts w:ascii="Times New Roman" w:hAnsi="Times New Roman"/>
          <w:sz w:val="24"/>
          <w:szCs w:val="24"/>
        </w:rPr>
        <w:tab/>
        <w:t xml:space="preserve">Панасенко Н.Н., Синельщиков А.В., Яковлев П.В. Техногенные риски строительства и эксплуатации нефтегазовых комплексов в акватории Каспийского моря // Вестник Астраханского государственного технического университета. Серия: Морская техника и технология. </w:t>
      </w:r>
      <w:r w:rsidR="005F66E7" w:rsidRPr="005F66E7">
        <w:rPr>
          <w:rFonts w:ascii="Times New Roman" w:hAnsi="Times New Roman"/>
          <w:sz w:val="24"/>
          <w:szCs w:val="24"/>
        </w:rPr>
        <w:t xml:space="preserve">- </w:t>
      </w:r>
      <w:r w:rsidRPr="00BF2D12">
        <w:rPr>
          <w:rFonts w:ascii="Times New Roman" w:hAnsi="Times New Roman"/>
          <w:sz w:val="24"/>
          <w:szCs w:val="24"/>
        </w:rPr>
        <w:t xml:space="preserve">2019. </w:t>
      </w:r>
      <w:r w:rsidR="005F66E7" w:rsidRPr="005F66E7">
        <w:rPr>
          <w:rFonts w:ascii="Times New Roman" w:hAnsi="Times New Roman"/>
          <w:sz w:val="24"/>
          <w:szCs w:val="24"/>
        </w:rPr>
        <w:t xml:space="preserve">- </w:t>
      </w:r>
      <w:r w:rsidRPr="00BF2D12">
        <w:rPr>
          <w:rFonts w:ascii="Times New Roman" w:hAnsi="Times New Roman"/>
          <w:sz w:val="24"/>
          <w:szCs w:val="24"/>
        </w:rPr>
        <w:t xml:space="preserve">№ 4. </w:t>
      </w:r>
      <w:r w:rsidR="005F66E7" w:rsidRPr="005F66E7">
        <w:rPr>
          <w:rFonts w:ascii="Times New Roman" w:hAnsi="Times New Roman"/>
          <w:sz w:val="24"/>
          <w:szCs w:val="24"/>
        </w:rPr>
        <w:t xml:space="preserve">- </w:t>
      </w:r>
      <w:r w:rsidRPr="00BF2D12">
        <w:rPr>
          <w:rFonts w:ascii="Times New Roman" w:hAnsi="Times New Roman"/>
          <w:sz w:val="24"/>
          <w:szCs w:val="24"/>
        </w:rPr>
        <w:t>С. 46-59.</w:t>
      </w:r>
    </w:p>
    <w:p w14:paraId="3EA8EE7E" w14:textId="2D3D9843"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4.</w:t>
      </w:r>
      <w:r w:rsidRPr="00BF2D12">
        <w:rPr>
          <w:rFonts w:ascii="Times New Roman" w:hAnsi="Times New Roman"/>
          <w:sz w:val="24"/>
          <w:szCs w:val="24"/>
        </w:rPr>
        <w:tab/>
        <w:t>Постановление Правительства РФ от 5 октября 2022 г. № 1762 «Об утверждении Правил предоставления из федерального бюджета субсидии в виде имущественного взноса на обеспечение достижения отдельных результатов федерального проекта «Экономика замкнутого цикла»</w:t>
      </w:r>
      <w:r w:rsidR="005F66E7" w:rsidRPr="005F66E7">
        <w:rPr>
          <w:rFonts w:ascii="Times New Roman" w:hAnsi="Times New Roman"/>
          <w:sz w:val="24"/>
          <w:szCs w:val="24"/>
        </w:rPr>
        <w:t xml:space="preserve"> / </w:t>
      </w:r>
      <w:r w:rsidR="005F66E7">
        <w:rPr>
          <w:rFonts w:ascii="Times New Roman" w:hAnsi="Times New Roman"/>
          <w:sz w:val="24"/>
          <w:szCs w:val="24"/>
        </w:rPr>
        <w:t xml:space="preserve">Правительство РФ. </w:t>
      </w:r>
      <w:r w:rsidRPr="00BF2D12">
        <w:rPr>
          <w:rFonts w:ascii="Times New Roman" w:hAnsi="Times New Roman"/>
          <w:sz w:val="24"/>
          <w:szCs w:val="24"/>
          <w:lang w:val="en-US"/>
        </w:rPr>
        <w:t>URL</w:t>
      </w:r>
      <w:r w:rsidRPr="00BF2D12">
        <w:rPr>
          <w:rFonts w:ascii="Times New Roman" w:hAnsi="Times New Roman"/>
          <w:sz w:val="24"/>
          <w:szCs w:val="24"/>
        </w:rPr>
        <w:t xml:space="preserve">: </w:t>
      </w:r>
      <w:r w:rsidRPr="00BF2D12">
        <w:rPr>
          <w:rFonts w:ascii="Times New Roman" w:hAnsi="Times New Roman"/>
          <w:sz w:val="24"/>
          <w:szCs w:val="24"/>
          <w:lang w:val="en-US"/>
        </w:rPr>
        <w:t>https</w:t>
      </w:r>
      <w:r w:rsidRPr="00BF2D12">
        <w:rPr>
          <w:rFonts w:ascii="Times New Roman" w:hAnsi="Times New Roman"/>
          <w:sz w:val="24"/>
          <w:szCs w:val="24"/>
        </w:rPr>
        <w:t>://</w:t>
      </w:r>
      <w:r w:rsidRPr="00BF2D12">
        <w:rPr>
          <w:rFonts w:ascii="Times New Roman" w:hAnsi="Times New Roman"/>
          <w:sz w:val="24"/>
          <w:szCs w:val="24"/>
          <w:lang w:val="en-US"/>
        </w:rPr>
        <w:t>www</w:t>
      </w:r>
      <w:r w:rsidRPr="00BF2D12">
        <w:rPr>
          <w:rFonts w:ascii="Times New Roman" w:hAnsi="Times New Roman"/>
          <w:sz w:val="24"/>
          <w:szCs w:val="24"/>
        </w:rPr>
        <w:t>.</w:t>
      </w:r>
      <w:r w:rsidRPr="00BF2D12">
        <w:rPr>
          <w:rFonts w:ascii="Times New Roman" w:hAnsi="Times New Roman"/>
          <w:sz w:val="24"/>
          <w:szCs w:val="24"/>
          <w:lang w:val="en-US"/>
        </w:rPr>
        <w:t>garant</w:t>
      </w:r>
      <w:r w:rsidRPr="00BF2D12">
        <w:rPr>
          <w:rFonts w:ascii="Times New Roman" w:hAnsi="Times New Roman"/>
          <w:sz w:val="24"/>
          <w:szCs w:val="24"/>
        </w:rPr>
        <w:t>.</w:t>
      </w:r>
      <w:r w:rsidRPr="00BF2D12">
        <w:rPr>
          <w:rFonts w:ascii="Times New Roman" w:hAnsi="Times New Roman"/>
          <w:sz w:val="24"/>
          <w:szCs w:val="24"/>
          <w:lang w:val="en-US"/>
        </w:rPr>
        <w:t>ru</w:t>
      </w:r>
      <w:r w:rsidRPr="00BF2D12">
        <w:rPr>
          <w:rFonts w:ascii="Times New Roman" w:hAnsi="Times New Roman"/>
          <w:sz w:val="24"/>
          <w:szCs w:val="24"/>
        </w:rPr>
        <w:t>/</w:t>
      </w:r>
      <w:r w:rsidRPr="00BF2D12">
        <w:rPr>
          <w:rFonts w:ascii="Times New Roman" w:hAnsi="Times New Roman"/>
          <w:sz w:val="24"/>
          <w:szCs w:val="24"/>
          <w:lang w:val="en-US"/>
        </w:rPr>
        <w:t>products</w:t>
      </w:r>
      <w:r w:rsidRPr="00BF2D12">
        <w:rPr>
          <w:rFonts w:ascii="Times New Roman" w:hAnsi="Times New Roman"/>
          <w:sz w:val="24"/>
          <w:szCs w:val="24"/>
        </w:rPr>
        <w:t>/</w:t>
      </w:r>
      <w:r w:rsidRPr="00BF2D12">
        <w:rPr>
          <w:rFonts w:ascii="Times New Roman" w:hAnsi="Times New Roman"/>
          <w:sz w:val="24"/>
          <w:szCs w:val="24"/>
          <w:lang w:val="en-US"/>
        </w:rPr>
        <w:t>ipo</w:t>
      </w:r>
      <w:r w:rsidRPr="00BF2D12">
        <w:rPr>
          <w:rFonts w:ascii="Times New Roman" w:hAnsi="Times New Roman"/>
          <w:sz w:val="24"/>
          <w:szCs w:val="24"/>
        </w:rPr>
        <w:t>/</w:t>
      </w:r>
      <w:r w:rsidRPr="00BF2D12">
        <w:rPr>
          <w:rFonts w:ascii="Times New Roman" w:hAnsi="Times New Roman"/>
          <w:sz w:val="24"/>
          <w:szCs w:val="24"/>
          <w:lang w:val="en-US"/>
        </w:rPr>
        <w:t>prime</w:t>
      </w:r>
      <w:r w:rsidRPr="00BF2D12">
        <w:rPr>
          <w:rFonts w:ascii="Times New Roman" w:hAnsi="Times New Roman"/>
          <w:sz w:val="24"/>
          <w:szCs w:val="24"/>
        </w:rPr>
        <w:t>/</w:t>
      </w:r>
      <w:r w:rsidRPr="00BF2D12">
        <w:rPr>
          <w:rFonts w:ascii="Times New Roman" w:hAnsi="Times New Roman"/>
          <w:sz w:val="24"/>
          <w:szCs w:val="24"/>
          <w:lang w:val="en-US"/>
        </w:rPr>
        <w:t>doc</w:t>
      </w:r>
      <w:r w:rsidRPr="00BF2D12">
        <w:rPr>
          <w:rFonts w:ascii="Times New Roman" w:hAnsi="Times New Roman"/>
          <w:sz w:val="24"/>
          <w:szCs w:val="24"/>
        </w:rPr>
        <w:t>/405287109/ (дата обращения: 09.09.2024).</w:t>
      </w:r>
    </w:p>
    <w:p w14:paraId="71D21E0E" w14:textId="1E992A07"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5.</w:t>
      </w:r>
      <w:r w:rsidRPr="00BF2D12">
        <w:rPr>
          <w:rFonts w:ascii="Times New Roman" w:hAnsi="Times New Roman"/>
          <w:sz w:val="24"/>
          <w:szCs w:val="24"/>
        </w:rPr>
        <w:tab/>
        <w:t>Распоряжение Правительства РФ от 29.10.2021 г. №3052-р «Стратегия социально-экономического развития Российской Федерации с низким уровнем выбросов парниковых газов до 2050 года»</w:t>
      </w:r>
      <w:r w:rsidR="00561E98" w:rsidRPr="00561E98">
        <w:rPr>
          <w:rFonts w:ascii="Times New Roman" w:hAnsi="Times New Roman"/>
          <w:sz w:val="24"/>
          <w:szCs w:val="24"/>
        </w:rPr>
        <w:t xml:space="preserve"> </w:t>
      </w:r>
      <w:r w:rsidR="00561E98" w:rsidRPr="005F66E7">
        <w:rPr>
          <w:rFonts w:ascii="Times New Roman" w:hAnsi="Times New Roman"/>
          <w:sz w:val="24"/>
          <w:szCs w:val="24"/>
        </w:rPr>
        <w:t>/</w:t>
      </w:r>
      <w:r w:rsidR="00561E98" w:rsidRPr="00561E98">
        <w:rPr>
          <w:rFonts w:ascii="Times New Roman" w:hAnsi="Times New Roman"/>
          <w:sz w:val="24"/>
          <w:szCs w:val="24"/>
        </w:rPr>
        <w:t xml:space="preserve"> </w:t>
      </w:r>
      <w:r w:rsidR="00561E98">
        <w:rPr>
          <w:rFonts w:ascii="Times New Roman" w:hAnsi="Times New Roman"/>
          <w:sz w:val="24"/>
          <w:szCs w:val="24"/>
        </w:rPr>
        <w:t xml:space="preserve">Правительство РФ. </w:t>
      </w:r>
      <w:r w:rsidRPr="00BF2D12">
        <w:rPr>
          <w:rFonts w:ascii="Times New Roman" w:hAnsi="Times New Roman"/>
          <w:sz w:val="24"/>
          <w:szCs w:val="24"/>
          <w:lang w:val="en-US"/>
        </w:rPr>
        <w:t>URL</w:t>
      </w:r>
      <w:r w:rsidRPr="00BF2D12">
        <w:rPr>
          <w:rFonts w:ascii="Times New Roman" w:hAnsi="Times New Roman"/>
          <w:sz w:val="24"/>
          <w:szCs w:val="24"/>
        </w:rPr>
        <w:t xml:space="preserve">: </w:t>
      </w:r>
      <w:r w:rsidRPr="00BF2D12">
        <w:rPr>
          <w:rFonts w:ascii="Times New Roman" w:hAnsi="Times New Roman"/>
          <w:sz w:val="24"/>
          <w:szCs w:val="24"/>
          <w:lang w:val="en-US"/>
        </w:rPr>
        <w:t>http</w:t>
      </w:r>
      <w:r w:rsidRPr="00BF2D12">
        <w:rPr>
          <w:rFonts w:ascii="Times New Roman" w:hAnsi="Times New Roman"/>
          <w:sz w:val="24"/>
          <w:szCs w:val="24"/>
        </w:rPr>
        <w:t>://</w:t>
      </w:r>
      <w:r w:rsidRPr="00BF2D12">
        <w:rPr>
          <w:rFonts w:ascii="Times New Roman" w:hAnsi="Times New Roman"/>
          <w:sz w:val="24"/>
          <w:szCs w:val="24"/>
          <w:lang w:val="en-US"/>
        </w:rPr>
        <w:t>static</w:t>
      </w:r>
      <w:r w:rsidRPr="00BF2D12">
        <w:rPr>
          <w:rFonts w:ascii="Times New Roman" w:hAnsi="Times New Roman"/>
          <w:sz w:val="24"/>
          <w:szCs w:val="24"/>
        </w:rPr>
        <w:t>.</w:t>
      </w:r>
      <w:r w:rsidRPr="00BF2D12">
        <w:rPr>
          <w:rFonts w:ascii="Times New Roman" w:hAnsi="Times New Roman"/>
          <w:sz w:val="24"/>
          <w:szCs w:val="24"/>
          <w:lang w:val="en-US"/>
        </w:rPr>
        <w:t>government</w:t>
      </w:r>
      <w:r w:rsidRPr="00BF2D12">
        <w:rPr>
          <w:rFonts w:ascii="Times New Roman" w:hAnsi="Times New Roman"/>
          <w:sz w:val="24"/>
          <w:szCs w:val="24"/>
        </w:rPr>
        <w:t>.</w:t>
      </w:r>
      <w:r w:rsidRPr="00BF2D12">
        <w:rPr>
          <w:rFonts w:ascii="Times New Roman" w:hAnsi="Times New Roman"/>
          <w:sz w:val="24"/>
          <w:szCs w:val="24"/>
          <w:lang w:val="en-US"/>
        </w:rPr>
        <w:t>ru</w:t>
      </w:r>
      <w:r w:rsidRPr="00BF2D12">
        <w:rPr>
          <w:rFonts w:ascii="Times New Roman" w:hAnsi="Times New Roman"/>
          <w:sz w:val="24"/>
          <w:szCs w:val="24"/>
        </w:rPr>
        <w:t>/</w:t>
      </w:r>
      <w:r w:rsidRPr="00BF2D12">
        <w:rPr>
          <w:rFonts w:ascii="Times New Roman" w:hAnsi="Times New Roman"/>
          <w:sz w:val="24"/>
          <w:szCs w:val="24"/>
          <w:lang w:val="en-US"/>
        </w:rPr>
        <w:t>media</w:t>
      </w:r>
      <w:r w:rsidRPr="00BF2D12">
        <w:rPr>
          <w:rFonts w:ascii="Times New Roman" w:hAnsi="Times New Roman"/>
          <w:sz w:val="24"/>
          <w:szCs w:val="24"/>
        </w:rPr>
        <w:t>/</w:t>
      </w:r>
      <w:r w:rsidRPr="00BF2D12">
        <w:rPr>
          <w:rFonts w:ascii="Times New Roman" w:hAnsi="Times New Roman"/>
          <w:sz w:val="24"/>
          <w:szCs w:val="24"/>
          <w:lang w:val="en-US"/>
        </w:rPr>
        <w:t>files</w:t>
      </w:r>
      <w:r w:rsidRPr="00BF2D12">
        <w:rPr>
          <w:rFonts w:ascii="Times New Roman" w:hAnsi="Times New Roman"/>
          <w:sz w:val="24"/>
          <w:szCs w:val="24"/>
        </w:rPr>
        <w:t>/</w:t>
      </w:r>
      <w:r w:rsidRPr="00BF2D12">
        <w:rPr>
          <w:rFonts w:ascii="Times New Roman" w:hAnsi="Times New Roman"/>
          <w:sz w:val="24"/>
          <w:szCs w:val="24"/>
          <w:lang w:val="en-US"/>
        </w:rPr>
        <w:t>ADKkCzp</w:t>
      </w:r>
      <w:r w:rsidRPr="00BF2D12">
        <w:rPr>
          <w:rFonts w:ascii="Times New Roman" w:hAnsi="Times New Roman"/>
          <w:sz w:val="24"/>
          <w:szCs w:val="24"/>
        </w:rPr>
        <w:t>3</w:t>
      </w:r>
      <w:r w:rsidRPr="00BF2D12">
        <w:rPr>
          <w:rFonts w:ascii="Times New Roman" w:hAnsi="Times New Roman"/>
          <w:sz w:val="24"/>
          <w:szCs w:val="24"/>
          <w:lang w:val="en-US"/>
        </w:rPr>
        <w:t>fWO</w:t>
      </w:r>
      <w:r w:rsidRPr="00BF2D12">
        <w:rPr>
          <w:rFonts w:ascii="Times New Roman" w:hAnsi="Times New Roman"/>
          <w:sz w:val="24"/>
          <w:szCs w:val="24"/>
        </w:rPr>
        <w:t>32</w:t>
      </w:r>
      <w:r w:rsidRPr="00BF2D12">
        <w:rPr>
          <w:rFonts w:ascii="Times New Roman" w:hAnsi="Times New Roman"/>
          <w:sz w:val="24"/>
          <w:szCs w:val="24"/>
          <w:lang w:val="en-US"/>
        </w:rPr>
        <w:t>e</w:t>
      </w:r>
      <w:r w:rsidRPr="00BF2D12">
        <w:rPr>
          <w:rFonts w:ascii="Times New Roman" w:hAnsi="Times New Roman"/>
          <w:sz w:val="24"/>
          <w:szCs w:val="24"/>
        </w:rPr>
        <w:t>2</w:t>
      </w:r>
      <w:r w:rsidRPr="00BF2D12">
        <w:rPr>
          <w:rFonts w:ascii="Times New Roman" w:hAnsi="Times New Roman"/>
          <w:sz w:val="24"/>
          <w:szCs w:val="24"/>
          <w:lang w:val="en-US"/>
        </w:rPr>
        <w:t>yA</w:t>
      </w:r>
      <w:r w:rsidRPr="00BF2D12">
        <w:rPr>
          <w:rFonts w:ascii="Times New Roman" w:hAnsi="Times New Roman"/>
          <w:sz w:val="24"/>
          <w:szCs w:val="24"/>
        </w:rPr>
        <w:t>0</w:t>
      </w:r>
      <w:r w:rsidRPr="00BF2D12">
        <w:rPr>
          <w:rFonts w:ascii="Times New Roman" w:hAnsi="Times New Roman"/>
          <w:sz w:val="24"/>
          <w:szCs w:val="24"/>
          <w:lang w:val="en-US"/>
        </w:rPr>
        <w:t>BhtIpyzWfHaiUa</w:t>
      </w:r>
      <w:r w:rsidRPr="00BF2D12">
        <w:rPr>
          <w:rFonts w:ascii="Times New Roman" w:hAnsi="Times New Roman"/>
          <w:sz w:val="24"/>
          <w:szCs w:val="24"/>
        </w:rPr>
        <w:t>.</w:t>
      </w:r>
      <w:r w:rsidRPr="00BF2D12">
        <w:rPr>
          <w:rFonts w:ascii="Times New Roman" w:hAnsi="Times New Roman"/>
          <w:sz w:val="24"/>
          <w:szCs w:val="24"/>
          <w:lang w:val="en-US"/>
        </w:rPr>
        <w:t>pdf</w:t>
      </w:r>
      <w:r w:rsidRPr="00BF2D12">
        <w:rPr>
          <w:rFonts w:ascii="Times New Roman" w:hAnsi="Times New Roman"/>
          <w:sz w:val="24"/>
          <w:szCs w:val="24"/>
        </w:rPr>
        <w:t xml:space="preserve"> (дата обращения: 09.09.2024).</w:t>
      </w:r>
    </w:p>
    <w:p w14:paraId="2E18414A" w14:textId="77777777" w:rsidR="00561E98" w:rsidRPr="00BF2D12" w:rsidRDefault="00BF2D12" w:rsidP="00561E98">
      <w:pPr>
        <w:pStyle w:val="a3"/>
        <w:ind w:left="0" w:firstLine="709"/>
        <w:rPr>
          <w:rFonts w:ascii="Times New Roman" w:hAnsi="Times New Roman"/>
          <w:sz w:val="24"/>
          <w:szCs w:val="24"/>
        </w:rPr>
      </w:pPr>
      <w:r w:rsidRPr="00BF2D12">
        <w:rPr>
          <w:rFonts w:ascii="Times New Roman" w:hAnsi="Times New Roman"/>
          <w:sz w:val="24"/>
          <w:szCs w:val="24"/>
        </w:rPr>
        <w:t>6.</w:t>
      </w:r>
      <w:r w:rsidRPr="00BF2D12">
        <w:rPr>
          <w:rFonts w:ascii="Times New Roman" w:hAnsi="Times New Roman"/>
          <w:sz w:val="24"/>
          <w:szCs w:val="24"/>
        </w:rPr>
        <w:tab/>
        <w:t xml:space="preserve">Российский союз промышленников и предпринимателей. </w:t>
      </w:r>
      <w:r w:rsidR="00561E98" w:rsidRPr="00BF2D12">
        <w:rPr>
          <w:rFonts w:ascii="Times New Roman" w:hAnsi="Times New Roman"/>
          <w:sz w:val="24"/>
          <w:szCs w:val="24"/>
          <w:lang w:val="en-US"/>
        </w:rPr>
        <w:t>URL</w:t>
      </w:r>
      <w:r w:rsidR="00561E98" w:rsidRPr="00BF2D12">
        <w:rPr>
          <w:rFonts w:ascii="Times New Roman" w:hAnsi="Times New Roman"/>
          <w:sz w:val="24"/>
          <w:szCs w:val="24"/>
        </w:rPr>
        <w:t>:</w:t>
      </w:r>
      <w:r w:rsidR="00561E98">
        <w:rPr>
          <w:rFonts w:ascii="Times New Roman" w:hAnsi="Times New Roman"/>
          <w:sz w:val="24"/>
          <w:szCs w:val="24"/>
        </w:rPr>
        <w:t xml:space="preserve"> </w:t>
      </w:r>
      <w:r w:rsidRPr="00BF2D12">
        <w:rPr>
          <w:rFonts w:ascii="Times New Roman" w:hAnsi="Times New Roman"/>
          <w:sz w:val="24"/>
          <w:szCs w:val="24"/>
          <w:lang w:val="en-US"/>
        </w:rPr>
        <w:t>https</w:t>
      </w:r>
      <w:r w:rsidRPr="00BF2D12">
        <w:rPr>
          <w:rFonts w:ascii="Times New Roman" w:hAnsi="Times New Roman"/>
          <w:sz w:val="24"/>
          <w:szCs w:val="24"/>
        </w:rPr>
        <w:t>://</w:t>
      </w:r>
      <w:r w:rsidRPr="00BF2D12">
        <w:rPr>
          <w:rFonts w:ascii="Times New Roman" w:hAnsi="Times New Roman"/>
          <w:sz w:val="24"/>
          <w:szCs w:val="24"/>
          <w:lang w:val="en-US"/>
        </w:rPr>
        <w:t>rspp</w:t>
      </w:r>
      <w:r w:rsidRPr="00BF2D12">
        <w:rPr>
          <w:rFonts w:ascii="Times New Roman" w:hAnsi="Times New Roman"/>
          <w:sz w:val="24"/>
          <w:szCs w:val="24"/>
        </w:rPr>
        <w:t>.</w:t>
      </w:r>
      <w:r w:rsidRPr="00BF2D12">
        <w:rPr>
          <w:rFonts w:ascii="Times New Roman" w:hAnsi="Times New Roman"/>
          <w:sz w:val="24"/>
          <w:szCs w:val="24"/>
          <w:lang w:val="en-US"/>
        </w:rPr>
        <w:t>ru</w:t>
      </w:r>
      <w:r w:rsidRPr="00BF2D12">
        <w:rPr>
          <w:rFonts w:ascii="Times New Roman" w:hAnsi="Times New Roman"/>
          <w:sz w:val="24"/>
          <w:szCs w:val="24"/>
        </w:rPr>
        <w:t>/</w:t>
      </w:r>
      <w:r w:rsidR="00561E98" w:rsidRPr="00BF2D12">
        <w:rPr>
          <w:rFonts w:ascii="Times New Roman" w:hAnsi="Times New Roman"/>
          <w:sz w:val="24"/>
          <w:szCs w:val="24"/>
        </w:rPr>
        <w:t>(дата обращения: 09.09.2024).</w:t>
      </w:r>
    </w:p>
    <w:p w14:paraId="09D774C2" w14:textId="64899C5C"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t>7.</w:t>
      </w:r>
      <w:r w:rsidRPr="00BF2D12">
        <w:rPr>
          <w:rFonts w:ascii="Times New Roman" w:hAnsi="Times New Roman"/>
          <w:sz w:val="24"/>
          <w:szCs w:val="24"/>
        </w:rPr>
        <w:tab/>
        <w:t>Указ Президента Российской Федерации от 01.04.1996 г. № 440. О Концепции перехода Российской Федерации к устойчивому развитию</w:t>
      </w:r>
      <w:r w:rsidR="00561E98" w:rsidRPr="00BF2D12">
        <w:rPr>
          <w:rFonts w:ascii="Times New Roman" w:hAnsi="Times New Roman"/>
          <w:sz w:val="24"/>
          <w:szCs w:val="24"/>
        </w:rPr>
        <w:t xml:space="preserve">. </w:t>
      </w:r>
      <w:r w:rsidR="00561E98" w:rsidRPr="00BF2D12">
        <w:rPr>
          <w:rFonts w:ascii="Times New Roman" w:hAnsi="Times New Roman"/>
          <w:sz w:val="24"/>
          <w:szCs w:val="24"/>
          <w:lang w:val="en-US"/>
        </w:rPr>
        <w:t>URL</w:t>
      </w:r>
      <w:r w:rsidR="00561E98" w:rsidRPr="00BF2D12">
        <w:rPr>
          <w:rFonts w:ascii="Times New Roman" w:hAnsi="Times New Roman"/>
          <w:sz w:val="24"/>
          <w:szCs w:val="24"/>
        </w:rPr>
        <w:t>:</w:t>
      </w:r>
      <w:r w:rsidR="00561E98">
        <w:rPr>
          <w:rFonts w:ascii="Times New Roman" w:hAnsi="Times New Roman"/>
          <w:sz w:val="24"/>
          <w:szCs w:val="24"/>
        </w:rPr>
        <w:t xml:space="preserve"> </w:t>
      </w:r>
      <w:r w:rsidR="00561E98" w:rsidRPr="00561E98">
        <w:rPr>
          <w:rFonts w:ascii="Times New Roman" w:hAnsi="Times New Roman"/>
          <w:sz w:val="24"/>
          <w:szCs w:val="24"/>
          <w:lang w:val="en-US"/>
        </w:rPr>
        <w:t>http</w:t>
      </w:r>
      <w:r w:rsidR="00561E98" w:rsidRPr="00561E98">
        <w:rPr>
          <w:rFonts w:ascii="Times New Roman" w:hAnsi="Times New Roman"/>
          <w:sz w:val="24"/>
          <w:szCs w:val="24"/>
        </w:rPr>
        <w:t>://</w:t>
      </w:r>
      <w:r w:rsidR="00561E98" w:rsidRPr="00561E98">
        <w:rPr>
          <w:rFonts w:ascii="Times New Roman" w:hAnsi="Times New Roman"/>
          <w:sz w:val="24"/>
          <w:szCs w:val="24"/>
          <w:lang w:val="en-US"/>
        </w:rPr>
        <w:t>www</w:t>
      </w:r>
      <w:r w:rsidR="00561E98" w:rsidRPr="00561E98">
        <w:rPr>
          <w:rFonts w:ascii="Times New Roman" w:hAnsi="Times New Roman"/>
          <w:sz w:val="24"/>
          <w:szCs w:val="24"/>
        </w:rPr>
        <w:t>.</w:t>
      </w:r>
      <w:r w:rsidR="00561E98" w:rsidRPr="00561E98">
        <w:rPr>
          <w:rFonts w:ascii="Times New Roman" w:hAnsi="Times New Roman"/>
          <w:sz w:val="24"/>
          <w:szCs w:val="24"/>
          <w:lang w:val="en-US"/>
        </w:rPr>
        <w:t>kremlin</w:t>
      </w:r>
      <w:r w:rsidR="00561E98" w:rsidRPr="00561E98">
        <w:rPr>
          <w:rFonts w:ascii="Times New Roman" w:hAnsi="Times New Roman"/>
          <w:sz w:val="24"/>
          <w:szCs w:val="24"/>
        </w:rPr>
        <w:t>.</w:t>
      </w:r>
      <w:r w:rsidR="00561E98" w:rsidRPr="00561E98">
        <w:rPr>
          <w:rFonts w:ascii="Times New Roman" w:hAnsi="Times New Roman"/>
          <w:sz w:val="24"/>
          <w:szCs w:val="24"/>
          <w:lang w:val="en-US"/>
        </w:rPr>
        <w:t>ru</w:t>
      </w:r>
      <w:r w:rsidR="00561E98" w:rsidRPr="00561E98">
        <w:rPr>
          <w:rFonts w:ascii="Times New Roman" w:hAnsi="Times New Roman"/>
          <w:sz w:val="24"/>
          <w:szCs w:val="24"/>
        </w:rPr>
        <w:t>/</w:t>
      </w:r>
      <w:r w:rsidR="00561E98" w:rsidRPr="00561E98">
        <w:rPr>
          <w:rFonts w:ascii="Times New Roman" w:hAnsi="Times New Roman"/>
          <w:sz w:val="24"/>
          <w:szCs w:val="24"/>
          <w:lang w:val="en-US"/>
        </w:rPr>
        <w:t>acts</w:t>
      </w:r>
      <w:r w:rsidR="00561E98" w:rsidRPr="00561E98">
        <w:rPr>
          <w:rFonts w:ascii="Times New Roman" w:hAnsi="Times New Roman"/>
          <w:sz w:val="24"/>
          <w:szCs w:val="24"/>
        </w:rPr>
        <w:t>/</w:t>
      </w:r>
      <w:r w:rsidR="00561E98" w:rsidRPr="00561E98">
        <w:rPr>
          <w:rFonts w:ascii="Times New Roman" w:hAnsi="Times New Roman"/>
          <w:sz w:val="24"/>
          <w:szCs w:val="24"/>
          <w:lang w:val="en-US"/>
        </w:rPr>
        <w:t>bank</w:t>
      </w:r>
      <w:r w:rsidR="00561E98" w:rsidRPr="00561E98">
        <w:rPr>
          <w:rFonts w:ascii="Times New Roman" w:hAnsi="Times New Roman"/>
          <w:sz w:val="24"/>
          <w:szCs w:val="24"/>
        </w:rPr>
        <w:t>/9120</w:t>
      </w:r>
      <w:r w:rsidR="00561E98">
        <w:rPr>
          <w:rFonts w:ascii="Times New Roman" w:hAnsi="Times New Roman"/>
          <w:sz w:val="24"/>
          <w:szCs w:val="24"/>
        </w:rPr>
        <w:t xml:space="preserve"> </w:t>
      </w:r>
      <w:r w:rsidR="00561E98" w:rsidRPr="00BF2D12">
        <w:rPr>
          <w:rFonts w:ascii="Times New Roman" w:hAnsi="Times New Roman"/>
          <w:sz w:val="24"/>
          <w:szCs w:val="24"/>
        </w:rPr>
        <w:t>(дата обращения: 09.09.2024).</w:t>
      </w:r>
    </w:p>
    <w:p w14:paraId="29A6F69E" w14:textId="6BB4B9BD" w:rsidR="00BF2D12" w:rsidRPr="00BF2D12" w:rsidRDefault="00BF2D12" w:rsidP="00BF2D12">
      <w:pPr>
        <w:pStyle w:val="a3"/>
        <w:ind w:left="0" w:firstLine="709"/>
        <w:rPr>
          <w:rFonts w:ascii="Times New Roman" w:hAnsi="Times New Roman"/>
          <w:sz w:val="24"/>
          <w:szCs w:val="24"/>
        </w:rPr>
      </w:pPr>
      <w:r w:rsidRPr="00BF2D12">
        <w:rPr>
          <w:rFonts w:ascii="Times New Roman" w:hAnsi="Times New Roman"/>
          <w:sz w:val="24"/>
          <w:szCs w:val="24"/>
        </w:rPr>
        <w:lastRenderedPageBreak/>
        <w:t>8.</w:t>
      </w:r>
      <w:r w:rsidRPr="00BF2D12">
        <w:rPr>
          <w:rFonts w:ascii="Times New Roman" w:hAnsi="Times New Roman"/>
          <w:sz w:val="24"/>
          <w:szCs w:val="24"/>
        </w:rPr>
        <w:tab/>
        <w:t>Череповицын А.Е., Смирнова Н.В., Пикалова Т.А. Концептуальное видение стратегии инновационного развития топливно-энергетического комплекса // Экономика и предпринимательство. - 2014. - № 12 (53). - С. 111-118.</w:t>
      </w:r>
    </w:p>
    <w:p w14:paraId="054FD176" w14:textId="456ADD77" w:rsidR="00BF2D12" w:rsidRPr="00676349"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9.</w:t>
      </w:r>
      <w:r w:rsidRPr="00BF2D12">
        <w:rPr>
          <w:rFonts w:ascii="Times New Roman" w:hAnsi="Times New Roman"/>
          <w:sz w:val="24"/>
          <w:szCs w:val="24"/>
          <w:lang w:val="en-US"/>
        </w:rPr>
        <w:tab/>
        <w:t xml:space="preserve"> Aggarwal, P.; Singh, A.K. CSR and Sustainability Reporting Practices in India: An in-depth Content Analysis of Top-listed Companies</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 xml:space="preserve">Soc. Responsib. J. </w:t>
      </w:r>
      <w:r w:rsidR="00561E98" w:rsidRPr="00676349">
        <w:rPr>
          <w:rFonts w:ascii="Times New Roman" w:hAnsi="Times New Roman"/>
          <w:sz w:val="24"/>
          <w:szCs w:val="24"/>
          <w:lang w:val="en-US"/>
        </w:rPr>
        <w:t xml:space="preserve">– </w:t>
      </w:r>
      <w:r w:rsidRPr="00BF2D12">
        <w:rPr>
          <w:rFonts w:ascii="Times New Roman" w:hAnsi="Times New Roman"/>
          <w:sz w:val="24"/>
          <w:szCs w:val="24"/>
          <w:lang w:val="en-US"/>
        </w:rPr>
        <w:t>2019</w:t>
      </w:r>
      <w:r w:rsidR="00561E98" w:rsidRPr="00676349">
        <w:rPr>
          <w:rFonts w:ascii="Times New Roman" w:hAnsi="Times New Roman"/>
          <w:sz w:val="24"/>
          <w:szCs w:val="24"/>
          <w:lang w:val="en-US"/>
        </w:rPr>
        <w:t>. –</w:t>
      </w:r>
      <w:r w:rsidRPr="00BF2D12">
        <w:rPr>
          <w:rFonts w:ascii="Times New Roman" w:hAnsi="Times New Roman"/>
          <w:sz w:val="24"/>
          <w:szCs w:val="24"/>
          <w:lang w:val="en-US"/>
        </w:rPr>
        <w:t xml:space="preserve"> 15</w:t>
      </w:r>
      <w:r w:rsidR="00561E98" w:rsidRPr="00676349">
        <w:rPr>
          <w:rFonts w:ascii="Times New Roman" w:hAnsi="Times New Roman"/>
          <w:sz w:val="24"/>
          <w:szCs w:val="24"/>
          <w:lang w:val="en-US"/>
        </w:rPr>
        <w:t>.-</w:t>
      </w:r>
      <w:r w:rsidRPr="00BF2D12">
        <w:rPr>
          <w:rFonts w:ascii="Times New Roman" w:hAnsi="Times New Roman"/>
          <w:sz w:val="24"/>
          <w:szCs w:val="24"/>
          <w:lang w:val="en-US"/>
        </w:rPr>
        <w:t>1033–1053.</w:t>
      </w:r>
    </w:p>
    <w:p w14:paraId="622348F9" w14:textId="28A8C2B3"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10.</w:t>
      </w:r>
      <w:r w:rsidRPr="00BF2D12">
        <w:rPr>
          <w:rFonts w:ascii="Times New Roman" w:hAnsi="Times New Roman"/>
          <w:sz w:val="24"/>
          <w:szCs w:val="24"/>
          <w:lang w:val="en-US"/>
        </w:rPr>
        <w:tab/>
        <w:t>Alazzani A., Nordin Wan-Hussin W. Global Reporting Initiative’s environmental reporting: A study of oil and gas companies</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 xml:space="preserve"> Ecological Indicators</w:t>
      </w:r>
      <w:r w:rsidR="00676349" w:rsidRPr="00676349">
        <w:rPr>
          <w:rFonts w:ascii="Times New Roman" w:hAnsi="Times New Roman"/>
          <w:sz w:val="24"/>
          <w:szCs w:val="24"/>
          <w:lang w:val="en-US"/>
        </w:rPr>
        <w:t xml:space="preserve">. – </w:t>
      </w:r>
      <w:r w:rsidR="00676349" w:rsidRPr="00BF2D12">
        <w:rPr>
          <w:rFonts w:ascii="Times New Roman" w:hAnsi="Times New Roman"/>
          <w:sz w:val="24"/>
          <w:szCs w:val="24"/>
          <w:lang w:val="en-US"/>
        </w:rPr>
        <w:t>2013</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32</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19–24.</w:t>
      </w:r>
    </w:p>
    <w:p w14:paraId="7EB35FA1" w14:textId="680D67EC" w:rsidR="00BF2D12" w:rsidRPr="00676349"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11.</w:t>
      </w:r>
      <w:r w:rsidRPr="00BF2D12">
        <w:rPr>
          <w:rFonts w:ascii="Times New Roman" w:hAnsi="Times New Roman"/>
          <w:sz w:val="24"/>
          <w:szCs w:val="24"/>
          <w:lang w:val="en-US"/>
        </w:rPr>
        <w:tab/>
        <w:t>Anholon, R., Quelhas, O.L.G., Leal Filho, W., de Souza Pinto, J., Feher, A. Assessing corporate social responsibility concepts used by a Brazilian manufacturer of airplanes: a case study at Embraer</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 xml:space="preserve"> J. Clean. Prod. </w:t>
      </w:r>
      <w:r w:rsidR="00676349" w:rsidRPr="00BF2D12">
        <w:rPr>
          <w:rFonts w:ascii="Times New Roman" w:hAnsi="Times New Roman"/>
          <w:sz w:val="24"/>
          <w:szCs w:val="24"/>
          <w:lang w:val="en-US"/>
        </w:rPr>
        <w:t>2016</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135</w:t>
      </w:r>
      <w:r w:rsidR="00676349" w:rsidRPr="00676349">
        <w:rPr>
          <w:rFonts w:ascii="Times New Roman" w:hAnsi="Times New Roman"/>
          <w:sz w:val="24"/>
          <w:szCs w:val="24"/>
          <w:lang w:val="en-US"/>
        </w:rPr>
        <w:t xml:space="preserve">. - </w:t>
      </w:r>
      <w:r w:rsidRPr="00BF2D12">
        <w:rPr>
          <w:rFonts w:ascii="Times New Roman" w:hAnsi="Times New Roman"/>
          <w:sz w:val="24"/>
          <w:szCs w:val="24"/>
          <w:lang w:val="en-US"/>
        </w:rPr>
        <w:t>740–749</w:t>
      </w:r>
      <w:r w:rsidR="00676349" w:rsidRPr="00676349">
        <w:rPr>
          <w:rFonts w:ascii="Times New Roman" w:hAnsi="Times New Roman"/>
          <w:sz w:val="24"/>
          <w:szCs w:val="24"/>
          <w:lang w:val="en-US"/>
        </w:rPr>
        <w:t>.</w:t>
      </w:r>
    </w:p>
    <w:p w14:paraId="4268A843" w14:textId="5045FF97"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12.</w:t>
      </w:r>
      <w:r w:rsidRPr="00BF2D12">
        <w:rPr>
          <w:rFonts w:ascii="Times New Roman" w:hAnsi="Times New Roman"/>
          <w:sz w:val="24"/>
          <w:szCs w:val="24"/>
          <w:lang w:val="en-US"/>
        </w:rPr>
        <w:tab/>
        <w:t>Bhatia, A.; Tuli, S. Sustainability Reporting Practices in US and UK: An empirical comparison</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 xml:space="preserve"> Int. J. Law Manag. </w:t>
      </w:r>
      <w:r w:rsidR="00676349">
        <w:rPr>
          <w:rFonts w:ascii="Times New Roman" w:hAnsi="Times New Roman"/>
          <w:sz w:val="24"/>
          <w:szCs w:val="24"/>
          <w:lang w:val="en-US"/>
        </w:rPr>
        <w:t>–</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2018</w:t>
      </w:r>
      <w:r w:rsidR="00676349" w:rsidRPr="00676349">
        <w:rPr>
          <w:rFonts w:ascii="Times New Roman" w:hAnsi="Times New Roman"/>
          <w:sz w:val="24"/>
          <w:szCs w:val="24"/>
          <w:lang w:val="en-US"/>
        </w:rPr>
        <w:t xml:space="preserve">. </w:t>
      </w:r>
      <w:r w:rsidR="00676349">
        <w:rPr>
          <w:rFonts w:ascii="Times New Roman" w:hAnsi="Times New Roman"/>
          <w:sz w:val="24"/>
          <w:szCs w:val="24"/>
          <w:lang w:val="en-US"/>
        </w:rPr>
        <w:t>–</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60</w:t>
      </w:r>
      <w:r w:rsidR="00676349" w:rsidRPr="00676349">
        <w:rPr>
          <w:rFonts w:ascii="Times New Roman" w:hAnsi="Times New Roman"/>
          <w:sz w:val="24"/>
          <w:szCs w:val="24"/>
          <w:lang w:val="en-US"/>
        </w:rPr>
        <w:t>. -</w:t>
      </w:r>
      <w:r w:rsidRPr="00BF2D12">
        <w:rPr>
          <w:rFonts w:ascii="Times New Roman" w:hAnsi="Times New Roman"/>
          <w:sz w:val="24"/>
          <w:szCs w:val="24"/>
          <w:lang w:val="en-US"/>
        </w:rPr>
        <w:t xml:space="preserve"> 1034–1056. </w:t>
      </w:r>
    </w:p>
    <w:p w14:paraId="440BE715" w14:textId="25070209"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13.</w:t>
      </w:r>
      <w:r w:rsidRPr="00BF2D12">
        <w:rPr>
          <w:rFonts w:ascii="Times New Roman" w:hAnsi="Times New Roman"/>
          <w:sz w:val="24"/>
          <w:szCs w:val="24"/>
          <w:lang w:val="en-US"/>
        </w:rPr>
        <w:tab/>
        <w:t>Berthelot, S., Coulmont, M., &amp; Serret, V. Do investors value sustainability reports? A Canadian study</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 xml:space="preserve"> Corporate Social Responsibility and Environmental Management</w:t>
      </w:r>
      <w:r w:rsidR="00676349" w:rsidRPr="00676349">
        <w:rPr>
          <w:rFonts w:ascii="Times New Roman" w:hAnsi="Times New Roman"/>
          <w:sz w:val="24"/>
          <w:szCs w:val="24"/>
          <w:lang w:val="en-US"/>
        </w:rPr>
        <w:t xml:space="preserve">. - </w:t>
      </w:r>
      <w:r w:rsidR="00676349" w:rsidRPr="00BF2D12">
        <w:rPr>
          <w:rFonts w:ascii="Times New Roman" w:hAnsi="Times New Roman"/>
          <w:sz w:val="24"/>
          <w:szCs w:val="24"/>
          <w:lang w:val="en-US"/>
        </w:rPr>
        <w:t xml:space="preserve">2012. </w:t>
      </w:r>
      <w:r w:rsidRPr="00BF2D12">
        <w:rPr>
          <w:rFonts w:ascii="Times New Roman" w:hAnsi="Times New Roman"/>
          <w:sz w:val="24"/>
          <w:szCs w:val="24"/>
          <w:lang w:val="en-US"/>
        </w:rPr>
        <w:t>19</w:t>
      </w:r>
      <w:r w:rsidR="00676349" w:rsidRPr="00AF7884">
        <w:rPr>
          <w:rFonts w:ascii="Times New Roman" w:hAnsi="Times New Roman"/>
          <w:sz w:val="24"/>
          <w:szCs w:val="24"/>
          <w:lang w:val="en-US"/>
        </w:rPr>
        <w:t xml:space="preserve"> </w:t>
      </w:r>
      <w:r w:rsidRPr="00BF2D12">
        <w:rPr>
          <w:rFonts w:ascii="Times New Roman" w:hAnsi="Times New Roman"/>
          <w:sz w:val="24"/>
          <w:szCs w:val="24"/>
          <w:lang w:val="en-US"/>
        </w:rPr>
        <w:t>(6)</w:t>
      </w:r>
      <w:r w:rsidR="00676349" w:rsidRPr="00676349">
        <w:rPr>
          <w:rFonts w:ascii="Times New Roman" w:hAnsi="Times New Roman"/>
          <w:sz w:val="24"/>
          <w:szCs w:val="24"/>
          <w:lang w:val="en-US"/>
        </w:rPr>
        <w:t xml:space="preserve">. </w:t>
      </w:r>
      <w:r w:rsidR="00676349">
        <w:rPr>
          <w:rFonts w:ascii="Times New Roman" w:hAnsi="Times New Roman"/>
          <w:sz w:val="24"/>
          <w:szCs w:val="24"/>
          <w:lang w:val="en-US"/>
        </w:rPr>
        <w:t>–</w:t>
      </w:r>
      <w:r w:rsidR="00676349" w:rsidRPr="00676349">
        <w:rPr>
          <w:rFonts w:ascii="Times New Roman" w:hAnsi="Times New Roman"/>
          <w:sz w:val="24"/>
          <w:szCs w:val="24"/>
          <w:lang w:val="en-US"/>
        </w:rPr>
        <w:t xml:space="preserve"> </w:t>
      </w:r>
      <w:r w:rsidRPr="00BF2D12">
        <w:rPr>
          <w:rFonts w:ascii="Times New Roman" w:hAnsi="Times New Roman"/>
          <w:sz w:val="24"/>
          <w:szCs w:val="24"/>
          <w:lang w:val="en-US"/>
        </w:rPr>
        <w:t>355</w:t>
      </w:r>
      <w:r w:rsidR="00676349" w:rsidRPr="00AF7884">
        <w:rPr>
          <w:rFonts w:ascii="Times New Roman" w:hAnsi="Times New Roman"/>
          <w:sz w:val="24"/>
          <w:szCs w:val="24"/>
          <w:lang w:val="en-US"/>
        </w:rPr>
        <w:t>-</w:t>
      </w:r>
      <w:r w:rsidRPr="00BF2D12">
        <w:rPr>
          <w:rFonts w:ascii="Times New Roman" w:hAnsi="Times New Roman"/>
          <w:sz w:val="24"/>
          <w:szCs w:val="24"/>
          <w:lang w:val="en-US"/>
        </w:rPr>
        <w:t xml:space="preserve">363. </w:t>
      </w:r>
    </w:p>
    <w:p w14:paraId="17ACFB2E" w14:textId="09C9EF7B" w:rsidR="00BF2D12" w:rsidRPr="00AF7884"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14.</w:t>
      </w:r>
      <w:r w:rsidRPr="00BF2D12">
        <w:rPr>
          <w:rFonts w:ascii="Times New Roman" w:hAnsi="Times New Roman"/>
          <w:sz w:val="24"/>
          <w:szCs w:val="24"/>
          <w:lang w:val="en-US"/>
        </w:rPr>
        <w:tab/>
        <w:t>Borges F.M.M.G., Rampasso I.S., Osvaldo L.G., Quelhas, W., Rosley A., et al.. Addressing the UN SDGs in sustainability reports: An analysis of Latin American oil and gas companies</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Environmental Challenges</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2022</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100515. https://doi.org/10.1016/j.envc.2022.100515</w:t>
      </w:r>
      <w:r w:rsidR="00AF7884" w:rsidRPr="00AF7884">
        <w:rPr>
          <w:rFonts w:ascii="Times New Roman" w:hAnsi="Times New Roman"/>
          <w:sz w:val="24"/>
          <w:szCs w:val="24"/>
          <w:lang w:val="en-US"/>
        </w:rPr>
        <w:t>.</w:t>
      </w:r>
    </w:p>
    <w:p w14:paraId="622CD26D" w14:textId="1E65AAA6" w:rsidR="00BF2D12" w:rsidRPr="00672FDB"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15.</w:t>
      </w:r>
      <w:r w:rsidRPr="00BF2D12">
        <w:rPr>
          <w:rFonts w:ascii="Times New Roman" w:hAnsi="Times New Roman"/>
          <w:sz w:val="24"/>
          <w:szCs w:val="24"/>
          <w:lang w:val="en-US"/>
        </w:rPr>
        <w:tab/>
        <w:t>Campbell, D., Rahman, M.R.A., 2010. A longitudinal examination of intellectual capital reporting in Marks &amp; Spencer annual reports, 1978–2008</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 xml:space="preserve">Br. Account. Rev. </w:t>
      </w:r>
      <w:r w:rsidR="00AF7884" w:rsidRPr="00672FDB">
        <w:rPr>
          <w:rFonts w:ascii="Times New Roman" w:hAnsi="Times New Roman"/>
          <w:sz w:val="24"/>
          <w:szCs w:val="24"/>
          <w:lang w:val="en-US"/>
        </w:rPr>
        <w:t xml:space="preserve">2022. - </w:t>
      </w:r>
      <w:r w:rsidRPr="00BF2D12">
        <w:rPr>
          <w:rFonts w:ascii="Times New Roman" w:hAnsi="Times New Roman"/>
          <w:sz w:val="24"/>
          <w:szCs w:val="24"/>
          <w:lang w:val="en-US"/>
        </w:rPr>
        <w:t>42 (1)</w:t>
      </w:r>
      <w:r w:rsidR="00AF7884" w:rsidRPr="00672FDB">
        <w:rPr>
          <w:rFonts w:ascii="Times New Roman" w:hAnsi="Times New Roman"/>
          <w:sz w:val="24"/>
          <w:szCs w:val="24"/>
          <w:lang w:val="en-US"/>
        </w:rPr>
        <w:t xml:space="preserve">. - </w:t>
      </w:r>
      <w:r w:rsidRPr="00BF2D12">
        <w:rPr>
          <w:rFonts w:ascii="Times New Roman" w:hAnsi="Times New Roman"/>
          <w:sz w:val="24"/>
          <w:szCs w:val="24"/>
          <w:lang w:val="en-US"/>
        </w:rPr>
        <w:t>56–70.</w:t>
      </w:r>
    </w:p>
    <w:p w14:paraId="6C917AB5" w14:textId="35926309"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16.</w:t>
      </w:r>
      <w:r w:rsidRPr="00BF2D12">
        <w:rPr>
          <w:rFonts w:ascii="Times New Roman" w:hAnsi="Times New Roman"/>
          <w:sz w:val="24"/>
          <w:szCs w:val="24"/>
          <w:lang w:val="en-US"/>
        </w:rPr>
        <w:tab/>
        <w:t xml:space="preserve">Castro, G.D.R., Fernández, M.C.G., Colsa, Á.U. Unleashing the convergence amid digitalization and sustainability towards pursuing the Sustainable Development Goals (SDGs): a holistic review. </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 xml:space="preserve">J. Clean. Prod. </w:t>
      </w:r>
      <w:r w:rsidR="00AF7884" w:rsidRPr="00672FDB">
        <w:rPr>
          <w:rFonts w:ascii="Times New Roman" w:hAnsi="Times New Roman"/>
          <w:sz w:val="24"/>
          <w:szCs w:val="24"/>
          <w:lang w:val="en-US"/>
        </w:rPr>
        <w:t xml:space="preserve">– </w:t>
      </w:r>
      <w:r w:rsidR="00AF7884" w:rsidRPr="00BF2D12">
        <w:rPr>
          <w:rFonts w:ascii="Times New Roman" w:hAnsi="Times New Roman"/>
          <w:sz w:val="24"/>
          <w:szCs w:val="24"/>
          <w:lang w:val="en-US"/>
        </w:rPr>
        <w:t>2021</w:t>
      </w:r>
      <w:r w:rsidR="00AF7884" w:rsidRPr="00672FDB">
        <w:rPr>
          <w:rFonts w:ascii="Times New Roman" w:hAnsi="Times New Roman"/>
          <w:sz w:val="24"/>
          <w:szCs w:val="24"/>
          <w:lang w:val="en-US"/>
        </w:rPr>
        <w:t xml:space="preserve">. - </w:t>
      </w:r>
      <w:r w:rsidRPr="00BF2D12">
        <w:rPr>
          <w:rFonts w:ascii="Times New Roman" w:hAnsi="Times New Roman"/>
          <w:sz w:val="24"/>
          <w:szCs w:val="24"/>
          <w:lang w:val="en-US"/>
        </w:rPr>
        <w:t xml:space="preserve">280. </w:t>
      </w:r>
    </w:p>
    <w:p w14:paraId="241D6D2A" w14:textId="468BE35C"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17.</w:t>
      </w:r>
      <w:r w:rsidRPr="00BF2D12">
        <w:rPr>
          <w:rFonts w:ascii="Times New Roman" w:hAnsi="Times New Roman"/>
          <w:sz w:val="24"/>
          <w:szCs w:val="24"/>
          <w:lang w:val="en-US"/>
        </w:rPr>
        <w:tab/>
        <w:t>Cheng, J.L., Kesner, I.F., 1997. Organizational slack and response to environmental shifts: the impact of resource allocation patterns</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 xml:space="preserve">J. Manag. </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23 (1)</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1–18.</w:t>
      </w:r>
    </w:p>
    <w:p w14:paraId="17F19E08" w14:textId="720167C0" w:rsidR="00BF2D12" w:rsidRPr="00AF7884"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18.</w:t>
      </w:r>
      <w:r w:rsidRPr="00BF2D12">
        <w:rPr>
          <w:rFonts w:ascii="Times New Roman" w:hAnsi="Times New Roman"/>
          <w:sz w:val="24"/>
          <w:szCs w:val="24"/>
          <w:lang w:val="en-US"/>
        </w:rPr>
        <w:tab/>
        <w:t xml:space="preserve">Chowdhury R.H., Choi S., Ennis S., Chung D. Which Dimension of Corporate Social Responsibility is a Value Driver in the Oil and Gas Industry? </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Canadian Journal of Administrative Sciences Revue canadienne des sciences de l’administration</w:t>
      </w:r>
      <w:r w:rsidR="00AF7884" w:rsidRPr="00AF7884">
        <w:rPr>
          <w:rFonts w:ascii="Times New Roman" w:hAnsi="Times New Roman"/>
          <w:sz w:val="24"/>
          <w:szCs w:val="24"/>
          <w:lang w:val="en-US"/>
        </w:rPr>
        <w:t xml:space="preserve">. </w:t>
      </w:r>
      <w:r w:rsidR="00AF7884">
        <w:rPr>
          <w:rFonts w:ascii="Times New Roman" w:hAnsi="Times New Roman"/>
          <w:sz w:val="24"/>
          <w:szCs w:val="24"/>
          <w:lang w:val="en-US"/>
        </w:rPr>
        <w:t>–</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2018</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DOI: 10.1002/CJAS.1492</w:t>
      </w:r>
      <w:r w:rsidR="00AF7884" w:rsidRPr="00AF7884">
        <w:rPr>
          <w:rFonts w:ascii="Times New Roman" w:hAnsi="Times New Roman"/>
          <w:sz w:val="24"/>
          <w:szCs w:val="24"/>
          <w:lang w:val="en-US"/>
        </w:rPr>
        <w:t>.</w:t>
      </w:r>
    </w:p>
    <w:p w14:paraId="2B484E1B" w14:textId="3AF61CB9" w:rsidR="00BF2D12" w:rsidRPr="00AF7884"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19.</w:t>
      </w:r>
      <w:r w:rsidRPr="00BF2D12">
        <w:rPr>
          <w:rFonts w:ascii="Times New Roman" w:hAnsi="Times New Roman"/>
          <w:sz w:val="24"/>
          <w:szCs w:val="24"/>
          <w:lang w:val="en-US"/>
        </w:rPr>
        <w:tab/>
        <w:t>Directive 2014/95/EU of the European Parliament and of the Council https://eur-lex.europa.eu/legal-content/EN/TXT/?uri=celex%3A32014L0095</w:t>
      </w:r>
      <w:r w:rsidR="00AF7884" w:rsidRPr="00AF7884">
        <w:rPr>
          <w:rFonts w:ascii="Times New Roman" w:hAnsi="Times New Roman"/>
          <w:sz w:val="24"/>
          <w:szCs w:val="24"/>
          <w:lang w:val="en-US"/>
        </w:rPr>
        <w:t>.</w:t>
      </w:r>
    </w:p>
    <w:p w14:paraId="0FE93A4D" w14:textId="36D95E8A" w:rsidR="00BF2D12" w:rsidRPr="00AF7884"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20.</w:t>
      </w:r>
      <w:r w:rsidRPr="00BF2D12">
        <w:rPr>
          <w:rFonts w:ascii="Times New Roman" w:hAnsi="Times New Roman"/>
          <w:sz w:val="24"/>
          <w:szCs w:val="24"/>
          <w:lang w:val="en-US"/>
        </w:rPr>
        <w:tab/>
        <w:t>Dye J., McKinnon M., Van der Byl C. Green Gaps: Firm ESG Disclosure and Financial Institutions’ Reporting Requirements</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 xml:space="preserve"> J Sustain Res.</w:t>
      </w:r>
      <w:r w:rsidR="00AF7884" w:rsidRPr="00AF7884">
        <w:rPr>
          <w:rFonts w:ascii="Times New Roman" w:hAnsi="Times New Roman"/>
          <w:sz w:val="24"/>
          <w:szCs w:val="24"/>
          <w:lang w:val="en-US"/>
        </w:rPr>
        <w:t xml:space="preserve"> - </w:t>
      </w:r>
      <w:r w:rsidR="00AF7884" w:rsidRPr="00BF2D12">
        <w:rPr>
          <w:rFonts w:ascii="Times New Roman" w:hAnsi="Times New Roman"/>
          <w:sz w:val="24"/>
          <w:szCs w:val="24"/>
          <w:lang w:val="en-US"/>
        </w:rPr>
        <w:t>2021</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3(1)</w:t>
      </w:r>
      <w:r w:rsidR="00AF7884" w:rsidRPr="00AF7884">
        <w:rPr>
          <w:rFonts w:ascii="Times New Roman" w:hAnsi="Times New Roman"/>
          <w:sz w:val="24"/>
          <w:szCs w:val="24"/>
          <w:lang w:val="en-US"/>
        </w:rPr>
        <w:t>.</w:t>
      </w:r>
    </w:p>
    <w:p w14:paraId="016E634F" w14:textId="48DA5571"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21.</w:t>
      </w:r>
      <w:r w:rsidRPr="00BF2D12">
        <w:rPr>
          <w:rFonts w:ascii="Times New Roman" w:hAnsi="Times New Roman"/>
          <w:sz w:val="24"/>
          <w:szCs w:val="24"/>
          <w:lang w:val="en-US"/>
        </w:rPr>
        <w:tab/>
        <w:t>Friedman, M., 1962. The interpolation of time series by related series</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 xml:space="preserve"> J. Am. Stat. Assoc.</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57 (300)</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729–757.</w:t>
      </w:r>
    </w:p>
    <w:p w14:paraId="02E47E2F" w14:textId="33AFA024"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22.</w:t>
      </w:r>
      <w:r w:rsidRPr="00BF2D12">
        <w:rPr>
          <w:rFonts w:ascii="Times New Roman" w:hAnsi="Times New Roman"/>
          <w:sz w:val="24"/>
          <w:szCs w:val="24"/>
          <w:lang w:val="en-US"/>
        </w:rPr>
        <w:tab/>
        <w:t>Hahn, R., &amp; Kühnen, M. Determinants of sustainability reporting: A review of results, trends, theory, and opportunities in an expanding field of research</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Journal of Cleaner Production</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59</w:t>
      </w:r>
      <w:r w:rsidR="00AF7884" w:rsidRPr="00AF7884">
        <w:rPr>
          <w:rFonts w:ascii="Times New Roman" w:hAnsi="Times New Roman"/>
          <w:sz w:val="24"/>
          <w:szCs w:val="24"/>
          <w:lang w:val="en-US"/>
        </w:rPr>
        <w:t xml:space="preserve">. - </w:t>
      </w:r>
      <w:r w:rsidRPr="00BF2D12">
        <w:rPr>
          <w:rFonts w:ascii="Times New Roman" w:hAnsi="Times New Roman"/>
          <w:sz w:val="24"/>
          <w:szCs w:val="24"/>
          <w:lang w:val="en-US"/>
        </w:rPr>
        <w:t>5–21.</w:t>
      </w:r>
    </w:p>
    <w:p w14:paraId="12C97232" w14:textId="693A0B07"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23.</w:t>
      </w:r>
      <w:r w:rsidRPr="00BF2D12">
        <w:rPr>
          <w:rFonts w:ascii="Times New Roman" w:hAnsi="Times New Roman"/>
          <w:sz w:val="24"/>
          <w:szCs w:val="24"/>
          <w:lang w:val="en-US"/>
        </w:rPr>
        <w:tab/>
        <w:t>Kishore K. Emerging phenomenon of corporate sustainability reporting:</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Evidence from top 100 NSE listed companies in India</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 xml:space="preserve"> J Public Affairs. </w:t>
      </w:r>
      <w:r w:rsidR="00D21C08">
        <w:rPr>
          <w:rFonts w:ascii="Times New Roman" w:hAnsi="Times New Roman"/>
          <w:sz w:val="24"/>
          <w:szCs w:val="24"/>
          <w:lang w:val="en-US"/>
        </w:rPr>
        <w:t>–</w:t>
      </w:r>
      <w:r w:rsidR="00AF7884" w:rsidRPr="00AF7884">
        <w:rPr>
          <w:rFonts w:ascii="Times New Roman" w:hAnsi="Times New Roman"/>
          <w:sz w:val="24"/>
          <w:szCs w:val="24"/>
          <w:lang w:val="en-US"/>
        </w:rPr>
        <w:t xml:space="preserve"> </w:t>
      </w:r>
      <w:r w:rsidRPr="00BF2D12">
        <w:rPr>
          <w:rFonts w:ascii="Times New Roman" w:hAnsi="Times New Roman"/>
          <w:sz w:val="24"/>
          <w:szCs w:val="24"/>
          <w:lang w:val="en-US"/>
        </w:rPr>
        <w:t>2020</w:t>
      </w:r>
      <w:r w:rsidR="00D21C08">
        <w:rPr>
          <w:rFonts w:ascii="Times New Roman" w:hAnsi="Times New Roman"/>
          <w:sz w:val="24"/>
          <w:szCs w:val="24"/>
          <w:lang w:val="en-US"/>
        </w:rPr>
        <w:t>.</w:t>
      </w:r>
      <w:r w:rsidR="00AF7884" w:rsidRPr="00AF7884">
        <w:rPr>
          <w:rFonts w:ascii="Times New Roman" w:hAnsi="Times New Roman"/>
          <w:sz w:val="24"/>
          <w:szCs w:val="24"/>
          <w:lang w:val="en-US"/>
        </w:rPr>
        <w:t xml:space="preserve"> </w:t>
      </w:r>
      <w:r w:rsidR="00AF7884" w:rsidRPr="00D21C08">
        <w:rPr>
          <w:rFonts w:ascii="Times New Roman" w:hAnsi="Times New Roman"/>
          <w:sz w:val="24"/>
          <w:szCs w:val="24"/>
          <w:lang w:val="en-US"/>
        </w:rPr>
        <w:t xml:space="preserve">– </w:t>
      </w:r>
      <w:r w:rsidR="00AF7884">
        <w:rPr>
          <w:rFonts w:ascii="Times New Roman" w:hAnsi="Times New Roman"/>
          <w:sz w:val="24"/>
          <w:szCs w:val="24"/>
          <w:lang w:val="en-US"/>
        </w:rPr>
        <w:t xml:space="preserve">DOI: </w:t>
      </w:r>
      <w:r w:rsidRPr="00BF2D12">
        <w:rPr>
          <w:rFonts w:ascii="Times New Roman" w:hAnsi="Times New Roman"/>
          <w:sz w:val="24"/>
          <w:szCs w:val="24"/>
          <w:lang w:val="en-US"/>
        </w:rPr>
        <w:t>10.1002/pa.2368</w:t>
      </w:r>
    </w:p>
    <w:p w14:paraId="552EB214" w14:textId="3F191C5A" w:rsidR="00BF2D12" w:rsidRPr="00D21C08"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24.</w:t>
      </w:r>
      <w:r w:rsidRPr="00BF2D12">
        <w:rPr>
          <w:rFonts w:ascii="Times New Roman" w:hAnsi="Times New Roman"/>
          <w:sz w:val="24"/>
          <w:szCs w:val="24"/>
          <w:lang w:val="en-US"/>
        </w:rPr>
        <w:tab/>
        <w:t>Okeke A. Towards sustainability in the global oil and gas industry: Identifying where the emphasis lies</w:t>
      </w:r>
      <w:r w:rsidR="00D21C08">
        <w:rPr>
          <w:rFonts w:ascii="Times New Roman" w:hAnsi="Times New Roman"/>
          <w:sz w:val="24"/>
          <w:szCs w:val="24"/>
          <w:lang w:val="en-US"/>
        </w:rPr>
        <w:t xml:space="preserve"> </w:t>
      </w:r>
      <w:r w:rsidR="00D21C08" w:rsidRPr="00D21C08">
        <w:rPr>
          <w:rFonts w:ascii="Times New Roman" w:hAnsi="Times New Roman"/>
          <w:sz w:val="24"/>
          <w:szCs w:val="24"/>
          <w:lang w:val="en-US"/>
        </w:rPr>
        <w:t>//</w:t>
      </w:r>
      <w:r w:rsidRPr="00BF2D12">
        <w:rPr>
          <w:rFonts w:ascii="Times New Roman" w:hAnsi="Times New Roman"/>
          <w:sz w:val="24"/>
          <w:szCs w:val="24"/>
          <w:lang w:val="en-US"/>
        </w:rPr>
        <w:t xml:space="preserve"> Environmental and Sustainability Indicators</w:t>
      </w:r>
      <w:r w:rsidR="00D21C08" w:rsidRPr="00D21C08">
        <w:rPr>
          <w:rFonts w:ascii="Times New Roman" w:hAnsi="Times New Roman"/>
          <w:sz w:val="24"/>
          <w:szCs w:val="24"/>
          <w:lang w:val="en-US"/>
        </w:rPr>
        <w:t>.</w:t>
      </w:r>
      <w:r w:rsidRPr="00BF2D12">
        <w:rPr>
          <w:rFonts w:ascii="Times New Roman" w:hAnsi="Times New Roman"/>
          <w:sz w:val="24"/>
          <w:szCs w:val="24"/>
          <w:lang w:val="en-US"/>
        </w:rPr>
        <w:t xml:space="preserve"> </w:t>
      </w:r>
      <w:r w:rsidR="00D21C08" w:rsidRPr="00D21C08">
        <w:rPr>
          <w:rFonts w:ascii="Times New Roman" w:hAnsi="Times New Roman"/>
          <w:sz w:val="24"/>
          <w:szCs w:val="24"/>
          <w:lang w:val="en-US"/>
        </w:rPr>
        <w:t xml:space="preserve">- </w:t>
      </w:r>
      <w:r w:rsidR="00D21C08" w:rsidRPr="00BF2D12">
        <w:rPr>
          <w:rFonts w:ascii="Times New Roman" w:hAnsi="Times New Roman"/>
          <w:sz w:val="24"/>
          <w:szCs w:val="24"/>
          <w:lang w:val="en-US"/>
        </w:rPr>
        <w:t>2021</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12 100145</w:t>
      </w:r>
      <w:r w:rsidR="00D21C08" w:rsidRPr="00D21C08">
        <w:rPr>
          <w:rFonts w:ascii="Times New Roman" w:hAnsi="Times New Roman"/>
          <w:sz w:val="24"/>
          <w:szCs w:val="24"/>
          <w:lang w:val="en-US"/>
        </w:rPr>
        <w:t>.</w:t>
      </w:r>
    </w:p>
    <w:p w14:paraId="7B728683" w14:textId="6E65BE28"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25.</w:t>
      </w:r>
      <w:r w:rsidRPr="00BF2D12">
        <w:rPr>
          <w:rFonts w:ascii="Times New Roman" w:hAnsi="Times New Roman"/>
          <w:sz w:val="24"/>
          <w:szCs w:val="24"/>
          <w:lang w:val="en-US"/>
        </w:rPr>
        <w:tab/>
        <w:t>Orazalin, N., &amp; Mahmood, M. Determinants of GRI-based sustainability reporting: Evidence from an emerging economy</w:t>
      </w:r>
      <w:r w:rsidR="00D21C08" w:rsidRPr="00D21C08">
        <w:rPr>
          <w:rFonts w:ascii="Times New Roman" w:hAnsi="Times New Roman"/>
          <w:sz w:val="24"/>
          <w:szCs w:val="24"/>
          <w:lang w:val="en-US"/>
        </w:rPr>
        <w:t xml:space="preserve"> //</w:t>
      </w:r>
      <w:r w:rsidRPr="00BF2D12">
        <w:rPr>
          <w:rFonts w:ascii="Times New Roman" w:hAnsi="Times New Roman"/>
          <w:sz w:val="24"/>
          <w:szCs w:val="24"/>
          <w:lang w:val="en-US"/>
        </w:rPr>
        <w:t>Journal of Accounting in Emerging Economies</w:t>
      </w:r>
      <w:r w:rsidR="00D21C08" w:rsidRPr="00D21C08">
        <w:rPr>
          <w:rFonts w:ascii="Times New Roman" w:hAnsi="Times New Roman"/>
          <w:sz w:val="24"/>
          <w:szCs w:val="24"/>
          <w:lang w:val="en-US"/>
        </w:rPr>
        <w:t xml:space="preserve">. – </w:t>
      </w:r>
      <w:r w:rsidR="00D21C08" w:rsidRPr="00BF2D12">
        <w:rPr>
          <w:rFonts w:ascii="Times New Roman" w:hAnsi="Times New Roman"/>
          <w:sz w:val="24"/>
          <w:szCs w:val="24"/>
          <w:lang w:val="en-US"/>
        </w:rPr>
        <w:t>2019</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10(1)</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 xml:space="preserve">140–164. </w:t>
      </w:r>
    </w:p>
    <w:p w14:paraId="185DC7E7" w14:textId="3B7041D6" w:rsidR="00BF2D12" w:rsidRPr="00BF2D12"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26.</w:t>
      </w:r>
      <w:r w:rsidRPr="00BF2D12">
        <w:rPr>
          <w:rFonts w:ascii="Times New Roman" w:hAnsi="Times New Roman"/>
          <w:sz w:val="24"/>
          <w:szCs w:val="24"/>
          <w:lang w:val="en-US"/>
        </w:rPr>
        <w:tab/>
        <w:t>Schaltegger, S., Wagner, M. Integrative management of sustainability performance, measurement and reporting</w:t>
      </w:r>
      <w:r w:rsidR="00D21C08" w:rsidRPr="00D21C08">
        <w:rPr>
          <w:rFonts w:ascii="Times New Roman" w:hAnsi="Times New Roman"/>
          <w:sz w:val="24"/>
          <w:szCs w:val="24"/>
          <w:lang w:val="en-US"/>
        </w:rPr>
        <w:t xml:space="preserve"> //</w:t>
      </w:r>
      <w:r w:rsidRPr="00BF2D12">
        <w:rPr>
          <w:rFonts w:ascii="Times New Roman" w:hAnsi="Times New Roman"/>
          <w:sz w:val="24"/>
          <w:szCs w:val="24"/>
          <w:lang w:val="en-US"/>
        </w:rPr>
        <w:t xml:space="preserve"> International Journal of Accounting, Auditing and Performance Evaluation</w:t>
      </w:r>
      <w:r w:rsidR="00D21C08" w:rsidRPr="00D21C08">
        <w:rPr>
          <w:rFonts w:ascii="Times New Roman" w:hAnsi="Times New Roman"/>
          <w:sz w:val="24"/>
          <w:szCs w:val="24"/>
          <w:lang w:val="en-US"/>
        </w:rPr>
        <w:t xml:space="preserve">. - </w:t>
      </w:r>
      <w:r w:rsidR="00D21C08" w:rsidRPr="00BF2D12">
        <w:rPr>
          <w:rFonts w:ascii="Times New Roman" w:hAnsi="Times New Roman"/>
          <w:sz w:val="24"/>
          <w:szCs w:val="24"/>
          <w:lang w:val="en-US"/>
        </w:rPr>
        <w:t>2006</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3(1)</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1–19.</w:t>
      </w:r>
    </w:p>
    <w:p w14:paraId="41996336" w14:textId="15CC6814" w:rsidR="00C755EF" w:rsidRPr="007C284C" w:rsidRDefault="00BF2D12" w:rsidP="00BF2D12">
      <w:pPr>
        <w:pStyle w:val="a3"/>
        <w:ind w:left="0" w:firstLine="709"/>
        <w:rPr>
          <w:rFonts w:ascii="Times New Roman" w:hAnsi="Times New Roman"/>
          <w:sz w:val="24"/>
          <w:szCs w:val="24"/>
          <w:lang w:val="en-US"/>
        </w:rPr>
      </w:pPr>
      <w:r w:rsidRPr="00BF2D12">
        <w:rPr>
          <w:rFonts w:ascii="Times New Roman" w:hAnsi="Times New Roman"/>
          <w:sz w:val="24"/>
          <w:szCs w:val="24"/>
          <w:lang w:val="en-US"/>
        </w:rPr>
        <w:t>27.</w:t>
      </w:r>
      <w:r w:rsidRPr="00BF2D12">
        <w:rPr>
          <w:rFonts w:ascii="Times New Roman" w:hAnsi="Times New Roman"/>
          <w:sz w:val="24"/>
          <w:szCs w:val="24"/>
          <w:lang w:val="en-US"/>
        </w:rPr>
        <w:tab/>
        <w:t>Tamvada, M. Corporate social responsibility and accountability: a new theoretical foundation for regulating CSR</w:t>
      </w:r>
      <w:r w:rsidR="00D21C08" w:rsidRPr="00D21C08">
        <w:rPr>
          <w:rFonts w:ascii="Times New Roman" w:hAnsi="Times New Roman"/>
          <w:sz w:val="24"/>
          <w:szCs w:val="24"/>
          <w:lang w:val="en-US"/>
        </w:rPr>
        <w:t xml:space="preserve"> // </w:t>
      </w:r>
      <w:r w:rsidRPr="00BF2D12">
        <w:rPr>
          <w:rFonts w:ascii="Times New Roman" w:hAnsi="Times New Roman"/>
          <w:sz w:val="24"/>
          <w:szCs w:val="24"/>
          <w:lang w:val="en-US"/>
        </w:rPr>
        <w:t>International Journal of Corporate Social Responsibility</w:t>
      </w:r>
      <w:r w:rsidR="00D21C08" w:rsidRPr="00D21C08">
        <w:rPr>
          <w:rFonts w:ascii="Times New Roman" w:hAnsi="Times New Roman"/>
          <w:sz w:val="24"/>
          <w:szCs w:val="24"/>
          <w:lang w:val="en-US"/>
        </w:rPr>
        <w:t xml:space="preserve">. </w:t>
      </w:r>
      <w:r w:rsidR="00D21C08" w:rsidRPr="00BF2D12">
        <w:rPr>
          <w:rFonts w:ascii="Times New Roman" w:hAnsi="Times New Roman"/>
          <w:sz w:val="24"/>
          <w:szCs w:val="24"/>
          <w:lang w:val="en-US"/>
        </w:rPr>
        <w:t>2020</w:t>
      </w:r>
      <w:r w:rsidR="00D21C08" w:rsidRPr="00D21C08">
        <w:rPr>
          <w:rFonts w:ascii="Times New Roman" w:hAnsi="Times New Roman"/>
          <w:sz w:val="24"/>
          <w:szCs w:val="24"/>
          <w:lang w:val="en-US"/>
        </w:rPr>
        <w:t xml:space="preserve"> </w:t>
      </w:r>
      <w:r w:rsidR="00D21C08">
        <w:rPr>
          <w:rFonts w:ascii="Times New Roman" w:hAnsi="Times New Roman"/>
          <w:sz w:val="24"/>
          <w:szCs w:val="24"/>
        </w:rPr>
        <w:t xml:space="preserve">- </w:t>
      </w:r>
      <w:r w:rsidRPr="00BF2D12">
        <w:rPr>
          <w:rFonts w:ascii="Times New Roman" w:hAnsi="Times New Roman"/>
          <w:sz w:val="24"/>
          <w:szCs w:val="24"/>
          <w:lang w:val="en-US"/>
        </w:rPr>
        <w:t>Vol. 5</w:t>
      </w:r>
      <w:r w:rsidR="00D21C08">
        <w:rPr>
          <w:rFonts w:ascii="Times New Roman" w:hAnsi="Times New Roman"/>
          <w:sz w:val="24"/>
          <w:szCs w:val="24"/>
        </w:rPr>
        <w:t xml:space="preserve">. - </w:t>
      </w:r>
      <w:r w:rsidRPr="00BF2D12">
        <w:rPr>
          <w:rFonts w:ascii="Times New Roman" w:hAnsi="Times New Roman"/>
          <w:sz w:val="24"/>
          <w:szCs w:val="24"/>
          <w:lang w:val="en-US"/>
        </w:rPr>
        <w:t>No. 1</w:t>
      </w:r>
      <w:r w:rsidR="00D21C08">
        <w:rPr>
          <w:rFonts w:ascii="Times New Roman" w:hAnsi="Times New Roman"/>
          <w:sz w:val="24"/>
          <w:szCs w:val="24"/>
        </w:rPr>
        <w:t xml:space="preserve">. - </w:t>
      </w:r>
      <w:r w:rsidRPr="00BF2D12">
        <w:rPr>
          <w:rFonts w:ascii="Times New Roman" w:hAnsi="Times New Roman"/>
          <w:sz w:val="24"/>
          <w:szCs w:val="24"/>
          <w:lang w:val="en-US"/>
        </w:rPr>
        <w:t>pp. 1-14, doi:10.1186/s40991-019-0045-8.</w:t>
      </w:r>
    </w:p>
    <w:sectPr w:rsidR="00C755EF" w:rsidRPr="007C284C" w:rsidSect="004647A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EEB12" w14:textId="77777777" w:rsidR="00131029" w:rsidRDefault="00131029" w:rsidP="00F30F1C">
      <w:r>
        <w:separator/>
      </w:r>
    </w:p>
  </w:endnote>
  <w:endnote w:type="continuationSeparator" w:id="0">
    <w:p w14:paraId="39E980F3" w14:textId="77777777" w:rsidR="00131029" w:rsidRDefault="00131029" w:rsidP="00F3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harisSIL">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E7020" w14:textId="77777777" w:rsidR="00131029" w:rsidRDefault="00131029" w:rsidP="00F30F1C">
      <w:r>
        <w:separator/>
      </w:r>
    </w:p>
  </w:footnote>
  <w:footnote w:type="continuationSeparator" w:id="0">
    <w:p w14:paraId="5FD4EA5C" w14:textId="77777777" w:rsidR="00131029" w:rsidRDefault="00131029" w:rsidP="00F30F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245E"/>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85D15D8"/>
    <w:multiLevelType w:val="hybridMultilevel"/>
    <w:tmpl w:val="24149872"/>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9C169C9"/>
    <w:multiLevelType w:val="hybridMultilevel"/>
    <w:tmpl w:val="26B4139A"/>
    <w:lvl w:ilvl="0" w:tplc="45B22062">
      <w:start w:val="1"/>
      <w:numFmt w:val="bullet"/>
      <w:lvlText w:val="•"/>
      <w:lvlJc w:val="left"/>
      <w:pPr>
        <w:tabs>
          <w:tab w:val="num" w:pos="720"/>
        </w:tabs>
        <w:ind w:left="720" w:hanging="360"/>
      </w:pPr>
      <w:rPr>
        <w:rFonts w:ascii="Times New Roman" w:hAnsi="Times New Roman" w:hint="default"/>
      </w:rPr>
    </w:lvl>
    <w:lvl w:ilvl="1" w:tplc="A692D576" w:tentative="1">
      <w:start w:val="1"/>
      <w:numFmt w:val="bullet"/>
      <w:lvlText w:val="•"/>
      <w:lvlJc w:val="left"/>
      <w:pPr>
        <w:tabs>
          <w:tab w:val="num" w:pos="1440"/>
        </w:tabs>
        <w:ind w:left="1440" w:hanging="360"/>
      </w:pPr>
      <w:rPr>
        <w:rFonts w:ascii="Times New Roman" w:hAnsi="Times New Roman" w:hint="default"/>
      </w:rPr>
    </w:lvl>
    <w:lvl w:ilvl="2" w:tplc="A1EEC9AE" w:tentative="1">
      <w:start w:val="1"/>
      <w:numFmt w:val="bullet"/>
      <w:lvlText w:val="•"/>
      <w:lvlJc w:val="left"/>
      <w:pPr>
        <w:tabs>
          <w:tab w:val="num" w:pos="2160"/>
        </w:tabs>
        <w:ind w:left="2160" w:hanging="360"/>
      </w:pPr>
      <w:rPr>
        <w:rFonts w:ascii="Times New Roman" w:hAnsi="Times New Roman" w:hint="default"/>
      </w:rPr>
    </w:lvl>
    <w:lvl w:ilvl="3" w:tplc="CA301854" w:tentative="1">
      <w:start w:val="1"/>
      <w:numFmt w:val="bullet"/>
      <w:lvlText w:val="•"/>
      <w:lvlJc w:val="left"/>
      <w:pPr>
        <w:tabs>
          <w:tab w:val="num" w:pos="2880"/>
        </w:tabs>
        <w:ind w:left="2880" w:hanging="360"/>
      </w:pPr>
      <w:rPr>
        <w:rFonts w:ascii="Times New Roman" w:hAnsi="Times New Roman" w:hint="default"/>
      </w:rPr>
    </w:lvl>
    <w:lvl w:ilvl="4" w:tplc="9E361D26" w:tentative="1">
      <w:start w:val="1"/>
      <w:numFmt w:val="bullet"/>
      <w:lvlText w:val="•"/>
      <w:lvlJc w:val="left"/>
      <w:pPr>
        <w:tabs>
          <w:tab w:val="num" w:pos="3600"/>
        </w:tabs>
        <w:ind w:left="3600" w:hanging="360"/>
      </w:pPr>
      <w:rPr>
        <w:rFonts w:ascii="Times New Roman" w:hAnsi="Times New Roman" w:hint="default"/>
      </w:rPr>
    </w:lvl>
    <w:lvl w:ilvl="5" w:tplc="97AE7F20" w:tentative="1">
      <w:start w:val="1"/>
      <w:numFmt w:val="bullet"/>
      <w:lvlText w:val="•"/>
      <w:lvlJc w:val="left"/>
      <w:pPr>
        <w:tabs>
          <w:tab w:val="num" w:pos="4320"/>
        </w:tabs>
        <w:ind w:left="4320" w:hanging="360"/>
      </w:pPr>
      <w:rPr>
        <w:rFonts w:ascii="Times New Roman" w:hAnsi="Times New Roman" w:hint="default"/>
      </w:rPr>
    </w:lvl>
    <w:lvl w:ilvl="6" w:tplc="646AA31E" w:tentative="1">
      <w:start w:val="1"/>
      <w:numFmt w:val="bullet"/>
      <w:lvlText w:val="•"/>
      <w:lvlJc w:val="left"/>
      <w:pPr>
        <w:tabs>
          <w:tab w:val="num" w:pos="5040"/>
        </w:tabs>
        <w:ind w:left="5040" w:hanging="360"/>
      </w:pPr>
      <w:rPr>
        <w:rFonts w:ascii="Times New Roman" w:hAnsi="Times New Roman" w:hint="default"/>
      </w:rPr>
    </w:lvl>
    <w:lvl w:ilvl="7" w:tplc="47E45450" w:tentative="1">
      <w:start w:val="1"/>
      <w:numFmt w:val="bullet"/>
      <w:lvlText w:val="•"/>
      <w:lvlJc w:val="left"/>
      <w:pPr>
        <w:tabs>
          <w:tab w:val="num" w:pos="5760"/>
        </w:tabs>
        <w:ind w:left="5760" w:hanging="360"/>
      </w:pPr>
      <w:rPr>
        <w:rFonts w:ascii="Times New Roman" w:hAnsi="Times New Roman" w:hint="default"/>
      </w:rPr>
    </w:lvl>
    <w:lvl w:ilvl="8" w:tplc="D7928F4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C292442"/>
    <w:multiLevelType w:val="hybridMultilevel"/>
    <w:tmpl w:val="F5541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810DE8"/>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751450"/>
    <w:multiLevelType w:val="hybridMultilevel"/>
    <w:tmpl w:val="0BBA49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E837E0"/>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45227B3"/>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4210C3F"/>
    <w:multiLevelType w:val="hybridMultilevel"/>
    <w:tmpl w:val="B186FDAC"/>
    <w:lvl w:ilvl="0" w:tplc="7EF614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43CF1A41"/>
    <w:multiLevelType w:val="hybridMultilevel"/>
    <w:tmpl w:val="89EA7518"/>
    <w:lvl w:ilvl="0" w:tplc="FA2C210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47D279CB"/>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13113ED"/>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543290B"/>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FF339FF"/>
    <w:multiLevelType w:val="hybridMultilevel"/>
    <w:tmpl w:val="4426C9F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70E1410A"/>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3CE7E41"/>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8261899"/>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B442D20"/>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F3157F0"/>
    <w:multiLevelType w:val="hybridMultilevel"/>
    <w:tmpl w:val="BFF6C45C"/>
    <w:lvl w:ilvl="0" w:tplc="1C10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FF078F9"/>
    <w:multiLevelType w:val="hybridMultilevel"/>
    <w:tmpl w:val="6D20DBE0"/>
    <w:lvl w:ilvl="0" w:tplc="3A2CF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3721200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6295377">
    <w:abstractNumId w:val="2"/>
  </w:num>
  <w:num w:numId="3" w16cid:durableId="1444694139">
    <w:abstractNumId w:val="8"/>
  </w:num>
  <w:num w:numId="4" w16cid:durableId="1942181842">
    <w:abstractNumId w:val="13"/>
  </w:num>
  <w:num w:numId="5" w16cid:durableId="1562136585">
    <w:abstractNumId w:val="5"/>
  </w:num>
  <w:num w:numId="6" w16cid:durableId="719019978">
    <w:abstractNumId w:val="3"/>
  </w:num>
  <w:num w:numId="7" w16cid:durableId="571038720">
    <w:abstractNumId w:val="12"/>
  </w:num>
  <w:num w:numId="8" w16cid:durableId="2057393828">
    <w:abstractNumId w:val="18"/>
  </w:num>
  <w:num w:numId="9" w16cid:durableId="2130664642">
    <w:abstractNumId w:val="9"/>
  </w:num>
  <w:num w:numId="10" w16cid:durableId="820315907">
    <w:abstractNumId w:val="0"/>
  </w:num>
  <w:num w:numId="11" w16cid:durableId="184179780">
    <w:abstractNumId w:val="7"/>
  </w:num>
  <w:num w:numId="12" w16cid:durableId="1321153914">
    <w:abstractNumId w:val="1"/>
  </w:num>
  <w:num w:numId="13" w16cid:durableId="280259784">
    <w:abstractNumId w:val="15"/>
  </w:num>
  <w:num w:numId="14" w16cid:durableId="904950318">
    <w:abstractNumId w:val="16"/>
  </w:num>
  <w:num w:numId="15" w16cid:durableId="685520852">
    <w:abstractNumId w:val="11"/>
  </w:num>
  <w:num w:numId="16" w16cid:durableId="1457868426">
    <w:abstractNumId w:val="10"/>
  </w:num>
  <w:num w:numId="17" w16cid:durableId="1703049672">
    <w:abstractNumId w:val="6"/>
  </w:num>
  <w:num w:numId="18" w16cid:durableId="347416221">
    <w:abstractNumId w:val="19"/>
  </w:num>
  <w:num w:numId="19" w16cid:durableId="1932665530">
    <w:abstractNumId w:val="14"/>
  </w:num>
  <w:num w:numId="20" w16cid:durableId="1160922190">
    <w:abstractNumId w:val="4"/>
  </w:num>
  <w:num w:numId="21" w16cid:durableId="6324464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AB"/>
    <w:rsid w:val="000029EB"/>
    <w:rsid w:val="00017A87"/>
    <w:rsid w:val="000261BB"/>
    <w:rsid w:val="00027AD1"/>
    <w:rsid w:val="00035C75"/>
    <w:rsid w:val="00042A6E"/>
    <w:rsid w:val="00066990"/>
    <w:rsid w:val="000672DD"/>
    <w:rsid w:val="00082823"/>
    <w:rsid w:val="000B4763"/>
    <w:rsid w:val="000B5541"/>
    <w:rsid w:val="000B6236"/>
    <w:rsid w:val="000B7F1D"/>
    <w:rsid w:val="000E2248"/>
    <w:rsid w:val="000E5046"/>
    <w:rsid w:val="000F3A89"/>
    <w:rsid w:val="000F5CD6"/>
    <w:rsid w:val="00106CE3"/>
    <w:rsid w:val="001140E8"/>
    <w:rsid w:val="001309DD"/>
    <w:rsid w:val="00130D17"/>
    <w:rsid w:val="00131029"/>
    <w:rsid w:val="00142597"/>
    <w:rsid w:val="00142B04"/>
    <w:rsid w:val="0014407A"/>
    <w:rsid w:val="00146DD4"/>
    <w:rsid w:val="0016071E"/>
    <w:rsid w:val="001742ED"/>
    <w:rsid w:val="001C02F9"/>
    <w:rsid w:val="001C3093"/>
    <w:rsid w:val="001C7DCA"/>
    <w:rsid w:val="001D4BCD"/>
    <w:rsid w:val="001F575B"/>
    <w:rsid w:val="001F58B5"/>
    <w:rsid w:val="002173BC"/>
    <w:rsid w:val="00244B7C"/>
    <w:rsid w:val="00246DE2"/>
    <w:rsid w:val="002560E9"/>
    <w:rsid w:val="00263D34"/>
    <w:rsid w:val="00292313"/>
    <w:rsid w:val="00297BBB"/>
    <w:rsid w:val="002A031B"/>
    <w:rsid w:val="002A488F"/>
    <w:rsid w:val="002B0950"/>
    <w:rsid w:val="002C11B8"/>
    <w:rsid w:val="002C1E91"/>
    <w:rsid w:val="002C66B7"/>
    <w:rsid w:val="002E150B"/>
    <w:rsid w:val="002E326D"/>
    <w:rsid w:val="002E5617"/>
    <w:rsid w:val="002F4D6E"/>
    <w:rsid w:val="002F4E96"/>
    <w:rsid w:val="00307F4B"/>
    <w:rsid w:val="00312DBD"/>
    <w:rsid w:val="00313362"/>
    <w:rsid w:val="003136CA"/>
    <w:rsid w:val="00331144"/>
    <w:rsid w:val="00347F63"/>
    <w:rsid w:val="003C64BB"/>
    <w:rsid w:val="003F5C64"/>
    <w:rsid w:val="004231B8"/>
    <w:rsid w:val="00430B7A"/>
    <w:rsid w:val="00437257"/>
    <w:rsid w:val="00441341"/>
    <w:rsid w:val="00442474"/>
    <w:rsid w:val="00445300"/>
    <w:rsid w:val="004647A4"/>
    <w:rsid w:val="0046771D"/>
    <w:rsid w:val="00471E37"/>
    <w:rsid w:val="004B1BCC"/>
    <w:rsid w:val="004B5439"/>
    <w:rsid w:val="004B7B6F"/>
    <w:rsid w:val="004D072C"/>
    <w:rsid w:val="004D3FFF"/>
    <w:rsid w:val="004E3664"/>
    <w:rsid w:val="004E6A83"/>
    <w:rsid w:val="005008AB"/>
    <w:rsid w:val="00501C9D"/>
    <w:rsid w:val="005244EB"/>
    <w:rsid w:val="00525F4F"/>
    <w:rsid w:val="00532CBB"/>
    <w:rsid w:val="00541E9B"/>
    <w:rsid w:val="005443CA"/>
    <w:rsid w:val="00545877"/>
    <w:rsid w:val="00561E98"/>
    <w:rsid w:val="00562DD7"/>
    <w:rsid w:val="005666E5"/>
    <w:rsid w:val="00577DD7"/>
    <w:rsid w:val="00585453"/>
    <w:rsid w:val="00591642"/>
    <w:rsid w:val="005940D2"/>
    <w:rsid w:val="005949C5"/>
    <w:rsid w:val="005B1C40"/>
    <w:rsid w:val="005B2C57"/>
    <w:rsid w:val="005C00AE"/>
    <w:rsid w:val="005C0856"/>
    <w:rsid w:val="005D1FFF"/>
    <w:rsid w:val="005D5ECA"/>
    <w:rsid w:val="005E32B4"/>
    <w:rsid w:val="005F66E7"/>
    <w:rsid w:val="00616BC3"/>
    <w:rsid w:val="00620924"/>
    <w:rsid w:val="00623A02"/>
    <w:rsid w:val="00672FDB"/>
    <w:rsid w:val="00673E4A"/>
    <w:rsid w:val="006743D1"/>
    <w:rsid w:val="00675296"/>
    <w:rsid w:val="00676349"/>
    <w:rsid w:val="00677854"/>
    <w:rsid w:val="0069451B"/>
    <w:rsid w:val="00695028"/>
    <w:rsid w:val="006A2836"/>
    <w:rsid w:val="006A5A4E"/>
    <w:rsid w:val="006B19A2"/>
    <w:rsid w:val="006C6B27"/>
    <w:rsid w:val="006D0446"/>
    <w:rsid w:val="006D63C1"/>
    <w:rsid w:val="006F17BD"/>
    <w:rsid w:val="007028CD"/>
    <w:rsid w:val="007177AC"/>
    <w:rsid w:val="0072171E"/>
    <w:rsid w:val="00725221"/>
    <w:rsid w:val="007262CD"/>
    <w:rsid w:val="007379FF"/>
    <w:rsid w:val="007467CE"/>
    <w:rsid w:val="00761A9F"/>
    <w:rsid w:val="0076572E"/>
    <w:rsid w:val="00765966"/>
    <w:rsid w:val="00776655"/>
    <w:rsid w:val="0077709E"/>
    <w:rsid w:val="007C284C"/>
    <w:rsid w:val="007C7345"/>
    <w:rsid w:val="007C7B24"/>
    <w:rsid w:val="007E20D5"/>
    <w:rsid w:val="0080417D"/>
    <w:rsid w:val="00811F6A"/>
    <w:rsid w:val="0082591E"/>
    <w:rsid w:val="008407E7"/>
    <w:rsid w:val="008461A0"/>
    <w:rsid w:val="00857FC1"/>
    <w:rsid w:val="00875561"/>
    <w:rsid w:val="00890284"/>
    <w:rsid w:val="008A4F31"/>
    <w:rsid w:val="008B0FBA"/>
    <w:rsid w:val="008B130C"/>
    <w:rsid w:val="008C64B8"/>
    <w:rsid w:val="008D49BD"/>
    <w:rsid w:val="00901AE0"/>
    <w:rsid w:val="009031F9"/>
    <w:rsid w:val="00905FC1"/>
    <w:rsid w:val="0090619B"/>
    <w:rsid w:val="009225D5"/>
    <w:rsid w:val="009506E4"/>
    <w:rsid w:val="00972F9F"/>
    <w:rsid w:val="00990684"/>
    <w:rsid w:val="00993AED"/>
    <w:rsid w:val="00994C4F"/>
    <w:rsid w:val="009A3ED2"/>
    <w:rsid w:val="009C1578"/>
    <w:rsid w:val="009D374B"/>
    <w:rsid w:val="009D52C7"/>
    <w:rsid w:val="009D5996"/>
    <w:rsid w:val="009F6BF0"/>
    <w:rsid w:val="00A06F52"/>
    <w:rsid w:val="00A272F2"/>
    <w:rsid w:val="00A411C8"/>
    <w:rsid w:val="00A50BF7"/>
    <w:rsid w:val="00A5646B"/>
    <w:rsid w:val="00A57092"/>
    <w:rsid w:val="00A65318"/>
    <w:rsid w:val="00A86210"/>
    <w:rsid w:val="00A869EE"/>
    <w:rsid w:val="00A87740"/>
    <w:rsid w:val="00A934F0"/>
    <w:rsid w:val="00AA4905"/>
    <w:rsid w:val="00AB1EFF"/>
    <w:rsid w:val="00AC1E2D"/>
    <w:rsid w:val="00AD4011"/>
    <w:rsid w:val="00AD48C1"/>
    <w:rsid w:val="00AD58A9"/>
    <w:rsid w:val="00AF7884"/>
    <w:rsid w:val="00B1389C"/>
    <w:rsid w:val="00B21391"/>
    <w:rsid w:val="00B455B7"/>
    <w:rsid w:val="00B519F6"/>
    <w:rsid w:val="00B75924"/>
    <w:rsid w:val="00B90937"/>
    <w:rsid w:val="00BA033B"/>
    <w:rsid w:val="00BA3785"/>
    <w:rsid w:val="00BB265E"/>
    <w:rsid w:val="00BC532E"/>
    <w:rsid w:val="00BC6572"/>
    <w:rsid w:val="00BF2D12"/>
    <w:rsid w:val="00C0474F"/>
    <w:rsid w:val="00C0538B"/>
    <w:rsid w:val="00C24570"/>
    <w:rsid w:val="00C3089F"/>
    <w:rsid w:val="00C45612"/>
    <w:rsid w:val="00C64094"/>
    <w:rsid w:val="00C7146A"/>
    <w:rsid w:val="00C741A9"/>
    <w:rsid w:val="00C755EF"/>
    <w:rsid w:val="00C75DD0"/>
    <w:rsid w:val="00C93436"/>
    <w:rsid w:val="00CA091A"/>
    <w:rsid w:val="00CB0B25"/>
    <w:rsid w:val="00CE1771"/>
    <w:rsid w:val="00CE4A14"/>
    <w:rsid w:val="00CE5CD1"/>
    <w:rsid w:val="00CF04F6"/>
    <w:rsid w:val="00D002A2"/>
    <w:rsid w:val="00D0543A"/>
    <w:rsid w:val="00D21286"/>
    <w:rsid w:val="00D21C08"/>
    <w:rsid w:val="00D324D8"/>
    <w:rsid w:val="00D45666"/>
    <w:rsid w:val="00D5618C"/>
    <w:rsid w:val="00D74F1D"/>
    <w:rsid w:val="00D87BD8"/>
    <w:rsid w:val="00D90F24"/>
    <w:rsid w:val="00DA678A"/>
    <w:rsid w:val="00DB6D3A"/>
    <w:rsid w:val="00DC12C8"/>
    <w:rsid w:val="00DC2BFE"/>
    <w:rsid w:val="00DF404A"/>
    <w:rsid w:val="00E032DD"/>
    <w:rsid w:val="00E0625D"/>
    <w:rsid w:val="00E108EC"/>
    <w:rsid w:val="00E21E1E"/>
    <w:rsid w:val="00E24487"/>
    <w:rsid w:val="00E27506"/>
    <w:rsid w:val="00E27778"/>
    <w:rsid w:val="00E50764"/>
    <w:rsid w:val="00E5092C"/>
    <w:rsid w:val="00E55763"/>
    <w:rsid w:val="00E62A50"/>
    <w:rsid w:val="00E71F9A"/>
    <w:rsid w:val="00E7586F"/>
    <w:rsid w:val="00EA2220"/>
    <w:rsid w:val="00EA3E9E"/>
    <w:rsid w:val="00EA5106"/>
    <w:rsid w:val="00EB190F"/>
    <w:rsid w:val="00EE38FC"/>
    <w:rsid w:val="00EE4D13"/>
    <w:rsid w:val="00EE70BF"/>
    <w:rsid w:val="00F05E05"/>
    <w:rsid w:val="00F16886"/>
    <w:rsid w:val="00F20255"/>
    <w:rsid w:val="00F30F1C"/>
    <w:rsid w:val="00F326C3"/>
    <w:rsid w:val="00F36D9B"/>
    <w:rsid w:val="00F40837"/>
    <w:rsid w:val="00F51094"/>
    <w:rsid w:val="00F76E55"/>
    <w:rsid w:val="00F77227"/>
    <w:rsid w:val="00FC3D45"/>
    <w:rsid w:val="00FF0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6FDAB"/>
  <w15:docId w15:val="{36113818-914F-4C2F-87D5-E530DB6C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2597"/>
    <w:pPr>
      <w:spacing w:after="0" w:line="240" w:lineRule="auto"/>
      <w:ind w:firstLine="284"/>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списка основной"/>
    <w:basedOn w:val="a"/>
    <w:link w:val="a4"/>
    <w:uiPriority w:val="34"/>
    <w:qFormat/>
    <w:rsid w:val="00142597"/>
    <w:pPr>
      <w:ind w:left="720"/>
      <w:contextualSpacing/>
    </w:pPr>
  </w:style>
  <w:style w:type="character" w:customStyle="1" w:styleId="a4">
    <w:name w:val="Абзац списка Знак"/>
    <w:aliases w:val="Абзац списка основной Знак"/>
    <w:basedOn w:val="a0"/>
    <w:link w:val="a3"/>
    <w:uiPriority w:val="34"/>
    <w:locked/>
    <w:rsid w:val="00142597"/>
    <w:rPr>
      <w:rFonts w:ascii="Calibri" w:eastAsia="Calibri" w:hAnsi="Calibri" w:cs="Times New Roman"/>
    </w:rPr>
  </w:style>
  <w:style w:type="table" w:styleId="a5">
    <w:name w:val="Table Grid"/>
    <w:basedOn w:val="a1"/>
    <w:uiPriority w:val="39"/>
    <w:rsid w:val="0014259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441341"/>
    <w:rPr>
      <w:color w:val="0000FF"/>
      <w:u w:val="single"/>
    </w:rPr>
  </w:style>
  <w:style w:type="paragraph" w:styleId="a7">
    <w:name w:val="footnote text"/>
    <w:basedOn w:val="a"/>
    <w:link w:val="a8"/>
    <w:uiPriority w:val="99"/>
    <w:unhideWhenUsed/>
    <w:qFormat/>
    <w:rsid w:val="00F30F1C"/>
    <w:rPr>
      <w:sz w:val="20"/>
      <w:szCs w:val="20"/>
    </w:rPr>
  </w:style>
  <w:style w:type="character" w:customStyle="1" w:styleId="a8">
    <w:name w:val="Текст сноски Знак"/>
    <w:basedOn w:val="a0"/>
    <w:link w:val="a7"/>
    <w:uiPriority w:val="99"/>
    <w:rsid w:val="00F30F1C"/>
    <w:rPr>
      <w:rFonts w:ascii="Calibri" w:eastAsia="Calibri" w:hAnsi="Calibri" w:cs="Times New Roman"/>
      <w:sz w:val="20"/>
      <w:szCs w:val="20"/>
    </w:rPr>
  </w:style>
  <w:style w:type="character" w:styleId="a9">
    <w:name w:val="footnote reference"/>
    <w:aliases w:val="Знак сноски 1,Знак сноски-FN,Ciae niinee-FN,Referencia nota al pie,SUPERS"/>
    <w:basedOn w:val="a0"/>
    <w:uiPriority w:val="99"/>
    <w:semiHidden/>
    <w:unhideWhenUsed/>
    <w:rsid w:val="00F30F1C"/>
    <w:rPr>
      <w:vertAlign w:val="superscript"/>
    </w:rPr>
  </w:style>
  <w:style w:type="paragraph" w:styleId="aa">
    <w:name w:val="Body Text"/>
    <w:basedOn w:val="a"/>
    <w:link w:val="ab"/>
    <w:uiPriority w:val="1"/>
    <w:qFormat/>
    <w:rsid w:val="00A272F2"/>
    <w:pPr>
      <w:widowControl w:val="0"/>
      <w:autoSpaceDE w:val="0"/>
      <w:autoSpaceDN w:val="0"/>
      <w:ind w:firstLine="0"/>
    </w:pPr>
    <w:rPr>
      <w:rFonts w:ascii="Times New Roman" w:eastAsia="Times New Roman" w:hAnsi="Times New Roman"/>
      <w:sz w:val="20"/>
      <w:szCs w:val="20"/>
      <w:lang w:val="en-US" w:bidi="en-US"/>
    </w:rPr>
  </w:style>
  <w:style w:type="character" w:customStyle="1" w:styleId="ab">
    <w:name w:val="Основной текст Знак"/>
    <w:basedOn w:val="a0"/>
    <w:link w:val="aa"/>
    <w:uiPriority w:val="1"/>
    <w:rsid w:val="00A272F2"/>
    <w:rPr>
      <w:rFonts w:ascii="Times New Roman" w:eastAsia="Times New Roman" w:hAnsi="Times New Roman" w:cs="Times New Roman"/>
      <w:sz w:val="20"/>
      <w:szCs w:val="20"/>
      <w:lang w:val="en-US" w:bidi="en-US"/>
    </w:rPr>
  </w:style>
  <w:style w:type="character" w:customStyle="1" w:styleId="ac">
    <w:name w:val="тескт осн Знак"/>
    <w:basedOn w:val="a0"/>
    <w:link w:val="ad"/>
    <w:locked/>
    <w:rsid w:val="00E27778"/>
    <w:rPr>
      <w:rFonts w:ascii="Times New Roman" w:eastAsia="Times New Roman" w:hAnsi="Times New Roman" w:cs="Times New Roman"/>
      <w:iCs/>
      <w:color w:val="000000"/>
      <w:sz w:val="24"/>
      <w:szCs w:val="24"/>
    </w:rPr>
  </w:style>
  <w:style w:type="paragraph" w:customStyle="1" w:styleId="ad">
    <w:name w:val="тескт осн"/>
    <w:basedOn w:val="a"/>
    <w:link w:val="ac"/>
    <w:qFormat/>
    <w:rsid w:val="00E27778"/>
    <w:pPr>
      <w:spacing w:line="360" w:lineRule="auto"/>
      <w:ind w:firstLine="709"/>
    </w:pPr>
    <w:rPr>
      <w:rFonts w:ascii="Times New Roman" w:eastAsia="Times New Roman" w:hAnsi="Times New Roman"/>
      <w:iCs/>
      <w:color w:val="000000"/>
      <w:sz w:val="24"/>
      <w:szCs w:val="24"/>
    </w:rPr>
  </w:style>
  <w:style w:type="paragraph" w:styleId="ae">
    <w:name w:val="Balloon Text"/>
    <w:basedOn w:val="a"/>
    <w:link w:val="af"/>
    <w:uiPriority w:val="99"/>
    <w:semiHidden/>
    <w:unhideWhenUsed/>
    <w:rsid w:val="00765966"/>
    <w:rPr>
      <w:rFonts w:ascii="Tahoma" w:hAnsi="Tahoma" w:cs="Tahoma"/>
      <w:sz w:val="16"/>
      <w:szCs w:val="16"/>
    </w:rPr>
  </w:style>
  <w:style w:type="character" w:customStyle="1" w:styleId="af">
    <w:name w:val="Текст выноски Знак"/>
    <w:basedOn w:val="a0"/>
    <w:link w:val="ae"/>
    <w:uiPriority w:val="99"/>
    <w:semiHidden/>
    <w:rsid w:val="00765966"/>
    <w:rPr>
      <w:rFonts w:ascii="Tahoma" w:eastAsia="Calibri" w:hAnsi="Tahoma" w:cs="Tahoma"/>
      <w:sz w:val="16"/>
      <w:szCs w:val="16"/>
    </w:rPr>
  </w:style>
  <w:style w:type="character" w:customStyle="1" w:styleId="fontstyle01">
    <w:name w:val="fontstyle01"/>
    <w:basedOn w:val="a0"/>
    <w:rsid w:val="000672DD"/>
    <w:rPr>
      <w:rFonts w:ascii="CharisSIL" w:hAnsi="CharisSIL" w:hint="default"/>
      <w:b w:val="0"/>
      <w:bCs w:val="0"/>
      <w:i w:val="0"/>
      <w:iCs w:val="0"/>
      <w:color w:val="000000"/>
      <w:sz w:val="16"/>
      <w:szCs w:val="16"/>
    </w:rPr>
  </w:style>
  <w:style w:type="character" w:styleId="af0">
    <w:name w:val="Unresolved Mention"/>
    <w:basedOn w:val="a0"/>
    <w:uiPriority w:val="99"/>
    <w:semiHidden/>
    <w:unhideWhenUsed/>
    <w:rsid w:val="00BF2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898190">
      <w:bodyDiv w:val="1"/>
      <w:marLeft w:val="0"/>
      <w:marRight w:val="0"/>
      <w:marTop w:val="0"/>
      <w:marBottom w:val="0"/>
      <w:divBdr>
        <w:top w:val="none" w:sz="0" w:space="0" w:color="auto"/>
        <w:left w:val="none" w:sz="0" w:space="0" w:color="auto"/>
        <w:bottom w:val="none" w:sz="0" w:space="0" w:color="auto"/>
        <w:right w:val="none" w:sz="0" w:space="0" w:color="auto"/>
      </w:divBdr>
    </w:div>
    <w:div w:id="295838340">
      <w:bodyDiv w:val="1"/>
      <w:marLeft w:val="0"/>
      <w:marRight w:val="0"/>
      <w:marTop w:val="0"/>
      <w:marBottom w:val="0"/>
      <w:divBdr>
        <w:top w:val="none" w:sz="0" w:space="0" w:color="auto"/>
        <w:left w:val="none" w:sz="0" w:space="0" w:color="auto"/>
        <w:bottom w:val="none" w:sz="0" w:space="0" w:color="auto"/>
        <w:right w:val="none" w:sz="0" w:space="0" w:color="auto"/>
      </w:divBdr>
    </w:div>
    <w:div w:id="725839737">
      <w:bodyDiv w:val="1"/>
      <w:marLeft w:val="0"/>
      <w:marRight w:val="0"/>
      <w:marTop w:val="0"/>
      <w:marBottom w:val="0"/>
      <w:divBdr>
        <w:top w:val="none" w:sz="0" w:space="0" w:color="auto"/>
        <w:left w:val="none" w:sz="0" w:space="0" w:color="auto"/>
        <w:bottom w:val="none" w:sz="0" w:space="0" w:color="auto"/>
        <w:right w:val="none" w:sz="0" w:space="0" w:color="auto"/>
      </w:divBdr>
    </w:div>
    <w:div w:id="774906372">
      <w:bodyDiv w:val="1"/>
      <w:marLeft w:val="0"/>
      <w:marRight w:val="0"/>
      <w:marTop w:val="0"/>
      <w:marBottom w:val="0"/>
      <w:divBdr>
        <w:top w:val="none" w:sz="0" w:space="0" w:color="auto"/>
        <w:left w:val="none" w:sz="0" w:space="0" w:color="auto"/>
        <w:bottom w:val="none" w:sz="0" w:space="0" w:color="auto"/>
        <w:right w:val="none" w:sz="0" w:space="0" w:color="auto"/>
      </w:divBdr>
    </w:div>
    <w:div w:id="1075084361">
      <w:bodyDiv w:val="1"/>
      <w:marLeft w:val="0"/>
      <w:marRight w:val="0"/>
      <w:marTop w:val="0"/>
      <w:marBottom w:val="0"/>
      <w:divBdr>
        <w:top w:val="none" w:sz="0" w:space="0" w:color="auto"/>
        <w:left w:val="none" w:sz="0" w:space="0" w:color="auto"/>
        <w:bottom w:val="none" w:sz="0" w:space="0" w:color="auto"/>
        <w:right w:val="none" w:sz="0" w:space="0" w:color="auto"/>
      </w:divBdr>
      <w:divsChild>
        <w:div w:id="1486774607">
          <w:marLeft w:val="547"/>
          <w:marRight w:val="0"/>
          <w:marTop w:val="0"/>
          <w:marBottom w:val="0"/>
          <w:divBdr>
            <w:top w:val="none" w:sz="0" w:space="0" w:color="auto"/>
            <w:left w:val="none" w:sz="0" w:space="0" w:color="auto"/>
            <w:bottom w:val="none" w:sz="0" w:space="0" w:color="auto"/>
            <w:right w:val="none" w:sz="0" w:space="0" w:color="auto"/>
          </w:divBdr>
        </w:div>
      </w:divsChild>
    </w:div>
    <w:div w:id="1574662835">
      <w:bodyDiv w:val="1"/>
      <w:marLeft w:val="0"/>
      <w:marRight w:val="0"/>
      <w:marTop w:val="0"/>
      <w:marBottom w:val="0"/>
      <w:divBdr>
        <w:top w:val="none" w:sz="0" w:space="0" w:color="auto"/>
        <w:left w:val="none" w:sz="0" w:space="0" w:color="auto"/>
        <w:bottom w:val="none" w:sz="0" w:space="0" w:color="auto"/>
        <w:right w:val="none" w:sz="0" w:space="0" w:color="auto"/>
      </w:divBdr>
    </w:div>
    <w:div w:id="195660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59570-DFBD-4724-ABA5-DEECD005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2533</Words>
  <Characters>18747</Characters>
  <Application>Microsoft Office Word</Application>
  <DocSecurity>0</DocSecurity>
  <Lines>328</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Титова Наталья Юрьевна</cp:lastModifiedBy>
  <cp:revision>9</cp:revision>
  <dcterms:created xsi:type="dcterms:W3CDTF">2024-10-09T04:41:00Z</dcterms:created>
  <dcterms:modified xsi:type="dcterms:W3CDTF">2024-10-09T11:31:00Z</dcterms:modified>
</cp:coreProperties>
</file>