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42C" w:rsidRPr="001E4AF5" w:rsidRDefault="00BF342C" w:rsidP="00BF342C">
      <w:pPr>
        <w:spacing w:after="0" w:line="240" w:lineRule="auto"/>
        <w:jc w:val="center"/>
        <w:rPr>
          <w:rFonts w:ascii="Times New Roman" w:hAnsi="Times New Roman"/>
          <w:b/>
          <w:sz w:val="24"/>
          <w:szCs w:val="24"/>
          <w:lang w:val="en-US"/>
        </w:rPr>
      </w:pPr>
      <w:bookmarkStart w:id="0" w:name="_GoBack"/>
      <w:bookmarkEnd w:id="0"/>
      <w:r w:rsidRPr="001E4AF5">
        <w:rPr>
          <w:rFonts w:ascii="Times New Roman" w:hAnsi="Times New Roman"/>
          <w:b/>
          <w:sz w:val="24"/>
          <w:szCs w:val="24"/>
          <w:lang w:val="en-US"/>
        </w:rPr>
        <w:t xml:space="preserve">Primorsky region on FDI market: specific features and prospects of cooperation with Vietnam </w:t>
      </w:r>
    </w:p>
    <w:p w:rsidR="00BF342C" w:rsidRPr="001E4AF5" w:rsidRDefault="00BF342C" w:rsidP="00BF342C">
      <w:pPr>
        <w:spacing w:after="0" w:line="240" w:lineRule="auto"/>
        <w:jc w:val="center"/>
        <w:rPr>
          <w:rFonts w:ascii="Times New Roman" w:hAnsi="Times New Roman"/>
          <w:sz w:val="24"/>
          <w:szCs w:val="24"/>
          <w:lang w:val="en-US"/>
        </w:rPr>
      </w:pPr>
      <w:r w:rsidRPr="001E4AF5">
        <w:rPr>
          <w:rFonts w:ascii="Times New Roman" w:hAnsi="Times New Roman"/>
          <w:sz w:val="24"/>
          <w:szCs w:val="24"/>
          <w:lang w:val="en-US"/>
        </w:rPr>
        <w:t>Ekaterina S. Astafieva</w:t>
      </w:r>
    </w:p>
    <w:p w:rsidR="00BF342C" w:rsidRPr="001E4AF5" w:rsidRDefault="00BF342C" w:rsidP="00BF342C">
      <w:pPr>
        <w:spacing w:after="0" w:line="240" w:lineRule="auto"/>
        <w:jc w:val="center"/>
        <w:rPr>
          <w:rFonts w:ascii="Times New Roman" w:hAnsi="Times New Roman"/>
          <w:sz w:val="24"/>
          <w:szCs w:val="24"/>
          <w:lang w:val="en-US"/>
        </w:rPr>
      </w:pPr>
      <w:r w:rsidRPr="001E4AF5">
        <w:rPr>
          <w:rFonts w:ascii="Times New Roman" w:hAnsi="Times New Roman"/>
          <w:sz w:val="24"/>
          <w:szCs w:val="24"/>
          <w:lang w:val="en-US"/>
        </w:rPr>
        <w:t>Economy and planning Department</w:t>
      </w:r>
      <w:r w:rsidR="00FA6E6D">
        <w:rPr>
          <w:rFonts w:ascii="Times New Roman" w:hAnsi="Times New Roman"/>
          <w:sz w:val="24"/>
          <w:szCs w:val="24"/>
          <w:lang w:val="en-US"/>
        </w:rPr>
        <w:t>,</w:t>
      </w:r>
      <w:r w:rsidRPr="001E4AF5">
        <w:rPr>
          <w:rFonts w:ascii="Times New Roman" w:hAnsi="Times New Roman"/>
          <w:sz w:val="24"/>
          <w:szCs w:val="24"/>
          <w:lang w:val="en-US"/>
        </w:rPr>
        <w:t xml:space="preserve">Vladivostok State University of Economics and Service. </w:t>
      </w:r>
    </w:p>
    <w:p w:rsidR="00BF342C" w:rsidRDefault="00BF342C" w:rsidP="00BF342C">
      <w:pPr>
        <w:spacing w:after="0" w:line="240" w:lineRule="auto"/>
        <w:ind w:firstLine="709"/>
        <w:jc w:val="center"/>
        <w:rPr>
          <w:rFonts w:ascii="Times New Roman" w:hAnsi="Times New Roman"/>
          <w:sz w:val="24"/>
          <w:szCs w:val="24"/>
          <w:lang w:val="en-US"/>
        </w:rPr>
      </w:pPr>
      <w:r w:rsidRPr="001E4AF5">
        <w:rPr>
          <w:rFonts w:ascii="Times New Roman" w:hAnsi="Times New Roman"/>
          <w:sz w:val="24"/>
          <w:szCs w:val="24"/>
          <w:lang w:val="en-US"/>
        </w:rPr>
        <w:t>E-mail: Ekaterina.Astafieva@vvsu.ru, 8 (423) 240-40-70</w:t>
      </w:r>
    </w:p>
    <w:p w:rsidR="00FA6E6D" w:rsidRPr="001E4AF5" w:rsidRDefault="00FA6E6D" w:rsidP="00BF342C">
      <w:pPr>
        <w:spacing w:after="0" w:line="240" w:lineRule="auto"/>
        <w:ind w:firstLine="709"/>
        <w:jc w:val="center"/>
        <w:rPr>
          <w:rFonts w:ascii="Times New Roman" w:hAnsi="Times New Roman"/>
          <w:sz w:val="24"/>
          <w:szCs w:val="24"/>
          <w:lang w:val="en-US"/>
        </w:rPr>
      </w:pPr>
    </w:p>
    <w:p w:rsidR="00725189" w:rsidRPr="001E4AF5" w:rsidRDefault="00BF342C" w:rsidP="00FA6E6D">
      <w:pPr>
        <w:spacing w:after="0" w:line="240" w:lineRule="auto"/>
        <w:ind w:firstLine="709"/>
        <w:jc w:val="both"/>
        <w:rPr>
          <w:rFonts w:ascii="Times New Roman" w:hAnsi="Times New Roman"/>
          <w:sz w:val="24"/>
          <w:szCs w:val="24"/>
          <w:lang w:val="en-US"/>
        </w:rPr>
      </w:pPr>
      <w:r w:rsidRPr="001E4AF5">
        <w:rPr>
          <w:rFonts w:ascii="Times New Roman" w:hAnsi="Times New Roman"/>
          <w:sz w:val="24"/>
          <w:szCs w:val="24"/>
          <w:lang w:val="en-US"/>
        </w:rPr>
        <w:t>Primorsky region is one of the most perspective regions of Russia for attracting foreign direct investments. Main benefits of the regions’ investment climate are: vast areas suitable for greenfield and brownfield projects, attractive logistic opportunities (being the Russian Gate to APR), abundance of the resources in short supply in many economies of the APR, high-educated workforce. Primorsky region has unique mineral deposits of germanium, vermiculite, graphite, talc, wolfram and boron, fish and timber supplies, impressive tourist and recreational potential.</w:t>
      </w:r>
      <w:r w:rsidR="00C35C66" w:rsidRPr="001E4AF5">
        <w:rPr>
          <w:rFonts w:ascii="Times New Roman" w:hAnsi="Times New Roman"/>
          <w:sz w:val="24"/>
          <w:szCs w:val="24"/>
          <w:lang w:val="en-US"/>
        </w:rPr>
        <w:t xml:space="preserve"> The region also has well developed transport infrastructure, including railways and seaports. But investment attractiveness is held back by negative factors: the shortage and expensiveness of the workforce in the region, especially in such industries as agriculture, and it is almost impossible to “import” workers from investors’ country because of bureaucratic procedures. Customs and administrative barriers also shut the region from active FDI flows from Korea, Japan and China. </w:t>
      </w:r>
    </w:p>
    <w:p w:rsidR="00C35C66" w:rsidRPr="001E4AF5" w:rsidRDefault="00C35C66" w:rsidP="00FA6E6D">
      <w:pPr>
        <w:spacing w:after="0" w:line="240" w:lineRule="auto"/>
        <w:ind w:firstLine="709"/>
        <w:jc w:val="both"/>
        <w:rPr>
          <w:rFonts w:ascii="Times New Roman" w:hAnsi="Times New Roman"/>
          <w:sz w:val="24"/>
          <w:szCs w:val="24"/>
          <w:lang w:val="en-US"/>
        </w:rPr>
      </w:pPr>
      <w:r w:rsidRPr="001E4AF5">
        <w:rPr>
          <w:rFonts w:ascii="Times New Roman" w:hAnsi="Times New Roman"/>
          <w:sz w:val="24"/>
          <w:szCs w:val="24"/>
          <w:lang w:val="en-US"/>
        </w:rPr>
        <w:t>The government of Primorsky region is struggling to improve investment climate. Among the first measures of FDI attraction in 2013 was the establishment of 6 new institutes of investment development, responsible for investors support, including consulting services, greenfield and brownfield creation, improvement of administrative processes on a “single window” principle (one qualified manager helps foreign investor to solve all the issues considering his project, instead of working with different managers and departments)</w:t>
      </w:r>
      <w:r w:rsidR="001E4AF5" w:rsidRPr="001E4AF5">
        <w:rPr>
          <w:rFonts w:ascii="Times New Roman" w:hAnsi="Times New Roman"/>
          <w:sz w:val="24"/>
          <w:szCs w:val="24"/>
          <w:lang w:val="en-US"/>
        </w:rPr>
        <w:t xml:space="preserve"> and creation of the territories of advanced departments</w:t>
      </w:r>
      <w:r w:rsidRPr="001E4AF5">
        <w:rPr>
          <w:rFonts w:ascii="Times New Roman" w:hAnsi="Times New Roman"/>
          <w:sz w:val="24"/>
          <w:szCs w:val="24"/>
          <w:lang w:val="en-US"/>
        </w:rPr>
        <w:t>. The region also has</w:t>
      </w:r>
      <w:r w:rsidR="001E4AF5" w:rsidRPr="001E4AF5">
        <w:rPr>
          <w:rFonts w:ascii="Times New Roman" w:hAnsi="Times New Roman"/>
          <w:sz w:val="24"/>
          <w:szCs w:val="24"/>
          <w:lang w:val="en-US"/>
        </w:rPr>
        <w:t xml:space="preserve"> well developed</w:t>
      </w:r>
      <w:r w:rsidRPr="001E4AF5">
        <w:rPr>
          <w:rFonts w:ascii="Times New Roman" w:hAnsi="Times New Roman"/>
          <w:sz w:val="24"/>
          <w:szCs w:val="24"/>
          <w:lang w:val="en-US"/>
        </w:rPr>
        <w:t xml:space="preserve"> investment strategy considering main aim</w:t>
      </w:r>
      <w:r w:rsidR="001E4AF5">
        <w:rPr>
          <w:rFonts w:ascii="Times New Roman" w:hAnsi="Times New Roman"/>
          <w:sz w:val="24"/>
          <w:szCs w:val="24"/>
          <w:lang w:val="en-US"/>
        </w:rPr>
        <w:t xml:space="preserve"> to improve investment climate</w:t>
      </w:r>
      <w:r w:rsidRPr="001E4AF5">
        <w:rPr>
          <w:rFonts w:ascii="Times New Roman" w:hAnsi="Times New Roman"/>
          <w:sz w:val="24"/>
          <w:szCs w:val="24"/>
          <w:lang w:val="en-US"/>
        </w:rPr>
        <w:t>,</w:t>
      </w:r>
      <w:r w:rsidR="001E4AF5">
        <w:rPr>
          <w:rFonts w:ascii="Times New Roman" w:hAnsi="Times New Roman"/>
          <w:sz w:val="24"/>
          <w:szCs w:val="24"/>
          <w:lang w:val="en-US"/>
        </w:rPr>
        <w:t xml:space="preserve"> strategic</w:t>
      </w:r>
      <w:r w:rsidRPr="001E4AF5">
        <w:rPr>
          <w:rFonts w:ascii="Times New Roman" w:hAnsi="Times New Roman"/>
          <w:sz w:val="24"/>
          <w:szCs w:val="24"/>
          <w:lang w:val="en-US"/>
        </w:rPr>
        <w:t xml:space="preserve"> targets, key indicators and </w:t>
      </w:r>
      <w:r w:rsidR="001E4AF5" w:rsidRPr="001E4AF5">
        <w:rPr>
          <w:rFonts w:ascii="Times New Roman" w:hAnsi="Times New Roman"/>
          <w:sz w:val="24"/>
          <w:szCs w:val="24"/>
          <w:lang w:val="en-US"/>
        </w:rPr>
        <w:t xml:space="preserve">attendant activities. </w:t>
      </w:r>
    </w:p>
    <w:p w:rsidR="00504136" w:rsidRDefault="001E4AF5" w:rsidP="00FA6E6D">
      <w:pPr>
        <w:spacing w:after="0" w:line="240" w:lineRule="auto"/>
        <w:ind w:firstLine="709"/>
        <w:jc w:val="both"/>
        <w:rPr>
          <w:rFonts w:ascii="Times New Roman" w:hAnsi="Times New Roman"/>
          <w:sz w:val="24"/>
          <w:szCs w:val="24"/>
          <w:lang w:val="en-US"/>
        </w:rPr>
      </w:pPr>
      <w:r w:rsidRPr="001E4AF5">
        <w:rPr>
          <w:rFonts w:ascii="Times New Roman" w:hAnsi="Times New Roman"/>
          <w:sz w:val="24"/>
          <w:szCs w:val="24"/>
          <w:lang w:val="en-US"/>
        </w:rPr>
        <w:t>While future preferable investment industries are well-shown in investment strategy and in projects of territories of the advanced development (transportation and processing of hydrocarbons, gas chemistry and petrochemistry; high-tech products, including automotive and shipbuilding; high-tech transportation projects; innovative agriculture, processing of fish products and mariculture; creatio</w:t>
      </w:r>
      <w:r>
        <w:rPr>
          <w:rFonts w:ascii="Times New Roman" w:hAnsi="Times New Roman"/>
          <w:sz w:val="24"/>
          <w:szCs w:val="24"/>
          <w:lang w:val="en-US"/>
        </w:rPr>
        <w:t>n of a tourism cluster), 2013</w:t>
      </w:r>
      <w:r w:rsidRPr="001E4AF5">
        <w:rPr>
          <w:rFonts w:ascii="Times New Roman" w:hAnsi="Times New Roman"/>
          <w:sz w:val="24"/>
          <w:szCs w:val="24"/>
          <w:lang w:val="en-US"/>
        </w:rPr>
        <w:t xml:space="preserve"> FDI</w:t>
      </w:r>
      <w:r>
        <w:rPr>
          <w:rFonts w:ascii="Times New Roman" w:hAnsi="Times New Roman"/>
          <w:sz w:val="24"/>
          <w:szCs w:val="24"/>
          <w:lang w:val="en-US"/>
        </w:rPr>
        <w:t xml:space="preserve"> inflow</w:t>
      </w:r>
      <w:r w:rsidRPr="001E4AF5">
        <w:rPr>
          <w:rFonts w:ascii="Times New Roman" w:hAnsi="Times New Roman"/>
          <w:sz w:val="24"/>
          <w:szCs w:val="24"/>
          <w:lang w:val="en-US"/>
        </w:rPr>
        <w:t xml:space="preserve"> structure includes manufacturing industry</w:t>
      </w:r>
      <w:r>
        <w:rPr>
          <w:rFonts w:ascii="Times New Roman" w:hAnsi="Times New Roman"/>
          <w:sz w:val="24"/>
          <w:szCs w:val="24"/>
          <w:lang w:val="en-US"/>
        </w:rPr>
        <w:t xml:space="preserve"> (31%)</w:t>
      </w:r>
      <w:r w:rsidRPr="001E4AF5">
        <w:rPr>
          <w:rFonts w:ascii="Times New Roman" w:hAnsi="Times New Roman"/>
          <w:sz w:val="24"/>
          <w:szCs w:val="24"/>
          <w:lang w:val="en-US"/>
        </w:rPr>
        <w:t xml:space="preserve">, </w:t>
      </w:r>
      <w:r>
        <w:rPr>
          <w:rFonts w:ascii="Times New Roman" w:hAnsi="Times New Roman"/>
          <w:sz w:val="24"/>
          <w:szCs w:val="24"/>
          <w:lang w:val="en-US"/>
        </w:rPr>
        <w:t>financial</w:t>
      </w:r>
      <w:r w:rsidRPr="001E4AF5">
        <w:rPr>
          <w:rFonts w:ascii="Times New Roman" w:hAnsi="Times New Roman"/>
          <w:sz w:val="24"/>
          <w:szCs w:val="24"/>
          <w:lang w:val="en-US"/>
        </w:rPr>
        <w:t xml:space="preserve"> </w:t>
      </w:r>
      <w:r>
        <w:rPr>
          <w:rFonts w:ascii="Times New Roman" w:hAnsi="Times New Roman"/>
          <w:sz w:val="24"/>
          <w:szCs w:val="24"/>
          <w:lang w:val="en-US"/>
        </w:rPr>
        <w:t xml:space="preserve">sector (32%), agriculture (16%) and trade (14%). Japan holds 54% of FDI inflow, 40% share belongs to Germany, while South Korea holds 2% and China has 1%, but recent agreements with China will definitely change the </w:t>
      </w:r>
      <w:r w:rsidR="00504136">
        <w:rPr>
          <w:rFonts w:ascii="Times New Roman" w:hAnsi="Times New Roman"/>
          <w:sz w:val="24"/>
          <w:szCs w:val="24"/>
          <w:lang w:val="en-US"/>
        </w:rPr>
        <w:t>structure in 2014.</w:t>
      </w:r>
    </w:p>
    <w:p w:rsidR="001E4AF5" w:rsidRDefault="00504136" w:rsidP="00FA6E6D">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 xml:space="preserve">Investment climate of Primorsky region has some common features with the investment climate of Vietnam. </w:t>
      </w:r>
      <w:r w:rsidRPr="00504136">
        <w:rPr>
          <w:rFonts w:ascii="Times New Roman" w:hAnsi="Times New Roman"/>
          <w:sz w:val="24"/>
          <w:szCs w:val="24"/>
          <w:lang w:val="en-US"/>
        </w:rPr>
        <w:t>Current spheres accumulating Vietnamese outflow investments are: manufacturing, petrochemistry, electricity production, mariculture, tourism, telecommunications and hi-tech products. Vietnam accumulates hi-tech production on its territory and provides healthy economic growth of national industries. It also keeps the balance between expansive Chinese, Korean and Japanese FDI and protection and development of national industries, so the analysis of Vietnamese experience in this sphere would be useful in solving the very same question for Primorsky region. At the same time investment climate of Vietnam still has many issues and is far from perfect: administrative barriers, problems with investor protection, weak financial sector are among negative factors</w:t>
      </w:r>
      <w:r>
        <w:rPr>
          <w:rFonts w:ascii="Times New Roman" w:hAnsi="Times New Roman"/>
          <w:sz w:val="24"/>
          <w:szCs w:val="24"/>
          <w:lang w:val="en-US"/>
        </w:rPr>
        <w:t>.</w:t>
      </w:r>
      <w:r w:rsidR="001E4AF5">
        <w:rPr>
          <w:rFonts w:ascii="Times New Roman" w:hAnsi="Times New Roman"/>
          <w:sz w:val="24"/>
          <w:szCs w:val="24"/>
          <w:lang w:val="en-US"/>
        </w:rPr>
        <w:t xml:space="preserve">  </w:t>
      </w:r>
    </w:p>
    <w:p w:rsidR="00504136" w:rsidRPr="001E4AF5" w:rsidRDefault="00504136" w:rsidP="00FA6E6D">
      <w:pPr>
        <w:pStyle w:val="a3"/>
        <w:spacing w:after="0" w:line="240" w:lineRule="auto"/>
        <w:ind w:left="0" w:firstLine="709"/>
        <w:contextualSpacing w:val="0"/>
        <w:jc w:val="both"/>
        <w:rPr>
          <w:sz w:val="24"/>
          <w:szCs w:val="24"/>
          <w:lang w:val="en-US"/>
        </w:rPr>
      </w:pPr>
      <w:r w:rsidRPr="00504136">
        <w:rPr>
          <w:rFonts w:ascii="Times New Roman" w:hAnsi="Times New Roman"/>
          <w:sz w:val="24"/>
          <w:szCs w:val="24"/>
          <w:lang w:val="en-US"/>
        </w:rPr>
        <w:t>Primorsky region and Vietnam have some common features and can share the experience of improving investment climate and attracting healthy investments adjustable for economic growth. Vietnamese investment interests are also adjustable to Primorsky’ Territories of the advanced development. Hopefully, the promotional target of Primorsky’ investment strategy will include informing Vietnamese investors about investment opportunities in the region, and scientific community of Vietnam and Primorsky region will work out common methods of improving investment climate based on the experience of both territories and the ideas of mutual investment cooperation.</w:t>
      </w:r>
    </w:p>
    <w:sectPr w:rsidR="00504136" w:rsidRPr="001E4AF5" w:rsidSect="007251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42C"/>
    <w:rsid w:val="0007339D"/>
    <w:rsid w:val="001E4AF5"/>
    <w:rsid w:val="00504136"/>
    <w:rsid w:val="00725189"/>
    <w:rsid w:val="00BF342C"/>
    <w:rsid w:val="00C35C66"/>
    <w:rsid w:val="00FA6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42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41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42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41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645</Words>
  <Characters>3677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Астафьева</dc:creator>
  <cp:keywords/>
  <dc:description/>
  <cp:lastModifiedBy>Сергеева Галина</cp:lastModifiedBy>
  <cp:revision>2</cp:revision>
  <dcterms:created xsi:type="dcterms:W3CDTF">2014-06-16T05:25:00Z</dcterms:created>
  <dcterms:modified xsi:type="dcterms:W3CDTF">2014-06-16T05:25:00Z</dcterms:modified>
</cp:coreProperties>
</file>