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EF9436" w14:textId="690CDDF0" w:rsidR="007264CF" w:rsidRDefault="348AAA25" w:rsidP="348AAA25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348AAA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Предложение по разработке туристического маршрута </w:t>
      </w:r>
    </w:p>
    <w:p w14:paraId="501817AE" w14:textId="3CB29BF2" w:rsidR="007264CF" w:rsidRDefault="22349D81" w:rsidP="226EE195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22349D81">
        <w:rPr>
          <w:rFonts w:ascii="Times New Roman" w:eastAsia="Times New Roman" w:hAnsi="Times New Roman" w:cs="Times New Roman"/>
          <w:b/>
          <w:bCs/>
          <w:sz w:val="24"/>
          <w:szCs w:val="24"/>
        </w:rPr>
        <w:t>«Луговая — Мариинский театр — Нагорный парк — ТЦ Приморье»</w:t>
      </w:r>
    </w:p>
    <w:p w14:paraId="0356419F" w14:textId="06E74296" w:rsidR="226EE195" w:rsidRDefault="226EE195" w:rsidP="226EE1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226EE195">
        <w:rPr>
          <w:rFonts w:ascii="Times New Roman" w:eastAsia="Times New Roman" w:hAnsi="Times New Roman" w:cs="Times New Roman"/>
          <w:sz w:val="24"/>
          <w:szCs w:val="24"/>
        </w:rPr>
        <w:t>Борвенко</w:t>
      </w:r>
      <w:proofErr w:type="spellEnd"/>
      <w:r w:rsidRPr="226EE195">
        <w:rPr>
          <w:rFonts w:ascii="Times New Roman" w:eastAsia="Times New Roman" w:hAnsi="Times New Roman" w:cs="Times New Roman"/>
          <w:sz w:val="24"/>
          <w:szCs w:val="24"/>
        </w:rPr>
        <w:t xml:space="preserve"> Арина Александровна,</w:t>
      </w:r>
    </w:p>
    <w:p w14:paraId="397E371E" w14:textId="1E4A5FAB" w:rsidR="226EE195" w:rsidRDefault="226EE195" w:rsidP="226EE1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226EE195">
        <w:rPr>
          <w:rFonts w:ascii="Times New Roman" w:eastAsia="Times New Roman" w:hAnsi="Times New Roman" w:cs="Times New Roman"/>
          <w:sz w:val="24"/>
          <w:szCs w:val="24"/>
        </w:rPr>
        <w:t>бакалавр</w:t>
      </w:r>
    </w:p>
    <w:p w14:paraId="4DCC7BE5" w14:textId="6660A841" w:rsidR="226EE195" w:rsidRDefault="226EE195" w:rsidP="226EE1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226EE195">
        <w:rPr>
          <w:rFonts w:ascii="Times New Roman" w:eastAsia="Times New Roman" w:hAnsi="Times New Roman" w:cs="Times New Roman"/>
          <w:sz w:val="24"/>
          <w:szCs w:val="24"/>
        </w:rPr>
        <w:t>Мячин</w:t>
      </w:r>
      <w:proofErr w:type="spellEnd"/>
      <w:r w:rsidRPr="226EE195">
        <w:rPr>
          <w:rFonts w:ascii="Times New Roman" w:eastAsia="Times New Roman" w:hAnsi="Times New Roman" w:cs="Times New Roman"/>
          <w:sz w:val="24"/>
          <w:szCs w:val="24"/>
        </w:rPr>
        <w:t xml:space="preserve"> Даниил Андреевич,</w:t>
      </w:r>
    </w:p>
    <w:p w14:paraId="2A653A70" w14:textId="3F9411AD" w:rsidR="226EE195" w:rsidRDefault="348AAA25" w:rsidP="226EE1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бакалавр</w:t>
      </w:r>
    </w:p>
    <w:p w14:paraId="027F0879" w14:textId="4809397B" w:rsidR="348AAA25" w:rsidRDefault="348AAA25" w:rsidP="348AAA2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Попова Галина Ивановна,</w:t>
      </w:r>
    </w:p>
    <w:p w14:paraId="26DA47F7" w14:textId="3439454D" w:rsidR="348AAA25" w:rsidRDefault="348AAA25" w:rsidP="348AAA2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старший преподаватель</w:t>
      </w:r>
    </w:p>
    <w:p w14:paraId="40F2A545" w14:textId="6B4E74C1" w:rsidR="226EE195" w:rsidRDefault="226EE195" w:rsidP="226EE195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226EE195">
        <w:rPr>
          <w:rFonts w:ascii="Times New Roman" w:eastAsia="Times New Roman" w:hAnsi="Times New Roman" w:cs="Times New Roman"/>
          <w:i/>
          <w:iCs/>
          <w:sz w:val="24"/>
          <w:szCs w:val="24"/>
        </w:rPr>
        <w:t>Владивостокский государственный университет</w:t>
      </w:r>
    </w:p>
    <w:p w14:paraId="4ACEEBC3" w14:textId="7A408FF7" w:rsidR="226EE195" w:rsidRDefault="226EE195" w:rsidP="226EE195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226EE195">
        <w:rPr>
          <w:rFonts w:ascii="Times New Roman" w:eastAsia="Times New Roman" w:hAnsi="Times New Roman" w:cs="Times New Roman"/>
          <w:i/>
          <w:iCs/>
          <w:sz w:val="24"/>
          <w:szCs w:val="24"/>
        </w:rPr>
        <w:t>Россия. Владивосток</w:t>
      </w:r>
    </w:p>
    <w:p w14:paraId="750D2010" w14:textId="38839A4F" w:rsidR="226EE195" w:rsidRDefault="226EE195" w:rsidP="226EE1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226EE195">
        <w:rPr>
          <w:rFonts w:ascii="Times New Roman" w:eastAsia="Times New Roman" w:hAnsi="Times New Roman" w:cs="Times New Roman"/>
          <w:sz w:val="24"/>
          <w:szCs w:val="24"/>
        </w:rPr>
        <w:t>Email</w:t>
      </w:r>
      <w:proofErr w:type="spellEnd"/>
      <w:r w:rsidRPr="226EE195">
        <w:rPr>
          <w:rFonts w:ascii="Times New Roman" w:eastAsia="Times New Roman" w:hAnsi="Times New Roman" w:cs="Times New Roman"/>
          <w:sz w:val="24"/>
          <w:szCs w:val="24"/>
        </w:rPr>
        <w:t>: daniil.rush@mail.ru; Тел. +79146773327</w:t>
      </w:r>
    </w:p>
    <w:p w14:paraId="36AECC57" w14:textId="6DA489F7" w:rsidR="226EE195" w:rsidRDefault="348AAA25" w:rsidP="226EE1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ул. Гоголя, 41, г. Владивосток, Приморский край, Россия, 690014</w:t>
      </w:r>
    </w:p>
    <w:p w14:paraId="4E66A1D7" w14:textId="5B926420" w:rsidR="348AAA2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 статье рассказывается о разработке маршрута в городе Владивосток, который соединяет два туристических района, предоставляя жителям и посетителям уникальные возможности для осмотра достопримечательностей и </w:t>
      </w:r>
      <w:proofErr w:type="gramStart"/>
      <w:r w:rsidRPr="348AAA25">
        <w:rPr>
          <w:rFonts w:ascii="Times New Roman" w:eastAsia="Times New Roman" w:hAnsi="Times New Roman" w:cs="Times New Roman"/>
          <w:i/>
          <w:iCs/>
          <w:sz w:val="24"/>
          <w:szCs w:val="24"/>
        </w:rPr>
        <w:t>парковых зон</w:t>
      </w:r>
      <w:proofErr w:type="gramEnd"/>
      <w:r w:rsidRPr="348AAA2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и комфорта их посещения.</w:t>
      </w:r>
    </w:p>
    <w:p w14:paraId="46AEBE5C" w14:textId="773FBB73" w:rsidR="226EE19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Ключевые слова и словосочетания: </w:t>
      </w:r>
      <w:r w:rsidRPr="348AAA2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разработка маршрута, туристические зоны, город Владивосток, остановочные пункты. </w:t>
      </w:r>
    </w:p>
    <w:p w14:paraId="7769727A" w14:textId="29C330B2" w:rsidR="4E7B97A5" w:rsidRPr="00815B05" w:rsidRDefault="348AAA25" w:rsidP="348AAA25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US"/>
        </w:rPr>
      </w:pPr>
      <w:r w:rsidRPr="00815B05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US"/>
        </w:rPr>
        <w:t xml:space="preserve">Proposal for the development of a tourist route </w:t>
      </w:r>
    </w:p>
    <w:p w14:paraId="613820B2" w14:textId="5E973890" w:rsidR="4E7B97A5" w:rsidRPr="00815B05" w:rsidRDefault="22349D81" w:rsidP="348AAA25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</w:pPr>
      <w:r w:rsidRPr="00815B05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US"/>
        </w:rPr>
        <w:t>«Lugovaya — Mariinsky Theater — Nagorny Park — Primorye Shopping Center»</w:t>
      </w:r>
    </w:p>
    <w:p w14:paraId="2B0D2227" w14:textId="6C16AF13" w:rsidR="348AAA25" w:rsidRPr="00815B05" w:rsidRDefault="348AAA25" w:rsidP="348AAA25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en-US"/>
        </w:rPr>
      </w:pPr>
      <w:r w:rsidRPr="00815B05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en-US"/>
        </w:rPr>
        <w:t>The article describes the development of a route in the city of Vladivostok, which connects two tourist areas, providing residents and visitors with unique opportunities for sightseeing and park areas and the comfort of their visits.</w:t>
      </w:r>
    </w:p>
    <w:p w14:paraId="6CBF5B45" w14:textId="66394945" w:rsidR="226EE195" w:rsidRPr="00815B0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815B0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Keywords: </w:t>
      </w:r>
      <w:r w:rsidRPr="00815B05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development of the route, tourist zones, the city of Vladivostok, stopping points.</w:t>
      </w:r>
    </w:p>
    <w:p w14:paraId="431A9876" w14:textId="7A6A6D07" w:rsidR="226EE19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Владивосток – город на востоке России, где встречаются две мощи – суровая красота природы и динамичность большого мегаполиса. В последние годы город стремительно развивается, привлекая все больше туристов и жителей, что ставит перед муниципалитетом новые задачи в области общественного транспорта и разработки новых туристических маршрутов.</w:t>
      </w:r>
    </w:p>
    <w:p w14:paraId="7CBDC725" w14:textId="4F2E04B0" w:rsidR="226EE19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Рассматривая туристические зоны «Нагорный парк», «Сопка Бурачка», выявлены следующие проблемы. Первой проблемой двух данных зон является сложность подъезда к ним собственным автомобильным транспортом, что создает транспортные заторы. Также в зонах либо отсутствует, либо слишком малая парковочная зона, в связи с чем гостям и жителям города Владивостока приходится оставлять свои транспортные средства вдоль проезжей части. Третья проблема является следствием первых двух и заключается в невозможности подъезда общественного транспорта к остановочным пунктам вблизи туристических зон.</w:t>
      </w:r>
    </w:p>
    <w:p w14:paraId="68D8A3A5" w14:textId="6BAAA82F" w:rsidR="226EE19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Исходя из актуальной потребности в эффективной транспортной сети, выдвинуто предложение о разработке нового пассажирского маршрута «Луговая — Мариинский театр —Нагорный парк — ТЦ Приморье», способного обслуживать основные районы города, а также </w:t>
      </w:r>
      <w:r w:rsidRPr="348AAA2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обеспечивать комфортный и быстрый доступ туристов и жителей к основным достопримечательностям и объектам инфраструктуры. </w:t>
      </w:r>
    </w:p>
    <w:p w14:paraId="00FDDA20" w14:textId="445928EC" w:rsidR="4E7B97A5" w:rsidRDefault="348AAA25" w:rsidP="4E7B97A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При разработке данного маршрута было учтено множество факторов, таких как населенность районов, рабочие зоны, туристические объекты, торговые центры, учебные заведения и другие важные точки притяжения для пассажиров. </w:t>
      </w:r>
    </w:p>
    <w:p w14:paraId="7E1A596F" w14:textId="2534E014" w:rsidR="4E7B97A5" w:rsidRDefault="348AAA25" w:rsidP="4E7B97A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Населенность Ленинского</w:t>
      </w:r>
      <w:r w:rsidR="00815B05" w:rsidRPr="00815B05">
        <w:rPr>
          <w:rFonts w:ascii="Times New Roman" w:eastAsia="Times New Roman" w:hAnsi="Times New Roman" w:cs="Times New Roman"/>
          <w:sz w:val="24"/>
          <w:szCs w:val="24"/>
        </w:rPr>
        <w:t xml:space="preserve"> [1]</w:t>
      </w:r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 и Первомайского</w:t>
      </w:r>
      <w:r w:rsidR="00815B05" w:rsidRPr="00815B05">
        <w:rPr>
          <w:rFonts w:ascii="Times New Roman" w:eastAsia="Times New Roman" w:hAnsi="Times New Roman" w:cs="Times New Roman"/>
          <w:sz w:val="24"/>
          <w:szCs w:val="24"/>
        </w:rPr>
        <w:t xml:space="preserve"> [2]</w:t>
      </w:r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 районов города Владивостока, где располагаются «Нагорный парк» и «Сопка Бурачка» соответственно, по данным источника рав</w:t>
      </w:r>
      <w:r w:rsidR="00815B05">
        <w:rPr>
          <w:rFonts w:ascii="Times New Roman" w:eastAsia="Times New Roman" w:hAnsi="Times New Roman" w:cs="Times New Roman"/>
          <w:sz w:val="24"/>
          <w:szCs w:val="24"/>
        </w:rPr>
        <w:t>на 151 067 и 153 618 человек</w:t>
      </w:r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44EED74" w14:textId="1AAA5760" w:rsidR="4E7B97A5" w:rsidRDefault="4E7B97A5" w:rsidP="4E7B97A5">
      <w:pPr>
        <w:spacing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4E7B97A5">
        <w:rPr>
          <w:rFonts w:ascii="Times New Roman" w:eastAsia="Times New Roman" w:hAnsi="Times New Roman" w:cs="Times New Roman"/>
          <w:i/>
          <w:iCs/>
          <w:sz w:val="24"/>
          <w:szCs w:val="24"/>
        </w:rPr>
        <w:t>Таблица 1</w:t>
      </w:r>
    </w:p>
    <w:p w14:paraId="67D2AB42" w14:textId="5676B86E" w:rsidR="4E7B97A5" w:rsidRDefault="4E7B97A5" w:rsidP="4E7B97A5">
      <w:pPr>
        <w:spacing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4E7B97A5">
        <w:rPr>
          <w:rFonts w:ascii="Times New Roman" w:eastAsia="Times New Roman" w:hAnsi="Times New Roman" w:cs="Times New Roman"/>
          <w:b/>
          <w:bCs/>
          <w:sz w:val="24"/>
          <w:szCs w:val="24"/>
        </w:rPr>
        <w:t>Данные опроса по посещению Нагорного парка посетителями разных районов города</w:t>
      </w:r>
    </w:p>
    <w:tbl>
      <w:tblPr>
        <w:tblStyle w:val="a3"/>
        <w:tblW w:w="0" w:type="auto"/>
        <w:tblLayout w:type="fixed"/>
        <w:tblLook w:val="06A0" w:firstRow="1" w:lastRow="0" w:firstColumn="1" w:lastColumn="0" w:noHBand="1" w:noVBand="1"/>
      </w:tblPr>
      <w:tblGrid>
        <w:gridCol w:w="4635"/>
        <w:gridCol w:w="3330"/>
        <w:gridCol w:w="1665"/>
      </w:tblGrid>
      <w:tr w:rsidR="4E7B97A5" w14:paraId="1646715C" w14:textId="77777777" w:rsidTr="348AAA25">
        <w:trPr>
          <w:trHeight w:val="300"/>
        </w:trPr>
        <w:tc>
          <w:tcPr>
            <w:tcW w:w="4635" w:type="dxa"/>
            <w:vAlign w:val="center"/>
          </w:tcPr>
          <w:p w14:paraId="02CF5485" w14:textId="5B74CD4B" w:rsidR="4E7B97A5" w:rsidRDefault="348AAA25" w:rsidP="348AAA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48AAA25">
              <w:rPr>
                <w:rFonts w:ascii="Times New Roman" w:eastAsia="Times New Roman" w:hAnsi="Times New Roman" w:cs="Times New Roman"/>
                <w:sz w:val="24"/>
                <w:szCs w:val="24"/>
              </w:rPr>
              <w:t>Неофициальное зонирование города Владивостока</w:t>
            </w:r>
          </w:p>
        </w:tc>
        <w:tc>
          <w:tcPr>
            <w:tcW w:w="3330" w:type="dxa"/>
            <w:vAlign w:val="center"/>
          </w:tcPr>
          <w:p w14:paraId="7AFB506F" w14:textId="7BE2BFED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посетителей, чел</w:t>
            </w:r>
          </w:p>
        </w:tc>
        <w:tc>
          <w:tcPr>
            <w:tcW w:w="1665" w:type="dxa"/>
            <w:vAlign w:val="center"/>
          </w:tcPr>
          <w:p w14:paraId="1EF7575D" w14:textId="16A0AE40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4E7B97A5" w14:paraId="47590F94" w14:textId="77777777" w:rsidTr="348AAA25">
        <w:trPr>
          <w:trHeight w:val="300"/>
        </w:trPr>
        <w:tc>
          <w:tcPr>
            <w:tcW w:w="4635" w:type="dxa"/>
          </w:tcPr>
          <w:p w14:paraId="5C4766B0" w14:textId="2F99BF98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«Луговая»</w:t>
            </w:r>
          </w:p>
        </w:tc>
        <w:tc>
          <w:tcPr>
            <w:tcW w:w="3330" w:type="dxa"/>
          </w:tcPr>
          <w:p w14:paraId="602F2845" w14:textId="4691360B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2 995</w:t>
            </w:r>
          </w:p>
        </w:tc>
        <w:tc>
          <w:tcPr>
            <w:tcW w:w="1665" w:type="dxa"/>
            <w:vAlign w:val="center"/>
          </w:tcPr>
          <w:p w14:paraId="25F66633" w14:textId="15E66D68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24%</w:t>
            </w:r>
          </w:p>
        </w:tc>
      </w:tr>
      <w:tr w:rsidR="4E7B97A5" w14:paraId="4374BBB7" w14:textId="77777777" w:rsidTr="348AAA25">
        <w:trPr>
          <w:trHeight w:val="300"/>
        </w:trPr>
        <w:tc>
          <w:tcPr>
            <w:tcW w:w="4635" w:type="dxa"/>
          </w:tcPr>
          <w:p w14:paraId="1009EAAC" w14:textId="4BF79849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«Чуркин»</w:t>
            </w:r>
          </w:p>
        </w:tc>
        <w:tc>
          <w:tcPr>
            <w:tcW w:w="3330" w:type="dxa"/>
          </w:tcPr>
          <w:p w14:paraId="2293C32F" w14:textId="52F68895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4 678</w:t>
            </w:r>
          </w:p>
        </w:tc>
        <w:tc>
          <w:tcPr>
            <w:tcW w:w="1665" w:type="dxa"/>
            <w:vAlign w:val="center"/>
          </w:tcPr>
          <w:p w14:paraId="4241CBE2" w14:textId="24B76829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38%</w:t>
            </w:r>
          </w:p>
        </w:tc>
      </w:tr>
      <w:tr w:rsidR="4E7B97A5" w14:paraId="09EFD2F3" w14:textId="77777777" w:rsidTr="348AAA25">
        <w:trPr>
          <w:trHeight w:val="300"/>
        </w:trPr>
        <w:tc>
          <w:tcPr>
            <w:tcW w:w="4635" w:type="dxa"/>
          </w:tcPr>
          <w:p w14:paraId="6FA9621F" w14:textId="156B97FB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«Центр»</w:t>
            </w:r>
          </w:p>
        </w:tc>
        <w:tc>
          <w:tcPr>
            <w:tcW w:w="3330" w:type="dxa"/>
          </w:tcPr>
          <w:p w14:paraId="5E5C76E7" w14:textId="147C2878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1 847</w:t>
            </w:r>
          </w:p>
        </w:tc>
        <w:tc>
          <w:tcPr>
            <w:tcW w:w="1665" w:type="dxa"/>
            <w:vAlign w:val="center"/>
          </w:tcPr>
          <w:p w14:paraId="6BC6D4B4" w14:textId="56EF49D7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15%</w:t>
            </w:r>
          </w:p>
        </w:tc>
      </w:tr>
      <w:tr w:rsidR="4E7B97A5" w14:paraId="48527206" w14:textId="77777777" w:rsidTr="348AAA25">
        <w:trPr>
          <w:trHeight w:val="300"/>
        </w:trPr>
        <w:tc>
          <w:tcPr>
            <w:tcW w:w="4635" w:type="dxa"/>
          </w:tcPr>
          <w:p w14:paraId="034DD26E" w14:textId="417E51E2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«Первая речка»</w:t>
            </w:r>
          </w:p>
        </w:tc>
        <w:tc>
          <w:tcPr>
            <w:tcW w:w="3330" w:type="dxa"/>
          </w:tcPr>
          <w:p w14:paraId="3489FDB8" w14:textId="5956C923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1 108</w:t>
            </w:r>
          </w:p>
        </w:tc>
        <w:tc>
          <w:tcPr>
            <w:tcW w:w="1665" w:type="dxa"/>
            <w:vAlign w:val="center"/>
          </w:tcPr>
          <w:p w14:paraId="45AD20E5" w14:textId="0969DEB6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9%</w:t>
            </w:r>
          </w:p>
        </w:tc>
      </w:tr>
      <w:tr w:rsidR="4E7B97A5" w14:paraId="49262911" w14:textId="77777777" w:rsidTr="348AAA25">
        <w:trPr>
          <w:trHeight w:val="300"/>
        </w:trPr>
        <w:tc>
          <w:tcPr>
            <w:tcW w:w="4635" w:type="dxa"/>
          </w:tcPr>
          <w:p w14:paraId="142F2DCA" w14:textId="69F98626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«О. Русский»</w:t>
            </w:r>
          </w:p>
        </w:tc>
        <w:tc>
          <w:tcPr>
            <w:tcW w:w="3330" w:type="dxa"/>
          </w:tcPr>
          <w:p w14:paraId="4611A62F" w14:textId="73788CCE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738</w:t>
            </w:r>
          </w:p>
        </w:tc>
        <w:tc>
          <w:tcPr>
            <w:tcW w:w="1665" w:type="dxa"/>
            <w:vAlign w:val="center"/>
          </w:tcPr>
          <w:p w14:paraId="519E6707" w14:textId="67BF7E2D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4E7B97A5" w14:paraId="449DE68C" w14:textId="77777777" w:rsidTr="348AAA25">
        <w:trPr>
          <w:trHeight w:val="300"/>
        </w:trPr>
        <w:tc>
          <w:tcPr>
            <w:tcW w:w="4635" w:type="dxa"/>
          </w:tcPr>
          <w:p w14:paraId="722B3ECB" w14:textId="115C54E7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«Вторая речка»</w:t>
            </w:r>
          </w:p>
        </w:tc>
        <w:tc>
          <w:tcPr>
            <w:tcW w:w="3330" w:type="dxa"/>
          </w:tcPr>
          <w:p w14:paraId="60C37C87" w14:textId="11F6C202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985</w:t>
            </w:r>
          </w:p>
        </w:tc>
        <w:tc>
          <w:tcPr>
            <w:tcW w:w="1665" w:type="dxa"/>
            <w:vAlign w:val="center"/>
          </w:tcPr>
          <w:p w14:paraId="22748C61" w14:textId="5D03F625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8%</w:t>
            </w:r>
          </w:p>
        </w:tc>
      </w:tr>
      <w:tr w:rsidR="4E7B97A5" w14:paraId="040B9414" w14:textId="77777777" w:rsidTr="348AAA25">
        <w:trPr>
          <w:trHeight w:val="300"/>
        </w:trPr>
        <w:tc>
          <w:tcPr>
            <w:tcW w:w="4635" w:type="dxa"/>
          </w:tcPr>
          <w:p w14:paraId="2CD65EDD" w14:textId="7C57CF87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Итог:</w:t>
            </w:r>
          </w:p>
        </w:tc>
        <w:tc>
          <w:tcPr>
            <w:tcW w:w="3330" w:type="dxa"/>
          </w:tcPr>
          <w:p w14:paraId="7077AFFD" w14:textId="23BD43A4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12 311</w:t>
            </w:r>
          </w:p>
        </w:tc>
        <w:tc>
          <w:tcPr>
            <w:tcW w:w="1665" w:type="dxa"/>
            <w:vAlign w:val="center"/>
          </w:tcPr>
          <w:p w14:paraId="1FF64487" w14:textId="7A7228E3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14:paraId="001B729B" w14:textId="599687FD" w:rsidR="4E7B97A5" w:rsidRDefault="348AAA25" w:rsidP="348AAA25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Исходя из опроса посетителей Нагорного парка в таблице 1, выбор маршрута является оправданным, что снизит проблему паркинга на территории парка и позволит увеличить проходимость зоны, которая отражена в таблице 2 и в рисунке 1 по данным кофейни (специализированного кофе-магазина) «</w:t>
      </w:r>
      <w:proofErr w:type="spellStart"/>
      <w:r w:rsidRPr="348AAA25">
        <w:rPr>
          <w:rFonts w:ascii="Times New Roman" w:eastAsia="Times New Roman" w:hAnsi="Times New Roman" w:cs="Times New Roman"/>
          <w:sz w:val="24"/>
          <w:szCs w:val="24"/>
        </w:rPr>
        <w:t>Kafema</w:t>
      </w:r>
      <w:proofErr w:type="spellEnd"/>
      <w:r w:rsidRPr="348AAA25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4CDA2F26" w14:textId="718331FA" w:rsidR="226EE195" w:rsidRDefault="4E7B97A5" w:rsidP="226EE195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4E7B97A5">
        <w:rPr>
          <w:rFonts w:ascii="Times New Roman" w:eastAsia="Times New Roman" w:hAnsi="Times New Roman" w:cs="Times New Roman"/>
          <w:i/>
          <w:iCs/>
          <w:sz w:val="24"/>
          <w:szCs w:val="24"/>
        </w:rPr>
        <w:t>Таблица 2</w:t>
      </w:r>
    </w:p>
    <w:p w14:paraId="6E740EE2" w14:textId="621C0CCE" w:rsidR="226EE195" w:rsidRDefault="226EE195" w:rsidP="226EE195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226EE195">
        <w:rPr>
          <w:rFonts w:ascii="Times New Roman" w:eastAsia="Times New Roman" w:hAnsi="Times New Roman" w:cs="Times New Roman"/>
          <w:b/>
          <w:bCs/>
          <w:sz w:val="24"/>
          <w:szCs w:val="24"/>
        </w:rPr>
        <w:t>Средняя проходимость туристической зоны «Нагорный парк» за год</w:t>
      </w:r>
    </w:p>
    <w:tbl>
      <w:tblPr>
        <w:tblStyle w:val="a3"/>
        <w:tblW w:w="9765" w:type="dxa"/>
        <w:tblLayout w:type="fixed"/>
        <w:tblLook w:val="06A0" w:firstRow="1" w:lastRow="0" w:firstColumn="1" w:lastColumn="0" w:noHBand="1" w:noVBand="1"/>
      </w:tblPr>
      <w:tblGrid>
        <w:gridCol w:w="2325"/>
        <w:gridCol w:w="2775"/>
        <w:gridCol w:w="2325"/>
        <w:gridCol w:w="2340"/>
      </w:tblGrid>
      <w:tr w:rsidR="226EE195" w14:paraId="7F89034D" w14:textId="77777777" w:rsidTr="4E7B97A5">
        <w:trPr>
          <w:trHeight w:val="300"/>
        </w:trPr>
        <w:tc>
          <w:tcPr>
            <w:tcW w:w="2325" w:type="dxa"/>
          </w:tcPr>
          <w:p w14:paraId="152E8199" w14:textId="57FB1FDF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2775" w:type="dxa"/>
          </w:tcPr>
          <w:p w14:paraId="786C7289" w14:textId="39AF6ADA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Проходимость в будние дни, чел.</w:t>
            </w:r>
          </w:p>
        </w:tc>
        <w:tc>
          <w:tcPr>
            <w:tcW w:w="2325" w:type="dxa"/>
          </w:tcPr>
          <w:p w14:paraId="77E2749D" w14:textId="7E434FBA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Проходимость в выходные дни, чел.</w:t>
            </w:r>
          </w:p>
        </w:tc>
        <w:tc>
          <w:tcPr>
            <w:tcW w:w="2340" w:type="dxa"/>
          </w:tcPr>
          <w:p w14:paraId="43C665F4" w14:textId="58B5108C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Месячная проходимость, чел </w:t>
            </w:r>
          </w:p>
        </w:tc>
      </w:tr>
      <w:tr w:rsidR="226EE195" w14:paraId="20D2AEC7" w14:textId="77777777" w:rsidTr="4E7B97A5">
        <w:trPr>
          <w:trHeight w:val="300"/>
        </w:trPr>
        <w:tc>
          <w:tcPr>
            <w:tcW w:w="2325" w:type="dxa"/>
          </w:tcPr>
          <w:p w14:paraId="4EF227D7" w14:textId="7B0F4648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75" w:type="dxa"/>
          </w:tcPr>
          <w:p w14:paraId="2336F3A1" w14:textId="7EC674CB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1 020</w:t>
            </w:r>
          </w:p>
        </w:tc>
        <w:tc>
          <w:tcPr>
            <w:tcW w:w="2325" w:type="dxa"/>
          </w:tcPr>
          <w:p w14:paraId="38FC12FD" w14:textId="16D25B56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1 400</w:t>
            </w:r>
          </w:p>
        </w:tc>
        <w:tc>
          <w:tcPr>
            <w:tcW w:w="2340" w:type="dxa"/>
          </w:tcPr>
          <w:p w14:paraId="1CC9AB3F" w14:textId="0C37CD59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2 420</w:t>
            </w:r>
          </w:p>
        </w:tc>
      </w:tr>
      <w:tr w:rsidR="226EE195" w14:paraId="1ECCFEB3" w14:textId="77777777" w:rsidTr="4E7B97A5">
        <w:trPr>
          <w:trHeight w:val="300"/>
        </w:trPr>
        <w:tc>
          <w:tcPr>
            <w:tcW w:w="2325" w:type="dxa"/>
          </w:tcPr>
          <w:p w14:paraId="1C7006E5" w14:textId="0A7DAE69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75" w:type="dxa"/>
          </w:tcPr>
          <w:p w14:paraId="1BDAE6B8" w14:textId="3CCF2DEC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2325" w:type="dxa"/>
          </w:tcPr>
          <w:p w14:paraId="5B200EAD" w14:textId="198B9C7D" w:rsidR="226EE195" w:rsidRDefault="226EE195" w:rsidP="226EE195">
            <w:pPr>
              <w:spacing w:line="259" w:lineRule="auto"/>
              <w:jc w:val="center"/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2340" w:type="dxa"/>
          </w:tcPr>
          <w:p w14:paraId="02BEDDA9" w14:textId="1D464F41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1 260</w:t>
            </w:r>
          </w:p>
        </w:tc>
      </w:tr>
      <w:tr w:rsidR="226EE195" w14:paraId="5BB3F070" w14:textId="77777777" w:rsidTr="4E7B97A5">
        <w:trPr>
          <w:trHeight w:val="300"/>
        </w:trPr>
        <w:tc>
          <w:tcPr>
            <w:tcW w:w="2325" w:type="dxa"/>
          </w:tcPr>
          <w:p w14:paraId="7E9B3B18" w14:textId="45C2773B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75" w:type="dxa"/>
          </w:tcPr>
          <w:p w14:paraId="650B2F25" w14:textId="2B0B1F98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6 160</w:t>
            </w:r>
          </w:p>
        </w:tc>
        <w:tc>
          <w:tcPr>
            <w:tcW w:w="2325" w:type="dxa"/>
          </w:tcPr>
          <w:p w14:paraId="16BDB6B4" w14:textId="66992A3B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2 700</w:t>
            </w:r>
          </w:p>
        </w:tc>
        <w:tc>
          <w:tcPr>
            <w:tcW w:w="2340" w:type="dxa"/>
          </w:tcPr>
          <w:p w14:paraId="7DA81EB1" w14:textId="14FA82D9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8 860</w:t>
            </w:r>
          </w:p>
        </w:tc>
      </w:tr>
      <w:tr w:rsidR="226EE195" w14:paraId="09233350" w14:textId="77777777" w:rsidTr="4E7B97A5">
        <w:trPr>
          <w:trHeight w:val="300"/>
        </w:trPr>
        <w:tc>
          <w:tcPr>
            <w:tcW w:w="2325" w:type="dxa"/>
          </w:tcPr>
          <w:p w14:paraId="518F01FF" w14:textId="6C675821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75" w:type="dxa"/>
          </w:tcPr>
          <w:p w14:paraId="6B2E55D7" w14:textId="24B715F0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8 400</w:t>
            </w:r>
          </w:p>
        </w:tc>
        <w:tc>
          <w:tcPr>
            <w:tcW w:w="2325" w:type="dxa"/>
          </w:tcPr>
          <w:p w14:paraId="21B7CD17" w14:textId="7EAD9BD5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5 300</w:t>
            </w:r>
          </w:p>
        </w:tc>
        <w:tc>
          <w:tcPr>
            <w:tcW w:w="2340" w:type="dxa"/>
          </w:tcPr>
          <w:p w14:paraId="29EBEA03" w14:textId="43F7B124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13 700</w:t>
            </w:r>
          </w:p>
        </w:tc>
      </w:tr>
      <w:tr w:rsidR="226EE195" w14:paraId="5F1E0E81" w14:textId="77777777" w:rsidTr="4E7B97A5">
        <w:trPr>
          <w:trHeight w:val="300"/>
        </w:trPr>
        <w:tc>
          <w:tcPr>
            <w:tcW w:w="2325" w:type="dxa"/>
          </w:tcPr>
          <w:p w14:paraId="4FA497B2" w14:textId="2A3227A9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75" w:type="dxa"/>
          </w:tcPr>
          <w:p w14:paraId="49E5FC96" w14:textId="006DDE1F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11800</w:t>
            </w:r>
          </w:p>
        </w:tc>
        <w:tc>
          <w:tcPr>
            <w:tcW w:w="2325" w:type="dxa"/>
          </w:tcPr>
          <w:p w14:paraId="10789B96" w14:textId="3B420B38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8 580</w:t>
            </w:r>
          </w:p>
        </w:tc>
        <w:tc>
          <w:tcPr>
            <w:tcW w:w="2340" w:type="dxa"/>
          </w:tcPr>
          <w:p w14:paraId="077BD116" w14:textId="653DD5D8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20 380</w:t>
            </w:r>
          </w:p>
        </w:tc>
      </w:tr>
      <w:tr w:rsidR="226EE195" w14:paraId="5F0342FF" w14:textId="77777777" w:rsidTr="4E7B97A5">
        <w:trPr>
          <w:trHeight w:val="300"/>
        </w:trPr>
        <w:tc>
          <w:tcPr>
            <w:tcW w:w="2325" w:type="dxa"/>
          </w:tcPr>
          <w:p w14:paraId="5CE34A94" w14:textId="5650B8C6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775" w:type="dxa"/>
          </w:tcPr>
          <w:p w14:paraId="30DE6EAE" w14:textId="74CB0A6F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14 070</w:t>
            </w:r>
          </w:p>
        </w:tc>
        <w:tc>
          <w:tcPr>
            <w:tcW w:w="2325" w:type="dxa"/>
          </w:tcPr>
          <w:p w14:paraId="1B54BAAC" w14:textId="151C5436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7 200</w:t>
            </w:r>
          </w:p>
        </w:tc>
        <w:tc>
          <w:tcPr>
            <w:tcW w:w="2340" w:type="dxa"/>
          </w:tcPr>
          <w:p w14:paraId="03D1E6B3" w14:textId="0EB86F37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21 270</w:t>
            </w:r>
          </w:p>
        </w:tc>
      </w:tr>
      <w:tr w:rsidR="226EE195" w14:paraId="71ECD437" w14:textId="77777777" w:rsidTr="4E7B97A5">
        <w:trPr>
          <w:trHeight w:val="300"/>
        </w:trPr>
        <w:tc>
          <w:tcPr>
            <w:tcW w:w="2325" w:type="dxa"/>
          </w:tcPr>
          <w:p w14:paraId="2459CCCF" w14:textId="43D0423A" w:rsidR="226EE195" w:rsidRDefault="226EE195" w:rsidP="226EE1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775" w:type="dxa"/>
          </w:tcPr>
          <w:p w14:paraId="40C038C4" w14:textId="4C7DD450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17 640</w:t>
            </w:r>
          </w:p>
        </w:tc>
        <w:tc>
          <w:tcPr>
            <w:tcW w:w="2325" w:type="dxa"/>
          </w:tcPr>
          <w:p w14:paraId="4769E5E2" w14:textId="2EA9F959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8500</w:t>
            </w:r>
          </w:p>
        </w:tc>
        <w:tc>
          <w:tcPr>
            <w:tcW w:w="2340" w:type="dxa"/>
          </w:tcPr>
          <w:p w14:paraId="302B45DA" w14:textId="47FD88B5" w:rsidR="226EE195" w:rsidRDefault="226EE195" w:rsidP="226EE1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26EE195">
              <w:rPr>
                <w:rFonts w:ascii="Times New Roman" w:eastAsia="Times New Roman" w:hAnsi="Times New Roman" w:cs="Times New Roman"/>
                <w:sz w:val="24"/>
                <w:szCs w:val="24"/>
              </w:rPr>
              <w:t>26 140</w:t>
            </w:r>
          </w:p>
        </w:tc>
      </w:tr>
      <w:tr w:rsidR="4E7B97A5" w14:paraId="0DF1BE72" w14:textId="77777777" w:rsidTr="4E7B97A5">
        <w:trPr>
          <w:trHeight w:val="300"/>
        </w:trPr>
        <w:tc>
          <w:tcPr>
            <w:tcW w:w="2325" w:type="dxa"/>
          </w:tcPr>
          <w:p w14:paraId="6AFEF119" w14:textId="20C52DAA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75" w:type="dxa"/>
          </w:tcPr>
          <w:p w14:paraId="595ED2C4" w14:textId="748C15BC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19 550</w:t>
            </w:r>
          </w:p>
        </w:tc>
        <w:tc>
          <w:tcPr>
            <w:tcW w:w="2325" w:type="dxa"/>
          </w:tcPr>
          <w:p w14:paraId="33D43AF4" w14:textId="5B0913E6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7 200</w:t>
            </w:r>
          </w:p>
        </w:tc>
        <w:tc>
          <w:tcPr>
            <w:tcW w:w="2340" w:type="dxa"/>
          </w:tcPr>
          <w:p w14:paraId="1A65B6A7" w14:textId="75E32110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26 750</w:t>
            </w:r>
          </w:p>
        </w:tc>
      </w:tr>
      <w:tr w:rsidR="4E7B97A5" w14:paraId="2AFE0B4D" w14:textId="77777777" w:rsidTr="4E7B97A5">
        <w:trPr>
          <w:trHeight w:val="300"/>
        </w:trPr>
        <w:tc>
          <w:tcPr>
            <w:tcW w:w="2325" w:type="dxa"/>
          </w:tcPr>
          <w:p w14:paraId="177CB03F" w14:textId="3C0169CA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</w:tcPr>
          <w:p w14:paraId="49CA7F87" w14:textId="0CA34284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18 900</w:t>
            </w:r>
          </w:p>
        </w:tc>
        <w:tc>
          <w:tcPr>
            <w:tcW w:w="2325" w:type="dxa"/>
          </w:tcPr>
          <w:p w14:paraId="508D91C0" w14:textId="4EF944CF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9 000</w:t>
            </w:r>
          </w:p>
        </w:tc>
        <w:tc>
          <w:tcPr>
            <w:tcW w:w="2340" w:type="dxa"/>
          </w:tcPr>
          <w:p w14:paraId="004A53BA" w14:textId="310EAEB7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27 900</w:t>
            </w:r>
          </w:p>
        </w:tc>
      </w:tr>
      <w:tr w:rsidR="4E7B97A5" w14:paraId="149649C8" w14:textId="77777777" w:rsidTr="4E7B97A5">
        <w:trPr>
          <w:trHeight w:val="300"/>
        </w:trPr>
        <w:tc>
          <w:tcPr>
            <w:tcW w:w="2325" w:type="dxa"/>
          </w:tcPr>
          <w:p w14:paraId="03E4BA47" w14:textId="75B0DF26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</w:tcPr>
          <w:p w14:paraId="6B906AF3" w14:textId="0F28B348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8 140</w:t>
            </w:r>
          </w:p>
        </w:tc>
        <w:tc>
          <w:tcPr>
            <w:tcW w:w="2325" w:type="dxa"/>
          </w:tcPr>
          <w:p w14:paraId="6FA747D3" w14:textId="4AC49E08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3 600</w:t>
            </w:r>
          </w:p>
        </w:tc>
        <w:tc>
          <w:tcPr>
            <w:tcW w:w="2340" w:type="dxa"/>
          </w:tcPr>
          <w:p w14:paraId="7243B3CD" w14:textId="493D342D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11 740</w:t>
            </w:r>
          </w:p>
        </w:tc>
      </w:tr>
      <w:tr w:rsidR="4E7B97A5" w14:paraId="39268D3A" w14:textId="77777777" w:rsidTr="4E7B97A5">
        <w:trPr>
          <w:trHeight w:val="300"/>
        </w:trPr>
        <w:tc>
          <w:tcPr>
            <w:tcW w:w="2325" w:type="dxa"/>
          </w:tcPr>
          <w:p w14:paraId="6454781B" w14:textId="034399BD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75" w:type="dxa"/>
          </w:tcPr>
          <w:p w14:paraId="0969F87A" w14:textId="7DF8CB89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2 730</w:t>
            </w:r>
          </w:p>
        </w:tc>
        <w:tc>
          <w:tcPr>
            <w:tcW w:w="2325" w:type="dxa"/>
          </w:tcPr>
          <w:p w14:paraId="2A9AF514" w14:textId="760E10E6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1 800</w:t>
            </w:r>
          </w:p>
        </w:tc>
        <w:tc>
          <w:tcPr>
            <w:tcW w:w="2340" w:type="dxa"/>
          </w:tcPr>
          <w:p w14:paraId="591CA24F" w14:textId="1A254F69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3 530</w:t>
            </w:r>
          </w:p>
        </w:tc>
      </w:tr>
      <w:tr w:rsidR="4E7B97A5" w14:paraId="0E1EF550" w14:textId="77777777" w:rsidTr="4E7B97A5">
        <w:trPr>
          <w:trHeight w:val="300"/>
        </w:trPr>
        <w:tc>
          <w:tcPr>
            <w:tcW w:w="2325" w:type="dxa"/>
          </w:tcPr>
          <w:p w14:paraId="2C6790C9" w14:textId="234B3B43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75" w:type="dxa"/>
          </w:tcPr>
          <w:p w14:paraId="15BDA9F6" w14:textId="23AC2CE8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840</w:t>
            </w:r>
          </w:p>
        </w:tc>
        <w:tc>
          <w:tcPr>
            <w:tcW w:w="2325" w:type="dxa"/>
          </w:tcPr>
          <w:p w14:paraId="60144C41" w14:textId="2E95B5BB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2340" w:type="dxa"/>
          </w:tcPr>
          <w:p w14:paraId="5642318D" w14:textId="1DCEBC76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1 440</w:t>
            </w:r>
          </w:p>
        </w:tc>
      </w:tr>
      <w:tr w:rsidR="4E7B97A5" w14:paraId="3EFED49D" w14:textId="77777777" w:rsidTr="4E7B97A5">
        <w:trPr>
          <w:trHeight w:val="300"/>
        </w:trPr>
        <w:tc>
          <w:tcPr>
            <w:tcW w:w="2325" w:type="dxa"/>
          </w:tcPr>
          <w:p w14:paraId="3A95469F" w14:textId="43198EBA" w:rsidR="4E7B97A5" w:rsidRDefault="4E7B97A5" w:rsidP="4E7B97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Итог:</w:t>
            </w:r>
          </w:p>
        </w:tc>
        <w:tc>
          <w:tcPr>
            <w:tcW w:w="2775" w:type="dxa"/>
          </w:tcPr>
          <w:p w14:paraId="75DA0D87" w14:textId="7AC251D3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108 790</w:t>
            </w:r>
          </w:p>
        </w:tc>
        <w:tc>
          <w:tcPr>
            <w:tcW w:w="2325" w:type="dxa"/>
          </w:tcPr>
          <w:p w14:paraId="5A4739F2" w14:textId="75EC2BF9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56 600</w:t>
            </w:r>
          </w:p>
        </w:tc>
        <w:tc>
          <w:tcPr>
            <w:tcW w:w="2340" w:type="dxa"/>
          </w:tcPr>
          <w:p w14:paraId="6298B347" w14:textId="111D4330" w:rsidR="4E7B97A5" w:rsidRDefault="4E7B97A5" w:rsidP="4E7B97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4E7B97A5">
              <w:rPr>
                <w:rFonts w:ascii="Times New Roman" w:eastAsia="Times New Roman" w:hAnsi="Times New Roman" w:cs="Times New Roman"/>
                <w:sz w:val="24"/>
                <w:szCs w:val="24"/>
              </w:rPr>
              <w:t>165390</w:t>
            </w:r>
          </w:p>
        </w:tc>
      </w:tr>
    </w:tbl>
    <w:p w14:paraId="093BA682" w14:textId="4F60BBEF" w:rsidR="4E7B97A5" w:rsidRDefault="348AAA25" w:rsidP="348AAA25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Исходя из данных таблицы 2 можем сказать, что проходимость Нагорного парка составляет 28 процентов от населения города Владивостока (597 240 человек). А связав таблицу 1 и таблицу 2, примерное количество посетителей Нагорного парка с трех неофициальных зон города составляет до 127 000 человек в год. </w:t>
      </w:r>
    </w:p>
    <w:p w14:paraId="7A7701BD" w14:textId="6CDE96A6" w:rsidR="4E7B97A5" w:rsidRDefault="348AAA25" w:rsidP="348AAA25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Из-за трансформации туристических зон «Нагорный парк» и «Сопка Бурачка» с каждым годом увеличивается спрос на их посещение. Тем самым сокращается процент свободных парковочных мест и снижается доступность к данным точкам с увеличением трафика на дорогах общего пользования.</w:t>
      </w:r>
    </w:p>
    <w:p w14:paraId="6B2EFE59" w14:textId="15A42FD9" w:rsidR="4E7B97A5" w:rsidRDefault="4E7B97A5" w:rsidP="348AAA2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8DEB653" wp14:editId="0AB731A5">
            <wp:extent cx="5610224" cy="2529306"/>
            <wp:effectExtent l="0" t="0" r="0" b="0"/>
            <wp:docPr id="1394985322" name="Рисунок 1394985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0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4" cy="2529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348AAA25" w:rsidRPr="348AAA25">
        <w:rPr>
          <w:rFonts w:ascii="Times New Roman" w:eastAsia="Times New Roman" w:hAnsi="Times New Roman" w:cs="Times New Roman"/>
          <w:sz w:val="24"/>
          <w:szCs w:val="24"/>
        </w:rPr>
        <w:t>Рис.1. Средняя проходимость туристической зоны «Нагорный парк» за год</w:t>
      </w:r>
    </w:p>
    <w:p w14:paraId="51C0B11D" w14:textId="01591405" w:rsidR="4E7B97A5" w:rsidRPr="00815B05" w:rsidRDefault="348AAA25" w:rsidP="348AAA25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Затрагивая основные места скопления жителей и туристов города Владивостока, таких как Площадь Луговая, рынок на Спортивной, район </w:t>
      </w:r>
      <w:proofErr w:type="spellStart"/>
      <w:r w:rsidRPr="348AAA25">
        <w:rPr>
          <w:rFonts w:ascii="Times New Roman" w:eastAsia="Times New Roman" w:hAnsi="Times New Roman" w:cs="Times New Roman"/>
          <w:sz w:val="24"/>
          <w:szCs w:val="24"/>
        </w:rPr>
        <w:t>Окатовой</w:t>
      </w:r>
      <w:proofErr w:type="spellEnd"/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, ТРК «Калина </w:t>
      </w:r>
      <w:proofErr w:type="spellStart"/>
      <w:r w:rsidRPr="348AAA25">
        <w:rPr>
          <w:rFonts w:ascii="Times New Roman" w:eastAsia="Times New Roman" w:hAnsi="Times New Roman" w:cs="Times New Roman"/>
          <w:sz w:val="24"/>
          <w:szCs w:val="24"/>
        </w:rPr>
        <w:t>Молл</w:t>
      </w:r>
      <w:proofErr w:type="spellEnd"/>
      <w:r w:rsidRPr="348AAA25">
        <w:rPr>
          <w:rFonts w:ascii="Times New Roman" w:eastAsia="Times New Roman" w:hAnsi="Times New Roman" w:cs="Times New Roman"/>
          <w:sz w:val="24"/>
          <w:szCs w:val="24"/>
        </w:rPr>
        <w:t>», ТЦ «Черёмушки», Мариинский театр, Дальневосточный федеральный университет, Владивостокский государственный университет, Владивостокский фуникулер, Нагорный парк, ТЦ «Приморье», разработан пример маршрута «Луговая — Мариинский театр — Нагорный парк — ТЦ Приморье» в прямом и обратном направлении с конечными и промежуточными остановочными пунктами</w:t>
      </w:r>
      <w:r w:rsidR="00815B05">
        <w:rPr>
          <w:rFonts w:ascii="Times New Roman" w:eastAsia="Times New Roman" w:hAnsi="Times New Roman" w:cs="Times New Roman"/>
          <w:sz w:val="24"/>
          <w:szCs w:val="24"/>
        </w:rPr>
        <w:t>, отраженными на рисунках 2 и 3</w:t>
      </w:r>
      <w:r w:rsidR="00815B05" w:rsidRPr="00815B05">
        <w:rPr>
          <w:rFonts w:ascii="Times New Roman" w:eastAsia="Times New Roman" w:hAnsi="Times New Roman" w:cs="Times New Roman"/>
          <w:sz w:val="24"/>
          <w:szCs w:val="24"/>
        </w:rPr>
        <w:t xml:space="preserve"> [3].</w:t>
      </w:r>
    </w:p>
    <w:p w14:paraId="63F1D9FC" w14:textId="453F24D6" w:rsidR="4E7B97A5" w:rsidRDefault="4E7B97A5" w:rsidP="4E7B97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FD7C172" wp14:editId="73D682F5">
            <wp:extent cx="3185584" cy="2216635"/>
            <wp:effectExtent l="0" t="0" r="0" b="0"/>
            <wp:docPr id="1577955283" name="Рисунок 1577955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584" cy="221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D4B6A69" wp14:editId="06344368">
            <wp:extent cx="2762250" cy="2238574"/>
            <wp:effectExtent l="0" t="0" r="0" b="0"/>
            <wp:docPr id="848661414" name="Рисунок 84866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23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E8218" w14:textId="67CDAAB6" w:rsidR="4E7B97A5" w:rsidRDefault="4E7B97A5" w:rsidP="4E7B97A5">
      <w:pPr>
        <w:spacing w:before="160"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4E7B97A5">
        <w:rPr>
          <w:rFonts w:ascii="Times New Roman" w:eastAsia="Times New Roman" w:hAnsi="Times New Roman" w:cs="Times New Roman"/>
          <w:sz w:val="24"/>
          <w:szCs w:val="24"/>
        </w:rPr>
        <w:t xml:space="preserve">Рис.2. Маршрут «Луговая — Мариинский театр — Нагорный парк — ТЦ Приморье» </w:t>
      </w:r>
    </w:p>
    <w:p w14:paraId="56CCD471" w14:textId="30E53D5A" w:rsidR="4E7B97A5" w:rsidRDefault="348AAA25" w:rsidP="348AAA25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в прямом направлении</w:t>
      </w:r>
    </w:p>
    <w:p w14:paraId="134794B4" w14:textId="1B0994A4" w:rsidR="348AAA2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В заключение разработка нового маршрута во Владивостоке, который соединит два района и туристические места, представляет собой важную и перспективную инициативу. Этот маршрут не только обеспечит удобство и безопасность для жителей двух районов, но и станет привлекательным для туристов, открывая перед ними уникальные возможности для осмотра интересных мест и погружения в атмосферу города.</w:t>
      </w:r>
    </w:p>
    <w:p w14:paraId="0E6C3BD5" w14:textId="2CFE5811" w:rsidR="348AAA2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Первое, что делает этот новый маршрут привлекательным, — это его географическое положение. Объединение двух районов позволяет обеспечить более быстрый и эффективный путь передвижения между ними, что существенно повышает комфорт и экономит время для всех пассажиров. Кроме того, именно на этом маршруте будут расположены множество туристических объектов, которые разнообразят и обогатят опыт путешественников.</w:t>
      </w:r>
    </w:p>
    <w:p w14:paraId="04DDB1CA" w14:textId="1C003237" w:rsidR="4E7B97A5" w:rsidRDefault="4E7B97A5" w:rsidP="4E7B97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150AFB7" wp14:editId="2EFF6225">
            <wp:extent cx="3204845" cy="2016760"/>
            <wp:effectExtent l="0" t="0" r="0" b="2540"/>
            <wp:docPr id="1567045279" name="Рисунок 1567045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5141" cy="2016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E070309" wp14:editId="0893D58E">
            <wp:extent cx="2559844" cy="2074540"/>
            <wp:effectExtent l="0" t="0" r="0" b="0"/>
            <wp:docPr id="571807232" name="Рисунок 571807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844" cy="207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A7D90" w14:textId="1C411885" w:rsidR="4E7B97A5" w:rsidRDefault="4E7B97A5" w:rsidP="4E7B97A5">
      <w:pPr>
        <w:spacing w:before="160"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4E7B97A5">
        <w:rPr>
          <w:rFonts w:ascii="Times New Roman" w:eastAsia="Times New Roman" w:hAnsi="Times New Roman" w:cs="Times New Roman"/>
          <w:sz w:val="24"/>
          <w:szCs w:val="24"/>
        </w:rPr>
        <w:t xml:space="preserve">Рис.3. Маршрут «Луговая — Мариинский театр — Нагорный парк — ТЦ Приморье» </w:t>
      </w:r>
    </w:p>
    <w:p w14:paraId="0AE37683" w14:textId="1554103D" w:rsidR="4E7B97A5" w:rsidRDefault="348AAA25" w:rsidP="348AAA2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в обратном направлении</w:t>
      </w:r>
    </w:p>
    <w:p w14:paraId="3A63668F" w14:textId="1F6D6DFA" w:rsidR="348AAA25" w:rsidRDefault="348AAA25" w:rsidP="348AAA2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 xml:space="preserve">Второе важное преимущество этого маршрута заключается в его тематическом характере. Предлагаемый путь позволит туристам погрузиться в атмосферу Владивостока и ознакомиться с его уникальными достопримечательностями и культурой. Путешественники смогут оценить редкую архитектуру города, насладиться магнетическими видами тихоокеанского побережья или окунуться в богатую историю этих мест. Все это сделает поездку более яркой и запоминающейся. </w:t>
      </w:r>
    </w:p>
    <w:p w14:paraId="4F1E8DAB" w14:textId="3AA5D56B" w:rsidR="002F4E3C" w:rsidRDefault="348AAA25" w:rsidP="002F4E3C">
      <w:pPr>
        <w:widowControl w:val="0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48AAA25">
        <w:rPr>
          <w:rFonts w:ascii="Times New Roman" w:eastAsia="Times New Roman" w:hAnsi="Times New Roman" w:cs="Times New Roman"/>
          <w:sz w:val="24"/>
          <w:szCs w:val="24"/>
        </w:rPr>
        <w:t>Наконец, новый маршрут будет способствовать развитию туристической индустрии во Владивостоке, создавая новые рабочие места и стимулируя экономический рост. Благодаря удобству и привлекательности предлагаемого маршрута, город сможет привлечь больше гостей из разных уголков России и мира. Это позволит создать дополнительный спрос на услуги гостиниц, ресторанов, магазинов и туристических агентств, что в итоге принесет пользу всей городской экономике. Таким образом, разработка нового маршрута во Владивостоке является важной и перспективной задачей. Он позволит объединить два района города: Ленинский и Первомайский, и предложит туристам уникальный опыт и возможность узнать Владивосток более глубоко. Кроме того, этот проект содействует развитию логистики, туризма и экономики города, делая его более привлекательным для гостей и жителей.</w:t>
      </w:r>
      <w:r w:rsidR="002F4E3C" w:rsidRPr="002F4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22DBDF9" w14:textId="77777777" w:rsidR="002F4E3C" w:rsidRDefault="002F4E3C" w:rsidP="002F4E3C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</w:t>
      </w:r>
    </w:p>
    <w:p w14:paraId="0FDDE608" w14:textId="75DF6C74" w:rsidR="002F4E3C" w:rsidRDefault="002F4E3C" w:rsidP="002F4E3C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Ленинский район [Электронный ресурс].</w:t>
      </w:r>
    </w:p>
    <w:p w14:paraId="4ECE7BF3" w14:textId="5E35028C" w:rsidR="002F4E3C" w:rsidRDefault="002F4E3C" w:rsidP="002F4E3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— Режим доступа: </w:t>
      </w:r>
      <w:r w:rsidRPr="002F4E3C">
        <w:rPr>
          <w:rFonts w:ascii="Times New Roman" w:eastAsia="Times New Roman" w:hAnsi="Times New Roman" w:cs="Times New Roman"/>
          <w:sz w:val="24"/>
          <w:szCs w:val="24"/>
        </w:rPr>
        <w:t>https://ru.wikipedia.org/wiki/Ленинский_район_(Владивосток)</w:t>
      </w:r>
    </w:p>
    <w:p w14:paraId="6275F836" w14:textId="7528D920" w:rsidR="002F4E3C" w:rsidRDefault="002F4E3C" w:rsidP="002F4E3C">
      <w:pPr>
        <w:pStyle w:val="a8"/>
        <w:numPr>
          <w:ilvl w:val="0"/>
          <w:numId w:val="1"/>
        </w:numPr>
        <w:spacing w:after="0" w:line="240" w:lineRule="auto"/>
        <w:ind w:left="1122" w:hanging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Первомайский район</w:t>
      </w:r>
      <w:r w:rsidRPr="00796857">
        <w:rPr>
          <w:rFonts w:ascii="Times New Roman" w:eastAsia="Times New Roman" w:hAnsi="Times New Roman" w:cs="Times New Roman"/>
          <w:sz w:val="24"/>
          <w:szCs w:val="24"/>
        </w:rPr>
        <w:t xml:space="preserve"> [Электронный ресурс].</w:t>
      </w:r>
    </w:p>
    <w:p w14:paraId="62C00EC6" w14:textId="0401954F" w:rsidR="002F4E3C" w:rsidRDefault="002F4E3C" w:rsidP="002F4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— Режим доступа: </w:t>
      </w:r>
      <w:r w:rsidRPr="002F4E3C">
        <w:rPr>
          <w:rFonts w:ascii="Times New Roman" w:eastAsia="Times New Roman" w:hAnsi="Times New Roman" w:cs="Times New Roman"/>
          <w:sz w:val="24"/>
          <w:szCs w:val="24"/>
        </w:rPr>
        <w:t>https://ru.wikipedia.org/wiki/Первомайский_район_(Владивосток)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03B5FD" w14:textId="2376E8AE" w:rsidR="002F4E3C" w:rsidRDefault="002F4E3C" w:rsidP="002F4E3C">
      <w:pPr>
        <w:pStyle w:val="a8"/>
        <w:numPr>
          <w:ilvl w:val="0"/>
          <w:numId w:val="1"/>
        </w:numPr>
        <w:spacing w:after="0" w:line="240" w:lineRule="auto"/>
        <w:ind w:left="1122" w:hanging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Карта и справочник 2ГИС [Электронный ресурс].</w:t>
      </w:r>
    </w:p>
    <w:p w14:paraId="1269B8FA" w14:textId="281C92A5" w:rsidR="002F4E3C" w:rsidRDefault="002F4E3C" w:rsidP="002F4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— Режим доступа: </w:t>
      </w:r>
      <w:r w:rsidRPr="002F4E3C">
        <w:rPr>
          <w:rFonts w:ascii="Times New Roman" w:eastAsia="Times New Roman" w:hAnsi="Times New Roman" w:cs="Times New Roman"/>
          <w:sz w:val="24"/>
          <w:szCs w:val="24"/>
        </w:rPr>
        <w:t>https://2gis.ru/vladivostok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7CEA1147" w14:textId="77777777" w:rsidR="002F4E3C" w:rsidRPr="00796857" w:rsidRDefault="002F4E3C" w:rsidP="002F4E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BFB0A2" w14:textId="354263E8" w:rsidR="00815B05" w:rsidRDefault="00815B05" w:rsidP="00815B0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F8071" w14:textId="77777777" w:rsidR="00815B05" w:rsidRDefault="00815B05" w:rsidP="00815B05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15B05" w:rsidSect="00A252B2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737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5657BD" w14:textId="77777777" w:rsidR="00967C42" w:rsidRDefault="00967C42">
      <w:pPr>
        <w:spacing w:after="0" w:line="240" w:lineRule="auto"/>
      </w:pPr>
      <w:r>
        <w:separator/>
      </w:r>
    </w:p>
  </w:endnote>
  <w:endnote w:type="continuationSeparator" w:id="0">
    <w:p w14:paraId="32B15891" w14:textId="77777777" w:rsidR="00967C42" w:rsidRDefault="00967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E7B97A5" w14:paraId="5B1B3035" w14:textId="77777777" w:rsidTr="4E7B97A5">
      <w:trPr>
        <w:trHeight w:val="300"/>
      </w:trPr>
      <w:tc>
        <w:tcPr>
          <w:tcW w:w="3210" w:type="dxa"/>
        </w:tcPr>
        <w:p w14:paraId="32F44011" w14:textId="3E9FD1AF" w:rsidR="4E7B97A5" w:rsidRDefault="4E7B97A5" w:rsidP="4E7B97A5">
          <w:pPr>
            <w:pStyle w:val="a5"/>
            <w:ind w:left="-115"/>
          </w:pPr>
        </w:p>
      </w:tc>
      <w:tc>
        <w:tcPr>
          <w:tcW w:w="3210" w:type="dxa"/>
        </w:tcPr>
        <w:p w14:paraId="44AABE4C" w14:textId="06DC9B3C" w:rsidR="4E7B97A5" w:rsidRDefault="4E7B97A5" w:rsidP="4E7B97A5">
          <w:pPr>
            <w:pStyle w:val="a5"/>
            <w:jc w:val="center"/>
          </w:pPr>
        </w:p>
      </w:tc>
      <w:tc>
        <w:tcPr>
          <w:tcW w:w="3210" w:type="dxa"/>
        </w:tcPr>
        <w:p w14:paraId="5005E501" w14:textId="2EE2BF52" w:rsidR="4E7B97A5" w:rsidRDefault="4E7B97A5" w:rsidP="4E7B97A5">
          <w:pPr>
            <w:pStyle w:val="a5"/>
            <w:ind w:right="-115"/>
            <w:jc w:val="right"/>
          </w:pPr>
        </w:p>
      </w:tc>
    </w:tr>
  </w:tbl>
  <w:p w14:paraId="7B5E898E" w14:textId="11623CF2" w:rsidR="4E7B97A5" w:rsidRDefault="4E7B97A5" w:rsidP="4E7B97A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E7B97A5" w14:paraId="54343CE9" w14:textId="77777777" w:rsidTr="4E7B97A5">
      <w:trPr>
        <w:trHeight w:val="300"/>
      </w:trPr>
      <w:tc>
        <w:tcPr>
          <w:tcW w:w="3210" w:type="dxa"/>
        </w:tcPr>
        <w:p w14:paraId="491CEBE5" w14:textId="11CEBC1A" w:rsidR="4E7B97A5" w:rsidRDefault="4E7B97A5" w:rsidP="4E7B97A5">
          <w:pPr>
            <w:pStyle w:val="a5"/>
            <w:ind w:left="-115"/>
          </w:pPr>
        </w:p>
      </w:tc>
      <w:tc>
        <w:tcPr>
          <w:tcW w:w="3210" w:type="dxa"/>
        </w:tcPr>
        <w:p w14:paraId="144B1ABA" w14:textId="4816BC0A" w:rsidR="4E7B97A5" w:rsidRDefault="4E7B97A5" w:rsidP="4E7B97A5">
          <w:pPr>
            <w:pStyle w:val="a5"/>
            <w:jc w:val="center"/>
          </w:pPr>
        </w:p>
      </w:tc>
      <w:tc>
        <w:tcPr>
          <w:tcW w:w="3210" w:type="dxa"/>
        </w:tcPr>
        <w:p w14:paraId="787095C8" w14:textId="2AB0560D" w:rsidR="4E7B97A5" w:rsidRDefault="4E7B97A5" w:rsidP="4E7B97A5">
          <w:pPr>
            <w:pStyle w:val="a5"/>
            <w:ind w:right="-115"/>
            <w:jc w:val="right"/>
          </w:pPr>
        </w:p>
      </w:tc>
    </w:tr>
  </w:tbl>
  <w:p w14:paraId="659D9390" w14:textId="0E5E91C7" w:rsidR="4E7B97A5" w:rsidRDefault="4E7B97A5" w:rsidP="4E7B97A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82A48" w14:textId="77777777" w:rsidR="00967C42" w:rsidRDefault="00967C42">
      <w:pPr>
        <w:spacing w:after="0" w:line="240" w:lineRule="auto"/>
      </w:pPr>
      <w:r>
        <w:separator/>
      </w:r>
    </w:p>
  </w:footnote>
  <w:footnote w:type="continuationSeparator" w:id="0">
    <w:p w14:paraId="4985511B" w14:textId="77777777" w:rsidR="00967C42" w:rsidRDefault="00967C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E7B97A5" w14:paraId="42BDD76E" w14:textId="77777777" w:rsidTr="4E7B97A5">
      <w:trPr>
        <w:trHeight w:val="300"/>
      </w:trPr>
      <w:tc>
        <w:tcPr>
          <w:tcW w:w="3210" w:type="dxa"/>
        </w:tcPr>
        <w:p w14:paraId="28B74447" w14:textId="3ADBFDE5" w:rsidR="4E7B97A5" w:rsidRDefault="4E7B97A5" w:rsidP="4E7B97A5">
          <w:pPr>
            <w:pStyle w:val="a5"/>
            <w:ind w:left="-115"/>
          </w:pPr>
        </w:p>
      </w:tc>
      <w:tc>
        <w:tcPr>
          <w:tcW w:w="3210" w:type="dxa"/>
        </w:tcPr>
        <w:p w14:paraId="16024BCD" w14:textId="0E5CC73A" w:rsidR="4E7B97A5" w:rsidRDefault="4E7B97A5" w:rsidP="4E7B97A5">
          <w:pPr>
            <w:pStyle w:val="a5"/>
            <w:jc w:val="center"/>
          </w:pPr>
        </w:p>
      </w:tc>
      <w:tc>
        <w:tcPr>
          <w:tcW w:w="3210" w:type="dxa"/>
        </w:tcPr>
        <w:p w14:paraId="62C468CD" w14:textId="6375F317" w:rsidR="4E7B97A5" w:rsidRDefault="4E7B97A5" w:rsidP="4E7B97A5">
          <w:pPr>
            <w:pStyle w:val="a5"/>
            <w:ind w:right="-115"/>
            <w:jc w:val="right"/>
          </w:pPr>
        </w:p>
      </w:tc>
    </w:tr>
  </w:tbl>
  <w:p w14:paraId="478E8ADA" w14:textId="2047975C" w:rsidR="4E7B97A5" w:rsidRDefault="4E7B97A5" w:rsidP="4E7B97A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4E7B97A5" w14:paraId="5D452A47" w14:textId="77777777" w:rsidTr="4E7B97A5">
      <w:trPr>
        <w:trHeight w:val="300"/>
      </w:trPr>
      <w:tc>
        <w:tcPr>
          <w:tcW w:w="3210" w:type="dxa"/>
        </w:tcPr>
        <w:p w14:paraId="7FD45825" w14:textId="37CBDAEA" w:rsidR="4E7B97A5" w:rsidRDefault="4E7B97A5" w:rsidP="4E7B97A5">
          <w:pPr>
            <w:pStyle w:val="a5"/>
            <w:ind w:left="-115"/>
          </w:pPr>
          <w:r>
            <w:t>УДК.</w:t>
          </w:r>
          <w:r w:rsidR="00A252B2">
            <w:t>347.795.4</w:t>
          </w:r>
        </w:p>
      </w:tc>
      <w:tc>
        <w:tcPr>
          <w:tcW w:w="3210" w:type="dxa"/>
        </w:tcPr>
        <w:p w14:paraId="1297BC1B" w14:textId="6A3A5CE3" w:rsidR="4E7B97A5" w:rsidRDefault="4E7B97A5" w:rsidP="4E7B97A5">
          <w:pPr>
            <w:pStyle w:val="a5"/>
            <w:jc w:val="center"/>
          </w:pPr>
        </w:p>
      </w:tc>
      <w:tc>
        <w:tcPr>
          <w:tcW w:w="3210" w:type="dxa"/>
        </w:tcPr>
        <w:p w14:paraId="69DFE31C" w14:textId="540A0148" w:rsidR="4E7B97A5" w:rsidRDefault="4E7B97A5" w:rsidP="4E7B97A5">
          <w:pPr>
            <w:pStyle w:val="a5"/>
            <w:ind w:right="-115"/>
            <w:jc w:val="right"/>
          </w:pPr>
        </w:p>
      </w:tc>
    </w:tr>
  </w:tbl>
  <w:p w14:paraId="3AF1522E" w14:textId="4F885C1B" w:rsidR="4E7B97A5" w:rsidRDefault="4E7B97A5" w:rsidP="4E7B97A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A22276"/>
    <w:multiLevelType w:val="hybridMultilevel"/>
    <w:tmpl w:val="93F80C32"/>
    <w:lvl w:ilvl="0" w:tplc="2BE20560">
      <w:start w:val="1"/>
      <w:numFmt w:val="decimal"/>
      <w:lvlText w:val="%1.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5C5233"/>
    <w:rsid w:val="002F4E3C"/>
    <w:rsid w:val="00430045"/>
    <w:rsid w:val="007264CF"/>
    <w:rsid w:val="00815B05"/>
    <w:rsid w:val="00967C42"/>
    <w:rsid w:val="00A252B2"/>
    <w:rsid w:val="22349D81"/>
    <w:rsid w:val="226EE195"/>
    <w:rsid w:val="348AAA25"/>
    <w:rsid w:val="4E7B97A5"/>
    <w:rsid w:val="795C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C5233"/>
  <w15:chartTrackingRefBased/>
  <w15:docId w15:val="{0044A523-6B8D-4850-BF21-492AEA29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Верхний колонтитул Знак"/>
    <w:basedOn w:val="a0"/>
    <w:link w:val="a5"/>
    <w:uiPriority w:val="99"/>
  </w:style>
  <w:style w:type="paragraph" w:styleId="a5">
    <w:name w:val="header"/>
    <w:basedOn w:val="a"/>
    <w:link w:val="a4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7"/>
    <w:uiPriority w:val="99"/>
  </w:style>
  <w:style w:type="paragraph" w:styleId="a7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8">
    <w:name w:val="List Paragraph"/>
    <w:basedOn w:val="a"/>
    <w:uiPriority w:val="34"/>
    <w:qFormat/>
    <w:rsid w:val="002F4E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1184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Мячин Даниил</dc:creator>
  <cp:keywords/>
  <dc:description/>
  <cp:lastModifiedBy>Попова Галина</cp:lastModifiedBy>
  <cp:revision>2</cp:revision>
  <dcterms:created xsi:type="dcterms:W3CDTF">2023-12-22T03:58:00Z</dcterms:created>
  <dcterms:modified xsi:type="dcterms:W3CDTF">2023-12-22T03:58:00Z</dcterms:modified>
</cp:coreProperties>
</file>