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866AB" w14:textId="77777777" w:rsidR="000107EA" w:rsidRPr="00B120BD" w:rsidRDefault="000107EA" w:rsidP="000107EA">
      <w:pPr>
        <w:widowControl w:val="0"/>
        <w:shd w:val="clear" w:color="auto" w:fill="FFFFFF"/>
        <w:spacing w:after="0" w:line="240" w:lineRule="auto"/>
        <w:ind w:firstLine="567"/>
        <w:contextualSpacing/>
        <w:jc w:val="both"/>
        <w:rPr>
          <w:rFonts w:ascii="Times New Roman" w:eastAsia="Times New Roman" w:hAnsi="Times New Roman" w:cs="Times New Roman"/>
          <w:kern w:val="36"/>
          <w:sz w:val="24"/>
          <w:szCs w:val="24"/>
          <w:lang w:eastAsia="ru-RU"/>
        </w:rPr>
      </w:pPr>
      <w:bookmarkStart w:id="0" w:name="_GoBack"/>
      <w:bookmarkEnd w:id="0"/>
      <w:r w:rsidRPr="00A1333F">
        <w:rPr>
          <w:rFonts w:ascii="Times New Roman" w:eastAsia="Times New Roman" w:hAnsi="Times New Roman" w:cs="Times New Roman"/>
          <w:kern w:val="36"/>
          <w:sz w:val="24"/>
          <w:szCs w:val="24"/>
          <w:lang w:eastAsia="ru-RU"/>
        </w:rPr>
        <w:t>УДК 34</w:t>
      </w:r>
      <w:r w:rsidRPr="00B120BD">
        <w:rPr>
          <w:rFonts w:ascii="Times New Roman" w:eastAsia="Times New Roman" w:hAnsi="Times New Roman" w:cs="Times New Roman"/>
          <w:kern w:val="36"/>
          <w:sz w:val="24"/>
          <w:szCs w:val="24"/>
          <w:lang w:eastAsia="ru-RU"/>
        </w:rPr>
        <w:t>3.13.</w:t>
      </w:r>
    </w:p>
    <w:p w14:paraId="5C975828" w14:textId="77777777" w:rsidR="000107EA" w:rsidRPr="00A1333F" w:rsidRDefault="000107EA" w:rsidP="000107EA">
      <w:pPr>
        <w:widowControl w:val="0"/>
        <w:shd w:val="clear" w:color="auto" w:fill="FFFFFF"/>
        <w:spacing w:after="0" w:line="240" w:lineRule="auto"/>
        <w:contextualSpacing/>
        <w:jc w:val="both"/>
        <w:rPr>
          <w:rFonts w:ascii="Times New Roman" w:eastAsia="Times New Roman" w:hAnsi="Times New Roman" w:cs="Times New Roman"/>
          <w:b/>
          <w:kern w:val="36"/>
          <w:sz w:val="24"/>
          <w:szCs w:val="24"/>
          <w:lang w:eastAsia="ru-RU"/>
        </w:rPr>
      </w:pPr>
    </w:p>
    <w:p w14:paraId="351DCC8D" w14:textId="3AF9D144"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b/>
          <w:kern w:val="36"/>
          <w:sz w:val="24"/>
          <w:szCs w:val="24"/>
          <w:lang w:eastAsia="ru-RU"/>
        </w:rPr>
      </w:pPr>
      <w:r>
        <w:rPr>
          <w:rFonts w:ascii="Times New Roman" w:eastAsia="Times New Roman" w:hAnsi="Times New Roman" w:cs="Times New Roman"/>
          <w:b/>
          <w:kern w:val="36"/>
          <w:sz w:val="24"/>
          <w:szCs w:val="24"/>
          <w:lang w:eastAsia="ru-RU"/>
        </w:rPr>
        <w:t>К вопросу об особенностях доказывания по уголовным делам, рассматриваемым судом с участием присяжных заседателей</w:t>
      </w:r>
    </w:p>
    <w:p w14:paraId="533D04C7" w14:textId="77777777"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eastAsia="ru-RU"/>
        </w:rPr>
      </w:pPr>
    </w:p>
    <w:p w14:paraId="66ED320A" w14:textId="54A26729" w:rsidR="000107EA" w:rsidRPr="00AD5CCD" w:rsidRDefault="00AD5CCD"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eastAsia="ru-RU"/>
        </w:rPr>
      </w:pPr>
      <w:r w:rsidRPr="00AD5CCD">
        <w:rPr>
          <w:rFonts w:ascii="Times New Roman" w:eastAsia="Times New Roman" w:hAnsi="Times New Roman" w:cs="Times New Roman"/>
          <w:kern w:val="36"/>
          <w:sz w:val="24"/>
          <w:szCs w:val="24"/>
          <w:lang w:eastAsia="ru-RU"/>
        </w:rPr>
        <w:t>Ильяшова Эвелина Юрьевна</w:t>
      </w:r>
    </w:p>
    <w:p w14:paraId="34A58B1E" w14:textId="3DCA53C2" w:rsidR="000107EA" w:rsidRPr="00A1333F" w:rsidRDefault="00AD5CCD"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eastAsia="ru-RU"/>
        </w:rPr>
      </w:pPr>
      <w:r w:rsidRPr="00AD5CCD">
        <w:rPr>
          <w:rFonts w:ascii="Times New Roman" w:eastAsia="Times New Roman" w:hAnsi="Times New Roman" w:cs="Times New Roman"/>
          <w:kern w:val="36"/>
          <w:sz w:val="24"/>
          <w:szCs w:val="24"/>
          <w:lang w:eastAsia="ru-RU"/>
        </w:rPr>
        <w:t>БЮП-18-03 группы 2</w:t>
      </w:r>
      <w:r w:rsidR="000107EA" w:rsidRPr="00AD5CCD">
        <w:rPr>
          <w:rFonts w:ascii="Times New Roman" w:eastAsia="Times New Roman" w:hAnsi="Times New Roman" w:cs="Times New Roman"/>
          <w:kern w:val="36"/>
          <w:sz w:val="24"/>
          <w:szCs w:val="24"/>
          <w:lang w:eastAsia="ru-RU"/>
        </w:rPr>
        <w:t xml:space="preserve"> курса Институт права</w:t>
      </w:r>
    </w:p>
    <w:p w14:paraId="4DD6BD70" w14:textId="77777777"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eastAsia="ru-RU"/>
        </w:rPr>
      </w:pPr>
    </w:p>
    <w:p w14:paraId="422E4CBA" w14:textId="41B58767" w:rsidR="000107EA" w:rsidRPr="00B120BD"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eastAsia="ru-RU"/>
        </w:rPr>
      </w:pPr>
      <w:r w:rsidRPr="00B120BD">
        <w:rPr>
          <w:rFonts w:ascii="Times New Roman" w:eastAsia="Times New Roman" w:hAnsi="Times New Roman" w:cs="Times New Roman"/>
          <w:kern w:val="36"/>
          <w:sz w:val="24"/>
          <w:szCs w:val="24"/>
          <w:lang w:eastAsia="ru-RU"/>
        </w:rPr>
        <w:t xml:space="preserve">Научный руководитель – </w:t>
      </w:r>
      <w:r>
        <w:rPr>
          <w:rFonts w:ascii="Times New Roman" w:eastAsia="Times New Roman" w:hAnsi="Times New Roman" w:cs="Times New Roman"/>
          <w:kern w:val="36"/>
          <w:sz w:val="24"/>
          <w:szCs w:val="24"/>
          <w:lang w:eastAsia="ru-RU"/>
        </w:rPr>
        <w:t>Омельяненко Мария Евгеньевна,</w:t>
      </w:r>
    </w:p>
    <w:p w14:paraId="054249A6" w14:textId="4C485E6A" w:rsidR="000107EA" w:rsidRPr="00B120BD"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eastAsia="ru-RU"/>
        </w:rPr>
      </w:pPr>
      <w:r>
        <w:rPr>
          <w:rFonts w:ascii="Times New Roman" w:eastAsia="Times New Roman" w:hAnsi="Times New Roman" w:cs="Times New Roman"/>
          <w:kern w:val="36"/>
          <w:sz w:val="24"/>
          <w:szCs w:val="24"/>
          <w:lang w:eastAsia="ru-RU"/>
        </w:rPr>
        <w:t xml:space="preserve">старший преподаватель </w:t>
      </w:r>
      <w:r w:rsidRPr="00B120BD">
        <w:rPr>
          <w:rFonts w:ascii="Times New Roman" w:eastAsia="Times New Roman" w:hAnsi="Times New Roman" w:cs="Times New Roman"/>
          <w:kern w:val="36"/>
          <w:sz w:val="24"/>
          <w:szCs w:val="24"/>
          <w:lang w:eastAsia="ru-RU"/>
        </w:rPr>
        <w:t>кафедр</w:t>
      </w:r>
      <w:r>
        <w:rPr>
          <w:rFonts w:ascii="Times New Roman" w:eastAsia="Times New Roman" w:hAnsi="Times New Roman" w:cs="Times New Roman"/>
          <w:kern w:val="36"/>
          <w:sz w:val="24"/>
          <w:szCs w:val="24"/>
          <w:lang w:eastAsia="ru-RU"/>
        </w:rPr>
        <w:t>ы</w:t>
      </w:r>
      <w:r w:rsidRPr="00B120BD">
        <w:rPr>
          <w:rFonts w:ascii="Times New Roman" w:eastAsia="Times New Roman" w:hAnsi="Times New Roman" w:cs="Times New Roman"/>
          <w:kern w:val="36"/>
          <w:sz w:val="24"/>
          <w:szCs w:val="24"/>
          <w:lang w:eastAsia="ru-RU"/>
        </w:rPr>
        <w:t xml:space="preserve"> уголовно-правовых дисциплин, </w:t>
      </w:r>
    </w:p>
    <w:p w14:paraId="5B10231F" w14:textId="77777777" w:rsidR="000107EA" w:rsidRPr="00B120BD"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eastAsia="ru-RU"/>
        </w:rPr>
      </w:pPr>
      <w:r w:rsidRPr="00B120BD">
        <w:rPr>
          <w:rFonts w:ascii="Times New Roman" w:eastAsia="Times New Roman" w:hAnsi="Times New Roman" w:cs="Times New Roman"/>
          <w:kern w:val="36"/>
          <w:sz w:val="24"/>
          <w:szCs w:val="24"/>
          <w:lang w:eastAsia="ru-RU"/>
        </w:rPr>
        <w:t>Институт права</w:t>
      </w:r>
    </w:p>
    <w:p w14:paraId="1520307C" w14:textId="77777777"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i/>
          <w:kern w:val="36"/>
          <w:sz w:val="24"/>
          <w:szCs w:val="24"/>
          <w:lang w:eastAsia="ru-RU"/>
        </w:rPr>
      </w:pPr>
    </w:p>
    <w:p w14:paraId="0EF0BED2" w14:textId="77777777"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i/>
          <w:kern w:val="36"/>
          <w:sz w:val="24"/>
          <w:szCs w:val="24"/>
          <w:lang w:eastAsia="ru-RU"/>
        </w:rPr>
      </w:pPr>
      <w:r w:rsidRPr="00A1333F">
        <w:rPr>
          <w:rFonts w:ascii="Times New Roman" w:eastAsia="Times New Roman" w:hAnsi="Times New Roman" w:cs="Times New Roman"/>
          <w:i/>
          <w:kern w:val="36"/>
          <w:sz w:val="24"/>
          <w:szCs w:val="24"/>
          <w:lang w:eastAsia="ru-RU"/>
        </w:rPr>
        <w:t>Владивостокский государственный университет экономики и сервиса</w:t>
      </w:r>
    </w:p>
    <w:p w14:paraId="44D5337D" w14:textId="77777777"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i/>
          <w:kern w:val="36"/>
          <w:sz w:val="24"/>
          <w:szCs w:val="24"/>
          <w:lang w:eastAsia="ru-RU"/>
        </w:rPr>
      </w:pPr>
      <w:r w:rsidRPr="00A1333F">
        <w:rPr>
          <w:rFonts w:ascii="Times New Roman" w:eastAsia="Times New Roman" w:hAnsi="Times New Roman" w:cs="Times New Roman"/>
          <w:i/>
          <w:kern w:val="36"/>
          <w:sz w:val="24"/>
          <w:szCs w:val="24"/>
          <w:lang w:eastAsia="ru-RU"/>
        </w:rPr>
        <w:t>Россия. Владивосток</w:t>
      </w:r>
    </w:p>
    <w:p w14:paraId="42251AE7" w14:textId="77777777" w:rsidR="000107EA" w:rsidRPr="00A1333F" w:rsidRDefault="000107EA" w:rsidP="000107EA">
      <w:pPr>
        <w:widowControl w:val="0"/>
        <w:shd w:val="clear" w:color="auto" w:fill="FFFFFF"/>
        <w:spacing w:after="0" w:line="240" w:lineRule="auto"/>
        <w:ind w:firstLine="567"/>
        <w:contextualSpacing/>
        <w:jc w:val="both"/>
        <w:rPr>
          <w:rFonts w:ascii="Times New Roman" w:eastAsia="Times New Roman" w:hAnsi="Times New Roman" w:cs="Times New Roman"/>
          <w:i/>
          <w:kern w:val="36"/>
          <w:sz w:val="24"/>
          <w:szCs w:val="24"/>
          <w:lang w:eastAsia="ru-RU"/>
        </w:rPr>
      </w:pPr>
    </w:p>
    <w:p w14:paraId="2485D740" w14:textId="534F0E10" w:rsidR="000107EA" w:rsidRPr="00A1333F" w:rsidRDefault="000107EA" w:rsidP="000107EA">
      <w:pPr>
        <w:widowControl w:val="0"/>
        <w:shd w:val="clear" w:color="auto" w:fill="FFFFFF"/>
        <w:spacing w:after="0" w:line="240" w:lineRule="auto"/>
        <w:ind w:firstLine="567"/>
        <w:contextualSpacing/>
        <w:jc w:val="both"/>
        <w:rPr>
          <w:rFonts w:ascii="Times New Roman" w:eastAsia="Times New Roman" w:hAnsi="Times New Roman" w:cs="Times New Roman"/>
          <w:i/>
          <w:kern w:val="36"/>
          <w:sz w:val="24"/>
          <w:szCs w:val="24"/>
          <w:lang w:eastAsia="ru-RU"/>
        </w:rPr>
      </w:pPr>
      <w:r w:rsidRPr="001E7B76">
        <w:rPr>
          <w:rFonts w:ascii="Times New Roman" w:eastAsia="Times New Roman" w:hAnsi="Times New Roman" w:cs="Times New Roman"/>
          <w:b/>
          <w:i/>
          <w:kern w:val="36"/>
          <w:sz w:val="24"/>
          <w:szCs w:val="24"/>
          <w:lang w:eastAsia="ru-RU"/>
        </w:rPr>
        <w:t>Аннотация:</w:t>
      </w:r>
      <w:r>
        <w:rPr>
          <w:rFonts w:ascii="Times New Roman" w:eastAsia="Times New Roman" w:hAnsi="Times New Roman" w:cs="Times New Roman"/>
          <w:i/>
          <w:kern w:val="36"/>
          <w:sz w:val="24"/>
          <w:szCs w:val="24"/>
          <w:lang w:eastAsia="ru-RU"/>
        </w:rPr>
        <w:t xml:space="preserve"> </w:t>
      </w:r>
      <w:r w:rsidRPr="00A1333F">
        <w:rPr>
          <w:rFonts w:ascii="Times New Roman" w:eastAsia="Times New Roman" w:hAnsi="Times New Roman" w:cs="Times New Roman"/>
          <w:i/>
          <w:kern w:val="36"/>
          <w:sz w:val="24"/>
          <w:szCs w:val="24"/>
          <w:lang w:eastAsia="ru-RU"/>
        </w:rPr>
        <w:t>Статья посвящена анализу</w:t>
      </w:r>
      <w:r>
        <w:rPr>
          <w:rFonts w:ascii="Times New Roman" w:eastAsia="Times New Roman" w:hAnsi="Times New Roman" w:cs="Times New Roman"/>
          <w:i/>
          <w:kern w:val="36"/>
          <w:sz w:val="24"/>
          <w:szCs w:val="24"/>
          <w:lang w:eastAsia="ru-RU"/>
        </w:rPr>
        <w:t xml:space="preserve"> особенностей доказывания </w:t>
      </w:r>
      <w:r w:rsidRPr="000107EA">
        <w:rPr>
          <w:rFonts w:ascii="Times New Roman" w:eastAsia="Times New Roman" w:hAnsi="Times New Roman" w:cs="Times New Roman"/>
          <w:i/>
          <w:kern w:val="36"/>
          <w:sz w:val="24"/>
          <w:szCs w:val="24"/>
          <w:lang w:eastAsia="ru-RU"/>
        </w:rPr>
        <w:t>по уголовным делам, рассматриваемым судом с участием присяжных заседателей.</w:t>
      </w:r>
      <w:r>
        <w:rPr>
          <w:rFonts w:ascii="Times New Roman" w:eastAsia="Times New Roman" w:hAnsi="Times New Roman" w:cs="Times New Roman"/>
          <w:i/>
          <w:kern w:val="36"/>
          <w:sz w:val="24"/>
          <w:szCs w:val="24"/>
          <w:lang w:eastAsia="ru-RU"/>
        </w:rPr>
        <w:t xml:space="preserve"> Кроме того, автор выявляет существующие на сегодняшний день проблемы, предлагает их пути решения.</w:t>
      </w:r>
    </w:p>
    <w:p w14:paraId="3D9F8918" w14:textId="49864820" w:rsidR="000107EA" w:rsidRPr="00B120BD" w:rsidRDefault="000107EA" w:rsidP="000107EA">
      <w:pPr>
        <w:widowControl w:val="0"/>
        <w:shd w:val="clear" w:color="auto" w:fill="FFFFFF"/>
        <w:spacing w:after="0" w:line="240" w:lineRule="auto"/>
        <w:ind w:firstLine="567"/>
        <w:contextualSpacing/>
        <w:jc w:val="both"/>
        <w:rPr>
          <w:rFonts w:ascii="Times New Roman" w:eastAsia="Times New Roman" w:hAnsi="Times New Roman" w:cs="Times New Roman"/>
          <w:i/>
          <w:kern w:val="36"/>
          <w:sz w:val="24"/>
          <w:szCs w:val="24"/>
          <w:lang w:eastAsia="ru-RU"/>
        </w:rPr>
      </w:pPr>
      <w:r w:rsidRPr="00A1333F">
        <w:rPr>
          <w:rFonts w:ascii="Times New Roman" w:eastAsia="Times New Roman" w:hAnsi="Times New Roman" w:cs="Times New Roman"/>
          <w:b/>
          <w:i/>
          <w:kern w:val="36"/>
          <w:sz w:val="24"/>
          <w:szCs w:val="24"/>
          <w:lang w:eastAsia="ru-RU"/>
        </w:rPr>
        <w:t>Ключевые слова и словосочетания</w:t>
      </w:r>
      <w:r w:rsidRPr="00A1333F">
        <w:rPr>
          <w:rFonts w:ascii="Times New Roman" w:eastAsia="Times New Roman" w:hAnsi="Times New Roman" w:cs="Times New Roman"/>
          <w:i/>
          <w:kern w:val="36"/>
          <w:sz w:val="24"/>
          <w:szCs w:val="24"/>
          <w:lang w:eastAsia="ru-RU"/>
        </w:rPr>
        <w:t xml:space="preserve">: </w:t>
      </w:r>
      <w:r>
        <w:rPr>
          <w:rFonts w:ascii="Times New Roman" w:eastAsia="Times New Roman" w:hAnsi="Times New Roman" w:cs="Times New Roman"/>
          <w:i/>
          <w:kern w:val="36"/>
          <w:sz w:val="24"/>
          <w:szCs w:val="24"/>
          <w:lang w:eastAsia="ru-RU"/>
        </w:rPr>
        <w:t>особенности, уголовные дела, суд присяжных, доказывание, производство, участие.</w:t>
      </w:r>
    </w:p>
    <w:p w14:paraId="4E101D2D" w14:textId="77777777" w:rsidR="000107EA" w:rsidRPr="003F4440" w:rsidRDefault="000107EA" w:rsidP="000107EA">
      <w:pPr>
        <w:widowControl w:val="0"/>
        <w:shd w:val="clear" w:color="auto" w:fill="FFFFFF"/>
        <w:spacing w:after="0" w:line="240" w:lineRule="auto"/>
        <w:contextualSpacing/>
        <w:rPr>
          <w:rFonts w:ascii="Times New Roman" w:eastAsia="Times New Roman" w:hAnsi="Times New Roman" w:cs="Times New Roman"/>
          <w:b/>
          <w:kern w:val="36"/>
          <w:sz w:val="24"/>
          <w:szCs w:val="24"/>
          <w:lang w:eastAsia="ru-RU"/>
        </w:rPr>
      </w:pPr>
    </w:p>
    <w:p w14:paraId="3FAEFA4E" w14:textId="5B3C1D24"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b/>
          <w:kern w:val="36"/>
          <w:sz w:val="24"/>
          <w:szCs w:val="24"/>
          <w:lang w:val="en-US" w:eastAsia="ru-RU"/>
        </w:rPr>
      </w:pPr>
      <w:r w:rsidRPr="000107EA">
        <w:rPr>
          <w:rFonts w:ascii="Times New Roman" w:eastAsia="Times New Roman" w:hAnsi="Times New Roman" w:cs="Times New Roman"/>
          <w:b/>
          <w:kern w:val="36"/>
          <w:sz w:val="24"/>
          <w:szCs w:val="24"/>
          <w:lang w:val="en-US" w:eastAsia="ru-RU"/>
        </w:rPr>
        <w:t>On the features of evidence in criminal cases considered by a jury</w:t>
      </w:r>
    </w:p>
    <w:p w14:paraId="36C567F1" w14:textId="77777777" w:rsidR="000107EA" w:rsidRPr="005459F3"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val="en-US" w:eastAsia="ru-RU"/>
        </w:rPr>
      </w:pPr>
    </w:p>
    <w:p w14:paraId="4E3147B7" w14:textId="2474AF9C" w:rsidR="000107EA" w:rsidRPr="00C21ACE" w:rsidRDefault="00AD5CCD"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val="en-US" w:eastAsia="ru-RU"/>
        </w:rPr>
      </w:pPr>
      <w:r w:rsidRPr="00C21ACE">
        <w:rPr>
          <w:rFonts w:ascii="Times New Roman" w:eastAsia="Times New Roman" w:hAnsi="Times New Roman" w:cs="Times New Roman"/>
          <w:kern w:val="36"/>
          <w:sz w:val="24"/>
          <w:szCs w:val="24"/>
          <w:lang w:val="en-US" w:eastAsia="ru-RU"/>
        </w:rPr>
        <w:t>Ilyashova Evelina Yurevna</w:t>
      </w:r>
    </w:p>
    <w:p w14:paraId="5399160A" w14:textId="33C52EEC" w:rsidR="000107EA" w:rsidRDefault="00AD5CCD"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val="en-US" w:eastAsia="ru-RU"/>
        </w:rPr>
      </w:pPr>
      <w:r w:rsidRPr="00C21ACE">
        <w:rPr>
          <w:rFonts w:ascii="Times New Roman" w:eastAsia="Times New Roman" w:hAnsi="Times New Roman" w:cs="Times New Roman"/>
          <w:kern w:val="36"/>
          <w:sz w:val="24"/>
          <w:szCs w:val="24"/>
          <w:lang w:val="en-US" w:eastAsia="ru-RU"/>
        </w:rPr>
        <w:t>BYUP-18-03 group 2</w:t>
      </w:r>
      <w:r w:rsidR="000107EA" w:rsidRPr="00C21ACE">
        <w:rPr>
          <w:rFonts w:ascii="Times New Roman" w:eastAsia="Times New Roman" w:hAnsi="Times New Roman" w:cs="Times New Roman"/>
          <w:kern w:val="36"/>
          <w:sz w:val="24"/>
          <w:szCs w:val="24"/>
          <w:lang w:val="en-US" w:eastAsia="ru-RU"/>
        </w:rPr>
        <w:t xml:space="preserve"> courses Institute of Law</w:t>
      </w:r>
    </w:p>
    <w:p w14:paraId="32EF6051" w14:textId="77777777" w:rsidR="000107EA" w:rsidRPr="005459F3"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val="en-US" w:eastAsia="ru-RU"/>
        </w:rPr>
      </w:pPr>
    </w:p>
    <w:p w14:paraId="76C1398C" w14:textId="77777777" w:rsidR="000107EA" w:rsidRPr="000107EA" w:rsidRDefault="000107EA" w:rsidP="000107EA">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 w:eastAsia="ru-RU"/>
        </w:rPr>
      </w:pPr>
      <w:r w:rsidRPr="00A1333F">
        <w:rPr>
          <w:rFonts w:ascii="Times New Roman" w:eastAsia="Times New Roman" w:hAnsi="Times New Roman" w:cs="Times New Roman"/>
          <w:kern w:val="36"/>
          <w:sz w:val="24"/>
          <w:szCs w:val="24"/>
          <w:lang w:val="en-US" w:eastAsia="ru-RU"/>
        </w:rPr>
        <w:t xml:space="preserve">The research supervisor – </w:t>
      </w:r>
      <w:r w:rsidRPr="000107EA">
        <w:rPr>
          <w:rFonts w:ascii="Times New Roman" w:eastAsia="Times New Roman" w:hAnsi="Times New Roman" w:cs="Times New Roman"/>
          <w:kern w:val="36"/>
          <w:sz w:val="24"/>
          <w:szCs w:val="24"/>
          <w:lang w:val="en" w:eastAsia="ru-RU"/>
        </w:rPr>
        <w:t>Omelyanenko Maria Evgenievna,</w:t>
      </w:r>
    </w:p>
    <w:p w14:paraId="6DC9AE43" w14:textId="77777777" w:rsidR="000107EA" w:rsidRPr="000107EA"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val="en" w:eastAsia="ru-RU"/>
        </w:rPr>
      </w:pPr>
      <w:r w:rsidRPr="000107EA">
        <w:rPr>
          <w:rFonts w:ascii="Times New Roman" w:eastAsia="Times New Roman" w:hAnsi="Times New Roman" w:cs="Times New Roman"/>
          <w:kern w:val="36"/>
          <w:sz w:val="24"/>
          <w:szCs w:val="24"/>
          <w:lang w:val="en" w:eastAsia="ru-RU"/>
        </w:rPr>
        <w:t>Senior Lecturer, Department of Criminal Law Disciplines,</w:t>
      </w:r>
    </w:p>
    <w:p w14:paraId="6D2F2AA9" w14:textId="77777777" w:rsidR="000107EA" w:rsidRPr="003F4440" w:rsidRDefault="000107EA" w:rsidP="000107EA">
      <w:pPr>
        <w:widowControl w:val="0"/>
        <w:shd w:val="clear" w:color="auto" w:fill="FFFFFF"/>
        <w:spacing w:after="0" w:line="240" w:lineRule="auto"/>
        <w:contextualSpacing/>
        <w:jc w:val="center"/>
        <w:rPr>
          <w:rFonts w:ascii="Times New Roman" w:eastAsia="Times New Roman" w:hAnsi="Times New Roman" w:cs="Times New Roman"/>
          <w:kern w:val="36"/>
          <w:sz w:val="24"/>
          <w:szCs w:val="24"/>
          <w:lang w:val="en-US" w:eastAsia="ru-RU"/>
        </w:rPr>
      </w:pPr>
      <w:r w:rsidRPr="000107EA">
        <w:rPr>
          <w:rFonts w:ascii="Times New Roman" w:eastAsia="Times New Roman" w:hAnsi="Times New Roman" w:cs="Times New Roman"/>
          <w:kern w:val="36"/>
          <w:sz w:val="24"/>
          <w:szCs w:val="24"/>
          <w:lang w:val="en" w:eastAsia="ru-RU"/>
        </w:rPr>
        <w:t>Institute of Law</w:t>
      </w:r>
    </w:p>
    <w:p w14:paraId="559362B9" w14:textId="77777777" w:rsidR="000107EA" w:rsidRPr="00A1333F" w:rsidRDefault="000107EA" w:rsidP="000107EA">
      <w:pPr>
        <w:widowControl w:val="0"/>
        <w:shd w:val="clear" w:color="auto" w:fill="FFFFFF"/>
        <w:spacing w:after="0" w:line="240" w:lineRule="auto"/>
        <w:contextualSpacing/>
        <w:rPr>
          <w:rFonts w:ascii="Times New Roman" w:eastAsia="Times New Roman" w:hAnsi="Times New Roman" w:cs="Times New Roman"/>
          <w:kern w:val="36"/>
          <w:sz w:val="24"/>
          <w:szCs w:val="24"/>
          <w:lang w:val="en-US" w:eastAsia="ru-RU"/>
        </w:rPr>
      </w:pPr>
    </w:p>
    <w:p w14:paraId="123F4913" w14:textId="77777777"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i/>
          <w:kern w:val="36"/>
          <w:sz w:val="24"/>
          <w:szCs w:val="24"/>
          <w:lang w:val="en-US" w:eastAsia="ru-RU"/>
        </w:rPr>
      </w:pPr>
      <w:r w:rsidRPr="00A1333F">
        <w:rPr>
          <w:rFonts w:ascii="Times New Roman" w:eastAsia="Times New Roman" w:hAnsi="Times New Roman" w:cs="Times New Roman"/>
          <w:i/>
          <w:kern w:val="36"/>
          <w:sz w:val="24"/>
          <w:szCs w:val="24"/>
          <w:lang w:val="en-US" w:eastAsia="ru-RU"/>
        </w:rPr>
        <w:t>Vladivostok State University of Economics and Service</w:t>
      </w:r>
    </w:p>
    <w:p w14:paraId="20E306AA" w14:textId="77777777"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i/>
          <w:kern w:val="36"/>
          <w:sz w:val="24"/>
          <w:szCs w:val="24"/>
          <w:lang w:val="en-US" w:eastAsia="ru-RU"/>
        </w:rPr>
      </w:pPr>
      <w:r w:rsidRPr="00A1333F">
        <w:rPr>
          <w:rFonts w:ascii="Times New Roman" w:eastAsia="Times New Roman" w:hAnsi="Times New Roman" w:cs="Times New Roman"/>
          <w:i/>
          <w:kern w:val="36"/>
          <w:sz w:val="24"/>
          <w:szCs w:val="24"/>
          <w:lang w:val="en-US" w:eastAsia="ru-RU"/>
        </w:rPr>
        <w:t>Vladivostok, Russia</w:t>
      </w:r>
    </w:p>
    <w:p w14:paraId="40837A67" w14:textId="77777777" w:rsidR="000107EA" w:rsidRPr="00A1333F" w:rsidRDefault="000107EA" w:rsidP="000107EA">
      <w:pPr>
        <w:widowControl w:val="0"/>
        <w:shd w:val="clear" w:color="auto" w:fill="FFFFFF"/>
        <w:spacing w:after="0" w:line="240" w:lineRule="auto"/>
        <w:contextualSpacing/>
        <w:jc w:val="center"/>
        <w:rPr>
          <w:rFonts w:ascii="Times New Roman" w:eastAsia="Times New Roman" w:hAnsi="Times New Roman" w:cs="Times New Roman"/>
          <w:b/>
          <w:kern w:val="36"/>
          <w:sz w:val="24"/>
          <w:szCs w:val="24"/>
          <w:lang w:val="en-US" w:eastAsia="ru-RU"/>
        </w:rPr>
      </w:pPr>
    </w:p>
    <w:p w14:paraId="0EFBA8AC" w14:textId="77777777" w:rsidR="000107EA" w:rsidRPr="00A1333F" w:rsidRDefault="000107EA" w:rsidP="000107EA">
      <w:pPr>
        <w:widowControl w:val="0"/>
        <w:shd w:val="clear" w:color="auto" w:fill="FFFFFF"/>
        <w:spacing w:after="0" w:line="240" w:lineRule="auto"/>
        <w:ind w:firstLine="709"/>
        <w:contextualSpacing/>
        <w:jc w:val="both"/>
        <w:rPr>
          <w:rFonts w:ascii="Times New Roman" w:eastAsia="Calibri" w:hAnsi="Times New Roman" w:cs="Times New Roman"/>
          <w:i/>
          <w:iCs/>
          <w:kern w:val="36"/>
          <w:sz w:val="24"/>
          <w:szCs w:val="24"/>
          <w:lang w:val="en-US" w:eastAsia="ru-RU"/>
        </w:rPr>
      </w:pPr>
    </w:p>
    <w:p w14:paraId="67828D7F" w14:textId="5810EF97" w:rsidR="000107EA" w:rsidRPr="005459F3" w:rsidRDefault="000107EA" w:rsidP="000107EA">
      <w:pPr>
        <w:widowControl w:val="0"/>
        <w:shd w:val="clear" w:color="auto" w:fill="FFFFFF"/>
        <w:spacing w:line="240" w:lineRule="auto"/>
        <w:ind w:firstLine="709"/>
        <w:contextualSpacing/>
        <w:jc w:val="both"/>
        <w:rPr>
          <w:rFonts w:ascii="Times New Roman" w:eastAsia="Calibri" w:hAnsi="Times New Roman" w:cs="Times New Roman"/>
          <w:b/>
          <w:i/>
          <w:iCs/>
          <w:kern w:val="36"/>
          <w:sz w:val="24"/>
          <w:szCs w:val="24"/>
          <w:lang w:val="en-US" w:eastAsia="ru-RU"/>
        </w:rPr>
      </w:pPr>
      <w:r w:rsidRPr="001E7B76">
        <w:rPr>
          <w:rFonts w:ascii="Times New Roman" w:eastAsia="Calibri" w:hAnsi="Times New Roman" w:cs="Times New Roman"/>
          <w:b/>
          <w:i/>
          <w:iCs/>
          <w:kern w:val="36"/>
          <w:sz w:val="24"/>
          <w:szCs w:val="24"/>
          <w:lang w:eastAsia="ru-RU"/>
        </w:rPr>
        <w:t>А</w:t>
      </w:r>
      <w:r w:rsidRPr="001E7B76">
        <w:rPr>
          <w:rFonts w:ascii="Times New Roman" w:eastAsia="Calibri" w:hAnsi="Times New Roman" w:cs="Times New Roman"/>
          <w:b/>
          <w:i/>
          <w:iCs/>
          <w:kern w:val="36"/>
          <w:sz w:val="24"/>
          <w:szCs w:val="24"/>
          <w:lang w:val="en-US" w:eastAsia="ru-RU"/>
        </w:rPr>
        <w:t>nnotation</w:t>
      </w:r>
      <w:r w:rsidRPr="00BF7E42">
        <w:rPr>
          <w:rFonts w:ascii="Times New Roman" w:eastAsia="Calibri" w:hAnsi="Times New Roman" w:cs="Times New Roman"/>
          <w:b/>
          <w:i/>
          <w:iCs/>
          <w:kern w:val="36"/>
          <w:sz w:val="24"/>
          <w:szCs w:val="24"/>
          <w:lang w:val="en-US" w:eastAsia="ru-RU"/>
        </w:rPr>
        <w:t xml:space="preserve">. </w:t>
      </w:r>
      <w:r w:rsidRPr="000107EA">
        <w:rPr>
          <w:rFonts w:ascii="Times New Roman" w:eastAsia="Calibri" w:hAnsi="Times New Roman" w:cs="Times New Roman"/>
          <w:bCs/>
          <w:i/>
          <w:iCs/>
          <w:kern w:val="36"/>
          <w:sz w:val="24"/>
          <w:szCs w:val="24"/>
          <w:lang w:val="en" w:eastAsia="ru-RU"/>
        </w:rPr>
        <w:t>The article is devoted to the analysis of the features of evidence in criminal cases considered by a jury. In addition, the author identifies the problems existing today, suggests their solutions.</w:t>
      </w:r>
    </w:p>
    <w:p w14:paraId="19737FCD" w14:textId="77777777" w:rsidR="000107EA" w:rsidRPr="000107EA" w:rsidRDefault="000107EA" w:rsidP="000107EA">
      <w:pPr>
        <w:widowControl w:val="0"/>
        <w:ind w:firstLine="709"/>
        <w:contextualSpacing/>
        <w:jc w:val="both"/>
        <w:rPr>
          <w:rFonts w:ascii="Times New Roman" w:eastAsia="Times New Roman" w:hAnsi="Times New Roman" w:cs="Times New Roman"/>
          <w:i/>
          <w:kern w:val="36"/>
          <w:sz w:val="24"/>
          <w:szCs w:val="24"/>
          <w:lang w:val="en-US" w:eastAsia="ru-RU"/>
        </w:rPr>
      </w:pPr>
      <w:r w:rsidRPr="00A1333F">
        <w:rPr>
          <w:rFonts w:ascii="Times New Roman" w:eastAsia="Times New Roman" w:hAnsi="Times New Roman" w:cs="Times New Roman"/>
          <w:b/>
          <w:i/>
          <w:kern w:val="36"/>
          <w:sz w:val="24"/>
          <w:szCs w:val="24"/>
          <w:lang w:val="en-US" w:eastAsia="ru-RU"/>
        </w:rPr>
        <w:t>Keywords and phrases</w:t>
      </w:r>
      <w:r w:rsidRPr="00A1333F">
        <w:rPr>
          <w:rFonts w:ascii="Times New Roman" w:eastAsia="Times New Roman" w:hAnsi="Times New Roman" w:cs="Times New Roman"/>
          <w:i/>
          <w:kern w:val="36"/>
          <w:sz w:val="24"/>
          <w:szCs w:val="24"/>
          <w:lang w:val="en-US" w:eastAsia="ru-RU"/>
        </w:rPr>
        <w:t xml:space="preserve">: </w:t>
      </w:r>
      <w:r w:rsidRPr="000107EA">
        <w:rPr>
          <w:rFonts w:ascii="Times New Roman" w:eastAsia="Times New Roman" w:hAnsi="Times New Roman" w:cs="Times New Roman"/>
          <w:i/>
          <w:kern w:val="36"/>
          <w:sz w:val="24"/>
          <w:szCs w:val="24"/>
          <w:lang w:val="en" w:eastAsia="ru-RU"/>
        </w:rPr>
        <w:t>features, criminal cases, jury trial, evidence, proceedings, participation.</w:t>
      </w:r>
    </w:p>
    <w:p w14:paraId="1024E830" w14:textId="77777777" w:rsidR="000107EA" w:rsidRDefault="000107EA" w:rsidP="000107EA">
      <w:pPr>
        <w:widowControl w:val="0"/>
        <w:contextualSpacing/>
        <w:jc w:val="both"/>
        <w:rPr>
          <w:rFonts w:ascii="Times New Roman" w:eastAsia="Times New Roman" w:hAnsi="Times New Roman" w:cs="Times New Roman"/>
          <w:i/>
          <w:kern w:val="36"/>
          <w:sz w:val="24"/>
          <w:szCs w:val="24"/>
          <w:lang w:val="en-US" w:eastAsia="ru-RU"/>
        </w:rPr>
      </w:pPr>
    </w:p>
    <w:p w14:paraId="7A751E6B" w14:textId="3D912911" w:rsidR="000107EA" w:rsidRPr="000107EA" w:rsidRDefault="000107EA" w:rsidP="000107EA">
      <w:pPr>
        <w:spacing w:after="0" w:line="240" w:lineRule="auto"/>
        <w:ind w:firstLine="709"/>
        <w:jc w:val="both"/>
        <w:rPr>
          <w:rFonts w:ascii="Times New Roman" w:hAnsi="Times New Roman" w:cs="Times New Roman"/>
          <w:sz w:val="24"/>
          <w:szCs w:val="24"/>
        </w:rPr>
      </w:pPr>
      <w:r w:rsidRPr="003F4440">
        <w:rPr>
          <w:rFonts w:ascii="Times New Roman" w:hAnsi="Times New Roman" w:cs="Times New Roman"/>
          <w:sz w:val="24"/>
          <w:szCs w:val="24"/>
          <w:lang w:val="en-US"/>
        </w:rPr>
        <w:t xml:space="preserve"> </w:t>
      </w:r>
      <w:r w:rsidRPr="000107EA">
        <w:rPr>
          <w:rFonts w:ascii="Times New Roman" w:hAnsi="Times New Roman" w:cs="Times New Roman"/>
          <w:sz w:val="24"/>
          <w:szCs w:val="24"/>
        </w:rPr>
        <w:t xml:space="preserve">В настоящее время функционирование суда присяжных на территории множества государств мира, в том числе и Российской Федерации (далее по тексту настоящего исследования - Россия, РФ (общепризнанные употребляемые сокращения)), обусловлено необходимостью обеспечения практической реализации ряда важных принципов уголовного судопроизводства, в частности, справедливости, законности, состязательности сторон, обеспечения права на защиту подозреваемому, обвиняемому. Участие присяжных заседателей в рассмотрении уголовных дел позволяет сократить риск судебно-следственных ошибок при вынесении приговора, а также избежать своевольного судебного усмотрения (злоупотребления со стороны судебных органов) при решении судьбы подсудимого лица. </w:t>
      </w:r>
    </w:p>
    <w:p w14:paraId="7A1CD5D2"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Надо отметить, что в этой связи данный уголовно-процессуальный институт неоднократно подвергался модернизации, усовершенствованию со стороны российского законодателя (в частности, последние из вносимых изменений приняты в июне 2018 года, и </w:t>
      </w:r>
      <w:r w:rsidRPr="000107EA">
        <w:rPr>
          <w:rFonts w:ascii="Times New Roman" w:hAnsi="Times New Roman" w:cs="Times New Roman"/>
          <w:sz w:val="24"/>
          <w:szCs w:val="24"/>
        </w:rPr>
        <w:lastRenderedPageBreak/>
        <w:t xml:space="preserve">сопряжены со значительным расширением компетенции суда присяжных, его состава), однако, это не помогло устранить существующие проблемы организационно-правового характера в процессе доказывания по уголовным делам, рассматриваемым судом с участием лиц, выступающих в качестве присяжных заседателей (например, сложность восприятия присяжными специальной юридической и медицинской терминологии в содержании представленных доказательств; иные). Именно поэтому теоретическая разработка выбранной темы исследования представляется актуальной и необходимой, ведь это позволит выработать комплекс мер, направленных на устранение существующих проблем. </w:t>
      </w:r>
    </w:p>
    <w:p w14:paraId="56E942B4"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Рассмотрение уголовного дела компетентными судебными органами с участием лиц, выступающих в роли присяжных заседателей реализуется по общим правилам, которые закреплены в содержании главы 42 действующего российского уголовно-процессуального закона: так, отправной точкой здесь будет выступать вступительное заявление государственного обвинителя, в котором он подробно и детально излагает существо инкриминируемого обвинения лицу, являющемуся подсудимым в конкретном уголовном судопроизводстве. Затем им предлагается участникам уголовного судопроизводства, в том числе и коллегии присяжных заседателей, избрать порядок исследования доказательственной базы, сформированной как стороной обвинения, так и стороной защиты.</w:t>
      </w:r>
    </w:p>
    <w:p w14:paraId="4DB0DEB0"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После этого председательствующий судья в указанном судебном заседании, учитывая мнение как стороны защиты, так и стороны обвинения, а также собственное видение и видение коллегии присяжных заседателей по данному вопросу, определяет порядок исследования сформированной доказательственной базы, которым он будет руководствоваться на протяжении всего оставшегося уголовного судопроизводства. </w:t>
      </w:r>
    </w:p>
    <w:p w14:paraId="155BE3FA"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Избрание того или иного порядка исследования сформированной по расследуемому уголовному делу доказательственной базы зависит от множества факторов, к которым, в частности, допустимо отнести нижеследующие:</w:t>
      </w:r>
    </w:p>
    <w:p w14:paraId="01459FBA"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А. В зависимости от всей совокупности видов доказательств (так называемых источников формирования доказательственной базы).</w:t>
      </w:r>
    </w:p>
    <w:p w14:paraId="670D54FF"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Б. В зависимости от того, в какой очередности были даны подсудимым лицом показания по уголовному делу (то есть, от даты производства его допросов).</w:t>
      </w:r>
    </w:p>
    <w:p w14:paraId="05829DD9"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В. В зависимости от круга доказательств по каждому из эпизодов совершенных преступных деяний, которые вменяются следственными органами лицу, выступающему в роли подсудимого в рамках данного судебного заседания.</w:t>
      </w:r>
    </w:p>
    <w:p w14:paraId="7EEE3949"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Г. В зависимости от хронологии совершения инкриминируемых подсудимому преступных деяний. </w:t>
      </w:r>
    </w:p>
    <w:p w14:paraId="1418B336"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Д. В зависимости от наличия реальной возможности исследования того или иного доказательства в конкретном судебном заседании, проводимом с участием лиц, являющихся присяжными заседателями (например, невозможно будет исследовать видеозапись, приобщенную в качестве вещественного доказательства, если будет не исправлено оборудование, на котором ее можно просмотреть).</w:t>
      </w:r>
    </w:p>
    <w:p w14:paraId="129FE4AE" w14:textId="7FB7505F"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Е. В зависимости от одного и того же вида доказательств (например, сначала исследуются показания потерпевших, свидетелей, иных участников уголовного судопроизводства, а потом все другие доказательства, охваченные сформированной по уголовному делу доказательственной базой);</w:t>
      </w:r>
    </w:p>
    <w:p w14:paraId="1B149452" w14:textId="08C0113B"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Ж. В зависимости от того, какой из сторон уголовного судопроизводства были представлены исследуемые доказательства (например, сначала исследуются исключительно те доказательства, которые были представлены стороной обвинения, и только затем те, которые были представлены стороной защиты) [</w:t>
      </w:r>
      <w:r>
        <w:rPr>
          <w:rFonts w:ascii="Times New Roman" w:hAnsi="Times New Roman" w:cs="Times New Roman"/>
          <w:sz w:val="24"/>
          <w:szCs w:val="24"/>
        </w:rPr>
        <w:t>1</w:t>
      </w:r>
      <w:r w:rsidRPr="000107EA">
        <w:rPr>
          <w:rFonts w:ascii="Times New Roman" w:hAnsi="Times New Roman" w:cs="Times New Roman"/>
          <w:sz w:val="24"/>
          <w:szCs w:val="24"/>
        </w:rPr>
        <w:t>].</w:t>
      </w:r>
    </w:p>
    <w:p w14:paraId="7F8ACE99"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Однако, исследование отдельных видов доказательств судом с участием лиц, выступающих в роли присяжных заседателей, представляет особую сложность, в силу присущих его особенностей. Рассмотрим их более подробно ниже в содержании настоящей работы.</w:t>
      </w:r>
    </w:p>
    <w:p w14:paraId="0B24C85C"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1. Показания подсудимого.</w:t>
      </w:r>
    </w:p>
    <w:p w14:paraId="1D271FCE" w14:textId="624CBCCF"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lastRenderedPageBreak/>
        <w:t>Как демонстрирует проведенный анализ сформированной правоприменительной практики, наиболее часто складывается ситуация, при которой сторона защиты заявляет в судебном заседании ходатайство о допросе подсудимого лица уже после исследования судом и коллегией присяжных заседателей всех иных видов доказательств</w:t>
      </w:r>
      <w:r w:rsidR="009D64E6">
        <w:rPr>
          <w:rFonts w:ascii="Times New Roman" w:hAnsi="Times New Roman" w:cs="Times New Roman"/>
          <w:sz w:val="24"/>
          <w:szCs w:val="24"/>
        </w:rPr>
        <w:t xml:space="preserve"> </w:t>
      </w:r>
      <w:r w:rsidRPr="000107EA">
        <w:rPr>
          <w:rFonts w:ascii="Times New Roman" w:hAnsi="Times New Roman" w:cs="Times New Roman"/>
          <w:sz w:val="24"/>
          <w:szCs w:val="24"/>
        </w:rPr>
        <w:t xml:space="preserve"> </w:t>
      </w:r>
      <w:r w:rsidR="009D64E6">
        <w:rPr>
          <w:rFonts w:ascii="Times New Roman" w:hAnsi="Times New Roman" w:cs="Times New Roman"/>
          <w:sz w:val="24"/>
          <w:szCs w:val="24"/>
        </w:rPr>
        <w:t>(</w:t>
      </w:r>
      <w:r w:rsidR="009D64E6" w:rsidRPr="009D64E6">
        <w:rPr>
          <w:rFonts w:ascii="Times New Roman" w:hAnsi="Times New Roman" w:cs="Times New Roman"/>
          <w:sz w:val="24"/>
          <w:szCs w:val="24"/>
        </w:rPr>
        <w:t>так, например, было, исходя из Приговора № 2-6/2019 от 30 декабря 2019 г. по делу № 2-3/2019 [</w:t>
      </w:r>
      <w:r w:rsidR="009D64E6">
        <w:rPr>
          <w:rFonts w:ascii="Times New Roman" w:hAnsi="Times New Roman" w:cs="Times New Roman"/>
          <w:sz w:val="24"/>
          <w:szCs w:val="24"/>
        </w:rPr>
        <w:t>19</w:t>
      </w:r>
      <w:r w:rsidR="009D64E6" w:rsidRPr="009D64E6">
        <w:rPr>
          <w:rFonts w:ascii="Times New Roman" w:hAnsi="Times New Roman" w:cs="Times New Roman"/>
          <w:sz w:val="24"/>
          <w:szCs w:val="24"/>
        </w:rPr>
        <w:t>],  Приговора № 2-22/2019 от 27 декабря 2019 г [2</w:t>
      </w:r>
      <w:r w:rsidR="009D64E6">
        <w:rPr>
          <w:rFonts w:ascii="Times New Roman" w:hAnsi="Times New Roman" w:cs="Times New Roman"/>
          <w:sz w:val="24"/>
          <w:szCs w:val="24"/>
        </w:rPr>
        <w:t>0</w:t>
      </w:r>
      <w:r w:rsidR="009D64E6" w:rsidRPr="009D64E6">
        <w:rPr>
          <w:rFonts w:ascii="Times New Roman" w:hAnsi="Times New Roman" w:cs="Times New Roman"/>
          <w:sz w:val="24"/>
          <w:szCs w:val="24"/>
        </w:rPr>
        <w:t>], Приговор № 2-30/2019 от 25 декабря 2019 г. по делу № 2-30/2019 [2</w:t>
      </w:r>
      <w:r w:rsidR="009D64E6">
        <w:rPr>
          <w:rFonts w:ascii="Times New Roman" w:hAnsi="Times New Roman" w:cs="Times New Roman"/>
          <w:sz w:val="24"/>
          <w:szCs w:val="24"/>
        </w:rPr>
        <w:t>1</w:t>
      </w:r>
      <w:r w:rsidR="009D64E6" w:rsidRPr="009D64E6">
        <w:rPr>
          <w:rFonts w:ascii="Times New Roman" w:hAnsi="Times New Roman" w:cs="Times New Roman"/>
          <w:sz w:val="24"/>
          <w:szCs w:val="24"/>
        </w:rPr>
        <w:t>])</w:t>
      </w:r>
      <w:r w:rsidR="009D64E6">
        <w:rPr>
          <w:rFonts w:ascii="Times New Roman" w:hAnsi="Times New Roman" w:cs="Times New Roman"/>
          <w:sz w:val="24"/>
          <w:szCs w:val="24"/>
        </w:rPr>
        <w:t xml:space="preserve">. </w:t>
      </w:r>
      <w:r w:rsidRPr="000107EA">
        <w:rPr>
          <w:rFonts w:ascii="Times New Roman" w:hAnsi="Times New Roman" w:cs="Times New Roman"/>
          <w:sz w:val="24"/>
          <w:szCs w:val="24"/>
        </w:rPr>
        <w:t>Причины этого очевидны: это позволит стороне защиты выработать собственную позицию по данному уголовному делу, с учетом сформированной позиции стороной обвинения, а также эмоциональной реакции членов коллегии присяжных заседателей на представление того или иного доказательства. При этом, при исследовании показаний подсудимого лица, ему запрещено задавать любые вопросы, которые так или иначе сопряжено с характеристикой его личности (если это, разумеется, не является нео</w:t>
      </w:r>
      <w:r w:rsidR="00037E0A">
        <w:rPr>
          <w:rFonts w:ascii="Times New Roman" w:hAnsi="Times New Roman" w:cs="Times New Roman"/>
          <w:sz w:val="24"/>
          <w:szCs w:val="24"/>
        </w:rPr>
        <w:t xml:space="preserve">бходимым для установления круга </w:t>
      </w:r>
      <w:r w:rsidRPr="000107EA">
        <w:rPr>
          <w:rFonts w:ascii="Times New Roman" w:hAnsi="Times New Roman" w:cs="Times New Roman"/>
          <w:sz w:val="24"/>
          <w:szCs w:val="24"/>
        </w:rPr>
        <w:t>обстоятельств инкриминируемого ему следственными органами преступного уголовно-наказуемого деяния) [</w:t>
      </w:r>
      <w:r>
        <w:rPr>
          <w:rFonts w:ascii="Times New Roman" w:hAnsi="Times New Roman" w:cs="Times New Roman"/>
          <w:sz w:val="24"/>
          <w:szCs w:val="24"/>
        </w:rPr>
        <w:t>2</w:t>
      </w:r>
      <w:r w:rsidRPr="000107EA">
        <w:rPr>
          <w:rFonts w:ascii="Times New Roman" w:hAnsi="Times New Roman" w:cs="Times New Roman"/>
          <w:sz w:val="24"/>
          <w:szCs w:val="24"/>
        </w:rPr>
        <w:t>].</w:t>
      </w:r>
    </w:p>
    <w:p w14:paraId="00FBE606"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2. Доказательства, которые охватывают в своем содержании информацию, дающую характеристику личности лица, являющегося подсудимым.</w:t>
      </w:r>
    </w:p>
    <w:p w14:paraId="5AB432E5" w14:textId="48F535EB"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Общее правило в данном случае гласит, что при участии коллегии присяжных заседателей запрещается исследовать доказательства, охватывающие собой сведения о личности лица, являющегося подсудимым. Исключение здесь составляют только те случаи, когда подобного рода сведения играют огромную роль для установления обстоятельств совершенного подсудимым преступления (например, о навыках владения лицом огнестрельным оружием на профессиональной основе, либо о наличии между погибшим и подсудимым долгосрочных конфликтных и неприязненных отношений [</w:t>
      </w:r>
      <w:r>
        <w:rPr>
          <w:rFonts w:ascii="Times New Roman" w:hAnsi="Times New Roman" w:cs="Times New Roman"/>
          <w:sz w:val="24"/>
          <w:szCs w:val="24"/>
        </w:rPr>
        <w:t>3</w:t>
      </w:r>
      <w:r w:rsidRPr="000107EA">
        <w:rPr>
          <w:rFonts w:ascii="Times New Roman" w:hAnsi="Times New Roman" w:cs="Times New Roman"/>
          <w:sz w:val="24"/>
          <w:szCs w:val="24"/>
        </w:rPr>
        <w:t>]).</w:t>
      </w:r>
    </w:p>
    <w:p w14:paraId="4E11564E"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3. Доказательства, которые охватывают в своем содержании информацию, дающую характеристику личности лица, являющегося свидетелем по данному уголовному делу.</w:t>
      </w:r>
    </w:p>
    <w:p w14:paraId="0A28CED9"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Здесь необходимо акцентировать свое внимание на том, что ныне действующий российский уголовно-процессуальный закон не охватывает в своем содержании какой-либо специальной нормы, регламентирующей порядок исследования судом с участием лиц, выступающих в роли присяжных заседателей доказательств, которые охватывают в своем содержании информацию, дающую характеристику личности лица, являющегося свидетелем по данному уголовному делу.</w:t>
      </w:r>
    </w:p>
    <w:p w14:paraId="5A940C82" w14:textId="323A81C9"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Однако, проведенный в рамках настоящего исследования анализ сформированной правоприменительной практики наглядно демонстрирует, что по аналогии с предыдущим видом доказательств, их изучение в судебном заседании не допускается, опять же, за исключением случаев, когда подобного рода сведения играют огромную роль для установления обстоятельств совершенного подсудимым преступления. Об этом прямо говорит в своих решениях высший судебный орган российского государства - Конституционный суд РФ [</w:t>
      </w:r>
      <w:r>
        <w:rPr>
          <w:rFonts w:ascii="Times New Roman" w:hAnsi="Times New Roman" w:cs="Times New Roman"/>
          <w:sz w:val="24"/>
          <w:szCs w:val="24"/>
        </w:rPr>
        <w:t>4</w:t>
      </w:r>
      <w:r w:rsidRPr="000107EA">
        <w:rPr>
          <w:rFonts w:ascii="Times New Roman" w:hAnsi="Times New Roman" w:cs="Times New Roman"/>
          <w:sz w:val="24"/>
          <w:szCs w:val="24"/>
        </w:rPr>
        <w:t>].</w:t>
      </w:r>
    </w:p>
    <w:p w14:paraId="7CB0C179"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4. Психофизиологическая экспертиза.</w:t>
      </w:r>
    </w:p>
    <w:p w14:paraId="23FB2E87"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Опять же, проведенный нами анализ сформированной судебно-следственной практики наглядно демонстрирует то, что исследование заключения, подготовленного по результатам проведения психофизиологической экспертизы, проведенной в отношении подсудимого лица, либо лиц, являющихся свидетелями или потерпевшими, по рассматриваемому судом уголовному делу. Иными словами, исключена возможность исследования коллегией присяжных заседателей тех данных, которые получены при применении так называемого полиграфа или же детектора лжи. </w:t>
      </w:r>
    </w:p>
    <w:p w14:paraId="7634B659" w14:textId="1263B41A"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На наш субъективный взгляд, это вполне обоснованно и закономерно, поскольку полученные таким путем сведения сами по себе не могут носить объективного характера, поскольку не являются закреплением установленного факта, и не должны передаваться на исследования лицам, выступающим в роли присяжных заседателей на данном судебном заседание при рассмотрении конкретного уголовного дела. Собственно, этой же позиции придерживаются и судебные инстанции [</w:t>
      </w:r>
      <w:r>
        <w:rPr>
          <w:rFonts w:ascii="Times New Roman" w:hAnsi="Times New Roman" w:cs="Times New Roman"/>
          <w:sz w:val="24"/>
          <w:szCs w:val="24"/>
        </w:rPr>
        <w:t>5</w:t>
      </w:r>
      <w:r w:rsidRPr="000107EA">
        <w:rPr>
          <w:rFonts w:ascii="Times New Roman" w:hAnsi="Times New Roman" w:cs="Times New Roman"/>
          <w:sz w:val="24"/>
          <w:szCs w:val="24"/>
        </w:rPr>
        <w:t>].</w:t>
      </w:r>
    </w:p>
    <w:p w14:paraId="5F447535"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lastRenderedPageBreak/>
        <w:t>5. Заключение эксперта.</w:t>
      </w:r>
    </w:p>
    <w:p w14:paraId="60515C47" w14:textId="6A62D15F"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Действующий российский уголовно-процессуальный закон не запрещать в допустимой форме поставить перед лицами, вошедшими в состав коллегии присяжных заседателей те же самые вопросы, которые ранее выносились при расследовании уголовного дела перед экспертом: так, в частности, к подобного рода вопросам можно отнести, исходя из сформированной правоприменительной практики, вопрос о том, находился ли подсудимый в состоянии аффекта в момент совершения им преступного уголовно-наказуемого деяния, либо же о том, находился  подсудимый в состоянии невменяемости в момент совершения им преступного уголовно-наказуемого деяния. При этом, важно обратить также внимание и на том, что заключение эксперта должно быть представлено к исследованию лицам, вошедшим в состав коллегии присяжных заседателей, только в той части, в которой исключаются изложенные лицом, являющимся экспертом, информация об обстоятельствах личности, здоровья кого-либо из участников уголовного судопроизводства [</w:t>
      </w:r>
      <w:r>
        <w:rPr>
          <w:rFonts w:ascii="Times New Roman" w:hAnsi="Times New Roman" w:cs="Times New Roman"/>
          <w:sz w:val="24"/>
          <w:szCs w:val="24"/>
        </w:rPr>
        <w:t>6</w:t>
      </w:r>
      <w:r w:rsidRPr="000107EA">
        <w:rPr>
          <w:rFonts w:ascii="Times New Roman" w:hAnsi="Times New Roman" w:cs="Times New Roman"/>
          <w:sz w:val="24"/>
          <w:szCs w:val="24"/>
        </w:rPr>
        <w:t>].</w:t>
      </w:r>
    </w:p>
    <w:p w14:paraId="2C4DEA75"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При этом, за судом закрепляется право отказать в исследовании заключения эксперта лицами, входящими в состав коллегии присяжных заседателей, если в его содержании содержатся крайне сложные для своего правопонимания и правовосприятия формулировки, например, юридического или же сугубо медицинского характера. Такого рода решение суда является абсолютно законным, обоснованным.  </w:t>
      </w:r>
    </w:p>
    <w:p w14:paraId="44285C1A"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6. Результаты оперативно-розыскной деятельности.</w:t>
      </w:r>
    </w:p>
    <w:p w14:paraId="5B6223DD" w14:textId="7690493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Обозначенный нами вид доказательств является допустимым для исследования лицами, входящими в состав коллегии присяжных заседателей, только если их, в целом, возможно признать допустимыми и относимыми в рамках расследуемого уголовного дела. Исключение здесь составляют случаи, когда результаты оперативно-розыскной деятельности исследуются судом для установления законности и допустимости проведения процесса собирания и формирования доказательственной базы по уголовному делу: в таком случае при их исследовании в судебном заседании присутствие лиц, входящих в состав коллегии присяжных засед</w:t>
      </w:r>
      <w:r w:rsidR="00C21ACE">
        <w:rPr>
          <w:rFonts w:ascii="Times New Roman" w:hAnsi="Times New Roman" w:cs="Times New Roman"/>
          <w:sz w:val="24"/>
          <w:szCs w:val="24"/>
        </w:rPr>
        <w:t xml:space="preserve">ателей категорически запрещено </w:t>
      </w:r>
      <w:r w:rsidRPr="000107EA">
        <w:rPr>
          <w:rFonts w:ascii="Times New Roman" w:hAnsi="Times New Roman" w:cs="Times New Roman"/>
          <w:sz w:val="24"/>
          <w:szCs w:val="24"/>
        </w:rPr>
        <w:t>[</w:t>
      </w:r>
      <w:r>
        <w:rPr>
          <w:rFonts w:ascii="Times New Roman" w:hAnsi="Times New Roman" w:cs="Times New Roman"/>
          <w:sz w:val="24"/>
          <w:szCs w:val="24"/>
        </w:rPr>
        <w:t>7</w:t>
      </w:r>
      <w:r w:rsidRPr="000107EA">
        <w:rPr>
          <w:rFonts w:ascii="Times New Roman" w:hAnsi="Times New Roman" w:cs="Times New Roman"/>
          <w:sz w:val="24"/>
          <w:szCs w:val="24"/>
        </w:rPr>
        <w:t>].</w:t>
      </w:r>
    </w:p>
    <w:p w14:paraId="5F06CDFE"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7. «Шокирующие» доказательства.</w:t>
      </w:r>
    </w:p>
    <w:p w14:paraId="23197B04"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Под данным видом доказательств в уголовном судопроизводстве принято понимать исключительно те, демонстрация которых способна оказать достаточно серьезно психотравмирующее (психоэмоциональное) влияние (воздействие) на лиц, входящих в состав коллегии присяжных заседателей. Помимо прочего, именно этот вид доказательств в уголовном процессе способен также сформировать у лиц, входящих в состав коллегии присяжных заседателей негативное отношение к лицу, являющемуся подсудимым в данном судебном заседании, еще задолго до момента исследования ими каких-либо иных доказательств, сформированных при расследовании уголовного дела. </w:t>
      </w:r>
    </w:p>
    <w:p w14:paraId="239117F4" w14:textId="7E3EEE6D"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В частности, исходя из проведенного анализа сформированной судебной практики, к числу данного вида доказательств, относятся, в частности, фотографии обезображенных трупов </w:t>
      </w:r>
      <w:r w:rsidR="00C21ACE">
        <w:rPr>
          <w:rFonts w:ascii="Times New Roman" w:hAnsi="Times New Roman" w:cs="Times New Roman"/>
          <w:sz w:val="24"/>
          <w:szCs w:val="24"/>
        </w:rPr>
        <w:t>(гнилых, мумифицированных, расч</w:t>
      </w:r>
      <w:r w:rsidRPr="000107EA">
        <w:rPr>
          <w:rFonts w:ascii="Times New Roman" w:hAnsi="Times New Roman" w:cs="Times New Roman"/>
          <w:sz w:val="24"/>
          <w:szCs w:val="24"/>
        </w:rPr>
        <w:t>ле</w:t>
      </w:r>
      <w:r w:rsidR="00C21ACE">
        <w:rPr>
          <w:rFonts w:ascii="Times New Roman" w:hAnsi="Times New Roman" w:cs="Times New Roman"/>
          <w:sz w:val="24"/>
          <w:szCs w:val="24"/>
        </w:rPr>
        <w:t>не</w:t>
      </w:r>
      <w:r w:rsidRPr="000107EA">
        <w:rPr>
          <w:rFonts w:ascii="Times New Roman" w:hAnsi="Times New Roman" w:cs="Times New Roman"/>
          <w:sz w:val="24"/>
          <w:szCs w:val="24"/>
        </w:rPr>
        <w:t>нных), а также, например, видеозаписи, которые демонстрируют жестокость совершенного преступного деяния подсудимым [</w:t>
      </w:r>
      <w:r>
        <w:rPr>
          <w:rFonts w:ascii="Times New Roman" w:hAnsi="Times New Roman" w:cs="Times New Roman"/>
          <w:sz w:val="24"/>
          <w:szCs w:val="24"/>
        </w:rPr>
        <w:t>8</w:t>
      </w:r>
      <w:r w:rsidRPr="000107EA">
        <w:rPr>
          <w:rFonts w:ascii="Times New Roman" w:hAnsi="Times New Roman" w:cs="Times New Roman"/>
          <w:sz w:val="24"/>
          <w:szCs w:val="24"/>
        </w:rPr>
        <w:t>].</w:t>
      </w:r>
    </w:p>
    <w:p w14:paraId="1050BAC5" w14:textId="1728E6F9"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В целом, нужно сказать, что в ходе судебного следствия в присутствии присяжных заседателей подлежат исследованию только те фактические обстоятельства уголовного дела, доказанность которых устанавливается присяжными заседателями. К их числу относятся следующие вопросы: А) доказано ли, что имело место деяние, в совершении которого обвиняется подсудимый; Б) доказано ли, что деяние совершил подсудимый; В) виновен ли подсудимый в совершении этого преступления; Г) заслуживает ли подсудимый снисхождения [</w:t>
      </w:r>
      <w:r>
        <w:rPr>
          <w:rFonts w:ascii="Times New Roman" w:hAnsi="Times New Roman" w:cs="Times New Roman"/>
          <w:sz w:val="24"/>
          <w:szCs w:val="24"/>
        </w:rPr>
        <w:t>9</w:t>
      </w:r>
      <w:r w:rsidRPr="000107EA">
        <w:rPr>
          <w:rFonts w:ascii="Times New Roman" w:hAnsi="Times New Roman" w:cs="Times New Roman"/>
          <w:sz w:val="24"/>
          <w:szCs w:val="24"/>
        </w:rPr>
        <w:t xml:space="preserve">, </w:t>
      </w:r>
      <w:r w:rsidRPr="000107EA">
        <w:rPr>
          <w:rFonts w:ascii="Times New Roman" w:hAnsi="Times New Roman" w:cs="Times New Roman"/>
          <w:sz w:val="24"/>
          <w:szCs w:val="24"/>
          <w:lang w:val="en-US"/>
        </w:rPr>
        <w:t>c</w:t>
      </w:r>
      <w:r w:rsidRPr="000107EA">
        <w:rPr>
          <w:rFonts w:ascii="Times New Roman" w:hAnsi="Times New Roman" w:cs="Times New Roman"/>
          <w:sz w:val="24"/>
          <w:szCs w:val="24"/>
        </w:rPr>
        <w:t>. 78]. Иные вопросы, равно как и вопрос о признании доказательств недопустимыми разрешается судом с участием сторон уголовного судопроизводства в отсутствие коллегии присяжных заседателей.</w:t>
      </w:r>
    </w:p>
    <w:p w14:paraId="0419C3DA" w14:textId="65B5189A"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Здесь уместно будет отметить, что следом за завершение проведения судебного следствия, стороны обвинения и защиты переходят к прениям, проводимых исключительно в пределах тех вопросов, подлежащих разрешению лицами, являющимися членами коллегии </w:t>
      </w:r>
      <w:r w:rsidRPr="000107EA">
        <w:rPr>
          <w:rFonts w:ascii="Times New Roman" w:hAnsi="Times New Roman" w:cs="Times New Roman"/>
          <w:sz w:val="24"/>
          <w:szCs w:val="24"/>
        </w:rPr>
        <w:lastRenderedPageBreak/>
        <w:t>присяжных заседателей. При этом, действующий российский уголовно-процессуальный закон устанавливает правило о том, что если стороны обвинения, либо защиты затронули в своих прениях обстоятельства, подлежащие исследования без участия лиц, входящих в состав коллегии присяжных заседателей, то суд должен их в обязательном порядке прервать и разъяснить последним, что при вынесении ими вердикта, они не имеют права ссылаться на озвученные сторонами защиты и обвинения обстоятельства [1</w:t>
      </w:r>
      <w:r>
        <w:rPr>
          <w:rFonts w:ascii="Times New Roman" w:hAnsi="Times New Roman" w:cs="Times New Roman"/>
          <w:sz w:val="24"/>
          <w:szCs w:val="24"/>
        </w:rPr>
        <w:t>0</w:t>
      </w:r>
      <w:r w:rsidRPr="000107EA">
        <w:rPr>
          <w:rFonts w:ascii="Times New Roman" w:hAnsi="Times New Roman" w:cs="Times New Roman"/>
          <w:sz w:val="24"/>
          <w:szCs w:val="24"/>
        </w:rPr>
        <w:t xml:space="preserve">]. </w:t>
      </w:r>
    </w:p>
    <w:p w14:paraId="6B7B4315"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Также, в рамках второй главы настоящего исследования, было бы в корне неправильным и неверным, абстрагироваться от выявления проблем, сопряженных с процессом доказывания по уголовным делам, рассматриваемым компетентным судебным органом с участием лиц, выступающих в роли присяжных заседателей. В частности, к их числу допустимо отнести ряд нижеследующих.</w:t>
      </w:r>
    </w:p>
    <w:p w14:paraId="72C96201"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1. Проблема предоставления к исследованию лицами, входящими в состав коллегии присяжных заседателей, лишь некоторой части заключения эксперта (специалиста).</w:t>
      </w:r>
    </w:p>
    <w:p w14:paraId="32C1B76D" w14:textId="2B94B594"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Так, обозначенная проблема фактически влечет за собой нарушение одного из основополагающих принципов уголовного судопроизводства как непосредственность исследования сформированной доказательственной базы по уголовному делу [1</w:t>
      </w:r>
      <w:r>
        <w:rPr>
          <w:rFonts w:ascii="Times New Roman" w:hAnsi="Times New Roman" w:cs="Times New Roman"/>
          <w:sz w:val="24"/>
          <w:szCs w:val="24"/>
        </w:rPr>
        <w:t>1</w:t>
      </w:r>
      <w:r w:rsidRPr="000107EA">
        <w:rPr>
          <w:rFonts w:ascii="Times New Roman" w:hAnsi="Times New Roman" w:cs="Times New Roman"/>
          <w:sz w:val="24"/>
          <w:szCs w:val="24"/>
        </w:rPr>
        <w:t xml:space="preserve">, </w:t>
      </w:r>
      <w:r w:rsidRPr="000107EA">
        <w:rPr>
          <w:rFonts w:ascii="Times New Roman" w:hAnsi="Times New Roman" w:cs="Times New Roman"/>
          <w:sz w:val="24"/>
          <w:szCs w:val="24"/>
          <w:lang w:val="en-US"/>
        </w:rPr>
        <w:t>c</w:t>
      </w:r>
      <w:r w:rsidRPr="000107EA">
        <w:rPr>
          <w:rFonts w:ascii="Times New Roman" w:hAnsi="Times New Roman" w:cs="Times New Roman"/>
          <w:sz w:val="24"/>
          <w:szCs w:val="24"/>
        </w:rPr>
        <w:t>. 111-112; 1</w:t>
      </w:r>
      <w:r>
        <w:rPr>
          <w:rFonts w:ascii="Times New Roman" w:hAnsi="Times New Roman" w:cs="Times New Roman"/>
          <w:sz w:val="24"/>
          <w:szCs w:val="24"/>
        </w:rPr>
        <w:t>2</w:t>
      </w:r>
      <w:r w:rsidRPr="000107EA">
        <w:rPr>
          <w:rFonts w:ascii="Times New Roman" w:hAnsi="Times New Roman" w:cs="Times New Roman"/>
          <w:sz w:val="24"/>
          <w:szCs w:val="24"/>
        </w:rPr>
        <w:t>, с. 87]. Тем самым, становится очевидно, что идет оказание влияния и воздействие на убеждение лиц, входящих в состав коллегии присяжных заседателей.</w:t>
      </w:r>
    </w:p>
    <w:p w14:paraId="4CA69C33"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Полагаем, что правильнее было бы представлять перед ними заключения эксперта или специалиста исключительно в полном объеме (то есть, всего его содержания), даже с описанием причиненных повреждений, особенностей личностной характеристики подсудимого лица, ведь это позволяет установить обстоятельства совершения инкриминируемого подсудимого преступного деяния, а также избежать нарушения ранее упомянутого нами принципа уголовного судопроизводства.</w:t>
      </w:r>
    </w:p>
    <w:p w14:paraId="2EC334EF" w14:textId="56D711F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 2. Проблема сложности в </w:t>
      </w:r>
      <w:r w:rsidR="00C21ACE">
        <w:rPr>
          <w:rFonts w:ascii="Times New Roman" w:hAnsi="Times New Roman" w:cs="Times New Roman"/>
          <w:sz w:val="24"/>
          <w:szCs w:val="24"/>
        </w:rPr>
        <w:t>правопонимании и правовосприятия</w:t>
      </w:r>
      <w:r w:rsidRPr="000107EA">
        <w:rPr>
          <w:rFonts w:ascii="Times New Roman" w:hAnsi="Times New Roman" w:cs="Times New Roman"/>
          <w:sz w:val="24"/>
          <w:szCs w:val="24"/>
        </w:rPr>
        <w:t xml:space="preserve"> специальной юридической, медицинской, технической терминологии, которая используются экспертами, специалистами при составлении содержания заключения.</w:t>
      </w:r>
    </w:p>
    <w:p w14:paraId="11D27797" w14:textId="34ACC69B"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Данная проблема сопряжена с тем, что фактически лица, входящие в состав коллегии присяжных заседателей, лишены объективной возможности понять смысловое значения представленных к исследованию доказательств данного вида. Для разрешения данной проблемы нами предлагается как привлечение к пояснению в процессе исследования этого вида доказательства специалиста или эксперта (естественно, стороннего), так и создание специализированной коллегии присяжных заседателей, которые бы обладали требуемыми экспертными познаниями [1</w:t>
      </w:r>
      <w:r>
        <w:rPr>
          <w:rFonts w:ascii="Times New Roman" w:hAnsi="Times New Roman" w:cs="Times New Roman"/>
          <w:sz w:val="24"/>
          <w:szCs w:val="24"/>
        </w:rPr>
        <w:t>3</w:t>
      </w:r>
      <w:r w:rsidRPr="000107EA">
        <w:rPr>
          <w:rFonts w:ascii="Times New Roman" w:hAnsi="Times New Roman" w:cs="Times New Roman"/>
          <w:sz w:val="24"/>
          <w:szCs w:val="24"/>
        </w:rPr>
        <w:t xml:space="preserve">, </w:t>
      </w:r>
      <w:r w:rsidRPr="000107EA">
        <w:rPr>
          <w:rFonts w:ascii="Times New Roman" w:hAnsi="Times New Roman" w:cs="Times New Roman"/>
          <w:sz w:val="24"/>
          <w:szCs w:val="24"/>
          <w:lang w:val="en-US"/>
        </w:rPr>
        <w:t>c</w:t>
      </w:r>
      <w:r w:rsidRPr="000107EA">
        <w:rPr>
          <w:rFonts w:ascii="Times New Roman" w:hAnsi="Times New Roman" w:cs="Times New Roman"/>
          <w:sz w:val="24"/>
          <w:szCs w:val="24"/>
        </w:rPr>
        <w:t>. 63].</w:t>
      </w:r>
    </w:p>
    <w:p w14:paraId="52428943" w14:textId="6FDF6721"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Резюмируя информацию, изложенную в рамках настоящего исследования, сформулируем наиболее значимые выводы</w:t>
      </w:r>
      <w:r>
        <w:rPr>
          <w:rFonts w:ascii="Times New Roman" w:hAnsi="Times New Roman" w:cs="Times New Roman"/>
          <w:sz w:val="24"/>
          <w:szCs w:val="24"/>
        </w:rPr>
        <w:t>:</w:t>
      </w:r>
    </w:p>
    <w:p w14:paraId="5D98AC06"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Проведенный анализ сформированной судебно-следственной практики, а также положений действующего российского уголовно-процессуального законодательства свидетельствует о наличии определённых особенностей процесса доказывания, реализуемого при рассмотрении судом с участием лиц, являющихся присяжными заседателями, в частности, при исследовании следующих видов доказательств: показания подсудимого; доказательства, которые охватывают в своем содержании информацию, дающую характеристику личности лица, являющегося подсудимым; доказательства, которые охватывают в своем содержании информацию, дающую характеристику личности лица, являющегося свидетелем по данному уголовному делу; психофизиологическая экспертиза; заключение эксперта; результаты оперативно-розыскной деятельности; «шокирующие» доказательства.</w:t>
      </w:r>
    </w:p>
    <w:p w14:paraId="450C5678"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При этом, процесс доказывания в этой форме уголовного судопроизводства также характеризуется и наличием ряда проблем, в частности, следующих:</w:t>
      </w:r>
    </w:p>
    <w:p w14:paraId="055E0FD7" w14:textId="77777777"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1. Проблема предоставления к исследованию лицами, входящими в состав коллегии присяжных заседателей, лишь некоторой части заключения эксперта (специалиста). Ее разрешение видится нам в предоставлении перед ними заключения эксперта или специалиста исключительно в полном объеме (то есть, всего его содержания), ведь это позволяет </w:t>
      </w:r>
      <w:r w:rsidRPr="000107EA">
        <w:rPr>
          <w:rFonts w:ascii="Times New Roman" w:hAnsi="Times New Roman" w:cs="Times New Roman"/>
          <w:sz w:val="24"/>
          <w:szCs w:val="24"/>
        </w:rPr>
        <w:lastRenderedPageBreak/>
        <w:t xml:space="preserve">установить обстоятельства совершения инкриминируемого подсудимого преступного деяния, а также избежать нарушения принципа непосредственности изучения доказательственной базы. </w:t>
      </w:r>
    </w:p>
    <w:p w14:paraId="04926135" w14:textId="0743C28D" w:rsidR="000107EA" w:rsidRPr="000107EA" w:rsidRDefault="000107EA" w:rsidP="000107EA">
      <w:pPr>
        <w:spacing w:after="0" w:line="240" w:lineRule="auto"/>
        <w:ind w:firstLine="709"/>
        <w:jc w:val="both"/>
        <w:rPr>
          <w:rFonts w:ascii="Times New Roman" w:hAnsi="Times New Roman" w:cs="Times New Roman"/>
          <w:sz w:val="24"/>
          <w:szCs w:val="24"/>
        </w:rPr>
      </w:pPr>
      <w:r w:rsidRPr="000107EA">
        <w:rPr>
          <w:rFonts w:ascii="Times New Roman" w:hAnsi="Times New Roman" w:cs="Times New Roman"/>
          <w:sz w:val="24"/>
          <w:szCs w:val="24"/>
        </w:rPr>
        <w:t xml:space="preserve">2. Проблема сложности в </w:t>
      </w:r>
      <w:r w:rsidR="00C21ACE">
        <w:rPr>
          <w:rFonts w:ascii="Times New Roman" w:hAnsi="Times New Roman" w:cs="Times New Roman"/>
          <w:sz w:val="24"/>
          <w:szCs w:val="24"/>
        </w:rPr>
        <w:t>правопонимании и правовосприятия</w:t>
      </w:r>
      <w:r w:rsidRPr="000107EA">
        <w:rPr>
          <w:rFonts w:ascii="Times New Roman" w:hAnsi="Times New Roman" w:cs="Times New Roman"/>
          <w:sz w:val="24"/>
          <w:szCs w:val="24"/>
        </w:rPr>
        <w:t xml:space="preserve"> специальной юридической, медицинской, технической терминологии, которая используются экспертами, специалистами при составлении содержания заключения. Разрешение данной проблемы видится нам в привлечении к пояснению в процессе исследования этого вида доказательства специалиста или эксперта (естественно, стороннего), так и создании специализированной коллегии присяжных заседателей, которые бы обладали требуемыми экспертными познаниями.</w:t>
      </w:r>
    </w:p>
    <w:p w14:paraId="771F8BD7" w14:textId="68844C41" w:rsidR="001D1D23" w:rsidRDefault="001D1D23" w:rsidP="000107EA">
      <w:pPr>
        <w:spacing w:after="0" w:line="240" w:lineRule="auto"/>
        <w:jc w:val="both"/>
        <w:rPr>
          <w:rFonts w:ascii="Times New Roman" w:hAnsi="Times New Roman" w:cs="Times New Roman"/>
          <w:sz w:val="24"/>
          <w:szCs w:val="24"/>
        </w:rPr>
      </w:pPr>
    </w:p>
    <w:p w14:paraId="366E4FC7" w14:textId="061808C8" w:rsidR="000107EA" w:rsidRDefault="000107EA" w:rsidP="000107E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Литература</w:t>
      </w:r>
    </w:p>
    <w:p w14:paraId="63158239" w14:textId="77777777" w:rsidR="000107EA" w:rsidRDefault="000107EA" w:rsidP="000107EA">
      <w:pPr>
        <w:spacing w:after="0" w:line="240" w:lineRule="auto"/>
        <w:jc w:val="center"/>
        <w:rPr>
          <w:rFonts w:ascii="Times New Roman" w:hAnsi="Times New Roman" w:cs="Times New Roman"/>
          <w:sz w:val="24"/>
          <w:szCs w:val="24"/>
        </w:rPr>
      </w:pPr>
    </w:p>
    <w:p w14:paraId="64946798" w14:textId="0D9507E1" w:rsidR="000107EA" w:rsidRPr="001D00C5"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3E4DDB">
        <w:rPr>
          <w:rFonts w:ascii="Times New Roman" w:hAnsi="Times New Roman" w:cs="Times New Roman"/>
          <w:sz w:val="24"/>
          <w:szCs w:val="24"/>
        </w:rPr>
        <w:t>Трубачева Е. Л. Порядок исследования доказательств государственным обвинителем и защитником в суде с участием присяжных заседателей / Е. Л. Трубачева // Молодой ученый. – 2014. –  №17.  – С. 406-408.</w:t>
      </w:r>
    </w:p>
    <w:p w14:paraId="2C571C8B" w14:textId="47047908" w:rsidR="000107EA"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201A8">
        <w:rPr>
          <w:rFonts w:ascii="Times New Roman" w:hAnsi="Times New Roman" w:cs="Times New Roman"/>
          <w:sz w:val="24"/>
          <w:szCs w:val="24"/>
        </w:rPr>
        <w:t xml:space="preserve">Бессчаный С. А., Лубенец С. В. Исследование доказательств в судебном процессе с участием присяжных заседателей: критерии допустимости демонстрации присяжным фото- и видеоизображений трупов и исследования сведений о личности подсудимого [Электронный ресурс] // Информационно-правовой портал «Законы России». – Режим доступа: </w:t>
      </w:r>
      <w:r w:rsidRPr="005F20F8">
        <w:rPr>
          <w:rFonts w:ascii="Times New Roman" w:hAnsi="Times New Roman" w:cs="Times New Roman"/>
          <w:sz w:val="24"/>
          <w:szCs w:val="24"/>
        </w:rPr>
        <w:t>https://zakoniros.ru/?p=18436</w:t>
      </w:r>
    </w:p>
    <w:p w14:paraId="24EED0AC" w14:textId="5E6D70D4" w:rsidR="000107EA"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5F20F8">
        <w:rPr>
          <w:rFonts w:ascii="Times New Roman" w:hAnsi="Times New Roman" w:cs="Times New Roman"/>
          <w:sz w:val="24"/>
          <w:szCs w:val="24"/>
        </w:rPr>
        <w:t xml:space="preserve"> Кассационное определение судебной коллегии по уголовным делам Верховного Суда РФ от 11.06.2013 № 67-О13-36СП [Электронный ресурс] // СПС «Гарант». – Режим доступа: https://www.garant.ru/products/ipo/prime/doc/70309592/</w:t>
      </w:r>
    </w:p>
    <w:p w14:paraId="78C81798" w14:textId="5D4BB606" w:rsidR="000107EA"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AD1813">
        <w:rPr>
          <w:rFonts w:ascii="Times New Roman" w:hAnsi="Times New Roman" w:cs="Times New Roman"/>
          <w:sz w:val="24"/>
          <w:szCs w:val="24"/>
        </w:rPr>
        <w:t xml:space="preserve">Особенности доказывания и эффективная работа с доказательствами в суде присяжных [Электронный ресурс] // Официальный сайт адвокатского бюро «Антонов и партнеры». – Режим доступа: </w:t>
      </w:r>
      <w:r w:rsidRPr="000C372D">
        <w:rPr>
          <w:rFonts w:ascii="Times New Roman" w:hAnsi="Times New Roman" w:cs="Times New Roman"/>
          <w:sz w:val="24"/>
          <w:szCs w:val="24"/>
        </w:rPr>
        <w:t>https://pravo163.ru/osobennosti-dokazyvaniya-i-effektivnaya-rabota-s-dokazatelstvami-v-sude-prisyazhnyx/</w:t>
      </w:r>
    </w:p>
    <w:p w14:paraId="2F3E1C81" w14:textId="2344EBB2" w:rsidR="000107EA"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Pr="000C372D">
        <w:rPr>
          <w:rFonts w:ascii="Times New Roman" w:hAnsi="Times New Roman" w:cs="Times New Roman"/>
          <w:sz w:val="24"/>
          <w:szCs w:val="24"/>
        </w:rPr>
        <w:t xml:space="preserve">Психофизиологическая экспертиза как недопустимое доказательство в суде [Электронный ресурс] // Официальный сайт Межрегионального бюро судебных экспертиз имени Сикорского. – Режим доступа: </w:t>
      </w:r>
      <w:r w:rsidRPr="00457D26">
        <w:rPr>
          <w:rFonts w:ascii="Times New Roman" w:hAnsi="Times New Roman" w:cs="Times New Roman"/>
          <w:sz w:val="24"/>
          <w:szCs w:val="24"/>
        </w:rPr>
        <w:t>https://www.expertsud.ru/content/view/183/14/</w:t>
      </w:r>
    </w:p>
    <w:p w14:paraId="7CD8451F" w14:textId="50D9B658" w:rsidR="000107EA" w:rsidRPr="00457D26"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Pr="00457D26">
        <w:rPr>
          <w:rFonts w:ascii="Times New Roman" w:hAnsi="Times New Roman" w:cs="Times New Roman"/>
          <w:sz w:val="24"/>
          <w:szCs w:val="24"/>
        </w:rPr>
        <w:t>Заключение эксперта [Электронный ресурс] // Официальный информационно-новостной портал «Сейчас.ру». – Режим доступа: https://www.lawmix.ru/comm/8256</w:t>
      </w:r>
    </w:p>
    <w:p w14:paraId="0FE0A250" w14:textId="1415EF4E" w:rsidR="000107EA" w:rsidRPr="004F3B1A"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 </w:t>
      </w:r>
      <w:r w:rsidRPr="004F3B1A">
        <w:rPr>
          <w:rFonts w:ascii="Times New Roman" w:hAnsi="Times New Roman" w:cs="Times New Roman"/>
          <w:sz w:val="24"/>
          <w:szCs w:val="24"/>
        </w:rPr>
        <w:t>Исследование доказательств в суде присяжных [Электронный ресурс] // Официальный сайт адвокатов, осуществляющих защиту в уголовном процессе. – Режим доступа: https://www.criminaldefend.ru/publikacii/issledovanie-dokazatel-stv-v-sude-prisyazhnyh/</w:t>
      </w:r>
    </w:p>
    <w:p w14:paraId="37BF87D7" w14:textId="5328FE99" w:rsidR="000107EA" w:rsidRPr="003D31E5"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8 </w:t>
      </w:r>
      <w:r w:rsidRPr="003D31E5">
        <w:rPr>
          <w:rFonts w:ascii="Times New Roman" w:hAnsi="Times New Roman" w:cs="Times New Roman"/>
          <w:sz w:val="24"/>
          <w:szCs w:val="24"/>
        </w:rPr>
        <w:t>Особенности доказывания и принятия решений при производстве в суде с участием присяжных заседателей [Электронный ресурс] // Информационный сайт «СтудОрг». – Режим доступа: https://studref.com/325230/pravo/osobennosti_dokazyvaniya_prinyatiya_resheniy_proizvodstve_sude_uchastiem_prisyazhnyh_zasedateley</w:t>
      </w:r>
    </w:p>
    <w:p w14:paraId="49CB2676" w14:textId="77777777" w:rsidR="000107EA"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15 </w:t>
      </w:r>
      <w:r w:rsidRPr="00273291">
        <w:rPr>
          <w:rFonts w:ascii="Times New Roman" w:hAnsi="Times New Roman" w:cs="Times New Roman"/>
          <w:sz w:val="24"/>
          <w:szCs w:val="24"/>
        </w:rPr>
        <w:t xml:space="preserve">О работе адвоката в прениях сторон по уголовному делу [Электронный ресурс] // Справочно-информационный портал «Закон. Ру». – Режим доступа: </w:t>
      </w:r>
      <w:r w:rsidRPr="00D53833">
        <w:rPr>
          <w:rFonts w:ascii="Times New Roman" w:hAnsi="Times New Roman" w:cs="Times New Roman"/>
          <w:sz w:val="24"/>
          <w:szCs w:val="24"/>
        </w:rPr>
        <w:t>https://zakon.ru/blog/2019/08/05/o_rabote_advokata_v_preniyah_storon_po_ugolovnomu_delu</w:t>
      </w:r>
    </w:p>
    <w:p w14:paraId="118F512A" w14:textId="77777777" w:rsidR="000107EA"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16 </w:t>
      </w:r>
      <w:r w:rsidRPr="00D53833">
        <w:rPr>
          <w:rFonts w:ascii="Times New Roman" w:hAnsi="Times New Roman" w:cs="Times New Roman"/>
          <w:sz w:val="24"/>
          <w:szCs w:val="24"/>
        </w:rPr>
        <w:t>Рустамов А. О. Оценка доказательств и принцип непосредственности / А. О. Рустамов // Евразийский юридический журнал. –  2011. –  № 4 (35). –  С.111-112.</w:t>
      </w:r>
    </w:p>
    <w:p w14:paraId="422978FF" w14:textId="77777777" w:rsidR="000107EA" w:rsidRDefault="000107EA" w:rsidP="000107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 </w:t>
      </w:r>
      <w:r w:rsidRPr="00D53833">
        <w:rPr>
          <w:rFonts w:ascii="Times New Roman" w:hAnsi="Times New Roman" w:cs="Times New Roman"/>
          <w:sz w:val="24"/>
          <w:szCs w:val="24"/>
        </w:rPr>
        <w:t>Моисеева Т.В. Всесторонность и полнота исследования обстоятельств уголовного дела как условия объективности присяжных заседателей / Т. В. Моисеева // Журнал российского права. – 2010. – № 12 (168). – С. 87-93.</w:t>
      </w:r>
    </w:p>
    <w:p w14:paraId="28D72622" w14:textId="5F3EA34F" w:rsidR="000107EA" w:rsidRDefault="000107EA" w:rsidP="009D64E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18 </w:t>
      </w:r>
      <w:r w:rsidRPr="00D53833">
        <w:rPr>
          <w:rFonts w:ascii="Times New Roman" w:hAnsi="Times New Roman" w:cs="Times New Roman"/>
          <w:sz w:val="24"/>
          <w:szCs w:val="24"/>
        </w:rPr>
        <w:t>Верещагина А.В. Судоустройственное и уголовно-процессуальное законодательство России конца XIX - начала ХХ века / А. В. Верещагина. – Владивосток: Изд-во ВГУЭС, 2014. –  249 с.</w:t>
      </w:r>
    </w:p>
    <w:p w14:paraId="67155E99" w14:textId="72934809" w:rsidR="009D64E6" w:rsidRPr="009D64E6" w:rsidRDefault="009D64E6" w:rsidP="009D64E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19 </w:t>
      </w:r>
      <w:r w:rsidRPr="009D64E6">
        <w:rPr>
          <w:rFonts w:ascii="Times New Roman" w:hAnsi="Times New Roman" w:cs="Times New Roman"/>
          <w:sz w:val="24"/>
          <w:szCs w:val="24"/>
        </w:rPr>
        <w:t xml:space="preserve">Приговор Липецкого областного суда № 2-6/2019 от 30 декабря 2019 г. по делу № 2-3/2019 [Электронный ресурс] // Судебные и нормативные акты РФ. – Режим доступа: </w:t>
      </w:r>
      <w:hyperlink r:id="rId8" w:history="1">
        <w:r w:rsidRPr="009D64E6">
          <w:rPr>
            <w:rStyle w:val="a8"/>
            <w:rFonts w:ascii="Times New Roman" w:hAnsi="Times New Roman" w:cs="Times New Roman"/>
            <w:sz w:val="24"/>
            <w:szCs w:val="24"/>
          </w:rPr>
          <w:t>https://sudact.ru/regular/doc/Biw0Q3PQb2bw/?regular-txt=%D0%BF%D1%80%D0%B8%D1%81%D1%8F%D0%B6%D0%BD%D1%8B%D0%B5+&amp;regular-case_doc=&amp;regular-lawchunkinfo=&amp;regular-date_from=&amp;regular-date_to=&amp;regular-workflow_stage=&amp;regular-area=&amp;regular-court=&amp;regular-judge=&amp;_=1592455091942</w:t>
        </w:r>
      </w:hyperlink>
    </w:p>
    <w:p w14:paraId="39DB138F" w14:textId="6432C42C" w:rsidR="009D64E6" w:rsidRPr="009D64E6" w:rsidRDefault="009D64E6" w:rsidP="009D64E6">
      <w:pPr>
        <w:spacing w:after="0" w:line="240" w:lineRule="auto"/>
        <w:ind w:firstLine="709"/>
        <w:jc w:val="both"/>
        <w:rPr>
          <w:rFonts w:ascii="Times New Roman" w:hAnsi="Times New Roman" w:cs="Times New Roman"/>
          <w:sz w:val="24"/>
          <w:szCs w:val="24"/>
        </w:rPr>
      </w:pPr>
      <w:r w:rsidRPr="009D64E6">
        <w:rPr>
          <w:rFonts w:ascii="Times New Roman" w:hAnsi="Times New Roman" w:cs="Times New Roman"/>
          <w:sz w:val="24"/>
          <w:szCs w:val="24"/>
        </w:rPr>
        <w:t>2</w:t>
      </w:r>
      <w:r>
        <w:rPr>
          <w:rFonts w:ascii="Times New Roman" w:hAnsi="Times New Roman" w:cs="Times New Roman"/>
          <w:sz w:val="24"/>
          <w:szCs w:val="24"/>
        </w:rPr>
        <w:t>0</w:t>
      </w:r>
      <w:r w:rsidRPr="009D64E6">
        <w:rPr>
          <w:rFonts w:ascii="Times New Roman" w:hAnsi="Times New Roman" w:cs="Times New Roman"/>
          <w:sz w:val="24"/>
          <w:szCs w:val="24"/>
        </w:rPr>
        <w:t xml:space="preserve"> Приговор Верховного суда Республики Дагестан № 2-22/2019 от 27 декабря 2019 г. [Электронный ресурс] // Судебные и нормативные акты РФ. – Режим доступа: </w:t>
      </w:r>
      <w:hyperlink r:id="rId9" w:anchor="snippet" w:history="1">
        <w:r w:rsidRPr="009D64E6">
          <w:rPr>
            <w:rStyle w:val="a8"/>
            <w:rFonts w:ascii="Times New Roman" w:hAnsi="Times New Roman" w:cs="Times New Roman"/>
            <w:sz w:val="24"/>
            <w:szCs w:val="24"/>
          </w:rPr>
          <w:t>https://sudact.ru/regular/doc/xcKJofkVuVLm/?regular-txt=%D0%BF%D1%80%D0%B8%D1%81%D1%8F%D0%B6%D0%BD%D1%8B%D0%B5+&amp;regular-case_doc=&amp;regular-lawchunkinfo=&amp;regular-date_from=&amp;regular-date_to=&amp;regular-workflow_stage=&amp;regular-area=&amp;regular-court=&amp;regular-judge=&amp;_=1592455091942&amp;snippet_pos=230#snippet</w:t>
        </w:r>
      </w:hyperlink>
    </w:p>
    <w:p w14:paraId="248A3815" w14:textId="4B4A4095" w:rsidR="009D64E6" w:rsidRPr="009D64E6" w:rsidRDefault="009D64E6" w:rsidP="009D64E6">
      <w:pPr>
        <w:spacing w:after="0" w:line="240" w:lineRule="auto"/>
        <w:ind w:firstLine="709"/>
        <w:jc w:val="both"/>
        <w:rPr>
          <w:rFonts w:ascii="Times New Roman" w:hAnsi="Times New Roman" w:cs="Times New Roman"/>
          <w:sz w:val="24"/>
          <w:szCs w:val="24"/>
        </w:rPr>
      </w:pPr>
      <w:r w:rsidRPr="009D64E6">
        <w:rPr>
          <w:rFonts w:ascii="Times New Roman" w:hAnsi="Times New Roman" w:cs="Times New Roman"/>
          <w:sz w:val="24"/>
          <w:szCs w:val="24"/>
        </w:rPr>
        <w:t>2</w:t>
      </w:r>
      <w:r>
        <w:rPr>
          <w:rFonts w:ascii="Times New Roman" w:hAnsi="Times New Roman" w:cs="Times New Roman"/>
          <w:sz w:val="24"/>
          <w:szCs w:val="24"/>
        </w:rPr>
        <w:t xml:space="preserve">1 </w:t>
      </w:r>
      <w:r w:rsidRPr="009D64E6">
        <w:rPr>
          <w:rFonts w:ascii="Times New Roman" w:hAnsi="Times New Roman" w:cs="Times New Roman"/>
          <w:sz w:val="24"/>
          <w:szCs w:val="24"/>
        </w:rPr>
        <w:t xml:space="preserve">Приговор Ростовского областного суда № 2-30/2019 от 25 декабря 2019 г. по делу № 2-30/2019 [Электронный ресурс] // Судебные и нормативные акты РФ. – Режим доступа: </w:t>
      </w:r>
      <w:hyperlink r:id="rId10" w:history="1">
        <w:r w:rsidR="00DF6B94" w:rsidRPr="002E2107">
          <w:rPr>
            <w:rStyle w:val="a8"/>
            <w:rFonts w:ascii="Times New Roman" w:hAnsi="Times New Roman" w:cs="Times New Roman"/>
            <w:sz w:val="24"/>
            <w:szCs w:val="24"/>
          </w:rPr>
          <w:t>https://sudact.ru/regular/doc/AZDSPJxmYZlT/?regular-txt=%D0%BF%D1%80%D0%B8%D1%81%D1%8F%D0%B6%D0%BD%D1%8B%D0%B5+&amp;regular-case_doc=&amp;regular-lawchunkinfo=&amp;regular-date_from=&amp;regular-date_to=&amp;regular-workflow_stage=&amp;regular-area=&amp;regular-court=&amp;regular-judge=&amp;_=1592455091942</w:t>
        </w:r>
      </w:hyperlink>
      <w:r w:rsidR="00DF6B94">
        <w:rPr>
          <w:rFonts w:ascii="Times New Roman" w:hAnsi="Times New Roman" w:cs="Times New Roman"/>
          <w:sz w:val="24"/>
          <w:szCs w:val="24"/>
        </w:rPr>
        <w:t xml:space="preserve"> </w:t>
      </w:r>
    </w:p>
    <w:p w14:paraId="010BF8B3" w14:textId="65963D04" w:rsidR="009D64E6" w:rsidRDefault="009D64E6" w:rsidP="009D64E6">
      <w:pPr>
        <w:spacing w:after="0" w:line="240" w:lineRule="auto"/>
        <w:ind w:firstLine="709"/>
        <w:jc w:val="both"/>
        <w:rPr>
          <w:rFonts w:ascii="Times New Roman" w:hAnsi="Times New Roman" w:cs="Times New Roman"/>
          <w:sz w:val="24"/>
          <w:szCs w:val="24"/>
        </w:rPr>
      </w:pPr>
    </w:p>
    <w:p w14:paraId="0732F655" w14:textId="4920D53F" w:rsidR="001D1D23" w:rsidRDefault="001D1D23" w:rsidP="00AC3F8A">
      <w:pPr>
        <w:spacing w:after="0" w:line="360" w:lineRule="auto"/>
        <w:jc w:val="both"/>
        <w:rPr>
          <w:rFonts w:ascii="Times New Roman" w:hAnsi="Times New Roman" w:cs="Times New Roman"/>
          <w:sz w:val="24"/>
          <w:szCs w:val="24"/>
        </w:rPr>
      </w:pPr>
    </w:p>
    <w:p w14:paraId="0BA1BED6" w14:textId="77777777" w:rsidR="001D1D23" w:rsidRDefault="001D1D23" w:rsidP="00AC3F8A">
      <w:pPr>
        <w:spacing w:after="0" w:line="360" w:lineRule="auto"/>
        <w:jc w:val="both"/>
        <w:rPr>
          <w:rFonts w:ascii="Times New Roman" w:hAnsi="Times New Roman" w:cs="Times New Roman"/>
          <w:sz w:val="24"/>
          <w:szCs w:val="24"/>
        </w:rPr>
      </w:pPr>
    </w:p>
    <w:p w14:paraId="57C2CD8B" w14:textId="675441DC" w:rsidR="00960417" w:rsidRDefault="00960417" w:rsidP="00AC3F8A">
      <w:pPr>
        <w:spacing w:after="0" w:line="360" w:lineRule="auto"/>
        <w:jc w:val="both"/>
        <w:rPr>
          <w:rFonts w:ascii="Times New Roman" w:hAnsi="Times New Roman" w:cs="Times New Roman"/>
          <w:sz w:val="24"/>
          <w:szCs w:val="24"/>
        </w:rPr>
      </w:pPr>
    </w:p>
    <w:sectPr w:rsidR="00960417" w:rsidSect="00EF2909">
      <w:headerReference w:type="default" r:id="rId11"/>
      <w:footerReference w:type="default" r:id="rId12"/>
      <w:pgSz w:w="11906" w:h="16838"/>
      <w:pgMar w:top="1134" w:right="567" w:bottom="1134" w:left="1701" w:header="708" w:footer="708"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5F745" w16cex:dateUtc="2020-06-18T04:23:00Z"/>
  <w16cex:commentExtensible w16cex:durableId="2295F0A0" w16cex:dateUtc="2020-06-18T03: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BB43BE7" w16cid:durableId="2295F745"/>
  <w16cid:commentId w16cid:paraId="77E193AB" w16cid:durableId="2295EFB7"/>
  <w16cid:commentId w16cid:paraId="440EBC7D" w16cid:durableId="2295F0A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36FEA" w14:textId="77777777" w:rsidR="00BC3DC2" w:rsidRDefault="00BC3DC2" w:rsidP="005D77BD">
      <w:pPr>
        <w:spacing w:after="0" w:line="240" w:lineRule="auto"/>
      </w:pPr>
      <w:r>
        <w:separator/>
      </w:r>
    </w:p>
  </w:endnote>
  <w:endnote w:type="continuationSeparator" w:id="0">
    <w:p w14:paraId="6C19EC4E" w14:textId="77777777" w:rsidR="00BC3DC2" w:rsidRDefault="00BC3DC2" w:rsidP="005D7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FC363" w14:textId="77777777" w:rsidR="00273291" w:rsidRDefault="00273291">
    <w:pPr>
      <w:pStyle w:val="a6"/>
      <w:jc w:val="right"/>
    </w:pPr>
  </w:p>
  <w:p w14:paraId="0D77889B" w14:textId="77777777" w:rsidR="00273291" w:rsidRDefault="0027329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2A3049" w14:textId="77777777" w:rsidR="00BC3DC2" w:rsidRDefault="00BC3DC2" w:rsidP="005D77BD">
      <w:pPr>
        <w:spacing w:after="0" w:line="240" w:lineRule="auto"/>
      </w:pPr>
      <w:r>
        <w:separator/>
      </w:r>
    </w:p>
  </w:footnote>
  <w:footnote w:type="continuationSeparator" w:id="0">
    <w:p w14:paraId="755788A7" w14:textId="77777777" w:rsidR="00BC3DC2" w:rsidRDefault="00BC3DC2" w:rsidP="005D77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3024582"/>
      <w:docPartObj>
        <w:docPartGallery w:val="Page Numbers (Top of Page)"/>
        <w:docPartUnique/>
      </w:docPartObj>
    </w:sdtPr>
    <w:sdtEndPr/>
    <w:sdtContent>
      <w:p w14:paraId="16177198" w14:textId="19DD215A" w:rsidR="00273291" w:rsidRDefault="00273291" w:rsidP="00FC5ACB">
        <w:pPr>
          <w:pStyle w:val="a4"/>
          <w:jc w:val="right"/>
        </w:pPr>
        <w:r>
          <w:fldChar w:fldCharType="begin"/>
        </w:r>
        <w:r>
          <w:instrText>PAGE   \* MERGEFORMAT</w:instrText>
        </w:r>
        <w:r>
          <w:fldChar w:fldCharType="separate"/>
        </w:r>
        <w:r w:rsidR="009C0AB2">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B1C0C"/>
    <w:multiLevelType w:val="hybridMultilevel"/>
    <w:tmpl w:val="FBE06B3E"/>
    <w:lvl w:ilvl="0" w:tplc="A0E4D1B8">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92C04F2"/>
    <w:multiLevelType w:val="hybridMultilevel"/>
    <w:tmpl w:val="50AC3EB0"/>
    <w:lvl w:ilvl="0" w:tplc="17C66D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86F20E3"/>
    <w:multiLevelType w:val="multilevel"/>
    <w:tmpl w:val="D25246BC"/>
    <w:lvl w:ilvl="0">
      <w:start w:val="1"/>
      <w:numFmt w:val="decimal"/>
      <w:lvlText w:val="%1"/>
      <w:lvlJc w:val="left"/>
      <w:pPr>
        <w:ind w:left="360" w:hanging="360"/>
      </w:pPr>
      <w:rPr>
        <w:rFonts w:hint="default"/>
      </w:rPr>
    </w:lvl>
    <w:lvl w:ilvl="1">
      <w:start w:val="1"/>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9482675"/>
    <w:multiLevelType w:val="hybridMultilevel"/>
    <w:tmpl w:val="5E6CC0BC"/>
    <w:lvl w:ilvl="0" w:tplc="6D06EF48">
      <w:start w:val="1"/>
      <w:numFmt w:val="decimal"/>
      <w:lvlText w:val="%1)"/>
      <w:lvlJc w:val="left"/>
      <w:pPr>
        <w:ind w:left="1429" w:hanging="360"/>
      </w:pPr>
      <w:rPr>
        <w:rFonts w:ascii="Times New Roman" w:eastAsiaTheme="minorHAns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28914AC"/>
    <w:multiLevelType w:val="multilevel"/>
    <w:tmpl w:val="6C58E05A"/>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CA32486"/>
    <w:multiLevelType w:val="hybridMultilevel"/>
    <w:tmpl w:val="EFDE98FA"/>
    <w:lvl w:ilvl="0" w:tplc="F6F4A1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D746676"/>
    <w:multiLevelType w:val="hybridMultilevel"/>
    <w:tmpl w:val="68060FF2"/>
    <w:lvl w:ilvl="0" w:tplc="0BDC4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672B8E"/>
    <w:multiLevelType w:val="hybridMultilevel"/>
    <w:tmpl w:val="5F1292A8"/>
    <w:lvl w:ilvl="0" w:tplc="121651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A84287"/>
    <w:multiLevelType w:val="hybridMultilevel"/>
    <w:tmpl w:val="D2B64182"/>
    <w:lvl w:ilvl="0" w:tplc="858E3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40019D2"/>
    <w:multiLevelType w:val="hybridMultilevel"/>
    <w:tmpl w:val="04A6D2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8013BB"/>
    <w:multiLevelType w:val="multilevel"/>
    <w:tmpl w:val="412454E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878225B"/>
    <w:multiLevelType w:val="hybridMultilevel"/>
    <w:tmpl w:val="B8448252"/>
    <w:lvl w:ilvl="0" w:tplc="3FBA15CC">
      <w:start w:val="1"/>
      <w:numFmt w:val="decimal"/>
      <w:lvlText w:val="%1)"/>
      <w:lvlJc w:val="left"/>
      <w:pPr>
        <w:ind w:left="1105" w:hanging="3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B0611E9"/>
    <w:multiLevelType w:val="hybridMultilevel"/>
    <w:tmpl w:val="DC7E6A34"/>
    <w:lvl w:ilvl="0" w:tplc="D57E02A4">
      <w:start w:val="1"/>
      <w:numFmt w:val="bullet"/>
      <w:lvlText w:val=""/>
      <w:lvlJc w:val="left"/>
      <w:pPr>
        <w:ind w:left="1429" w:hanging="360"/>
      </w:pPr>
      <w:rPr>
        <w:rFonts w:ascii="Symbol" w:hAnsi="Symbol"/>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29475E7"/>
    <w:multiLevelType w:val="hybridMultilevel"/>
    <w:tmpl w:val="8AF07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110CE2"/>
    <w:multiLevelType w:val="multilevel"/>
    <w:tmpl w:val="D752EA24"/>
    <w:lvl w:ilvl="0">
      <w:start w:val="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7B779E7"/>
    <w:multiLevelType w:val="hybridMultilevel"/>
    <w:tmpl w:val="A3600114"/>
    <w:lvl w:ilvl="0" w:tplc="DE5C0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A653B94"/>
    <w:multiLevelType w:val="multilevel"/>
    <w:tmpl w:val="D5A25AA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C2B4199"/>
    <w:multiLevelType w:val="hybridMultilevel"/>
    <w:tmpl w:val="E9445448"/>
    <w:lvl w:ilvl="0" w:tplc="9A4CDE4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CFE5EB1"/>
    <w:multiLevelType w:val="hybridMultilevel"/>
    <w:tmpl w:val="5A3E7C3A"/>
    <w:lvl w:ilvl="0" w:tplc="535EAAA2">
      <w:start w:val="1"/>
      <w:numFmt w:val="decimal"/>
      <w:lvlText w:val="%1)"/>
      <w:lvlJc w:val="left"/>
      <w:pPr>
        <w:ind w:left="1429" w:hanging="360"/>
      </w:pPr>
      <w:rPr>
        <w:rFonts w:ascii="Times New Roman" w:eastAsia="Times New Roman"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1C24EA1"/>
    <w:multiLevelType w:val="hybridMultilevel"/>
    <w:tmpl w:val="6FC0830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56E2AD7"/>
    <w:multiLevelType w:val="hybridMultilevel"/>
    <w:tmpl w:val="104476A4"/>
    <w:lvl w:ilvl="0" w:tplc="128614D2">
      <w:start w:val="1"/>
      <w:numFmt w:val="decimal"/>
      <w:lvlText w:val="%1)"/>
      <w:lvlJc w:val="left"/>
      <w:pPr>
        <w:ind w:left="1174" w:hanging="4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823777"/>
    <w:multiLevelType w:val="hybridMultilevel"/>
    <w:tmpl w:val="498841C4"/>
    <w:lvl w:ilvl="0" w:tplc="28EE76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AA75D64"/>
    <w:multiLevelType w:val="hybridMultilevel"/>
    <w:tmpl w:val="BE14ACD4"/>
    <w:lvl w:ilvl="0" w:tplc="630890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BCE79D0"/>
    <w:multiLevelType w:val="hybridMultilevel"/>
    <w:tmpl w:val="FBA8F4C6"/>
    <w:lvl w:ilvl="0" w:tplc="23F84CC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0A60A1"/>
    <w:multiLevelType w:val="hybridMultilevel"/>
    <w:tmpl w:val="B2B0771E"/>
    <w:lvl w:ilvl="0" w:tplc="E38E49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7C76069C"/>
    <w:multiLevelType w:val="hybridMultilevel"/>
    <w:tmpl w:val="EB14F3E0"/>
    <w:lvl w:ilvl="0" w:tplc="0FA6C5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num>
  <w:num w:numId="2">
    <w:abstractNumId w:val="19"/>
  </w:num>
  <w:num w:numId="3">
    <w:abstractNumId w:val="16"/>
  </w:num>
  <w:num w:numId="4">
    <w:abstractNumId w:val="9"/>
  </w:num>
  <w:num w:numId="5">
    <w:abstractNumId w:val="12"/>
  </w:num>
  <w:num w:numId="6">
    <w:abstractNumId w:val="3"/>
  </w:num>
  <w:num w:numId="7">
    <w:abstractNumId w:val="18"/>
  </w:num>
  <w:num w:numId="8">
    <w:abstractNumId w:val="10"/>
  </w:num>
  <w:num w:numId="9">
    <w:abstractNumId w:val="6"/>
  </w:num>
  <w:num w:numId="10">
    <w:abstractNumId w:val="24"/>
  </w:num>
  <w:num w:numId="11">
    <w:abstractNumId w:val="7"/>
  </w:num>
  <w:num w:numId="12">
    <w:abstractNumId w:val="25"/>
  </w:num>
  <w:num w:numId="13">
    <w:abstractNumId w:val="15"/>
  </w:num>
  <w:num w:numId="14">
    <w:abstractNumId w:val="1"/>
  </w:num>
  <w:num w:numId="15">
    <w:abstractNumId w:val="8"/>
  </w:num>
  <w:num w:numId="16">
    <w:abstractNumId w:val="17"/>
  </w:num>
  <w:num w:numId="17">
    <w:abstractNumId w:val="2"/>
  </w:num>
  <w:num w:numId="18">
    <w:abstractNumId w:val="4"/>
  </w:num>
  <w:num w:numId="19">
    <w:abstractNumId w:val="14"/>
  </w:num>
  <w:num w:numId="20">
    <w:abstractNumId w:val="23"/>
  </w:num>
  <w:num w:numId="21">
    <w:abstractNumId w:val="13"/>
  </w:num>
  <w:num w:numId="22">
    <w:abstractNumId w:val="22"/>
  </w:num>
  <w:num w:numId="23">
    <w:abstractNumId w:val="0"/>
  </w:num>
  <w:num w:numId="24">
    <w:abstractNumId w:val="20"/>
  </w:num>
  <w:num w:numId="25">
    <w:abstractNumId w:val="11"/>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E7E"/>
    <w:rsid w:val="00001A08"/>
    <w:rsid w:val="000051AA"/>
    <w:rsid w:val="000107EA"/>
    <w:rsid w:val="000133FF"/>
    <w:rsid w:val="0001492F"/>
    <w:rsid w:val="00014B38"/>
    <w:rsid w:val="000230EF"/>
    <w:rsid w:val="000233AA"/>
    <w:rsid w:val="00025465"/>
    <w:rsid w:val="0002726A"/>
    <w:rsid w:val="000273A7"/>
    <w:rsid w:val="00032773"/>
    <w:rsid w:val="00037E0A"/>
    <w:rsid w:val="00044B0B"/>
    <w:rsid w:val="0004570B"/>
    <w:rsid w:val="00046328"/>
    <w:rsid w:val="00046F31"/>
    <w:rsid w:val="00051389"/>
    <w:rsid w:val="00051A7C"/>
    <w:rsid w:val="00052A6A"/>
    <w:rsid w:val="00052D9B"/>
    <w:rsid w:val="00056CB5"/>
    <w:rsid w:val="0006044E"/>
    <w:rsid w:val="000606FA"/>
    <w:rsid w:val="00062E75"/>
    <w:rsid w:val="00064721"/>
    <w:rsid w:val="0006775E"/>
    <w:rsid w:val="00072D1F"/>
    <w:rsid w:val="00072FBC"/>
    <w:rsid w:val="00073F80"/>
    <w:rsid w:val="0007553D"/>
    <w:rsid w:val="00075725"/>
    <w:rsid w:val="00075C96"/>
    <w:rsid w:val="00075DD1"/>
    <w:rsid w:val="000767D4"/>
    <w:rsid w:val="00082DE7"/>
    <w:rsid w:val="00086146"/>
    <w:rsid w:val="00086320"/>
    <w:rsid w:val="00091414"/>
    <w:rsid w:val="000918E1"/>
    <w:rsid w:val="000921E8"/>
    <w:rsid w:val="000938A8"/>
    <w:rsid w:val="00094E36"/>
    <w:rsid w:val="000A72C9"/>
    <w:rsid w:val="000B09FE"/>
    <w:rsid w:val="000B1848"/>
    <w:rsid w:val="000B1DBC"/>
    <w:rsid w:val="000B295A"/>
    <w:rsid w:val="000B4C55"/>
    <w:rsid w:val="000B7070"/>
    <w:rsid w:val="000B7CC1"/>
    <w:rsid w:val="000C372D"/>
    <w:rsid w:val="000C764E"/>
    <w:rsid w:val="000C7C96"/>
    <w:rsid w:val="000D0511"/>
    <w:rsid w:val="000D05D9"/>
    <w:rsid w:val="000D0CF0"/>
    <w:rsid w:val="000D0F34"/>
    <w:rsid w:val="000D1640"/>
    <w:rsid w:val="000D2C2B"/>
    <w:rsid w:val="000D4C89"/>
    <w:rsid w:val="000D53BF"/>
    <w:rsid w:val="000D78DB"/>
    <w:rsid w:val="000E082A"/>
    <w:rsid w:val="000E0B2B"/>
    <w:rsid w:val="000E2297"/>
    <w:rsid w:val="000E2756"/>
    <w:rsid w:val="000E6D7C"/>
    <w:rsid w:val="000E76BC"/>
    <w:rsid w:val="000F04D7"/>
    <w:rsid w:val="000F0619"/>
    <w:rsid w:val="000F0C21"/>
    <w:rsid w:val="000F7ED8"/>
    <w:rsid w:val="00100563"/>
    <w:rsid w:val="0010266D"/>
    <w:rsid w:val="00102BC4"/>
    <w:rsid w:val="00102F2E"/>
    <w:rsid w:val="0010359A"/>
    <w:rsid w:val="00103E97"/>
    <w:rsid w:val="00104994"/>
    <w:rsid w:val="0011017B"/>
    <w:rsid w:val="00110F44"/>
    <w:rsid w:val="00112FC7"/>
    <w:rsid w:val="0011529F"/>
    <w:rsid w:val="00120628"/>
    <w:rsid w:val="00120BD2"/>
    <w:rsid w:val="00122B7D"/>
    <w:rsid w:val="001239AA"/>
    <w:rsid w:val="0012685A"/>
    <w:rsid w:val="00131C39"/>
    <w:rsid w:val="001346DF"/>
    <w:rsid w:val="00134832"/>
    <w:rsid w:val="001352C3"/>
    <w:rsid w:val="00140D52"/>
    <w:rsid w:val="00152B9C"/>
    <w:rsid w:val="0015521A"/>
    <w:rsid w:val="001569C1"/>
    <w:rsid w:val="00157706"/>
    <w:rsid w:val="001642AE"/>
    <w:rsid w:val="00164352"/>
    <w:rsid w:val="0016465D"/>
    <w:rsid w:val="001651B5"/>
    <w:rsid w:val="001673EB"/>
    <w:rsid w:val="00170EBD"/>
    <w:rsid w:val="001718C7"/>
    <w:rsid w:val="00171989"/>
    <w:rsid w:val="001720DC"/>
    <w:rsid w:val="0017734E"/>
    <w:rsid w:val="00177705"/>
    <w:rsid w:val="00177E56"/>
    <w:rsid w:val="001806E2"/>
    <w:rsid w:val="001821AD"/>
    <w:rsid w:val="00185556"/>
    <w:rsid w:val="00185942"/>
    <w:rsid w:val="00186DFA"/>
    <w:rsid w:val="00190CDB"/>
    <w:rsid w:val="00191844"/>
    <w:rsid w:val="00192E2A"/>
    <w:rsid w:val="001A0F24"/>
    <w:rsid w:val="001A24D9"/>
    <w:rsid w:val="001A30FD"/>
    <w:rsid w:val="001A3B30"/>
    <w:rsid w:val="001A6BC6"/>
    <w:rsid w:val="001B0D89"/>
    <w:rsid w:val="001B2635"/>
    <w:rsid w:val="001B50CF"/>
    <w:rsid w:val="001B76FE"/>
    <w:rsid w:val="001C4680"/>
    <w:rsid w:val="001C6BDE"/>
    <w:rsid w:val="001D00C5"/>
    <w:rsid w:val="001D1D23"/>
    <w:rsid w:val="001D50F4"/>
    <w:rsid w:val="001D683A"/>
    <w:rsid w:val="001D7824"/>
    <w:rsid w:val="001E1568"/>
    <w:rsid w:val="001E1C22"/>
    <w:rsid w:val="001E535F"/>
    <w:rsid w:val="001E5408"/>
    <w:rsid w:val="001E59AF"/>
    <w:rsid w:val="001E6241"/>
    <w:rsid w:val="001E7B4A"/>
    <w:rsid w:val="001E7B76"/>
    <w:rsid w:val="001F1047"/>
    <w:rsid w:val="001F4831"/>
    <w:rsid w:val="00200840"/>
    <w:rsid w:val="00201A80"/>
    <w:rsid w:val="0020382A"/>
    <w:rsid w:val="00205A88"/>
    <w:rsid w:val="00207868"/>
    <w:rsid w:val="00207DA8"/>
    <w:rsid w:val="00211BD3"/>
    <w:rsid w:val="002123FD"/>
    <w:rsid w:val="00214E0D"/>
    <w:rsid w:val="00216867"/>
    <w:rsid w:val="00216FA4"/>
    <w:rsid w:val="002172D2"/>
    <w:rsid w:val="0022394F"/>
    <w:rsid w:val="00226024"/>
    <w:rsid w:val="002260D3"/>
    <w:rsid w:val="00227FA3"/>
    <w:rsid w:val="002313A8"/>
    <w:rsid w:val="00231A99"/>
    <w:rsid w:val="002376C7"/>
    <w:rsid w:val="00241897"/>
    <w:rsid w:val="00241D3C"/>
    <w:rsid w:val="00243231"/>
    <w:rsid w:val="0024364A"/>
    <w:rsid w:val="00244E7C"/>
    <w:rsid w:val="00247D40"/>
    <w:rsid w:val="00253A21"/>
    <w:rsid w:val="00254572"/>
    <w:rsid w:val="002552FE"/>
    <w:rsid w:val="002563B2"/>
    <w:rsid w:val="00260A9F"/>
    <w:rsid w:val="002636D1"/>
    <w:rsid w:val="00265089"/>
    <w:rsid w:val="00272AA0"/>
    <w:rsid w:val="00273291"/>
    <w:rsid w:val="002758DB"/>
    <w:rsid w:val="00280603"/>
    <w:rsid w:val="002807D7"/>
    <w:rsid w:val="00281F67"/>
    <w:rsid w:val="00286610"/>
    <w:rsid w:val="002871A9"/>
    <w:rsid w:val="00287684"/>
    <w:rsid w:val="00295848"/>
    <w:rsid w:val="00295E27"/>
    <w:rsid w:val="00296077"/>
    <w:rsid w:val="0029630A"/>
    <w:rsid w:val="00297534"/>
    <w:rsid w:val="002A2403"/>
    <w:rsid w:val="002A3014"/>
    <w:rsid w:val="002A4B19"/>
    <w:rsid w:val="002A736C"/>
    <w:rsid w:val="002C2A99"/>
    <w:rsid w:val="002C4A49"/>
    <w:rsid w:val="002C4AB8"/>
    <w:rsid w:val="002C5659"/>
    <w:rsid w:val="002C64D8"/>
    <w:rsid w:val="002C6C97"/>
    <w:rsid w:val="002C6CD2"/>
    <w:rsid w:val="002D272E"/>
    <w:rsid w:val="002D5764"/>
    <w:rsid w:val="002D5A35"/>
    <w:rsid w:val="002D6728"/>
    <w:rsid w:val="002D6B49"/>
    <w:rsid w:val="002D7E1E"/>
    <w:rsid w:val="002E1193"/>
    <w:rsid w:val="002E148D"/>
    <w:rsid w:val="002E24B9"/>
    <w:rsid w:val="002E2E3B"/>
    <w:rsid w:val="002E7369"/>
    <w:rsid w:val="002E76AE"/>
    <w:rsid w:val="002E7F91"/>
    <w:rsid w:val="002F1A99"/>
    <w:rsid w:val="002F1BDF"/>
    <w:rsid w:val="002F1E83"/>
    <w:rsid w:val="002F3A6C"/>
    <w:rsid w:val="00301BC8"/>
    <w:rsid w:val="00302578"/>
    <w:rsid w:val="003045B1"/>
    <w:rsid w:val="00311262"/>
    <w:rsid w:val="00315CBC"/>
    <w:rsid w:val="00315F4E"/>
    <w:rsid w:val="00317D58"/>
    <w:rsid w:val="00321902"/>
    <w:rsid w:val="00323370"/>
    <w:rsid w:val="00324A26"/>
    <w:rsid w:val="00325C4D"/>
    <w:rsid w:val="003264A5"/>
    <w:rsid w:val="003301DD"/>
    <w:rsid w:val="00330B29"/>
    <w:rsid w:val="0033502E"/>
    <w:rsid w:val="00336DC5"/>
    <w:rsid w:val="003408F1"/>
    <w:rsid w:val="0034283B"/>
    <w:rsid w:val="00342ECC"/>
    <w:rsid w:val="00344424"/>
    <w:rsid w:val="00347124"/>
    <w:rsid w:val="00347BEB"/>
    <w:rsid w:val="003506C5"/>
    <w:rsid w:val="00354180"/>
    <w:rsid w:val="00360E30"/>
    <w:rsid w:val="00365B36"/>
    <w:rsid w:val="0036614A"/>
    <w:rsid w:val="003678F7"/>
    <w:rsid w:val="00367D6E"/>
    <w:rsid w:val="00375C7D"/>
    <w:rsid w:val="003779A5"/>
    <w:rsid w:val="00377F30"/>
    <w:rsid w:val="0038094A"/>
    <w:rsid w:val="00382EF7"/>
    <w:rsid w:val="0038313E"/>
    <w:rsid w:val="003856A3"/>
    <w:rsid w:val="00385DEA"/>
    <w:rsid w:val="00385ECC"/>
    <w:rsid w:val="003866A6"/>
    <w:rsid w:val="00386919"/>
    <w:rsid w:val="00386B51"/>
    <w:rsid w:val="00386D26"/>
    <w:rsid w:val="00386F18"/>
    <w:rsid w:val="00391566"/>
    <w:rsid w:val="0039270B"/>
    <w:rsid w:val="00394C15"/>
    <w:rsid w:val="003A251C"/>
    <w:rsid w:val="003B0707"/>
    <w:rsid w:val="003B2412"/>
    <w:rsid w:val="003C0C88"/>
    <w:rsid w:val="003C253E"/>
    <w:rsid w:val="003C29BF"/>
    <w:rsid w:val="003C405F"/>
    <w:rsid w:val="003C4C06"/>
    <w:rsid w:val="003C6329"/>
    <w:rsid w:val="003C69ED"/>
    <w:rsid w:val="003D0231"/>
    <w:rsid w:val="003D0832"/>
    <w:rsid w:val="003D0D1E"/>
    <w:rsid w:val="003D11A0"/>
    <w:rsid w:val="003D23AE"/>
    <w:rsid w:val="003D31E5"/>
    <w:rsid w:val="003E220A"/>
    <w:rsid w:val="003E2CEA"/>
    <w:rsid w:val="003E4DDB"/>
    <w:rsid w:val="003E55C8"/>
    <w:rsid w:val="003E5606"/>
    <w:rsid w:val="003E6B8A"/>
    <w:rsid w:val="003E6C87"/>
    <w:rsid w:val="003F3D02"/>
    <w:rsid w:val="003F4440"/>
    <w:rsid w:val="003F48CA"/>
    <w:rsid w:val="003F4D39"/>
    <w:rsid w:val="00406042"/>
    <w:rsid w:val="00410E7A"/>
    <w:rsid w:val="00414A75"/>
    <w:rsid w:val="00416515"/>
    <w:rsid w:val="004174F3"/>
    <w:rsid w:val="004178F6"/>
    <w:rsid w:val="004218D7"/>
    <w:rsid w:val="004229DC"/>
    <w:rsid w:val="00422C33"/>
    <w:rsid w:val="00425723"/>
    <w:rsid w:val="00427701"/>
    <w:rsid w:val="00432CA9"/>
    <w:rsid w:val="0043429D"/>
    <w:rsid w:val="00435D4E"/>
    <w:rsid w:val="0043767A"/>
    <w:rsid w:val="00437CF3"/>
    <w:rsid w:val="00441D2C"/>
    <w:rsid w:val="00442AF7"/>
    <w:rsid w:val="00444054"/>
    <w:rsid w:val="004463CF"/>
    <w:rsid w:val="00447030"/>
    <w:rsid w:val="00450C27"/>
    <w:rsid w:val="004510A7"/>
    <w:rsid w:val="00452278"/>
    <w:rsid w:val="0045575A"/>
    <w:rsid w:val="00456220"/>
    <w:rsid w:val="00456CE5"/>
    <w:rsid w:val="004572BF"/>
    <w:rsid w:val="00457D26"/>
    <w:rsid w:val="004603EF"/>
    <w:rsid w:val="00461CF4"/>
    <w:rsid w:val="00463164"/>
    <w:rsid w:val="004634E5"/>
    <w:rsid w:val="00467228"/>
    <w:rsid w:val="004702F2"/>
    <w:rsid w:val="004731FD"/>
    <w:rsid w:val="00473497"/>
    <w:rsid w:val="00475D15"/>
    <w:rsid w:val="00476CBA"/>
    <w:rsid w:val="004774F8"/>
    <w:rsid w:val="00481967"/>
    <w:rsid w:val="00481D40"/>
    <w:rsid w:val="004832FE"/>
    <w:rsid w:val="00484E69"/>
    <w:rsid w:val="0048659B"/>
    <w:rsid w:val="004871A9"/>
    <w:rsid w:val="00492431"/>
    <w:rsid w:val="004942CF"/>
    <w:rsid w:val="004944B8"/>
    <w:rsid w:val="0049697D"/>
    <w:rsid w:val="004972B0"/>
    <w:rsid w:val="00497514"/>
    <w:rsid w:val="004A044C"/>
    <w:rsid w:val="004B2155"/>
    <w:rsid w:val="004B535E"/>
    <w:rsid w:val="004B5F66"/>
    <w:rsid w:val="004C1C49"/>
    <w:rsid w:val="004C264F"/>
    <w:rsid w:val="004C321D"/>
    <w:rsid w:val="004C7BF9"/>
    <w:rsid w:val="004D219D"/>
    <w:rsid w:val="004D3EFB"/>
    <w:rsid w:val="004D5919"/>
    <w:rsid w:val="004D6696"/>
    <w:rsid w:val="004D7538"/>
    <w:rsid w:val="004D7698"/>
    <w:rsid w:val="004E31EE"/>
    <w:rsid w:val="004F0F68"/>
    <w:rsid w:val="004F11E0"/>
    <w:rsid w:val="004F292E"/>
    <w:rsid w:val="004F3278"/>
    <w:rsid w:val="004F3B1A"/>
    <w:rsid w:val="004F4905"/>
    <w:rsid w:val="00513029"/>
    <w:rsid w:val="005135C1"/>
    <w:rsid w:val="00517907"/>
    <w:rsid w:val="005213B6"/>
    <w:rsid w:val="00522701"/>
    <w:rsid w:val="005236C1"/>
    <w:rsid w:val="0052410A"/>
    <w:rsid w:val="005262E3"/>
    <w:rsid w:val="00540544"/>
    <w:rsid w:val="00542755"/>
    <w:rsid w:val="00543D15"/>
    <w:rsid w:val="00547804"/>
    <w:rsid w:val="0054783D"/>
    <w:rsid w:val="00552A96"/>
    <w:rsid w:val="005550E6"/>
    <w:rsid w:val="00561387"/>
    <w:rsid w:val="00563CCB"/>
    <w:rsid w:val="005663FB"/>
    <w:rsid w:val="005664D3"/>
    <w:rsid w:val="005749CC"/>
    <w:rsid w:val="00574A86"/>
    <w:rsid w:val="0058003B"/>
    <w:rsid w:val="005803A5"/>
    <w:rsid w:val="00581F4C"/>
    <w:rsid w:val="005822DF"/>
    <w:rsid w:val="00596AEA"/>
    <w:rsid w:val="00597BA7"/>
    <w:rsid w:val="005A0328"/>
    <w:rsid w:val="005A111A"/>
    <w:rsid w:val="005A1140"/>
    <w:rsid w:val="005A3B01"/>
    <w:rsid w:val="005A3EF4"/>
    <w:rsid w:val="005A53B3"/>
    <w:rsid w:val="005A5886"/>
    <w:rsid w:val="005A79C2"/>
    <w:rsid w:val="005A7E41"/>
    <w:rsid w:val="005B080D"/>
    <w:rsid w:val="005B0C4F"/>
    <w:rsid w:val="005B143D"/>
    <w:rsid w:val="005B4159"/>
    <w:rsid w:val="005B449A"/>
    <w:rsid w:val="005C0A21"/>
    <w:rsid w:val="005C17D2"/>
    <w:rsid w:val="005C20E8"/>
    <w:rsid w:val="005C2A1D"/>
    <w:rsid w:val="005C2B10"/>
    <w:rsid w:val="005C3BFC"/>
    <w:rsid w:val="005C624B"/>
    <w:rsid w:val="005C684B"/>
    <w:rsid w:val="005C7446"/>
    <w:rsid w:val="005D0C5A"/>
    <w:rsid w:val="005D28BB"/>
    <w:rsid w:val="005D6B10"/>
    <w:rsid w:val="005D77BD"/>
    <w:rsid w:val="005E0582"/>
    <w:rsid w:val="005E5E91"/>
    <w:rsid w:val="005F0CE6"/>
    <w:rsid w:val="005F11D9"/>
    <w:rsid w:val="005F20F8"/>
    <w:rsid w:val="005F2EC3"/>
    <w:rsid w:val="005F5034"/>
    <w:rsid w:val="005F5388"/>
    <w:rsid w:val="005F5710"/>
    <w:rsid w:val="0060046E"/>
    <w:rsid w:val="00602709"/>
    <w:rsid w:val="006030FA"/>
    <w:rsid w:val="006040D2"/>
    <w:rsid w:val="00613CDC"/>
    <w:rsid w:val="00617E21"/>
    <w:rsid w:val="006201A8"/>
    <w:rsid w:val="00622C40"/>
    <w:rsid w:val="00623D32"/>
    <w:rsid w:val="00627E9A"/>
    <w:rsid w:val="00631E7B"/>
    <w:rsid w:val="00632A9C"/>
    <w:rsid w:val="006347DD"/>
    <w:rsid w:val="00636118"/>
    <w:rsid w:val="0063670B"/>
    <w:rsid w:val="00640639"/>
    <w:rsid w:val="00644C8A"/>
    <w:rsid w:val="006452BD"/>
    <w:rsid w:val="00650F43"/>
    <w:rsid w:val="0065445D"/>
    <w:rsid w:val="006550FF"/>
    <w:rsid w:val="00655D97"/>
    <w:rsid w:val="00655DFF"/>
    <w:rsid w:val="00657AE1"/>
    <w:rsid w:val="006608EF"/>
    <w:rsid w:val="00661759"/>
    <w:rsid w:val="00662F90"/>
    <w:rsid w:val="00665CB6"/>
    <w:rsid w:val="00666306"/>
    <w:rsid w:val="00672D55"/>
    <w:rsid w:val="00680BFD"/>
    <w:rsid w:val="00681C1A"/>
    <w:rsid w:val="00686EFC"/>
    <w:rsid w:val="00690101"/>
    <w:rsid w:val="00691C8A"/>
    <w:rsid w:val="006925E3"/>
    <w:rsid w:val="00692896"/>
    <w:rsid w:val="00692DF5"/>
    <w:rsid w:val="00692E78"/>
    <w:rsid w:val="00694F2C"/>
    <w:rsid w:val="00696A85"/>
    <w:rsid w:val="006A0087"/>
    <w:rsid w:val="006A00CD"/>
    <w:rsid w:val="006A27E9"/>
    <w:rsid w:val="006B03A8"/>
    <w:rsid w:val="006B568F"/>
    <w:rsid w:val="006B5AB0"/>
    <w:rsid w:val="006C1A7E"/>
    <w:rsid w:val="006C1C59"/>
    <w:rsid w:val="006C541F"/>
    <w:rsid w:val="006C58D3"/>
    <w:rsid w:val="006D19FE"/>
    <w:rsid w:val="006D2C2E"/>
    <w:rsid w:val="006D6497"/>
    <w:rsid w:val="006D66B3"/>
    <w:rsid w:val="006D7D05"/>
    <w:rsid w:val="006E5108"/>
    <w:rsid w:val="006E573A"/>
    <w:rsid w:val="006F098A"/>
    <w:rsid w:val="006F24F2"/>
    <w:rsid w:val="006F7CB1"/>
    <w:rsid w:val="00700BA8"/>
    <w:rsid w:val="00701BC5"/>
    <w:rsid w:val="007033C4"/>
    <w:rsid w:val="00704A03"/>
    <w:rsid w:val="007074BB"/>
    <w:rsid w:val="00710748"/>
    <w:rsid w:val="0071247A"/>
    <w:rsid w:val="007133F4"/>
    <w:rsid w:val="00716090"/>
    <w:rsid w:val="0071615A"/>
    <w:rsid w:val="00716597"/>
    <w:rsid w:val="007169CE"/>
    <w:rsid w:val="00717658"/>
    <w:rsid w:val="00717AEF"/>
    <w:rsid w:val="00721028"/>
    <w:rsid w:val="00723488"/>
    <w:rsid w:val="007247C1"/>
    <w:rsid w:val="00724DC7"/>
    <w:rsid w:val="00727B80"/>
    <w:rsid w:val="00733DA8"/>
    <w:rsid w:val="00736094"/>
    <w:rsid w:val="00736EE2"/>
    <w:rsid w:val="00740ED5"/>
    <w:rsid w:val="007411A2"/>
    <w:rsid w:val="00742532"/>
    <w:rsid w:val="00743766"/>
    <w:rsid w:val="00744A66"/>
    <w:rsid w:val="00745679"/>
    <w:rsid w:val="00745890"/>
    <w:rsid w:val="00751B77"/>
    <w:rsid w:val="00755067"/>
    <w:rsid w:val="0075721D"/>
    <w:rsid w:val="0075722E"/>
    <w:rsid w:val="0076181F"/>
    <w:rsid w:val="007620EF"/>
    <w:rsid w:val="00762EEB"/>
    <w:rsid w:val="0076360A"/>
    <w:rsid w:val="00766B5B"/>
    <w:rsid w:val="00772041"/>
    <w:rsid w:val="00773005"/>
    <w:rsid w:val="00775E64"/>
    <w:rsid w:val="00777D8A"/>
    <w:rsid w:val="00780FB0"/>
    <w:rsid w:val="00783FB3"/>
    <w:rsid w:val="007841D0"/>
    <w:rsid w:val="00784B7D"/>
    <w:rsid w:val="00785105"/>
    <w:rsid w:val="0079388C"/>
    <w:rsid w:val="007941A9"/>
    <w:rsid w:val="00794A0B"/>
    <w:rsid w:val="00796235"/>
    <w:rsid w:val="007A070E"/>
    <w:rsid w:val="007A08FA"/>
    <w:rsid w:val="007A1986"/>
    <w:rsid w:val="007A2B8F"/>
    <w:rsid w:val="007A3825"/>
    <w:rsid w:val="007A4916"/>
    <w:rsid w:val="007A5B68"/>
    <w:rsid w:val="007A6A29"/>
    <w:rsid w:val="007A7A92"/>
    <w:rsid w:val="007B16DB"/>
    <w:rsid w:val="007B18D8"/>
    <w:rsid w:val="007B1CFC"/>
    <w:rsid w:val="007B41A9"/>
    <w:rsid w:val="007B4AC2"/>
    <w:rsid w:val="007B59CE"/>
    <w:rsid w:val="007C2BB6"/>
    <w:rsid w:val="007C3BB4"/>
    <w:rsid w:val="007C6931"/>
    <w:rsid w:val="007D2CEA"/>
    <w:rsid w:val="007D4AE3"/>
    <w:rsid w:val="007D6079"/>
    <w:rsid w:val="007E49A6"/>
    <w:rsid w:val="007E5DE2"/>
    <w:rsid w:val="007F0412"/>
    <w:rsid w:val="007F264E"/>
    <w:rsid w:val="007F29B7"/>
    <w:rsid w:val="007F3A87"/>
    <w:rsid w:val="00800A56"/>
    <w:rsid w:val="00801CE5"/>
    <w:rsid w:val="00802A5A"/>
    <w:rsid w:val="008036BD"/>
    <w:rsid w:val="00805789"/>
    <w:rsid w:val="00807A6D"/>
    <w:rsid w:val="00811E0B"/>
    <w:rsid w:val="008120E4"/>
    <w:rsid w:val="00812CB9"/>
    <w:rsid w:val="0081797B"/>
    <w:rsid w:val="008210EE"/>
    <w:rsid w:val="00821D99"/>
    <w:rsid w:val="00825C1B"/>
    <w:rsid w:val="00826CED"/>
    <w:rsid w:val="008319C1"/>
    <w:rsid w:val="0083274E"/>
    <w:rsid w:val="00835F37"/>
    <w:rsid w:val="00840C7E"/>
    <w:rsid w:val="00850F64"/>
    <w:rsid w:val="0085202C"/>
    <w:rsid w:val="008538B3"/>
    <w:rsid w:val="00854D51"/>
    <w:rsid w:val="00856FDA"/>
    <w:rsid w:val="00857339"/>
    <w:rsid w:val="00857A62"/>
    <w:rsid w:val="00860A25"/>
    <w:rsid w:val="00863A6C"/>
    <w:rsid w:val="00871043"/>
    <w:rsid w:val="0087237E"/>
    <w:rsid w:val="00872559"/>
    <w:rsid w:val="00881EF7"/>
    <w:rsid w:val="008825B7"/>
    <w:rsid w:val="00882D93"/>
    <w:rsid w:val="008831EC"/>
    <w:rsid w:val="008852F8"/>
    <w:rsid w:val="008856D9"/>
    <w:rsid w:val="008925E8"/>
    <w:rsid w:val="0089272E"/>
    <w:rsid w:val="00895019"/>
    <w:rsid w:val="0089568C"/>
    <w:rsid w:val="008A2B5B"/>
    <w:rsid w:val="008A2E4F"/>
    <w:rsid w:val="008A3CE1"/>
    <w:rsid w:val="008A478C"/>
    <w:rsid w:val="008A6405"/>
    <w:rsid w:val="008A7A1B"/>
    <w:rsid w:val="008B018E"/>
    <w:rsid w:val="008B096E"/>
    <w:rsid w:val="008B19F5"/>
    <w:rsid w:val="008B413F"/>
    <w:rsid w:val="008B72B1"/>
    <w:rsid w:val="008B72C5"/>
    <w:rsid w:val="008B740E"/>
    <w:rsid w:val="008C02A9"/>
    <w:rsid w:val="008C3AA7"/>
    <w:rsid w:val="008C3DBF"/>
    <w:rsid w:val="008C5CEC"/>
    <w:rsid w:val="008C6DFA"/>
    <w:rsid w:val="008D6E61"/>
    <w:rsid w:val="008D799E"/>
    <w:rsid w:val="008E2723"/>
    <w:rsid w:val="008E7929"/>
    <w:rsid w:val="008F3D2E"/>
    <w:rsid w:val="008F5439"/>
    <w:rsid w:val="008F569A"/>
    <w:rsid w:val="008F6F74"/>
    <w:rsid w:val="00903C31"/>
    <w:rsid w:val="0090440E"/>
    <w:rsid w:val="00904416"/>
    <w:rsid w:val="00905F4E"/>
    <w:rsid w:val="00906645"/>
    <w:rsid w:val="00907544"/>
    <w:rsid w:val="00913C9F"/>
    <w:rsid w:val="009213DF"/>
    <w:rsid w:val="00922B13"/>
    <w:rsid w:val="00923862"/>
    <w:rsid w:val="00927989"/>
    <w:rsid w:val="00930AF9"/>
    <w:rsid w:val="00931EEA"/>
    <w:rsid w:val="00937EDE"/>
    <w:rsid w:val="00946210"/>
    <w:rsid w:val="00947F3F"/>
    <w:rsid w:val="00950C26"/>
    <w:rsid w:val="009513E2"/>
    <w:rsid w:val="0095290B"/>
    <w:rsid w:val="0095490F"/>
    <w:rsid w:val="00956275"/>
    <w:rsid w:val="00960417"/>
    <w:rsid w:val="0096131F"/>
    <w:rsid w:val="009663AE"/>
    <w:rsid w:val="0096700B"/>
    <w:rsid w:val="0097469C"/>
    <w:rsid w:val="00981302"/>
    <w:rsid w:val="00982140"/>
    <w:rsid w:val="009849BD"/>
    <w:rsid w:val="009850C8"/>
    <w:rsid w:val="00986C33"/>
    <w:rsid w:val="00987AA1"/>
    <w:rsid w:val="00987F72"/>
    <w:rsid w:val="009913E8"/>
    <w:rsid w:val="009973C0"/>
    <w:rsid w:val="00997CE5"/>
    <w:rsid w:val="009A1EF2"/>
    <w:rsid w:val="009A3C6C"/>
    <w:rsid w:val="009A5955"/>
    <w:rsid w:val="009A5CF8"/>
    <w:rsid w:val="009A6F85"/>
    <w:rsid w:val="009A74C9"/>
    <w:rsid w:val="009B1FA7"/>
    <w:rsid w:val="009B274D"/>
    <w:rsid w:val="009B75B0"/>
    <w:rsid w:val="009C0AB2"/>
    <w:rsid w:val="009C2A00"/>
    <w:rsid w:val="009C5254"/>
    <w:rsid w:val="009C54FD"/>
    <w:rsid w:val="009C64D2"/>
    <w:rsid w:val="009C7DD3"/>
    <w:rsid w:val="009D0736"/>
    <w:rsid w:val="009D08B8"/>
    <w:rsid w:val="009D64E6"/>
    <w:rsid w:val="009D7846"/>
    <w:rsid w:val="009D7AE4"/>
    <w:rsid w:val="009D7F53"/>
    <w:rsid w:val="009E0169"/>
    <w:rsid w:val="009F1900"/>
    <w:rsid w:val="009F3070"/>
    <w:rsid w:val="009F7E7E"/>
    <w:rsid w:val="00A0119A"/>
    <w:rsid w:val="00A02935"/>
    <w:rsid w:val="00A04346"/>
    <w:rsid w:val="00A05DAC"/>
    <w:rsid w:val="00A05E99"/>
    <w:rsid w:val="00A06F1C"/>
    <w:rsid w:val="00A1116F"/>
    <w:rsid w:val="00A131DB"/>
    <w:rsid w:val="00A149E2"/>
    <w:rsid w:val="00A17FEE"/>
    <w:rsid w:val="00A2148E"/>
    <w:rsid w:val="00A23ABF"/>
    <w:rsid w:val="00A25795"/>
    <w:rsid w:val="00A2691E"/>
    <w:rsid w:val="00A32F30"/>
    <w:rsid w:val="00A344A4"/>
    <w:rsid w:val="00A34684"/>
    <w:rsid w:val="00A34D11"/>
    <w:rsid w:val="00A34F50"/>
    <w:rsid w:val="00A354B9"/>
    <w:rsid w:val="00A37F56"/>
    <w:rsid w:val="00A41EC4"/>
    <w:rsid w:val="00A42663"/>
    <w:rsid w:val="00A4312C"/>
    <w:rsid w:val="00A45CEE"/>
    <w:rsid w:val="00A50675"/>
    <w:rsid w:val="00A528E9"/>
    <w:rsid w:val="00A52950"/>
    <w:rsid w:val="00A53258"/>
    <w:rsid w:val="00A55417"/>
    <w:rsid w:val="00A55725"/>
    <w:rsid w:val="00A61DD0"/>
    <w:rsid w:val="00A667CA"/>
    <w:rsid w:val="00A66FB2"/>
    <w:rsid w:val="00A72131"/>
    <w:rsid w:val="00A72FF3"/>
    <w:rsid w:val="00A7383A"/>
    <w:rsid w:val="00A742A1"/>
    <w:rsid w:val="00A7527F"/>
    <w:rsid w:val="00A75792"/>
    <w:rsid w:val="00A803C2"/>
    <w:rsid w:val="00A8157A"/>
    <w:rsid w:val="00A8183A"/>
    <w:rsid w:val="00A84005"/>
    <w:rsid w:val="00A85E2A"/>
    <w:rsid w:val="00A86373"/>
    <w:rsid w:val="00A87B3B"/>
    <w:rsid w:val="00A90446"/>
    <w:rsid w:val="00A90CE4"/>
    <w:rsid w:val="00A914F1"/>
    <w:rsid w:val="00A92D54"/>
    <w:rsid w:val="00A943BE"/>
    <w:rsid w:val="00A96483"/>
    <w:rsid w:val="00A96D34"/>
    <w:rsid w:val="00A97342"/>
    <w:rsid w:val="00A97973"/>
    <w:rsid w:val="00AA0711"/>
    <w:rsid w:val="00AA2E9E"/>
    <w:rsid w:val="00AA3BFE"/>
    <w:rsid w:val="00AB11DE"/>
    <w:rsid w:val="00AB3AA9"/>
    <w:rsid w:val="00AB4D56"/>
    <w:rsid w:val="00AB4E7C"/>
    <w:rsid w:val="00AB6C12"/>
    <w:rsid w:val="00AB789C"/>
    <w:rsid w:val="00AC2182"/>
    <w:rsid w:val="00AC3F8A"/>
    <w:rsid w:val="00AC502E"/>
    <w:rsid w:val="00AC7C4F"/>
    <w:rsid w:val="00AD1252"/>
    <w:rsid w:val="00AD1813"/>
    <w:rsid w:val="00AD5080"/>
    <w:rsid w:val="00AD5CCD"/>
    <w:rsid w:val="00AD7C04"/>
    <w:rsid w:val="00AE215F"/>
    <w:rsid w:val="00AE2F70"/>
    <w:rsid w:val="00AE413E"/>
    <w:rsid w:val="00AE67A7"/>
    <w:rsid w:val="00AE7476"/>
    <w:rsid w:val="00AE77BA"/>
    <w:rsid w:val="00AF0493"/>
    <w:rsid w:val="00AF143A"/>
    <w:rsid w:val="00AF4331"/>
    <w:rsid w:val="00AF4D0B"/>
    <w:rsid w:val="00B05936"/>
    <w:rsid w:val="00B10982"/>
    <w:rsid w:val="00B123ED"/>
    <w:rsid w:val="00B1255C"/>
    <w:rsid w:val="00B20007"/>
    <w:rsid w:val="00B207DE"/>
    <w:rsid w:val="00B21963"/>
    <w:rsid w:val="00B23D45"/>
    <w:rsid w:val="00B2449E"/>
    <w:rsid w:val="00B276EA"/>
    <w:rsid w:val="00B27F19"/>
    <w:rsid w:val="00B33B82"/>
    <w:rsid w:val="00B355C7"/>
    <w:rsid w:val="00B35C30"/>
    <w:rsid w:val="00B35E08"/>
    <w:rsid w:val="00B37F2E"/>
    <w:rsid w:val="00B45403"/>
    <w:rsid w:val="00B50BF9"/>
    <w:rsid w:val="00B52020"/>
    <w:rsid w:val="00B5578F"/>
    <w:rsid w:val="00B55FF1"/>
    <w:rsid w:val="00B602BB"/>
    <w:rsid w:val="00B66AF2"/>
    <w:rsid w:val="00B67973"/>
    <w:rsid w:val="00B70FE5"/>
    <w:rsid w:val="00B727F1"/>
    <w:rsid w:val="00B728FF"/>
    <w:rsid w:val="00B73769"/>
    <w:rsid w:val="00B73A54"/>
    <w:rsid w:val="00B73CA5"/>
    <w:rsid w:val="00B762FC"/>
    <w:rsid w:val="00B81449"/>
    <w:rsid w:val="00B83231"/>
    <w:rsid w:val="00B85FA2"/>
    <w:rsid w:val="00B86FA8"/>
    <w:rsid w:val="00B87581"/>
    <w:rsid w:val="00B93578"/>
    <w:rsid w:val="00BA00CE"/>
    <w:rsid w:val="00BA04DD"/>
    <w:rsid w:val="00BA1889"/>
    <w:rsid w:val="00BA18D2"/>
    <w:rsid w:val="00BA2C95"/>
    <w:rsid w:val="00BA32C6"/>
    <w:rsid w:val="00BA4EC2"/>
    <w:rsid w:val="00BA4EE7"/>
    <w:rsid w:val="00BA5A85"/>
    <w:rsid w:val="00BB115E"/>
    <w:rsid w:val="00BB2CF4"/>
    <w:rsid w:val="00BB46C2"/>
    <w:rsid w:val="00BC00DB"/>
    <w:rsid w:val="00BC073C"/>
    <w:rsid w:val="00BC3DC2"/>
    <w:rsid w:val="00BC4F43"/>
    <w:rsid w:val="00BC5BEA"/>
    <w:rsid w:val="00BC709E"/>
    <w:rsid w:val="00BC7DB4"/>
    <w:rsid w:val="00BD017E"/>
    <w:rsid w:val="00BD3911"/>
    <w:rsid w:val="00BD4874"/>
    <w:rsid w:val="00BD68E9"/>
    <w:rsid w:val="00BD795D"/>
    <w:rsid w:val="00BE05F4"/>
    <w:rsid w:val="00BE39DD"/>
    <w:rsid w:val="00BE5272"/>
    <w:rsid w:val="00BE72FA"/>
    <w:rsid w:val="00BE74EB"/>
    <w:rsid w:val="00BF0E24"/>
    <w:rsid w:val="00BF3077"/>
    <w:rsid w:val="00BF396C"/>
    <w:rsid w:val="00BF4720"/>
    <w:rsid w:val="00BF5E4A"/>
    <w:rsid w:val="00BF6371"/>
    <w:rsid w:val="00BF6A65"/>
    <w:rsid w:val="00BF6ACB"/>
    <w:rsid w:val="00BF7E42"/>
    <w:rsid w:val="00C002AF"/>
    <w:rsid w:val="00C00CCC"/>
    <w:rsid w:val="00C03FB3"/>
    <w:rsid w:val="00C06508"/>
    <w:rsid w:val="00C11718"/>
    <w:rsid w:val="00C136DF"/>
    <w:rsid w:val="00C13B11"/>
    <w:rsid w:val="00C20A22"/>
    <w:rsid w:val="00C21522"/>
    <w:rsid w:val="00C21ACE"/>
    <w:rsid w:val="00C2283E"/>
    <w:rsid w:val="00C23385"/>
    <w:rsid w:val="00C238E9"/>
    <w:rsid w:val="00C3060F"/>
    <w:rsid w:val="00C3410A"/>
    <w:rsid w:val="00C344B1"/>
    <w:rsid w:val="00C36F93"/>
    <w:rsid w:val="00C3784B"/>
    <w:rsid w:val="00C40367"/>
    <w:rsid w:val="00C40E43"/>
    <w:rsid w:val="00C413E1"/>
    <w:rsid w:val="00C41CFF"/>
    <w:rsid w:val="00C42EE9"/>
    <w:rsid w:val="00C45141"/>
    <w:rsid w:val="00C51002"/>
    <w:rsid w:val="00C51240"/>
    <w:rsid w:val="00C531E9"/>
    <w:rsid w:val="00C56E30"/>
    <w:rsid w:val="00C66248"/>
    <w:rsid w:val="00C7190C"/>
    <w:rsid w:val="00C723D8"/>
    <w:rsid w:val="00C72586"/>
    <w:rsid w:val="00C72E0F"/>
    <w:rsid w:val="00C8299D"/>
    <w:rsid w:val="00C834F2"/>
    <w:rsid w:val="00C84073"/>
    <w:rsid w:val="00C84CD9"/>
    <w:rsid w:val="00C8592C"/>
    <w:rsid w:val="00C959B2"/>
    <w:rsid w:val="00C96AB8"/>
    <w:rsid w:val="00CA04DB"/>
    <w:rsid w:val="00CA0D12"/>
    <w:rsid w:val="00CA58CF"/>
    <w:rsid w:val="00CA764A"/>
    <w:rsid w:val="00CB1CC9"/>
    <w:rsid w:val="00CB36F9"/>
    <w:rsid w:val="00CB370A"/>
    <w:rsid w:val="00CB6D1E"/>
    <w:rsid w:val="00CC3EAD"/>
    <w:rsid w:val="00CD0659"/>
    <w:rsid w:val="00CD1E53"/>
    <w:rsid w:val="00CD5AEC"/>
    <w:rsid w:val="00CD660C"/>
    <w:rsid w:val="00CD7A39"/>
    <w:rsid w:val="00CE0F51"/>
    <w:rsid w:val="00CE1D3C"/>
    <w:rsid w:val="00CE2683"/>
    <w:rsid w:val="00CE7FA2"/>
    <w:rsid w:val="00CF11CA"/>
    <w:rsid w:val="00D050B3"/>
    <w:rsid w:val="00D120C1"/>
    <w:rsid w:val="00D12B64"/>
    <w:rsid w:val="00D130D8"/>
    <w:rsid w:val="00D13F7B"/>
    <w:rsid w:val="00D23DF6"/>
    <w:rsid w:val="00D24E16"/>
    <w:rsid w:val="00D25C05"/>
    <w:rsid w:val="00D3241D"/>
    <w:rsid w:val="00D34B27"/>
    <w:rsid w:val="00D3633D"/>
    <w:rsid w:val="00D41706"/>
    <w:rsid w:val="00D41B3A"/>
    <w:rsid w:val="00D50C21"/>
    <w:rsid w:val="00D52114"/>
    <w:rsid w:val="00D53833"/>
    <w:rsid w:val="00D5444D"/>
    <w:rsid w:val="00D55959"/>
    <w:rsid w:val="00D601E4"/>
    <w:rsid w:val="00D63EE7"/>
    <w:rsid w:val="00D6502B"/>
    <w:rsid w:val="00D66C1A"/>
    <w:rsid w:val="00D7057A"/>
    <w:rsid w:val="00D70E2A"/>
    <w:rsid w:val="00D7104D"/>
    <w:rsid w:val="00D723FA"/>
    <w:rsid w:val="00D73AA7"/>
    <w:rsid w:val="00D7430B"/>
    <w:rsid w:val="00D76D9B"/>
    <w:rsid w:val="00D77C4A"/>
    <w:rsid w:val="00D80CB3"/>
    <w:rsid w:val="00D8659F"/>
    <w:rsid w:val="00D86ADB"/>
    <w:rsid w:val="00D931B9"/>
    <w:rsid w:val="00D965C0"/>
    <w:rsid w:val="00D96E46"/>
    <w:rsid w:val="00D97E2B"/>
    <w:rsid w:val="00DA3E68"/>
    <w:rsid w:val="00DA4D38"/>
    <w:rsid w:val="00DA54C9"/>
    <w:rsid w:val="00DA5C83"/>
    <w:rsid w:val="00DA7E53"/>
    <w:rsid w:val="00DB0305"/>
    <w:rsid w:val="00DB0CEB"/>
    <w:rsid w:val="00DB44E9"/>
    <w:rsid w:val="00DB4EC6"/>
    <w:rsid w:val="00DB4F83"/>
    <w:rsid w:val="00DB54A3"/>
    <w:rsid w:val="00DC01FE"/>
    <w:rsid w:val="00DC2B76"/>
    <w:rsid w:val="00DC2CBD"/>
    <w:rsid w:val="00DC314F"/>
    <w:rsid w:val="00DC350F"/>
    <w:rsid w:val="00DC548C"/>
    <w:rsid w:val="00DC5998"/>
    <w:rsid w:val="00DD2A0A"/>
    <w:rsid w:val="00DD58BD"/>
    <w:rsid w:val="00DD714F"/>
    <w:rsid w:val="00DE086D"/>
    <w:rsid w:val="00DE61E5"/>
    <w:rsid w:val="00DE6421"/>
    <w:rsid w:val="00DE6D2B"/>
    <w:rsid w:val="00DE7A9C"/>
    <w:rsid w:val="00DF16C2"/>
    <w:rsid w:val="00DF47D0"/>
    <w:rsid w:val="00DF5707"/>
    <w:rsid w:val="00DF6B94"/>
    <w:rsid w:val="00DF76F6"/>
    <w:rsid w:val="00E000B9"/>
    <w:rsid w:val="00E0327B"/>
    <w:rsid w:val="00E03656"/>
    <w:rsid w:val="00E03A93"/>
    <w:rsid w:val="00E0498F"/>
    <w:rsid w:val="00E05A0D"/>
    <w:rsid w:val="00E077E3"/>
    <w:rsid w:val="00E07C9B"/>
    <w:rsid w:val="00E16BFC"/>
    <w:rsid w:val="00E2023A"/>
    <w:rsid w:val="00E21361"/>
    <w:rsid w:val="00E225BB"/>
    <w:rsid w:val="00E2443C"/>
    <w:rsid w:val="00E25E60"/>
    <w:rsid w:val="00E267D5"/>
    <w:rsid w:val="00E26FDC"/>
    <w:rsid w:val="00E277BF"/>
    <w:rsid w:val="00E27C31"/>
    <w:rsid w:val="00E3054C"/>
    <w:rsid w:val="00E31EB2"/>
    <w:rsid w:val="00E3366D"/>
    <w:rsid w:val="00E35A66"/>
    <w:rsid w:val="00E42502"/>
    <w:rsid w:val="00E45A63"/>
    <w:rsid w:val="00E45C94"/>
    <w:rsid w:val="00E464E9"/>
    <w:rsid w:val="00E466E6"/>
    <w:rsid w:val="00E528AC"/>
    <w:rsid w:val="00E61504"/>
    <w:rsid w:val="00E6285B"/>
    <w:rsid w:val="00E62EDB"/>
    <w:rsid w:val="00E64CF4"/>
    <w:rsid w:val="00E7293A"/>
    <w:rsid w:val="00E7306E"/>
    <w:rsid w:val="00E74B80"/>
    <w:rsid w:val="00E8252A"/>
    <w:rsid w:val="00E83201"/>
    <w:rsid w:val="00E83945"/>
    <w:rsid w:val="00E87F7A"/>
    <w:rsid w:val="00E927F5"/>
    <w:rsid w:val="00E93986"/>
    <w:rsid w:val="00E95215"/>
    <w:rsid w:val="00EA126B"/>
    <w:rsid w:val="00EA1E7D"/>
    <w:rsid w:val="00EA1F2C"/>
    <w:rsid w:val="00EA2924"/>
    <w:rsid w:val="00EA3394"/>
    <w:rsid w:val="00EA3AC3"/>
    <w:rsid w:val="00EA4C5F"/>
    <w:rsid w:val="00EB168A"/>
    <w:rsid w:val="00EB2C6A"/>
    <w:rsid w:val="00EB4260"/>
    <w:rsid w:val="00EB43D1"/>
    <w:rsid w:val="00EB5F4C"/>
    <w:rsid w:val="00EB7C8B"/>
    <w:rsid w:val="00EC517D"/>
    <w:rsid w:val="00EC5931"/>
    <w:rsid w:val="00EC5F48"/>
    <w:rsid w:val="00EC63D6"/>
    <w:rsid w:val="00EC6D34"/>
    <w:rsid w:val="00ED3CD0"/>
    <w:rsid w:val="00ED3ED8"/>
    <w:rsid w:val="00ED4978"/>
    <w:rsid w:val="00ED4F64"/>
    <w:rsid w:val="00ED530D"/>
    <w:rsid w:val="00ED65C6"/>
    <w:rsid w:val="00EE0011"/>
    <w:rsid w:val="00EE499B"/>
    <w:rsid w:val="00EE4B00"/>
    <w:rsid w:val="00EE5E29"/>
    <w:rsid w:val="00EE72EE"/>
    <w:rsid w:val="00EF1958"/>
    <w:rsid w:val="00EF2909"/>
    <w:rsid w:val="00EF2DFF"/>
    <w:rsid w:val="00EF3B69"/>
    <w:rsid w:val="00EF6EF0"/>
    <w:rsid w:val="00F02978"/>
    <w:rsid w:val="00F03ABD"/>
    <w:rsid w:val="00F1449C"/>
    <w:rsid w:val="00F2009A"/>
    <w:rsid w:val="00F214E2"/>
    <w:rsid w:val="00F21A07"/>
    <w:rsid w:val="00F239F8"/>
    <w:rsid w:val="00F278DA"/>
    <w:rsid w:val="00F31BE2"/>
    <w:rsid w:val="00F32E9B"/>
    <w:rsid w:val="00F33AF7"/>
    <w:rsid w:val="00F35916"/>
    <w:rsid w:val="00F36FFD"/>
    <w:rsid w:val="00F406CC"/>
    <w:rsid w:val="00F408F4"/>
    <w:rsid w:val="00F41FEC"/>
    <w:rsid w:val="00F45FD2"/>
    <w:rsid w:val="00F46FA1"/>
    <w:rsid w:val="00F477AB"/>
    <w:rsid w:val="00F509B7"/>
    <w:rsid w:val="00F52666"/>
    <w:rsid w:val="00F53076"/>
    <w:rsid w:val="00F57916"/>
    <w:rsid w:val="00F614DF"/>
    <w:rsid w:val="00F62331"/>
    <w:rsid w:val="00F67DB5"/>
    <w:rsid w:val="00F707B7"/>
    <w:rsid w:val="00F72D0E"/>
    <w:rsid w:val="00F73090"/>
    <w:rsid w:val="00F753B3"/>
    <w:rsid w:val="00F804AD"/>
    <w:rsid w:val="00F828B4"/>
    <w:rsid w:val="00F85600"/>
    <w:rsid w:val="00F90F0C"/>
    <w:rsid w:val="00F9481E"/>
    <w:rsid w:val="00F949AD"/>
    <w:rsid w:val="00FA3E01"/>
    <w:rsid w:val="00FA4790"/>
    <w:rsid w:val="00FA495B"/>
    <w:rsid w:val="00FA5077"/>
    <w:rsid w:val="00FA5496"/>
    <w:rsid w:val="00FA5B25"/>
    <w:rsid w:val="00FA6576"/>
    <w:rsid w:val="00FA7DBE"/>
    <w:rsid w:val="00FB32BE"/>
    <w:rsid w:val="00FB4E7B"/>
    <w:rsid w:val="00FB53C8"/>
    <w:rsid w:val="00FB7661"/>
    <w:rsid w:val="00FB7856"/>
    <w:rsid w:val="00FC2794"/>
    <w:rsid w:val="00FC2A35"/>
    <w:rsid w:val="00FC5ACB"/>
    <w:rsid w:val="00FC70E0"/>
    <w:rsid w:val="00FD018B"/>
    <w:rsid w:val="00FD6B32"/>
    <w:rsid w:val="00FD7272"/>
    <w:rsid w:val="00FE38D0"/>
    <w:rsid w:val="00FE3B00"/>
    <w:rsid w:val="00FE3B5F"/>
    <w:rsid w:val="00FE5ABF"/>
    <w:rsid w:val="00FE6FB7"/>
    <w:rsid w:val="00FF0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FA6FBB"/>
  <w15:docId w15:val="{167350A1-1158-4AEA-8281-2C8C9C65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73A"/>
  </w:style>
  <w:style w:type="paragraph" w:styleId="1">
    <w:name w:val="heading 1"/>
    <w:basedOn w:val="a"/>
    <w:link w:val="10"/>
    <w:uiPriority w:val="9"/>
    <w:qFormat/>
    <w:rsid w:val="009C2A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449A"/>
    <w:pPr>
      <w:ind w:left="720"/>
      <w:contextualSpacing/>
    </w:pPr>
  </w:style>
  <w:style w:type="paragraph" w:styleId="a4">
    <w:name w:val="header"/>
    <w:basedOn w:val="a"/>
    <w:link w:val="a5"/>
    <w:uiPriority w:val="99"/>
    <w:unhideWhenUsed/>
    <w:rsid w:val="005D77B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D77BD"/>
  </w:style>
  <w:style w:type="paragraph" w:styleId="a6">
    <w:name w:val="footer"/>
    <w:basedOn w:val="a"/>
    <w:link w:val="a7"/>
    <w:uiPriority w:val="99"/>
    <w:unhideWhenUsed/>
    <w:rsid w:val="005D77B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D77BD"/>
  </w:style>
  <w:style w:type="character" w:styleId="a8">
    <w:name w:val="Hyperlink"/>
    <w:basedOn w:val="a0"/>
    <w:uiPriority w:val="99"/>
    <w:unhideWhenUsed/>
    <w:rsid w:val="00200840"/>
    <w:rPr>
      <w:color w:val="0563C1" w:themeColor="hyperlink"/>
      <w:u w:val="single"/>
    </w:rPr>
  </w:style>
  <w:style w:type="table" w:styleId="a9">
    <w:name w:val="Table Grid"/>
    <w:basedOn w:val="a1"/>
    <w:uiPriority w:val="39"/>
    <w:rsid w:val="00E16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812CB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12CB9"/>
    <w:rPr>
      <w:rFonts w:ascii="Tahoma" w:hAnsi="Tahoma" w:cs="Tahoma"/>
      <w:sz w:val="16"/>
      <w:szCs w:val="16"/>
    </w:rPr>
  </w:style>
  <w:style w:type="paragraph" w:styleId="ac">
    <w:name w:val="Normal (Web)"/>
    <w:basedOn w:val="a"/>
    <w:uiPriority w:val="99"/>
    <w:semiHidden/>
    <w:unhideWhenUsed/>
    <w:rsid w:val="003264A5"/>
    <w:rPr>
      <w:rFonts w:ascii="Times New Roman" w:hAnsi="Times New Roman" w:cs="Times New Roman"/>
      <w:sz w:val="24"/>
      <w:szCs w:val="24"/>
    </w:rPr>
  </w:style>
  <w:style w:type="character" w:customStyle="1" w:styleId="11">
    <w:name w:val="Неразрешенное упоминание1"/>
    <w:basedOn w:val="a0"/>
    <w:uiPriority w:val="99"/>
    <w:semiHidden/>
    <w:unhideWhenUsed/>
    <w:rsid w:val="00D24E16"/>
    <w:rPr>
      <w:color w:val="605E5C"/>
      <w:shd w:val="clear" w:color="auto" w:fill="E1DFDD"/>
    </w:rPr>
  </w:style>
  <w:style w:type="character" w:styleId="ad">
    <w:name w:val="FollowedHyperlink"/>
    <w:basedOn w:val="a0"/>
    <w:uiPriority w:val="99"/>
    <w:semiHidden/>
    <w:unhideWhenUsed/>
    <w:rsid w:val="001A0F24"/>
    <w:rPr>
      <w:color w:val="954F72" w:themeColor="followedHyperlink"/>
      <w:u w:val="single"/>
    </w:rPr>
  </w:style>
  <w:style w:type="paragraph" w:styleId="ae">
    <w:name w:val="footnote text"/>
    <w:basedOn w:val="a"/>
    <w:link w:val="af"/>
    <w:uiPriority w:val="99"/>
    <w:unhideWhenUsed/>
    <w:rsid w:val="00D723FA"/>
    <w:pPr>
      <w:spacing w:after="0" w:line="240" w:lineRule="auto"/>
    </w:pPr>
    <w:rPr>
      <w:sz w:val="20"/>
      <w:szCs w:val="20"/>
    </w:rPr>
  </w:style>
  <w:style w:type="character" w:customStyle="1" w:styleId="af">
    <w:name w:val="Текст сноски Знак"/>
    <w:basedOn w:val="a0"/>
    <w:link w:val="ae"/>
    <w:uiPriority w:val="99"/>
    <w:semiHidden/>
    <w:rsid w:val="00D723FA"/>
    <w:rPr>
      <w:sz w:val="20"/>
      <w:szCs w:val="20"/>
    </w:rPr>
  </w:style>
  <w:style w:type="character" w:styleId="af0">
    <w:name w:val="footnote reference"/>
    <w:basedOn w:val="a0"/>
    <w:uiPriority w:val="99"/>
    <w:semiHidden/>
    <w:unhideWhenUsed/>
    <w:rsid w:val="00D723FA"/>
    <w:rPr>
      <w:vertAlign w:val="superscript"/>
    </w:rPr>
  </w:style>
  <w:style w:type="paragraph" w:styleId="HTML">
    <w:name w:val="HTML Preformatted"/>
    <w:basedOn w:val="a"/>
    <w:link w:val="HTML0"/>
    <w:uiPriority w:val="99"/>
    <w:semiHidden/>
    <w:unhideWhenUsed/>
    <w:rsid w:val="001E7B76"/>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1E7B76"/>
    <w:rPr>
      <w:rFonts w:ascii="Consolas" w:hAnsi="Consolas"/>
      <w:sz w:val="20"/>
      <w:szCs w:val="20"/>
    </w:rPr>
  </w:style>
  <w:style w:type="character" w:styleId="af1">
    <w:name w:val="annotation reference"/>
    <w:basedOn w:val="a0"/>
    <w:uiPriority w:val="99"/>
    <w:semiHidden/>
    <w:unhideWhenUsed/>
    <w:rsid w:val="00D601E4"/>
    <w:rPr>
      <w:sz w:val="16"/>
      <w:szCs w:val="16"/>
    </w:rPr>
  </w:style>
  <w:style w:type="paragraph" w:styleId="af2">
    <w:name w:val="annotation text"/>
    <w:basedOn w:val="a"/>
    <w:link w:val="af3"/>
    <w:uiPriority w:val="99"/>
    <w:semiHidden/>
    <w:unhideWhenUsed/>
    <w:rsid w:val="00D601E4"/>
    <w:pPr>
      <w:spacing w:line="240" w:lineRule="auto"/>
    </w:pPr>
    <w:rPr>
      <w:sz w:val="20"/>
      <w:szCs w:val="20"/>
    </w:rPr>
  </w:style>
  <w:style w:type="character" w:customStyle="1" w:styleId="af3">
    <w:name w:val="Текст примечания Знак"/>
    <w:basedOn w:val="a0"/>
    <w:link w:val="af2"/>
    <w:uiPriority w:val="99"/>
    <w:semiHidden/>
    <w:rsid w:val="00D601E4"/>
    <w:rPr>
      <w:sz w:val="20"/>
      <w:szCs w:val="20"/>
    </w:rPr>
  </w:style>
  <w:style w:type="paragraph" w:styleId="af4">
    <w:name w:val="annotation subject"/>
    <w:basedOn w:val="af2"/>
    <w:next w:val="af2"/>
    <w:link w:val="af5"/>
    <w:uiPriority w:val="99"/>
    <w:semiHidden/>
    <w:unhideWhenUsed/>
    <w:rsid w:val="00D601E4"/>
    <w:rPr>
      <w:b/>
      <w:bCs/>
    </w:rPr>
  </w:style>
  <w:style w:type="character" w:customStyle="1" w:styleId="af5">
    <w:name w:val="Тема примечания Знак"/>
    <w:basedOn w:val="af3"/>
    <w:link w:val="af4"/>
    <w:uiPriority w:val="99"/>
    <w:semiHidden/>
    <w:rsid w:val="00D601E4"/>
    <w:rPr>
      <w:b/>
      <w:bCs/>
      <w:sz w:val="20"/>
      <w:szCs w:val="20"/>
    </w:rPr>
  </w:style>
  <w:style w:type="character" w:customStyle="1" w:styleId="10">
    <w:name w:val="Заголовок 1 Знак"/>
    <w:basedOn w:val="a0"/>
    <w:link w:val="1"/>
    <w:uiPriority w:val="9"/>
    <w:rsid w:val="009C2A00"/>
    <w:rPr>
      <w:rFonts w:ascii="Times New Roman" w:eastAsia="Times New Roman" w:hAnsi="Times New Roman" w:cs="Times New Roman"/>
      <w:b/>
      <w:bCs/>
      <w:kern w:val="36"/>
      <w:sz w:val="48"/>
      <w:szCs w:val="48"/>
      <w:lang w:eastAsia="ru-RU"/>
    </w:rPr>
  </w:style>
  <w:style w:type="character" w:customStyle="1" w:styleId="UnresolvedMention">
    <w:name w:val="Unresolved Mention"/>
    <w:basedOn w:val="a0"/>
    <w:uiPriority w:val="99"/>
    <w:semiHidden/>
    <w:unhideWhenUsed/>
    <w:rsid w:val="00005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90422">
      <w:bodyDiv w:val="1"/>
      <w:marLeft w:val="0"/>
      <w:marRight w:val="0"/>
      <w:marTop w:val="0"/>
      <w:marBottom w:val="0"/>
      <w:divBdr>
        <w:top w:val="none" w:sz="0" w:space="0" w:color="auto"/>
        <w:left w:val="none" w:sz="0" w:space="0" w:color="auto"/>
        <w:bottom w:val="none" w:sz="0" w:space="0" w:color="auto"/>
        <w:right w:val="none" w:sz="0" w:space="0" w:color="auto"/>
      </w:divBdr>
      <w:divsChild>
        <w:div w:id="1952123275">
          <w:marLeft w:val="0"/>
          <w:marRight w:val="0"/>
          <w:marTop w:val="120"/>
          <w:marBottom w:val="0"/>
          <w:divBdr>
            <w:top w:val="none" w:sz="0" w:space="0" w:color="auto"/>
            <w:left w:val="none" w:sz="0" w:space="0" w:color="auto"/>
            <w:bottom w:val="none" w:sz="0" w:space="0" w:color="auto"/>
            <w:right w:val="none" w:sz="0" w:space="0" w:color="auto"/>
          </w:divBdr>
        </w:div>
        <w:div w:id="441150395">
          <w:marLeft w:val="0"/>
          <w:marRight w:val="0"/>
          <w:marTop w:val="120"/>
          <w:marBottom w:val="0"/>
          <w:divBdr>
            <w:top w:val="none" w:sz="0" w:space="0" w:color="auto"/>
            <w:left w:val="none" w:sz="0" w:space="0" w:color="auto"/>
            <w:bottom w:val="none" w:sz="0" w:space="0" w:color="auto"/>
            <w:right w:val="none" w:sz="0" w:space="0" w:color="auto"/>
          </w:divBdr>
        </w:div>
        <w:div w:id="14624958">
          <w:marLeft w:val="0"/>
          <w:marRight w:val="0"/>
          <w:marTop w:val="120"/>
          <w:marBottom w:val="0"/>
          <w:divBdr>
            <w:top w:val="none" w:sz="0" w:space="0" w:color="auto"/>
            <w:left w:val="none" w:sz="0" w:space="0" w:color="auto"/>
            <w:bottom w:val="none" w:sz="0" w:space="0" w:color="auto"/>
            <w:right w:val="none" w:sz="0" w:space="0" w:color="auto"/>
          </w:divBdr>
        </w:div>
      </w:divsChild>
    </w:div>
    <w:div w:id="412973663">
      <w:bodyDiv w:val="1"/>
      <w:marLeft w:val="0"/>
      <w:marRight w:val="0"/>
      <w:marTop w:val="0"/>
      <w:marBottom w:val="0"/>
      <w:divBdr>
        <w:top w:val="none" w:sz="0" w:space="0" w:color="auto"/>
        <w:left w:val="none" w:sz="0" w:space="0" w:color="auto"/>
        <w:bottom w:val="none" w:sz="0" w:space="0" w:color="auto"/>
        <w:right w:val="none" w:sz="0" w:space="0" w:color="auto"/>
      </w:divBdr>
    </w:div>
    <w:div w:id="460617993">
      <w:bodyDiv w:val="1"/>
      <w:marLeft w:val="0"/>
      <w:marRight w:val="0"/>
      <w:marTop w:val="0"/>
      <w:marBottom w:val="0"/>
      <w:divBdr>
        <w:top w:val="none" w:sz="0" w:space="0" w:color="auto"/>
        <w:left w:val="none" w:sz="0" w:space="0" w:color="auto"/>
        <w:bottom w:val="none" w:sz="0" w:space="0" w:color="auto"/>
        <w:right w:val="none" w:sz="0" w:space="0" w:color="auto"/>
      </w:divBdr>
    </w:div>
    <w:div w:id="984702217">
      <w:bodyDiv w:val="1"/>
      <w:marLeft w:val="0"/>
      <w:marRight w:val="0"/>
      <w:marTop w:val="0"/>
      <w:marBottom w:val="0"/>
      <w:divBdr>
        <w:top w:val="none" w:sz="0" w:space="0" w:color="auto"/>
        <w:left w:val="none" w:sz="0" w:space="0" w:color="auto"/>
        <w:bottom w:val="none" w:sz="0" w:space="0" w:color="auto"/>
        <w:right w:val="none" w:sz="0" w:space="0" w:color="auto"/>
      </w:divBdr>
      <w:divsChild>
        <w:div w:id="1827554644">
          <w:marLeft w:val="0"/>
          <w:marRight w:val="0"/>
          <w:marTop w:val="120"/>
          <w:marBottom w:val="0"/>
          <w:divBdr>
            <w:top w:val="none" w:sz="0" w:space="0" w:color="auto"/>
            <w:left w:val="none" w:sz="0" w:space="0" w:color="auto"/>
            <w:bottom w:val="none" w:sz="0" w:space="0" w:color="auto"/>
            <w:right w:val="none" w:sz="0" w:space="0" w:color="auto"/>
          </w:divBdr>
        </w:div>
        <w:div w:id="1177965381">
          <w:marLeft w:val="0"/>
          <w:marRight w:val="0"/>
          <w:marTop w:val="120"/>
          <w:marBottom w:val="0"/>
          <w:divBdr>
            <w:top w:val="none" w:sz="0" w:space="0" w:color="auto"/>
            <w:left w:val="none" w:sz="0" w:space="0" w:color="auto"/>
            <w:bottom w:val="none" w:sz="0" w:space="0" w:color="auto"/>
            <w:right w:val="none" w:sz="0" w:space="0" w:color="auto"/>
          </w:divBdr>
        </w:div>
        <w:div w:id="410200735">
          <w:marLeft w:val="0"/>
          <w:marRight w:val="0"/>
          <w:marTop w:val="120"/>
          <w:marBottom w:val="0"/>
          <w:divBdr>
            <w:top w:val="none" w:sz="0" w:space="0" w:color="auto"/>
            <w:left w:val="none" w:sz="0" w:space="0" w:color="auto"/>
            <w:bottom w:val="none" w:sz="0" w:space="0" w:color="auto"/>
            <w:right w:val="none" w:sz="0" w:space="0" w:color="auto"/>
          </w:divBdr>
        </w:div>
      </w:divsChild>
    </w:div>
    <w:div w:id="1446850182">
      <w:bodyDiv w:val="1"/>
      <w:marLeft w:val="0"/>
      <w:marRight w:val="0"/>
      <w:marTop w:val="0"/>
      <w:marBottom w:val="0"/>
      <w:divBdr>
        <w:top w:val="none" w:sz="0" w:space="0" w:color="auto"/>
        <w:left w:val="none" w:sz="0" w:space="0" w:color="auto"/>
        <w:bottom w:val="none" w:sz="0" w:space="0" w:color="auto"/>
        <w:right w:val="none" w:sz="0" w:space="0" w:color="auto"/>
      </w:divBdr>
    </w:div>
    <w:div w:id="1551764454">
      <w:bodyDiv w:val="1"/>
      <w:marLeft w:val="0"/>
      <w:marRight w:val="0"/>
      <w:marTop w:val="0"/>
      <w:marBottom w:val="0"/>
      <w:divBdr>
        <w:top w:val="none" w:sz="0" w:space="0" w:color="auto"/>
        <w:left w:val="none" w:sz="0" w:space="0" w:color="auto"/>
        <w:bottom w:val="none" w:sz="0" w:space="0" w:color="auto"/>
        <w:right w:val="none" w:sz="0" w:space="0" w:color="auto"/>
      </w:divBdr>
    </w:div>
    <w:div w:id="2000115847">
      <w:bodyDiv w:val="1"/>
      <w:marLeft w:val="0"/>
      <w:marRight w:val="0"/>
      <w:marTop w:val="0"/>
      <w:marBottom w:val="0"/>
      <w:divBdr>
        <w:top w:val="none" w:sz="0" w:space="0" w:color="auto"/>
        <w:left w:val="none" w:sz="0" w:space="0" w:color="auto"/>
        <w:bottom w:val="none" w:sz="0" w:space="0" w:color="auto"/>
        <w:right w:val="none" w:sz="0" w:space="0" w:color="auto"/>
      </w:divBdr>
    </w:div>
    <w:div w:id="2007711575">
      <w:bodyDiv w:val="1"/>
      <w:marLeft w:val="0"/>
      <w:marRight w:val="0"/>
      <w:marTop w:val="0"/>
      <w:marBottom w:val="0"/>
      <w:divBdr>
        <w:top w:val="none" w:sz="0" w:space="0" w:color="auto"/>
        <w:left w:val="none" w:sz="0" w:space="0" w:color="auto"/>
        <w:bottom w:val="none" w:sz="0" w:space="0" w:color="auto"/>
        <w:right w:val="none" w:sz="0" w:space="0" w:color="auto"/>
      </w:divBdr>
      <w:divsChild>
        <w:div w:id="1124421894">
          <w:marLeft w:val="0"/>
          <w:marRight w:val="0"/>
          <w:marTop w:val="120"/>
          <w:marBottom w:val="0"/>
          <w:divBdr>
            <w:top w:val="none" w:sz="0" w:space="0" w:color="auto"/>
            <w:left w:val="none" w:sz="0" w:space="0" w:color="auto"/>
            <w:bottom w:val="none" w:sz="0" w:space="0" w:color="auto"/>
            <w:right w:val="none" w:sz="0" w:space="0" w:color="auto"/>
          </w:divBdr>
        </w:div>
        <w:div w:id="1953513012">
          <w:marLeft w:val="0"/>
          <w:marRight w:val="0"/>
          <w:marTop w:val="120"/>
          <w:marBottom w:val="0"/>
          <w:divBdr>
            <w:top w:val="none" w:sz="0" w:space="0" w:color="auto"/>
            <w:left w:val="none" w:sz="0" w:space="0" w:color="auto"/>
            <w:bottom w:val="none" w:sz="0" w:space="0" w:color="auto"/>
            <w:right w:val="none" w:sz="0" w:space="0" w:color="auto"/>
          </w:divBdr>
        </w:div>
      </w:divsChild>
    </w:div>
    <w:div w:id="209108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dact.ru/regular/doc/Biw0Q3PQb2bw/?regular-txt=%D0%BF%D1%80%D0%B8%D1%81%D1%8F%D0%B6%D0%BD%D1%8B%D0%B5+&amp;regular-case_doc=&amp;regular-lawchunkinfo=&amp;regular-date_from=&amp;regular-date_to=&amp;regular-workflow_stage=&amp;regular-area=&amp;regular-court=&amp;regular-judge=&amp;_=159245509194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sudact.ru/regular/doc/AZDSPJxmYZlT/?regular-txt=%D0%BF%D1%80%D0%B8%D1%81%D1%8F%D0%B6%D0%BD%D1%8B%D0%B5+&amp;regular-case_doc=&amp;regular-lawchunkinfo=&amp;regular-date_from=&amp;regular-date_to=&amp;regular-workflow_stage=&amp;regular-area=&amp;regular-court=&amp;regular-judge=&amp;_=1592455091942" TargetMode="External"/><Relationship Id="rId4" Type="http://schemas.openxmlformats.org/officeDocument/2006/relationships/settings" Target="settings.xml"/><Relationship Id="rId9" Type="http://schemas.openxmlformats.org/officeDocument/2006/relationships/hyperlink" Target="https://sudact.ru/regular/doc/xcKJofkVuVLm/?regular-txt=%D0%BF%D1%80%D0%B8%D1%81%D1%8F%D0%B6%D0%BD%D1%8B%D0%B5+&amp;regular-case_doc=&amp;regular-lawchunkinfo=&amp;regular-date_from=&amp;regular-date_to=&amp;regular-workflow_stage=&amp;regular-area=&amp;regular-court=&amp;regular-judge=&amp;_=1592455091942&amp;snippet_pos=230" TargetMode="External"/><Relationship Id="rId14" Type="http://schemas.openxmlformats.org/officeDocument/2006/relationships/theme" Target="theme/theme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8FF3A-BC36-4704-97F8-E551CDFCB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3530</Words>
  <Characters>20124</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2</cp:revision>
  <cp:lastPrinted>2019-03-20T00:10:00Z</cp:lastPrinted>
  <dcterms:created xsi:type="dcterms:W3CDTF">2020-12-20T06:50:00Z</dcterms:created>
  <dcterms:modified xsi:type="dcterms:W3CDTF">2020-12-20T06:50:00Z</dcterms:modified>
</cp:coreProperties>
</file>